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F0DF" w14:textId="77777777" w:rsidR="00960BB8" w:rsidRDefault="00C06650">
      <w:pPr>
        <w:rPr>
          <w:vanish/>
        </w:rPr>
      </w:pPr>
      <w:r>
        <w:rPr>
          <w:rFonts w:ascii="宋体" w:eastAsia="宋体" w:hAnsi="宋体" w:cs="宋体"/>
          <w:vanish/>
        </w:rPr>
        <w:t xml:space="preserve">000005086312-3110-KDecember 31, </w:t>
      </w:r>
      <w:r>
        <w:rPr>
          <w:rFonts w:ascii="宋体" w:eastAsia="宋体" w:hAnsi="宋体" w:cs="宋体"/>
          <w:vanish/>
        </w:rPr>
        <w:t>20222022FYfalsefalse4,137149.20.0010.0015050——0.0010.00110,00010,0004,1374,1374,1374,0704,1374,1374,1374,0701.46001.39001.32</w:t>
      </w:r>
    </w:p>
    <w:tbl>
      <w:tblPr>
        <w:tblW w:w="5000" w:type="pct"/>
        <w:tblCellMar>
          <w:top w:w="15" w:type="dxa"/>
          <w:left w:w="15" w:type="dxa"/>
          <w:bottom w:w="15" w:type="dxa"/>
          <w:right w:w="15" w:type="dxa"/>
        </w:tblCellMar>
        <w:tblLook w:val="04A0" w:firstRow="1" w:lastRow="0" w:firstColumn="1" w:lastColumn="0" w:noHBand="0" w:noVBand="1"/>
      </w:tblPr>
      <w:tblGrid>
        <w:gridCol w:w="73"/>
        <w:gridCol w:w="801"/>
        <w:gridCol w:w="36"/>
        <w:gridCol w:w="69"/>
        <w:gridCol w:w="7321"/>
        <w:gridCol w:w="36"/>
      </w:tblGrid>
      <w:tr w:rsidR="00960BB8" w14:paraId="5A1AF0E6" w14:textId="77777777">
        <w:tc>
          <w:tcPr>
            <w:tcW w:w="50" w:type="pct"/>
            <w:shd w:val="clear" w:color="auto" w:fill="auto"/>
            <w:vAlign w:val="bottom"/>
          </w:tcPr>
          <w:p w14:paraId="5A1AF0E0" w14:textId="792181D4" w:rsidR="00960BB8" w:rsidRDefault="00C06650">
            <w:pPr>
              <w:rPr>
                <w:rFonts w:ascii="宋体"/>
              </w:rPr>
            </w:pPr>
            <w:r>
              <w:rPr>
                <w:rFonts w:ascii="宋体"/>
              </w:rPr>
              <w:t xml:space="preserve"> </w:t>
            </w:r>
          </w:p>
        </w:tc>
        <w:tc>
          <w:tcPr>
            <w:tcW w:w="491" w:type="pct"/>
            <w:shd w:val="clear" w:color="auto" w:fill="auto"/>
            <w:vAlign w:val="bottom"/>
          </w:tcPr>
          <w:p w14:paraId="5A1AF0E1" w14:textId="77777777" w:rsidR="00960BB8" w:rsidRDefault="00960BB8">
            <w:pPr>
              <w:rPr>
                <w:rFonts w:ascii="宋体"/>
              </w:rPr>
            </w:pPr>
          </w:p>
        </w:tc>
        <w:tc>
          <w:tcPr>
            <w:tcW w:w="5" w:type="pct"/>
            <w:shd w:val="clear" w:color="auto" w:fill="auto"/>
            <w:vAlign w:val="bottom"/>
          </w:tcPr>
          <w:p w14:paraId="5A1AF0E2" w14:textId="77777777" w:rsidR="00960BB8" w:rsidRDefault="00960BB8">
            <w:pPr>
              <w:rPr>
                <w:rFonts w:ascii="宋体"/>
              </w:rPr>
            </w:pPr>
          </w:p>
        </w:tc>
        <w:tc>
          <w:tcPr>
            <w:tcW w:w="50" w:type="pct"/>
            <w:shd w:val="clear" w:color="auto" w:fill="auto"/>
            <w:vAlign w:val="bottom"/>
          </w:tcPr>
          <w:p w14:paraId="5A1AF0E3" w14:textId="77777777" w:rsidR="00960BB8" w:rsidRDefault="00960BB8">
            <w:pPr>
              <w:rPr>
                <w:rFonts w:ascii="宋体"/>
              </w:rPr>
            </w:pPr>
          </w:p>
        </w:tc>
        <w:tc>
          <w:tcPr>
            <w:tcW w:w="4398" w:type="pct"/>
            <w:shd w:val="clear" w:color="auto" w:fill="auto"/>
            <w:vAlign w:val="bottom"/>
          </w:tcPr>
          <w:p w14:paraId="5A1AF0E4" w14:textId="77777777" w:rsidR="00960BB8" w:rsidRDefault="00960BB8">
            <w:pPr>
              <w:rPr>
                <w:rFonts w:ascii="宋体"/>
              </w:rPr>
            </w:pPr>
          </w:p>
        </w:tc>
        <w:tc>
          <w:tcPr>
            <w:tcW w:w="5" w:type="pct"/>
            <w:shd w:val="clear" w:color="auto" w:fill="auto"/>
            <w:vAlign w:val="bottom"/>
          </w:tcPr>
          <w:p w14:paraId="5A1AF0E5" w14:textId="77777777" w:rsidR="00960BB8" w:rsidRDefault="00960BB8">
            <w:pPr>
              <w:rPr>
                <w:rFonts w:ascii="宋体"/>
              </w:rPr>
            </w:pPr>
          </w:p>
        </w:tc>
      </w:tr>
      <w:tr w:rsidR="00960BB8" w14:paraId="5A1AF0E9"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AF0E7" w14:textId="77777777" w:rsidR="00960BB8" w:rsidRDefault="00C06650">
            <w:pPr>
              <w:textAlignment w:val="bottom"/>
            </w:pPr>
            <w:r>
              <w:rPr>
                <w:rFonts w:ascii="Arial" w:eastAsia="宋体" w:hAnsi="Arial" w:cs="Arial"/>
                <w:color w:val="FFFFFF"/>
                <w:sz w:val="28"/>
                <w:szCs w:val="28"/>
              </w:rPr>
              <w:t xml:space="preserve">Note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AF0E8" w14:textId="77777777" w:rsidR="00960BB8" w:rsidRDefault="00C06650">
            <w:pPr>
              <w:textAlignment w:val="bottom"/>
            </w:pPr>
            <w:r>
              <w:rPr>
                <w:rFonts w:ascii="Arial" w:eastAsia="宋体" w:hAnsi="Arial" w:cs="Arial"/>
                <w:color w:val="0068B5"/>
                <w:sz w:val="28"/>
                <w:szCs w:val="28"/>
              </w:rPr>
              <w:t>Contract Liabilities</w:t>
            </w:r>
          </w:p>
        </w:tc>
      </w:tr>
    </w:tbl>
    <w:p w14:paraId="5A1AF0EA" w14:textId="77777777" w:rsidR="00960BB8" w:rsidRDefault="00C06650">
      <w:pPr>
        <w:spacing w:after="20"/>
        <w:rPr>
          <w:vanish/>
        </w:rPr>
      </w:pPr>
      <w:r>
        <w:rPr>
          <w:rFonts w:ascii="Arial" w:eastAsia="宋体" w:hAnsi="Arial" w:cs="Arial"/>
          <w:vanish/>
          <w:color w:val="262626"/>
          <w:sz w:val="18"/>
          <w:szCs w:val="18"/>
        </w:rPr>
        <w:t xml:space="preserve">Contract liabilities consist of prepayments received on long-term prepaid customer </w:t>
      </w:r>
      <w:r>
        <w:rPr>
          <w:rFonts w:ascii="Arial" w:eastAsia="宋体" w:hAnsi="Arial" w:cs="Arial"/>
          <w:vanish/>
          <w:color w:val="262626"/>
          <w:sz w:val="18"/>
          <w:szCs w:val="18"/>
        </w:rPr>
        <w:t>supply agreements toward future product delivery and other revenue deferrals from regular ongoing business activity. Contract liabilities were $577 million$498 million as of December 31, 2022 ($498 million$1.9 billion as of December 25, 2021).</w:t>
      </w:r>
    </w:p>
    <w:p w14:paraId="5A1AF0EB" w14:textId="77777777" w:rsidR="00960BB8" w:rsidRDefault="00960BB8">
      <w:pPr>
        <w:rPr>
          <w:vanish/>
        </w:rPr>
      </w:pPr>
    </w:p>
    <w:p w14:paraId="5A1AF0EC" w14:textId="77777777" w:rsidR="00960BB8" w:rsidRDefault="00C06650">
      <w:pPr>
        <w:spacing w:after="120"/>
        <w:rPr>
          <w:vanish/>
        </w:rPr>
      </w:pPr>
      <w:r>
        <w:rPr>
          <w:rFonts w:ascii="Arial" w:eastAsia="宋体" w:hAnsi="Arial" w:cs="Arial"/>
          <w:vanish/>
          <w:color w:val="262626"/>
          <w:sz w:val="18"/>
          <w:szCs w:val="18"/>
        </w:rPr>
        <w:t>The followi</w:t>
      </w:r>
      <w:r>
        <w:rPr>
          <w:rFonts w:ascii="Arial" w:eastAsia="宋体" w:hAnsi="Arial" w:cs="Arial"/>
          <w:vanish/>
          <w:color w:val="262626"/>
          <w:sz w:val="18"/>
          <w:szCs w:val="18"/>
        </w:rPr>
        <w:t>ng table shows the changes in contract liability balances relating to long-term prepaid customer supply agreements during 2022:</w:t>
      </w:r>
    </w:p>
    <w:tbl>
      <w:tblPr>
        <w:tblW w:w="5000" w:type="pct"/>
        <w:tblCellMar>
          <w:top w:w="15" w:type="dxa"/>
          <w:left w:w="15" w:type="dxa"/>
          <w:bottom w:w="15" w:type="dxa"/>
          <w:right w:w="15" w:type="dxa"/>
        </w:tblCellMar>
        <w:tblLook w:val="04A0" w:firstRow="1" w:lastRow="0" w:firstColumn="1" w:lastColumn="0" w:noHBand="0" w:noVBand="1"/>
      </w:tblPr>
      <w:tblGrid>
        <w:gridCol w:w="45"/>
        <w:gridCol w:w="7160"/>
        <w:gridCol w:w="36"/>
        <w:gridCol w:w="36"/>
        <w:gridCol w:w="36"/>
        <w:gridCol w:w="36"/>
        <w:gridCol w:w="122"/>
        <w:gridCol w:w="829"/>
        <w:gridCol w:w="36"/>
      </w:tblGrid>
      <w:tr w:rsidR="00960BB8" w14:paraId="5A1AF0F6" w14:textId="77777777">
        <w:tc>
          <w:tcPr>
            <w:tcW w:w="50" w:type="pct"/>
            <w:shd w:val="clear" w:color="auto" w:fill="auto"/>
            <w:vAlign w:val="bottom"/>
          </w:tcPr>
          <w:p w14:paraId="5A1AF0ED" w14:textId="77777777" w:rsidR="00960BB8" w:rsidRDefault="00960BB8">
            <w:pPr>
              <w:rPr>
                <w:rFonts w:ascii="宋体"/>
              </w:rPr>
            </w:pPr>
          </w:p>
        </w:tc>
        <w:tc>
          <w:tcPr>
            <w:tcW w:w="4316" w:type="pct"/>
            <w:shd w:val="clear" w:color="auto" w:fill="auto"/>
            <w:vAlign w:val="bottom"/>
          </w:tcPr>
          <w:p w14:paraId="5A1AF0EE" w14:textId="77777777" w:rsidR="00960BB8" w:rsidRDefault="00960BB8">
            <w:pPr>
              <w:rPr>
                <w:rFonts w:ascii="宋体"/>
              </w:rPr>
            </w:pPr>
          </w:p>
        </w:tc>
        <w:tc>
          <w:tcPr>
            <w:tcW w:w="5" w:type="pct"/>
            <w:shd w:val="clear" w:color="auto" w:fill="auto"/>
            <w:vAlign w:val="bottom"/>
          </w:tcPr>
          <w:p w14:paraId="5A1AF0EF" w14:textId="77777777" w:rsidR="00960BB8" w:rsidRDefault="00960BB8">
            <w:pPr>
              <w:rPr>
                <w:rFonts w:ascii="宋体"/>
              </w:rPr>
            </w:pPr>
          </w:p>
        </w:tc>
        <w:tc>
          <w:tcPr>
            <w:tcW w:w="5" w:type="pct"/>
            <w:shd w:val="clear" w:color="auto" w:fill="auto"/>
            <w:vAlign w:val="bottom"/>
          </w:tcPr>
          <w:p w14:paraId="5A1AF0F0" w14:textId="77777777" w:rsidR="00960BB8" w:rsidRDefault="00960BB8">
            <w:pPr>
              <w:rPr>
                <w:rFonts w:ascii="宋体"/>
              </w:rPr>
            </w:pPr>
          </w:p>
        </w:tc>
        <w:tc>
          <w:tcPr>
            <w:tcW w:w="24" w:type="pct"/>
            <w:shd w:val="clear" w:color="auto" w:fill="auto"/>
            <w:vAlign w:val="bottom"/>
          </w:tcPr>
          <w:p w14:paraId="5A1AF0F1" w14:textId="77777777" w:rsidR="00960BB8" w:rsidRDefault="00960BB8">
            <w:pPr>
              <w:rPr>
                <w:rFonts w:ascii="宋体"/>
              </w:rPr>
            </w:pPr>
          </w:p>
        </w:tc>
        <w:tc>
          <w:tcPr>
            <w:tcW w:w="5" w:type="pct"/>
            <w:shd w:val="clear" w:color="auto" w:fill="auto"/>
            <w:vAlign w:val="bottom"/>
          </w:tcPr>
          <w:p w14:paraId="5A1AF0F2" w14:textId="77777777" w:rsidR="00960BB8" w:rsidRDefault="00960BB8">
            <w:pPr>
              <w:rPr>
                <w:rFonts w:ascii="宋体"/>
              </w:rPr>
            </w:pPr>
          </w:p>
        </w:tc>
        <w:tc>
          <w:tcPr>
            <w:tcW w:w="50" w:type="pct"/>
            <w:shd w:val="clear" w:color="auto" w:fill="auto"/>
            <w:vAlign w:val="bottom"/>
          </w:tcPr>
          <w:p w14:paraId="5A1AF0F3" w14:textId="77777777" w:rsidR="00960BB8" w:rsidRDefault="00960BB8">
            <w:pPr>
              <w:rPr>
                <w:rFonts w:ascii="宋体"/>
              </w:rPr>
            </w:pPr>
          </w:p>
        </w:tc>
        <w:tc>
          <w:tcPr>
            <w:tcW w:w="539" w:type="pct"/>
            <w:shd w:val="clear" w:color="auto" w:fill="auto"/>
            <w:vAlign w:val="bottom"/>
          </w:tcPr>
          <w:p w14:paraId="5A1AF0F4" w14:textId="77777777" w:rsidR="00960BB8" w:rsidRDefault="00960BB8">
            <w:pPr>
              <w:rPr>
                <w:rFonts w:ascii="宋体"/>
              </w:rPr>
            </w:pPr>
          </w:p>
        </w:tc>
        <w:tc>
          <w:tcPr>
            <w:tcW w:w="5" w:type="pct"/>
            <w:shd w:val="clear" w:color="auto" w:fill="auto"/>
            <w:vAlign w:val="bottom"/>
          </w:tcPr>
          <w:p w14:paraId="5A1AF0F5" w14:textId="77777777" w:rsidR="00960BB8" w:rsidRDefault="00960BB8">
            <w:pPr>
              <w:rPr>
                <w:rFonts w:ascii="宋体"/>
              </w:rPr>
            </w:pPr>
          </w:p>
        </w:tc>
      </w:tr>
      <w:tr w:rsidR="00960BB8" w14:paraId="5A1AF0FA" w14:textId="77777777">
        <w:tc>
          <w:tcPr>
            <w:tcW w:w="0" w:type="auto"/>
            <w:gridSpan w:val="3"/>
            <w:shd w:val="clear" w:color="auto" w:fill="auto"/>
            <w:tcMar>
              <w:top w:w="40" w:type="dxa"/>
              <w:left w:w="20" w:type="dxa"/>
              <w:bottom w:w="40" w:type="dxa"/>
              <w:right w:w="20" w:type="dxa"/>
            </w:tcMar>
            <w:vAlign w:val="bottom"/>
          </w:tcPr>
          <w:p w14:paraId="5A1AF0F7"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AF0F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0F9" w14:textId="77777777" w:rsidR="00960BB8" w:rsidRDefault="00960BB8">
            <w:pPr>
              <w:rPr>
                <w:rFonts w:ascii="宋体"/>
              </w:rPr>
            </w:pPr>
          </w:p>
        </w:tc>
      </w:tr>
      <w:tr w:rsidR="00960BB8" w14:paraId="5A1AF10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AF0FB" w14:textId="77777777" w:rsidR="00960BB8" w:rsidRDefault="00C06650">
            <w:pPr>
              <w:textAlignment w:val="bottom"/>
            </w:pPr>
            <w:r>
              <w:rPr>
                <w:rFonts w:ascii="Arial" w:eastAsia="宋体" w:hAnsi="Arial" w:cs="Arial"/>
                <w:b/>
                <w:bCs/>
                <w:color w:val="262626"/>
                <w:sz w:val="18"/>
                <w:szCs w:val="18"/>
              </w:rPr>
              <w:t>Prepaid customer supply agreements balance as of December 25, 2021</w:t>
            </w:r>
          </w:p>
        </w:tc>
        <w:tc>
          <w:tcPr>
            <w:tcW w:w="0" w:type="auto"/>
            <w:gridSpan w:val="3"/>
            <w:shd w:val="clear" w:color="auto" w:fill="auto"/>
            <w:tcMar>
              <w:top w:w="0" w:type="dxa"/>
              <w:left w:w="20" w:type="dxa"/>
              <w:bottom w:w="0" w:type="dxa"/>
              <w:right w:w="20" w:type="dxa"/>
            </w:tcMar>
            <w:vAlign w:val="bottom"/>
          </w:tcPr>
          <w:p w14:paraId="5A1AF0FC"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AF0FD"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AF0FE" w14:textId="77777777" w:rsidR="00960BB8" w:rsidRDefault="00C06650">
            <w:pPr>
              <w:jc w:val="right"/>
              <w:textAlignment w:val="bottom"/>
            </w:pPr>
            <w:r>
              <w:rPr>
                <w:rFonts w:ascii="Arial" w:eastAsia="宋体" w:hAnsi="Arial" w:cs="Arial"/>
                <w:b/>
                <w:bCs/>
                <w:color w:val="262626"/>
                <w:sz w:val="18"/>
                <w:szCs w:val="18"/>
              </w:rPr>
              <w:t>43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AF0FF" w14:textId="77777777" w:rsidR="00960BB8" w:rsidRDefault="00960BB8">
            <w:pPr>
              <w:jc w:val="right"/>
              <w:rPr>
                <w:rFonts w:ascii="宋体"/>
              </w:rPr>
            </w:pPr>
          </w:p>
        </w:tc>
      </w:tr>
      <w:tr w:rsidR="00960BB8" w14:paraId="5A1AF104" w14:textId="77777777">
        <w:trPr>
          <w:hidden/>
        </w:trPr>
        <w:tc>
          <w:tcPr>
            <w:tcW w:w="0" w:type="auto"/>
            <w:gridSpan w:val="3"/>
            <w:shd w:val="clear" w:color="auto" w:fill="auto"/>
            <w:vAlign w:val="bottom"/>
          </w:tcPr>
          <w:p w14:paraId="5A1AF101" w14:textId="77777777" w:rsidR="00960BB8" w:rsidRDefault="00960BB8">
            <w:pPr>
              <w:rPr>
                <w:rFonts w:ascii="宋体"/>
                <w:vanish/>
              </w:rPr>
            </w:pPr>
          </w:p>
        </w:tc>
        <w:tc>
          <w:tcPr>
            <w:tcW w:w="0" w:type="auto"/>
            <w:gridSpan w:val="3"/>
            <w:shd w:val="clear" w:color="auto" w:fill="auto"/>
            <w:vAlign w:val="bottom"/>
          </w:tcPr>
          <w:p w14:paraId="5A1AF102" w14:textId="77777777" w:rsidR="00960BB8" w:rsidRDefault="00960BB8">
            <w:pPr>
              <w:rPr>
                <w:rFonts w:ascii="宋体"/>
                <w:vanish/>
              </w:rPr>
            </w:pPr>
          </w:p>
        </w:tc>
        <w:tc>
          <w:tcPr>
            <w:tcW w:w="0" w:type="auto"/>
            <w:gridSpan w:val="3"/>
            <w:shd w:val="clear" w:color="auto" w:fill="auto"/>
            <w:vAlign w:val="bottom"/>
          </w:tcPr>
          <w:p w14:paraId="5A1AF103" w14:textId="77777777" w:rsidR="00960BB8" w:rsidRDefault="00960BB8">
            <w:pPr>
              <w:rPr>
                <w:rFonts w:ascii="宋体"/>
                <w:vanish/>
              </w:rPr>
            </w:pPr>
          </w:p>
        </w:tc>
      </w:tr>
      <w:tr w:rsidR="00960BB8" w14:paraId="5A1AF109" w14:textId="77777777">
        <w:tc>
          <w:tcPr>
            <w:tcW w:w="0" w:type="auto"/>
            <w:gridSpan w:val="3"/>
            <w:shd w:val="clear" w:color="auto" w:fill="auto"/>
            <w:tcMar>
              <w:top w:w="40" w:type="dxa"/>
              <w:left w:w="20" w:type="dxa"/>
              <w:bottom w:w="40" w:type="dxa"/>
              <w:right w:w="20" w:type="dxa"/>
            </w:tcMar>
            <w:vAlign w:val="bottom"/>
          </w:tcPr>
          <w:p w14:paraId="5A1AF105" w14:textId="77777777" w:rsidR="00960BB8" w:rsidRDefault="00C06650">
            <w:pPr>
              <w:textAlignment w:val="bottom"/>
            </w:pPr>
            <w:r>
              <w:rPr>
                <w:rFonts w:ascii="Arial" w:eastAsia="宋体" w:hAnsi="Arial" w:cs="Arial"/>
                <w:color w:val="262626"/>
                <w:sz w:val="18"/>
                <w:szCs w:val="18"/>
              </w:rPr>
              <w:t xml:space="preserve">Concession </w:t>
            </w:r>
            <w:r>
              <w:rPr>
                <w:rFonts w:ascii="Arial" w:eastAsia="宋体" w:hAnsi="Arial" w:cs="Arial"/>
                <w:color w:val="262626"/>
                <w:sz w:val="18"/>
                <w:szCs w:val="18"/>
              </w:rPr>
              <w:t>payment</w:t>
            </w:r>
          </w:p>
        </w:tc>
        <w:tc>
          <w:tcPr>
            <w:tcW w:w="0" w:type="auto"/>
            <w:gridSpan w:val="3"/>
            <w:shd w:val="clear" w:color="auto" w:fill="auto"/>
            <w:tcMar>
              <w:top w:w="0" w:type="dxa"/>
              <w:left w:w="20" w:type="dxa"/>
              <w:bottom w:w="0" w:type="dxa"/>
              <w:right w:w="20" w:type="dxa"/>
            </w:tcMar>
            <w:vAlign w:val="bottom"/>
          </w:tcPr>
          <w:p w14:paraId="5A1AF10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107" w14:textId="77777777" w:rsidR="00960BB8" w:rsidRDefault="00C06650">
            <w:pPr>
              <w:jc w:val="right"/>
              <w:textAlignment w:val="bottom"/>
            </w:pPr>
            <w:r>
              <w:rPr>
                <w:rFonts w:ascii="Arial" w:eastAsia="宋体" w:hAnsi="Arial" w:cs="Arial"/>
                <w:color w:val="0068B5"/>
                <w:sz w:val="18"/>
                <w:szCs w:val="18"/>
              </w:rPr>
              <w:t>(950)</w:t>
            </w:r>
          </w:p>
        </w:tc>
        <w:tc>
          <w:tcPr>
            <w:tcW w:w="0" w:type="auto"/>
            <w:shd w:val="clear" w:color="auto" w:fill="auto"/>
            <w:tcMar>
              <w:top w:w="40" w:type="dxa"/>
              <w:left w:w="0" w:type="dxa"/>
              <w:bottom w:w="40" w:type="dxa"/>
              <w:right w:w="20" w:type="dxa"/>
            </w:tcMar>
            <w:vAlign w:val="bottom"/>
          </w:tcPr>
          <w:p w14:paraId="5A1AF108" w14:textId="77777777" w:rsidR="00960BB8" w:rsidRDefault="00960BB8">
            <w:pPr>
              <w:jc w:val="right"/>
              <w:rPr>
                <w:rFonts w:ascii="宋体"/>
              </w:rPr>
            </w:pPr>
          </w:p>
        </w:tc>
      </w:tr>
      <w:tr w:rsidR="00960BB8" w14:paraId="5A1AF10E" w14:textId="77777777">
        <w:tc>
          <w:tcPr>
            <w:tcW w:w="0" w:type="auto"/>
            <w:gridSpan w:val="3"/>
            <w:shd w:val="clear" w:color="auto" w:fill="auto"/>
            <w:tcMar>
              <w:top w:w="40" w:type="dxa"/>
              <w:left w:w="20" w:type="dxa"/>
              <w:bottom w:w="40" w:type="dxa"/>
              <w:right w:w="20" w:type="dxa"/>
            </w:tcMar>
            <w:vAlign w:val="bottom"/>
          </w:tcPr>
          <w:p w14:paraId="5A1AF10A" w14:textId="77777777" w:rsidR="00960BB8" w:rsidRDefault="00C06650">
            <w:pPr>
              <w:textAlignment w:val="bottom"/>
            </w:pPr>
            <w:r>
              <w:rPr>
                <w:rFonts w:ascii="Arial" w:eastAsia="宋体" w:hAnsi="Arial" w:cs="Arial"/>
                <w:color w:val="262626"/>
                <w:sz w:val="18"/>
                <w:szCs w:val="18"/>
              </w:rPr>
              <w:t xml:space="preserve">Prepaids utilized </w:t>
            </w:r>
          </w:p>
        </w:tc>
        <w:tc>
          <w:tcPr>
            <w:tcW w:w="0" w:type="auto"/>
            <w:gridSpan w:val="3"/>
            <w:shd w:val="clear" w:color="auto" w:fill="auto"/>
            <w:tcMar>
              <w:top w:w="0" w:type="dxa"/>
              <w:left w:w="20" w:type="dxa"/>
              <w:bottom w:w="0" w:type="dxa"/>
              <w:right w:w="20" w:type="dxa"/>
            </w:tcMar>
            <w:vAlign w:val="bottom"/>
          </w:tcPr>
          <w:p w14:paraId="5A1AF10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10C" w14:textId="77777777" w:rsidR="00960BB8" w:rsidRDefault="00C06650">
            <w:pPr>
              <w:jc w:val="right"/>
              <w:textAlignment w:val="bottom"/>
            </w:pPr>
            <w:r>
              <w:rPr>
                <w:rFonts w:ascii="Arial" w:eastAsia="宋体" w:hAnsi="Arial" w:cs="Arial"/>
                <w:color w:val="0068B5"/>
                <w:sz w:val="18"/>
                <w:szCs w:val="18"/>
              </w:rPr>
              <w:t>(633)</w:t>
            </w:r>
          </w:p>
        </w:tc>
        <w:tc>
          <w:tcPr>
            <w:tcW w:w="0" w:type="auto"/>
            <w:shd w:val="clear" w:color="auto" w:fill="auto"/>
            <w:tcMar>
              <w:top w:w="40" w:type="dxa"/>
              <w:left w:w="0" w:type="dxa"/>
              <w:bottom w:w="40" w:type="dxa"/>
              <w:right w:w="20" w:type="dxa"/>
            </w:tcMar>
            <w:vAlign w:val="bottom"/>
          </w:tcPr>
          <w:p w14:paraId="5A1AF10D" w14:textId="77777777" w:rsidR="00960BB8" w:rsidRDefault="00960BB8">
            <w:pPr>
              <w:jc w:val="right"/>
              <w:rPr>
                <w:rFonts w:ascii="宋体"/>
              </w:rPr>
            </w:pPr>
          </w:p>
        </w:tc>
      </w:tr>
      <w:tr w:rsidR="00960BB8" w14:paraId="5A1AF114" w14:textId="77777777">
        <w:tc>
          <w:tcPr>
            <w:tcW w:w="0" w:type="auto"/>
            <w:gridSpan w:val="3"/>
            <w:shd w:val="clear" w:color="auto" w:fill="auto"/>
            <w:tcMar>
              <w:top w:w="40" w:type="dxa"/>
              <w:left w:w="20" w:type="dxa"/>
              <w:bottom w:w="40" w:type="dxa"/>
              <w:right w:w="20" w:type="dxa"/>
            </w:tcMar>
            <w:vAlign w:val="bottom"/>
          </w:tcPr>
          <w:p w14:paraId="5A1AF10F" w14:textId="77777777" w:rsidR="00960BB8" w:rsidRDefault="00C06650">
            <w:pPr>
              <w:textAlignment w:val="bottom"/>
            </w:pPr>
            <w:r>
              <w:rPr>
                <w:rFonts w:ascii="Arial" w:eastAsia="宋体" w:hAnsi="Arial" w:cs="Arial"/>
                <w:b/>
                <w:bCs/>
                <w:color w:val="262626"/>
                <w:sz w:val="18"/>
                <w:szCs w:val="18"/>
              </w:rPr>
              <w:t>Prepaid customer supply agreements balance as of December 31, 2022</w:t>
            </w:r>
          </w:p>
        </w:tc>
        <w:tc>
          <w:tcPr>
            <w:tcW w:w="0" w:type="auto"/>
            <w:gridSpan w:val="3"/>
            <w:shd w:val="clear" w:color="auto" w:fill="auto"/>
            <w:tcMar>
              <w:top w:w="0" w:type="dxa"/>
              <w:left w:w="20" w:type="dxa"/>
              <w:bottom w:w="0" w:type="dxa"/>
              <w:right w:w="20" w:type="dxa"/>
            </w:tcMar>
            <w:vAlign w:val="bottom"/>
          </w:tcPr>
          <w:p w14:paraId="5A1AF110"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AF111"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AF112" w14:textId="77777777" w:rsidR="00960BB8" w:rsidRDefault="00C06650">
            <w:pPr>
              <w:jc w:val="right"/>
              <w:textAlignment w:val="bottom"/>
            </w:pPr>
            <w:r>
              <w:rPr>
                <w:rFonts w:ascii="Arial" w:eastAsia="宋体" w:hAnsi="Arial" w:cs="Arial"/>
                <w:b/>
                <w:bCs/>
                <w:color w:val="0068B5"/>
                <w:sz w:val="18"/>
                <w:szCs w:val="18"/>
              </w:rPr>
              <w:t>20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AF113" w14:textId="77777777" w:rsidR="00960BB8" w:rsidRDefault="00960BB8">
            <w:pPr>
              <w:jc w:val="right"/>
              <w:rPr>
                <w:rFonts w:ascii="宋体"/>
              </w:rPr>
            </w:pPr>
          </w:p>
        </w:tc>
      </w:tr>
    </w:tbl>
    <w:p w14:paraId="5A1AF115" w14:textId="77777777" w:rsidR="00960BB8" w:rsidRDefault="00C06650">
      <w:r>
        <w:rPr>
          <w:rFonts w:ascii="宋体" w:eastAsia="宋体" w:hAnsi="宋体" w:cs="宋体"/>
          <w:vanish/>
        </w:rPr>
        <w:t xml:space="preserve">During the first quarter of 2021, we settled an agreement with our largest prepaid customer, whose prepayment balance made up $1.6 </w:t>
      </w:r>
      <w:r>
        <w:rPr>
          <w:rFonts w:ascii="宋体" w:eastAsia="宋体" w:hAnsi="宋体" w:cs="宋体"/>
          <w:vanish/>
        </w:rPr>
        <w:t>billion of our contract liability balance as of December 26, 2020. We returned $950 million to the customer and recognized $584 million in revenue for having completed performance of the prepaid customer supply agreement. The prepaid customer supply agreem</w:t>
      </w:r>
      <w:r>
        <w:rPr>
          <w:rFonts w:ascii="宋体" w:eastAsia="宋体" w:hAnsi="宋体" w:cs="宋体"/>
          <w:vanish/>
        </w:rPr>
        <w:t>ent is excluded from the NAND memory business and is recorded as Corporate revenue in 2022 in the "all other" category presented in "Note 3: Operating Segments" within the Consolidated Financial Statements.</w:t>
      </w:r>
    </w:p>
    <w:p w14:paraId="5A1AF116" w14:textId="77777777" w:rsidR="00960BB8" w:rsidRDefault="00C06650">
      <w:pPr>
        <w:spacing w:after="120"/>
        <w:rPr>
          <w:vanish/>
        </w:rPr>
      </w:pPr>
      <w:r>
        <w:rPr>
          <w:rFonts w:ascii="Arial" w:eastAsia="宋体" w:hAnsi="Arial" w:cs="Arial"/>
          <w:vanish/>
          <w:color w:val="262626"/>
          <w:sz w:val="18"/>
          <w:szCs w:val="18"/>
        </w:rPr>
        <w:t>The following table shows the changes in contract</w:t>
      </w:r>
      <w:r>
        <w:rPr>
          <w:rFonts w:ascii="Arial" w:eastAsia="宋体" w:hAnsi="Arial" w:cs="Arial"/>
          <w:vanish/>
          <w:color w:val="262626"/>
          <w:sz w:val="18"/>
          <w:szCs w:val="18"/>
        </w:rPr>
        <w:t xml:space="preserve"> liability balances relating to long-term prepaid customer supply agreements during 2022:</w:t>
      </w:r>
    </w:p>
    <w:tbl>
      <w:tblPr>
        <w:tblW w:w="5000" w:type="pct"/>
        <w:tblCellMar>
          <w:top w:w="15" w:type="dxa"/>
          <w:left w:w="15" w:type="dxa"/>
          <w:bottom w:w="15" w:type="dxa"/>
          <w:right w:w="15" w:type="dxa"/>
        </w:tblCellMar>
        <w:tblLook w:val="04A0" w:firstRow="1" w:lastRow="0" w:firstColumn="1" w:lastColumn="0" w:noHBand="0" w:noVBand="1"/>
      </w:tblPr>
      <w:tblGrid>
        <w:gridCol w:w="45"/>
        <w:gridCol w:w="7160"/>
        <w:gridCol w:w="36"/>
        <w:gridCol w:w="36"/>
        <w:gridCol w:w="36"/>
        <w:gridCol w:w="36"/>
        <w:gridCol w:w="122"/>
        <w:gridCol w:w="829"/>
        <w:gridCol w:w="36"/>
      </w:tblGrid>
      <w:tr w:rsidR="00960BB8" w14:paraId="5A1AF120" w14:textId="77777777">
        <w:tc>
          <w:tcPr>
            <w:tcW w:w="50" w:type="pct"/>
            <w:shd w:val="clear" w:color="auto" w:fill="auto"/>
            <w:vAlign w:val="bottom"/>
          </w:tcPr>
          <w:p w14:paraId="5A1AF117" w14:textId="77777777" w:rsidR="00960BB8" w:rsidRDefault="00960BB8">
            <w:pPr>
              <w:rPr>
                <w:rFonts w:ascii="宋体"/>
              </w:rPr>
            </w:pPr>
          </w:p>
        </w:tc>
        <w:tc>
          <w:tcPr>
            <w:tcW w:w="4316" w:type="pct"/>
            <w:shd w:val="clear" w:color="auto" w:fill="auto"/>
            <w:vAlign w:val="bottom"/>
          </w:tcPr>
          <w:p w14:paraId="5A1AF118" w14:textId="77777777" w:rsidR="00960BB8" w:rsidRDefault="00960BB8">
            <w:pPr>
              <w:rPr>
                <w:rFonts w:ascii="宋体"/>
              </w:rPr>
            </w:pPr>
          </w:p>
        </w:tc>
        <w:tc>
          <w:tcPr>
            <w:tcW w:w="5" w:type="pct"/>
            <w:shd w:val="clear" w:color="auto" w:fill="auto"/>
            <w:vAlign w:val="bottom"/>
          </w:tcPr>
          <w:p w14:paraId="5A1AF119" w14:textId="77777777" w:rsidR="00960BB8" w:rsidRDefault="00960BB8">
            <w:pPr>
              <w:rPr>
                <w:rFonts w:ascii="宋体"/>
              </w:rPr>
            </w:pPr>
          </w:p>
        </w:tc>
        <w:tc>
          <w:tcPr>
            <w:tcW w:w="5" w:type="pct"/>
            <w:shd w:val="clear" w:color="auto" w:fill="auto"/>
            <w:vAlign w:val="bottom"/>
          </w:tcPr>
          <w:p w14:paraId="5A1AF11A" w14:textId="77777777" w:rsidR="00960BB8" w:rsidRDefault="00960BB8">
            <w:pPr>
              <w:rPr>
                <w:rFonts w:ascii="宋体"/>
              </w:rPr>
            </w:pPr>
          </w:p>
        </w:tc>
        <w:tc>
          <w:tcPr>
            <w:tcW w:w="24" w:type="pct"/>
            <w:shd w:val="clear" w:color="auto" w:fill="auto"/>
            <w:vAlign w:val="bottom"/>
          </w:tcPr>
          <w:p w14:paraId="5A1AF11B" w14:textId="77777777" w:rsidR="00960BB8" w:rsidRDefault="00960BB8">
            <w:pPr>
              <w:rPr>
                <w:rFonts w:ascii="宋体"/>
              </w:rPr>
            </w:pPr>
          </w:p>
        </w:tc>
        <w:tc>
          <w:tcPr>
            <w:tcW w:w="5" w:type="pct"/>
            <w:shd w:val="clear" w:color="auto" w:fill="auto"/>
            <w:vAlign w:val="bottom"/>
          </w:tcPr>
          <w:p w14:paraId="5A1AF11C" w14:textId="77777777" w:rsidR="00960BB8" w:rsidRDefault="00960BB8">
            <w:pPr>
              <w:rPr>
                <w:rFonts w:ascii="宋体"/>
              </w:rPr>
            </w:pPr>
          </w:p>
        </w:tc>
        <w:tc>
          <w:tcPr>
            <w:tcW w:w="50" w:type="pct"/>
            <w:shd w:val="clear" w:color="auto" w:fill="auto"/>
            <w:vAlign w:val="bottom"/>
          </w:tcPr>
          <w:p w14:paraId="5A1AF11D" w14:textId="77777777" w:rsidR="00960BB8" w:rsidRDefault="00960BB8">
            <w:pPr>
              <w:rPr>
                <w:rFonts w:ascii="宋体"/>
              </w:rPr>
            </w:pPr>
          </w:p>
        </w:tc>
        <w:tc>
          <w:tcPr>
            <w:tcW w:w="539" w:type="pct"/>
            <w:shd w:val="clear" w:color="auto" w:fill="auto"/>
            <w:vAlign w:val="bottom"/>
          </w:tcPr>
          <w:p w14:paraId="5A1AF11E" w14:textId="77777777" w:rsidR="00960BB8" w:rsidRDefault="00960BB8">
            <w:pPr>
              <w:rPr>
                <w:rFonts w:ascii="宋体"/>
              </w:rPr>
            </w:pPr>
          </w:p>
        </w:tc>
        <w:tc>
          <w:tcPr>
            <w:tcW w:w="5" w:type="pct"/>
            <w:shd w:val="clear" w:color="auto" w:fill="auto"/>
            <w:vAlign w:val="bottom"/>
          </w:tcPr>
          <w:p w14:paraId="5A1AF11F" w14:textId="77777777" w:rsidR="00960BB8" w:rsidRDefault="00960BB8">
            <w:pPr>
              <w:rPr>
                <w:rFonts w:ascii="宋体"/>
              </w:rPr>
            </w:pPr>
          </w:p>
        </w:tc>
      </w:tr>
      <w:tr w:rsidR="00960BB8" w14:paraId="5A1AF124" w14:textId="77777777">
        <w:tc>
          <w:tcPr>
            <w:tcW w:w="0" w:type="auto"/>
            <w:gridSpan w:val="3"/>
            <w:shd w:val="clear" w:color="auto" w:fill="auto"/>
            <w:tcMar>
              <w:top w:w="40" w:type="dxa"/>
              <w:left w:w="20" w:type="dxa"/>
              <w:bottom w:w="40" w:type="dxa"/>
              <w:right w:w="20" w:type="dxa"/>
            </w:tcMar>
            <w:vAlign w:val="bottom"/>
          </w:tcPr>
          <w:p w14:paraId="5A1AF121"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AF12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123" w14:textId="77777777" w:rsidR="00960BB8" w:rsidRDefault="00960BB8">
            <w:pPr>
              <w:rPr>
                <w:rFonts w:ascii="宋体"/>
              </w:rPr>
            </w:pPr>
          </w:p>
        </w:tc>
      </w:tr>
      <w:tr w:rsidR="00960BB8" w14:paraId="5A1AF12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AF125" w14:textId="77777777" w:rsidR="00960BB8" w:rsidRDefault="00C06650">
            <w:pPr>
              <w:textAlignment w:val="bottom"/>
            </w:pPr>
            <w:r>
              <w:rPr>
                <w:rFonts w:ascii="Arial" w:eastAsia="宋体" w:hAnsi="Arial" w:cs="Arial"/>
                <w:b/>
                <w:bCs/>
                <w:color w:val="262626"/>
                <w:sz w:val="18"/>
                <w:szCs w:val="18"/>
              </w:rPr>
              <w:t>Prepaid customer supply agreements balance as of December 25, 2021</w:t>
            </w:r>
          </w:p>
        </w:tc>
        <w:tc>
          <w:tcPr>
            <w:tcW w:w="0" w:type="auto"/>
            <w:gridSpan w:val="3"/>
            <w:shd w:val="clear" w:color="auto" w:fill="auto"/>
            <w:tcMar>
              <w:top w:w="0" w:type="dxa"/>
              <w:left w:w="20" w:type="dxa"/>
              <w:bottom w:w="0" w:type="dxa"/>
              <w:right w:w="20" w:type="dxa"/>
            </w:tcMar>
            <w:vAlign w:val="bottom"/>
          </w:tcPr>
          <w:p w14:paraId="5A1AF126"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AF127"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AF128" w14:textId="77777777" w:rsidR="00960BB8" w:rsidRDefault="00C06650">
            <w:pPr>
              <w:jc w:val="right"/>
              <w:textAlignment w:val="bottom"/>
            </w:pPr>
            <w:r>
              <w:rPr>
                <w:rFonts w:ascii="Arial" w:eastAsia="宋体" w:hAnsi="Arial" w:cs="Arial"/>
                <w:b/>
                <w:bCs/>
                <w:color w:val="262626"/>
                <w:sz w:val="18"/>
                <w:szCs w:val="18"/>
              </w:rPr>
              <w:t>43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AF129" w14:textId="77777777" w:rsidR="00960BB8" w:rsidRDefault="00960BB8">
            <w:pPr>
              <w:jc w:val="right"/>
              <w:rPr>
                <w:rFonts w:ascii="宋体"/>
              </w:rPr>
            </w:pPr>
          </w:p>
        </w:tc>
      </w:tr>
      <w:tr w:rsidR="00960BB8" w14:paraId="5A1AF12E" w14:textId="77777777">
        <w:trPr>
          <w:hidden/>
        </w:trPr>
        <w:tc>
          <w:tcPr>
            <w:tcW w:w="0" w:type="auto"/>
            <w:gridSpan w:val="3"/>
            <w:shd w:val="clear" w:color="auto" w:fill="auto"/>
            <w:vAlign w:val="bottom"/>
          </w:tcPr>
          <w:p w14:paraId="5A1AF12B" w14:textId="77777777" w:rsidR="00960BB8" w:rsidRDefault="00960BB8">
            <w:pPr>
              <w:rPr>
                <w:rFonts w:ascii="宋体"/>
                <w:vanish/>
              </w:rPr>
            </w:pPr>
          </w:p>
        </w:tc>
        <w:tc>
          <w:tcPr>
            <w:tcW w:w="0" w:type="auto"/>
            <w:gridSpan w:val="3"/>
            <w:shd w:val="clear" w:color="auto" w:fill="auto"/>
            <w:vAlign w:val="bottom"/>
          </w:tcPr>
          <w:p w14:paraId="5A1AF12C" w14:textId="77777777" w:rsidR="00960BB8" w:rsidRDefault="00960BB8">
            <w:pPr>
              <w:rPr>
                <w:rFonts w:ascii="宋体"/>
                <w:vanish/>
              </w:rPr>
            </w:pPr>
          </w:p>
        </w:tc>
        <w:tc>
          <w:tcPr>
            <w:tcW w:w="0" w:type="auto"/>
            <w:gridSpan w:val="3"/>
            <w:shd w:val="clear" w:color="auto" w:fill="auto"/>
            <w:vAlign w:val="bottom"/>
          </w:tcPr>
          <w:p w14:paraId="5A1AF12D" w14:textId="77777777" w:rsidR="00960BB8" w:rsidRDefault="00960BB8">
            <w:pPr>
              <w:rPr>
                <w:rFonts w:ascii="宋体"/>
                <w:vanish/>
              </w:rPr>
            </w:pPr>
          </w:p>
        </w:tc>
      </w:tr>
      <w:tr w:rsidR="00960BB8" w14:paraId="5A1AF133" w14:textId="77777777">
        <w:tc>
          <w:tcPr>
            <w:tcW w:w="0" w:type="auto"/>
            <w:gridSpan w:val="3"/>
            <w:shd w:val="clear" w:color="auto" w:fill="auto"/>
            <w:tcMar>
              <w:top w:w="40" w:type="dxa"/>
              <w:left w:w="20" w:type="dxa"/>
              <w:bottom w:w="40" w:type="dxa"/>
              <w:right w:w="20" w:type="dxa"/>
            </w:tcMar>
            <w:vAlign w:val="bottom"/>
          </w:tcPr>
          <w:p w14:paraId="5A1AF12F" w14:textId="77777777" w:rsidR="00960BB8" w:rsidRDefault="00C06650">
            <w:pPr>
              <w:textAlignment w:val="bottom"/>
            </w:pPr>
            <w:r>
              <w:rPr>
                <w:rFonts w:ascii="Arial" w:eastAsia="宋体" w:hAnsi="Arial" w:cs="Arial"/>
                <w:color w:val="262626"/>
                <w:sz w:val="18"/>
                <w:szCs w:val="18"/>
              </w:rPr>
              <w:t>Concession payment</w:t>
            </w:r>
          </w:p>
        </w:tc>
        <w:tc>
          <w:tcPr>
            <w:tcW w:w="0" w:type="auto"/>
            <w:gridSpan w:val="3"/>
            <w:shd w:val="clear" w:color="auto" w:fill="auto"/>
            <w:tcMar>
              <w:top w:w="0" w:type="dxa"/>
              <w:left w:w="20" w:type="dxa"/>
              <w:bottom w:w="0" w:type="dxa"/>
              <w:right w:w="20" w:type="dxa"/>
            </w:tcMar>
            <w:vAlign w:val="bottom"/>
          </w:tcPr>
          <w:p w14:paraId="5A1AF13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131" w14:textId="77777777" w:rsidR="00960BB8" w:rsidRDefault="00C06650">
            <w:pPr>
              <w:jc w:val="right"/>
              <w:textAlignment w:val="bottom"/>
            </w:pPr>
            <w:r>
              <w:rPr>
                <w:rFonts w:ascii="Arial" w:eastAsia="宋体" w:hAnsi="Arial" w:cs="Arial"/>
                <w:color w:val="0068B5"/>
                <w:sz w:val="18"/>
                <w:szCs w:val="18"/>
              </w:rPr>
              <w:t>(950)</w:t>
            </w:r>
          </w:p>
        </w:tc>
        <w:tc>
          <w:tcPr>
            <w:tcW w:w="0" w:type="auto"/>
            <w:shd w:val="clear" w:color="auto" w:fill="auto"/>
            <w:tcMar>
              <w:top w:w="40" w:type="dxa"/>
              <w:left w:w="0" w:type="dxa"/>
              <w:bottom w:w="40" w:type="dxa"/>
              <w:right w:w="20" w:type="dxa"/>
            </w:tcMar>
            <w:vAlign w:val="bottom"/>
          </w:tcPr>
          <w:p w14:paraId="5A1AF132" w14:textId="77777777" w:rsidR="00960BB8" w:rsidRDefault="00960BB8">
            <w:pPr>
              <w:jc w:val="right"/>
              <w:rPr>
                <w:rFonts w:ascii="宋体"/>
              </w:rPr>
            </w:pPr>
          </w:p>
        </w:tc>
      </w:tr>
      <w:tr w:rsidR="00960BB8" w14:paraId="5A1AF138" w14:textId="77777777">
        <w:tc>
          <w:tcPr>
            <w:tcW w:w="0" w:type="auto"/>
            <w:gridSpan w:val="3"/>
            <w:shd w:val="clear" w:color="auto" w:fill="auto"/>
            <w:tcMar>
              <w:top w:w="40" w:type="dxa"/>
              <w:left w:w="20" w:type="dxa"/>
              <w:bottom w:w="40" w:type="dxa"/>
              <w:right w:w="20" w:type="dxa"/>
            </w:tcMar>
            <w:vAlign w:val="bottom"/>
          </w:tcPr>
          <w:p w14:paraId="5A1AF134" w14:textId="77777777" w:rsidR="00960BB8" w:rsidRDefault="00C06650">
            <w:pPr>
              <w:textAlignment w:val="bottom"/>
            </w:pPr>
            <w:r>
              <w:rPr>
                <w:rFonts w:ascii="Arial" w:eastAsia="宋体" w:hAnsi="Arial" w:cs="Arial"/>
                <w:color w:val="262626"/>
                <w:sz w:val="18"/>
                <w:szCs w:val="18"/>
              </w:rPr>
              <w:t xml:space="preserve">Prepaids utilized </w:t>
            </w:r>
          </w:p>
        </w:tc>
        <w:tc>
          <w:tcPr>
            <w:tcW w:w="0" w:type="auto"/>
            <w:gridSpan w:val="3"/>
            <w:shd w:val="clear" w:color="auto" w:fill="auto"/>
            <w:tcMar>
              <w:top w:w="0" w:type="dxa"/>
              <w:left w:w="20" w:type="dxa"/>
              <w:bottom w:w="0" w:type="dxa"/>
              <w:right w:w="20" w:type="dxa"/>
            </w:tcMar>
            <w:vAlign w:val="bottom"/>
          </w:tcPr>
          <w:p w14:paraId="5A1AF13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136" w14:textId="77777777" w:rsidR="00960BB8" w:rsidRDefault="00C06650">
            <w:pPr>
              <w:jc w:val="right"/>
              <w:textAlignment w:val="bottom"/>
            </w:pPr>
            <w:r>
              <w:rPr>
                <w:rFonts w:ascii="Arial" w:eastAsia="宋体" w:hAnsi="Arial" w:cs="Arial"/>
                <w:color w:val="0068B5"/>
                <w:sz w:val="18"/>
                <w:szCs w:val="18"/>
              </w:rPr>
              <w:t>(633)</w:t>
            </w:r>
          </w:p>
        </w:tc>
        <w:tc>
          <w:tcPr>
            <w:tcW w:w="0" w:type="auto"/>
            <w:shd w:val="clear" w:color="auto" w:fill="auto"/>
            <w:tcMar>
              <w:top w:w="40" w:type="dxa"/>
              <w:left w:w="0" w:type="dxa"/>
              <w:bottom w:w="40" w:type="dxa"/>
              <w:right w:w="20" w:type="dxa"/>
            </w:tcMar>
            <w:vAlign w:val="bottom"/>
          </w:tcPr>
          <w:p w14:paraId="5A1AF137" w14:textId="77777777" w:rsidR="00960BB8" w:rsidRDefault="00960BB8">
            <w:pPr>
              <w:jc w:val="right"/>
              <w:rPr>
                <w:rFonts w:ascii="宋体"/>
              </w:rPr>
            </w:pPr>
          </w:p>
        </w:tc>
      </w:tr>
      <w:tr w:rsidR="00960BB8" w14:paraId="5A1AF13E" w14:textId="77777777">
        <w:tc>
          <w:tcPr>
            <w:tcW w:w="0" w:type="auto"/>
            <w:gridSpan w:val="3"/>
            <w:shd w:val="clear" w:color="auto" w:fill="auto"/>
            <w:tcMar>
              <w:top w:w="40" w:type="dxa"/>
              <w:left w:w="20" w:type="dxa"/>
              <w:bottom w:w="40" w:type="dxa"/>
              <w:right w:w="20" w:type="dxa"/>
            </w:tcMar>
            <w:vAlign w:val="bottom"/>
          </w:tcPr>
          <w:p w14:paraId="5A1AF139" w14:textId="77777777" w:rsidR="00960BB8" w:rsidRDefault="00C06650">
            <w:pPr>
              <w:textAlignment w:val="bottom"/>
            </w:pPr>
            <w:r>
              <w:rPr>
                <w:rFonts w:ascii="Arial" w:eastAsia="宋体" w:hAnsi="Arial" w:cs="Arial"/>
                <w:b/>
                <w:bCs/>
                <w:color w:val="262626"/>
                <w:sz w:val="18"/>
                <w:szCs w:val="18"/>
              </w:rPr>
              <w:t>Prepaid customer supply agreements balance as of December 31, 2022</w:t>
            </w:r>
          </w:p>
        </w:tc>
        <w:tc>
          <w:tcPr>
            <w:tcW w:w="0" w:type="auto"/>
            <w:gridSpan w:val="3"/>
            <w:shd w:val="clear" w:color="auto" w:fill="auto"/>
            <w:tcMar>
              <w:top w:w="0" w:type="dxa"/>
              <w:left w:w="20" w:type="dxa"/>
              <w:bottom w:w="0" w:type="dxa"/>
              <w:right w:w="20" w:type="dxa"/>
            </w:tcMar>
            <w:vAlign w:val="bottom"/>
          </w:tcPr>
          <w:p w14:paraId="5A1AF13A"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AF13B"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AF13C" w14:textId="77777777" w:rsidR="00960BB8" w:rsidRDefault="00C06650">
            <w:pPr>
              <w:jc w:val="right"/>
              <w:textAlignment w:val="bottom"/>
            </w:pPr>
            <w:r>
              <w:rPr>
                <w:rFonts w:ascii="Arial" w:eastAsia="宋体" w:hAnsi="Arial" w:cs="Arial"/>
                <w:b/>
                <w:bCs/>
                <w:color w:val="0068B5"/>
                <w:sz w:val="18"/>
                <w:szCs w:val="18"/>
              </w:rPr>
              <w:t>20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AF13D" w14:textId="77777777" w:rsidR="00960BB8" w:rsidRDefault="00960BB8">
            <w:pPr>
              <w:jc w:val="right"/>
              <w:rPr>
                <w:rFonts w:ascii="宋体"/>
              </w:rPr>
            </w:pPr>
          </w:p>
        </w:tc>
      </w:tr>
    </w:tbl>
    <w:p w14:paraId="5A1AF13F" w14:textId="77777777" w:rsidR="00960BB8" w:rsidRDefault="00C06650">
      <w:r>
        <w:rPr>
          <w:rFonts w:ascii="宋体" w:eastAsia="宋体" w:hAnsi="宋体" w:cs="宋体"/>
          <w:vanish/>
        </w:rPr>
        <w:t>43950633201.6950584fourhttp://fasb.org/us-gaap/2022#OtherAssetsCurrenthttp://fasb.org/us-gaap/2022#OtherAssetsCurrenthttp://fasb.org/us-gaap/2022#OtherAssetsNoncurrenthttp://fasb.org/us-gaap/2022#OtherAssetsNoncurrenthttp://fasb.org/us-gaap/2022#OtherLiabi</w:t>
      </w:r>
      <w:r>
        <w:rPr>
          <w:rFonts w:ascii="宋体" w:eastAsia="宋体" w:hAnsi="宋体" w:cs="宋体"/>
          <w:vanish/>
        </w:rPr>
        <w:t>litiesCurrenthttp://fasb.org/us-gaap/2022#OtherLiabilitiesCurrenthttp://fasb.org/us-gaap/2022#OtherLiabilitiesNoncurrenthttp://fasb.org/us-gaap/2022#OtherLiabilitiesNoncurrenthttp://fasb.org/us-gaap/2022#NonoperatingIncomeExpensehttp://fasb.org/us-gaap/202</w:t>
      </w:r>
      <w:r>
        <w:rPr>
          <w:rFonts w:ascii="宋体" w:eastAsia="宋体" w:hAnsi="宋体" w:cs="宋体"/>
          <w:vanish/>
        </w:rPr>
        <w:t>2#NonoperatingIncomeExpensehttp://fasb.org/us-gaap/2022#NonoperatingIncomeExpensehttp://fasb.org/us-gaap/2022#NonoperatingIncomeExpensehttp://fasb.org/us-gaap/2022#NonoperatingIncomeExpensehttp://fasb.org/us-gaap/2022#NonoperatingIncomeExpensehttp://fasb.o</w:t>
      </w:r>
      <w:r>
        <w:rPr>
          <w:rFonts w:ascii="宋体" w:eastAsia="宋体" w:hAnsi="宋体" w:cs="宋体"/>
          <w:vanish/>
        </w:rPr>
        <w:t>rg/us-gaap/2022#NonoperatingIncomeExpensehttp://fasb.org/us-gaap/2022#NonoperatingIncomeExpensehttp://fasb.org/us-gaap/2022#NonoperatingIncomeExpenseno———P3Yhttp://fasb.org/us-gaap/2022#OtherAssetsNoncurrenthttp://fasb.org/us-gaap/2022#CostOfGoodsAndServic</w:t>
      </w:r>
      <w:r>
        <w:rPr>
          <w:rFonts w:ascii="宋体" w:eastAsia="宋体" w:hAnsi="宋体" w:cs="宋体"/>
          <w:vanish/>
        </w:rPr>
        <w:t>esSold00000508632021-12-262022-12-3100000508632022-07-01iso4217:USD00000508632023-01-20xbrli:shares0000050863intc:GreenBondsMemberus-gaap:SeniorNotesMember2022-12-3100000508632020-12-272021-12-2500000508632019-12-292020-12-260000050863us-gaap:RetainedEarni</w:t>
      </w:r>
      <w:r>
        <w:rPr>
          <w:rFonts w:ascii="宋体" w:eastAsia="宋体" w:hAnsi="宋体" w:cs="宋体"/>
          <w:vanish/>
        </w:rPr>
        <w:t>ngsMember2021-12-262022-12-31iso4217:USDxbrli:shares00000508632022-12-3100000508632021-12-250000050863us-gaap:CommonStockIncludingAdditionalPaidInCapitalMember2022-12-3100000508632020-12-2600000508632019-12-280000050863us-gaap:CommonStockIncludingAdditiona</w:t>
      </w:r>
      <w:r>
        <w:rPr>
          <w:rFonts w:ascii="宋体" w:eastAsia="宋体" w:hAnsi="宋体" w:cs="宋体"/>
          <w:vanish/>
        </w:rPr>
        <w:t>lPaidInCapitalMember2019-12-280000050863us-gaap:AccumulatedOtherComprehensiveIncomeMember2019-12-280000050863us-gaap:RetainedEarningsMember2019-12-280000050863us-gaap:RetainedEarningsMember2019-12-292020-12-260000050863us-gaap:AccumulatedOtherComprehensive</w:t>
      </w:r>
      <w:r>
        <w:rPr>
          <w:rFonts w:ascii="宋体" w:eastAsia="宋体" w:hAnsi="宋体" w:cs="宋体"/>
          <w:vanish/>
        </w:rPr>
        <w:t>IncomeMember2019-12-292020-12-260000050863us-gaap:CommonStockIncludingAdditionalPaidInCapitalMember2019-12-292020-12-260000050863us-gaap:CommonStockIncludingAdditionalPaidInCapitalMember2020-12-260000050863us-gaap:AccumulatedOtherComprehensiveIncomeMember2</w:t>
      </w:r>
      <w:r>
        <w:rPr>
          <w:rFonts w:ascii="宋体" w:eastAsia="宋体" w:hAnsi="宋体" w:cs="宋体"/>
          <w:vanish/>
        </w:rPr>
        <w:t>020-12-260000050863us-gaap:RetainedEarningsMember2020-12-260000050863us-gaap:RetainedEarningsMembersrt:CumulativeEffectPeriodOfAdoptionAdjustmentMember2020-12-260000050863srt:CumulativeEffectPeriodOfAdoptionAdjustmentMember2020-12-260000050863us-gaap:Commo</w:t>
      </w:r>
      <w:r>
        <w:rPr>
          <w:rFonts w:ascii="宋体" w:eastAsia="宋体" w:hAnsi="宋体" w:cs="宋体"/>
          <w:vanish/>
        </w:rPr>
        <w:t>nStockIncludingAdditionalPaidInCapitalMembersrt:CumulativeEffectPeriodOfAdoptionAdjustedBalanceMember2020-12-260000050863srt:CumulativeEffectPeriodOfAdoptionAdjustedBalanceMemberus-gaap:AccumulatedOtherComprehensiveIncomeMember2020-12-260000050863us-gaap:R</w:t>
      </w:r>
      <w:r>
        <w:rPr>
          <w:rFonts w:ascii="宋体" w:eastAsia="宋体" w:hAnsi="宋体" w:cs="宋体"/>
          <w:vanish/>
        </w:rPr>
        <w:t>etainedEarningsMembersrt:CumulativeEffectPeriodOfAdoptionAdjustedBalanceMember2020-12-260000050863srt:CumulativeEffectPeriodOfAdoptionAdjustedBalanceMember2020-12-260000050863us-gaap:RetainedEarningsMember2020-12-272021-12-250000050863us-gaap:AccumulatedOt</w:t>
      </w:r>
      <w:r>
        <w:rPr>
          <w:rFonts w:ascii="宋体" w:eastAsia="宋体" w:hAnsi="宋体" w:cs="宋体"/>
          <w:vanish/>
        </w:rPr>
        <w:t>herComprehensiveIncomeMember2020-12-272021-12-250000050863us-gaap:CommonStockIncludingAdditionalPaidInCapitalMember2020-12-272021-12-250000050863us-gaap:CommonStockIncludingAdditionalPaidInCapitalMember2021-12-250000050863us-gaap:AccumulatedOtherComprehens</w:t>
      </w:r>
      <w:r>
        <w:rPr>
          <w:rFonts w:ascii="宋体" w:eastAsia="宋体" w:hAnsi="宋体" w:cs="宋体"/>
          <w:vanish/>
        </w:rPr>
        <w:t>iveIncomeMember2021-12-250000050863us-gaap:RetainedEarningsMember2021-12-250000050863us-gaap:NoncontrollingInterestMember2021-12-250000050863us-gaap:NoncontrollingInterestMember2021-12-262022-12-310000050863us-gaap:AccumulatedOtherComprehensiveIncomeMember</w:t>
      </w:r>
      <w:r>
        <w:rPr>
          <w:rFonts w:ascii="宋体" w:eastAsia="宋体" w:hAnsi="宋体" w:cs="宋体"/>
          <w:vanish/>
        </w:rPr>
        <w:t>2021-12-262022-12-310000050863us-gaap:CommonStockIncludingAdditionalPaidInCapitalMember2021-12-262022-12-310000050863us-gaap:AccumulatedOtherComprehensiveIncomeMember2022-12-310000050863us-gaap:RetainedEarningsMember2022-12-310000050863us-gaap:Noncontrolli</w:t>
      </w:r>
      <w:r>
        <w:rPr>
          <w:rFonts w:ascii="宋体" w:eastAsia="宋体" w:hAnsi="宋体" w:cs="宋体"/>
          <w:vanish/>
        </w:rPr>
        <w:t>ngInterestMember2022-12-310000050863us-gaap:CapacityMember2021-12-262022-12-310000050863srt:MaximumMemberus-gaap:CapacityMember2021-12-262022-12-310000050863us-gaap:MachineryAndEquipmentMembersrt:MinimumMembersrt:ScenarioForecastMember2023-01-012023-12-230</w:t>
      </w:r>
      <w:r>
        <w:rPr>
          <w:rFonts w:ascii="宋体" w:eastAsia="宋体" w:hAnsi="宋体" w:cs="宋体"/>
          <w:vanish/>
        </w:rPr>
        <w:t>000050863us-gaap:MachineryAndEquipmentMembersrt:MaximumMembersrt:ScenarioForecastMember2023-01-012023-12-230000050863us-gaap:MeasurementInputDiscountRateMember2022-12-31xbrli:pure0000050863intc:CapitalRelatedGrantMember2022-12-310000050863intc:CapitalRelat</w:t>
      </w:r>
      <w:r>
        <w:rPr>
          <w:rFonts w:ascii="宋体" w:eastAsia="宋体" w:hAnsi="宋体" w:cs="宋体"/>
          <w:vanish/>
        </w:rPr>
        <w:t>edGrantMember2021-12-262022-12-310000050863intc:OperatingGrantMember2021-12-262022-12-310000050863us-gaap:CreditConcentrationRiskMember2021-12-262022-12-310000050863us-gaap:AccountsReceivableMemberus-gaap:CreditConcentrationRiskMemberintc:ThreeLargestCusto</w:t>
      </w:r>
      <w:r>
        <w:rPr>
          <w:rFonts w:ascii="宋体" w:eastAsia="宋体" w:hAnsi="宋体" w:cs="宋体"/>
          <w:vanish/>
        </w:rPr>
        <w:t>mersMember2021-12-262022-12-310000050863us-gaap:OperatingSegmentsMemberintc:ClientComputingGroupMemberintc:DesktopMember2021-12-262022-12-310000050863us-gaap:OperatingSegmentsMemberintc:ClientComputingGroupMemberintc:DesktopMember2020-12-272021-12-25000005</w:t>
      </w:r>
      <w:r>
        <w:rPr>
          <w:rFonts w:ascii="宋体" w:eastAsia="宋体" w:hAnsi="宋体" w:cs="宋体"/>
          <w:vanish/>
        </w:rPr>
        <w:t>0863us-gaap:OperatingSegmentsMemberintc:ClientComputingGroupMemberintc:DesktopMember2019-12-292020-12-260000050863intc:NotebookMemberus-gaap:OperatingSegmentsMemberintc:ClientComputingGroupMember2021-12-262022-12-310000050863intc:NotebookMemberus-gaap:Oper</w:t>
      </w:r>
      <w:r>
        <w:rPr>
          <w:rFonts w:ascii="宋体" w:eastAsia="宋体" w:hAnsi="宋体" w:cs="宋体"/>
          <w:vanish/>
        </w:rPr>
        <w:t>atingSegmentsMemberintc:ClientComputingGroupMember2020-12-272021-12-250000050863intc:NotebookMemberus-gaap:OperatingSegmentsMemberintc:ClientComputingGroupMember2019-12-292020-12-260000050863us-gaap:OperatingSegmentsMemberintc:ClientComputingGroupMemberint</w:t>
      </w:r>
      <w:r>
        <w:rPr>
          <w:rFonts w:ascii="宋体" w:eastAsia="宋体" w:hAnsi="宋体" w:cs="宋体"/>
          <w:vanish/>
        </w:rPr>
        <w:t>c:OtherProductOrServiceMember2021-12-262022-12-310000050863us-gaap:OperatingSegmentsMemberintc:ClientComputingGroupMemberintc:OtherProductOrServiceMember2020-12-272021-12-250000050863us-gaap:OperatingSegmentsMemberintc:ClientComputingGroupMemberintc:OtherP</w:t>
      </w:r>
      <w:r>
        <w:rPr>
          <w:rFonts w:ascii="宋体" w:eastAsia="宋体" w:hAnsi="宋体" w:cs="宋体"/>
          <w:vanish/>
        </w:rPr>
        <w:t>roductOrServiceMember2019-12-292020-12-260000050863us-gaap:OperatingSegmentsMemberintc:ClientComputingGroupMember2021-12-262022-12-310000050863us-gaap:OperatingSegmentsMemberintc:ClientComputingGroupMember2020-12-272021-12-250000050863us-gaap:OperatingSegm</w:t>
      </w:r>
      <w:r>
        <w:rPr>
          <w:rFonts w:ascii="宋体" w:eastAsia="宋体" w:hAnsi="宋体" w:cs="宋体"/>
          <w:vanish/>
        </w:rPr>
        <w:t>entsMemberintc:ClientComputingGroupMember2019-12-292020-12-260000050863us-gaap:OperatingSegmentsMemberintc:DatacenterAndAIMember2021-12-262022-12-310000050863us-gaap:OperatingSegmentsMemberintc:DatacenterAndAIMember2020-12-272021-12-250000050863us-gaap:Ope</w:t>
      </w:r>
      <w:r>
        <w:rPr>
          <w:rFonts w:ascii="宋体" w:eastAsia="宋体" w:hAnsi="宋体" w:cs="宋体"/>
          <w:vanish/>
        </w:rPr>
        <w:t>ratingSegmentsMemberintc:DatacenterAndAIMember2019-12-292020-12-260000050863intc:NetworkAndEdgeMemberus-gaap:OperatingSegmentsMember2021-12-262022-12-310000050863intc:NetworkAndEdgeMemberus-gaap:OperatingSegmentsMember2020-12-272021-12-250000050863intc:Net</w:t>
      </w:r>
      <w:r>
        <w:rPr>
          <w:rFonts w:ascii="宋体" w:eastAsia="宋体" w:hAnsi="宋体" w:cs="宋体"/>
          <w:vanish/>
        </w:rPr>
        <w:t>workAndEdgeMemberus-gaap:OperatingSegmentsMember2019-12-292020-12-260000050863us-gaap:OperatingSegmentsMemberintc:MobileyeSegmentMember2021-12-262022-12-310000050863us-gaap:OperatingSegmentsMemberintc:MobileyeSegmentMember2020-12-272021-12-250000050863us-g</w:t>
      </w:r>
      <w:r>
        <w:rPr>
          <w:rFonts w:ascii="宋体" w:eastAsia="宋体" w:hAnsi="宋体" w:cs="宋体"/>
          <w:vanish/>
        </w:rPr>
        <w:t>aap:OperatingSegmentsMemberintc:MobileyeSegmentMember2019-12-292020-12-260000050863intc:AcceleratedComputingSystemsAndGraphicsMemberus-gaap:OperatingSegmentsMember2021-12-262022-12-310000050863intc:AcceleratedComputingSystemsAndGraphicsMemberus-gaap:Operat</w:t>
      </w:r>
      <w:r>
        <w:rPr>
          <w:rFonts w:ascii="宋体" w:eastAsia="宋体" w:hAnsi="宋体" w:cs="宋体"/>
          <w:vanish/>
        </w:rPr>
        <w:t>ingSegmentsMember2020-12-272021-12-250000050863intc:AcceleratedComputingSystemsAndGraphicsMemberus-gaap:OperatingSegmentsMember2019-12-292020-12-260000050863intc:IntelFoundryServicesMemberus-gaap:OperatingSegmentsMember2021-12-262022-12-310000050863intc:In</w:t>
      </w:r>
      <w:r>
        <w:rPr>
          <w:rFonts w:ascii="宋体" w:eastAsia="宋体" w:hAnsi="宋体" w:cs="宋体"/>
          <w:vanish/>
        </w:rPr>
        <w:t>telFoundryServicesMemberus-gaap:OperatingSegmentsMember2020-12-272021-12-250000050863intc:IntelFoundryServicesMemberus-gaap:OperatingSegmentsMember2019-12-292020-12-260000050863us-gaap:OperatingSegmentsMemberus-gaap:AllOtherSegmentsMember2021-12-262022-12-</w:t>
      </w:r>
      <w:r>
        <w:rPr>
          <w:rFonts w:ascii="宋体" w:eastAsia="宋体" w:hAnsi="宋体" w:cs="宋体"/>
          <w:vanish/>
        </w:rPr>
        <w:t>310000050863us-gaap:OperatingSegmentsMemberus-gaap:AllOtherSegmentsMember2020-12-272021-12-250000050863us-gaap:OperatingSegmentsMemberus-gaap:AllOtherSegmentsMember2019-12-292020-12-260000050863us-gaap:OperatingSegmentsMember2021-12-262022-12-310000050863u</w:t>
      </w:r>
      <w:r>
        <w:rPr>
          <w:rFonts w:ascii="宋体" w:eastAsia="宋体" w:hAnsi="宋体" w:cs="宋体"/>
          <w:vanish/>
        </w:rPr>
        <w:t>s-gaap:OperatingSegmentsMember2020-12-272021-12-250000050863us-gaap:OperatingSegmentsMember2019-12-292020-12-260000050863intc:ClientComputingGroupMember2021-12-262022-12-310000050863intc:ClientComputingGroupMember2020-12-272021-12-250000050863intc:ClientCo</w:t>
      </w:r>
      <w:r>
        <w:rPr>
          <w:rFonts w:ascii="宋体" w:eastAsia="宋体" w:hAnsi="宋体" w:cs="宋体"/>
          <w:vanish/>
        </w:rPr>
        <w:t>mputingGroupMember2019-12-292020-12-260000050863intc:DatacenterAndAIMember2021-12-262022-12-310000050863intc:DatacenterAndAIMember2020-12-272021-12-250000050863intc:DatacenterAndAIMember2019-12-292020-12-260000050863intc:NetworkAndEdgeMember2021-12-262022-</w:t>
      </w:r>
      <w:r>
        <w:rPr>
          <w:rFonts w:ascii="宋体" w:eastAsia="宋体" w:hAnsi="宋体" w:cs="宋体"/>
          <w:vanish/>
        </w:rPr>
        <w:t>12-310000050863intc:NetworkAndEdgeMember2020-12-272021-12-250000050863intc:NetworkAndEdgeMember2019-12-292020-12-260000050863intc:MobileyeSegmentMember2021-12-262022-12-310000050863intc:MobileyeSegmentMember2020-12-272021-12-250000050863intc:MobileyeSegmen</w:t>
      </w:r>
      <w:r>
        <w:rPr>
          <w:rFonts w:ascii="宋体" w:eastAsia="宋体" w:hAnsi="宋体" w:cs="宋体"/>
          <w:vanish/>
        </w:rPr>
        <w:t>tMember2019-12-292020-12-260000050863intc:AcceleratedComputingSystemsAndGraphicsMember2021-12-262022-12-310000050863intc:AcceleratedComputingSystemsAndGraphicsMember2020-12-272021-12-250000050863intc:AcceleratedComputingSystemsAndGraphicsMember2019-12-2920</w:t>
      </w:r>
      <w:r>
        <w:rPr>
          <w:rFonts w:ascii="宋体" w:eastAsia="宋体" w:hAnsi="宋体" w:cs="宋体"/>
          <w:vanish/>
        </w:rPr>
        <w:t>20-12-260000050863intc:IntelFoundryServicesMember2021-12-262022-12-310000050863intc:IntelFoundryServicesMember2020-12-272021-12-250000050863intc:IntelFoundryServicesMember2019-12-292020-12-260000050863us-gaap:AllOtherSegmentsMember2021-12-262022-12-3100000</w:t>
      </w:r>
      <w:r>
        <w:rPr>
          <w:rFonts w:ascii="宋体" w:eastAsia="宋体" w:hAnsi="宋体" w:cs="宋体"/>
          <w:vanish/>
        </w:rPr>
        <w:t>50863us-gaap:AllOtherSegmentsMember2020-12-272021-12-250000050863us-gaap:AllOtherSegmentsMember2019-12-292020-12-260000050863us-gaap:IntersegmentEliminationMember2021-12-262022-12-310000050863us-gaap:IntersegmentEliminationMember2020-12-272021-12-250000050</w:t>
      </w:r>
      <w:r>
        <w:rPr>
          <w:rFonts w:ascii="宋体" w:eastAsia="宋体" w:hAnsi="宋体" w:cs="宋体"/>
          <w:vanish/>
        </w:rPr>
        <w:t>863us-gaap:IntersegmentEliminationMember2019-12-292020-12-260000050863us-gaap:SalesRevenueNetMemberus-gaap:CustomerConcentrationRiskMemberintc:ThreeLargestCustomersMember2021-12-262022-12-310000050863us-gaap:SalesRevenueNetMemberus-gaap:CustomerConcentrati</w:t>
      </w:r>
      <w:r>
        <w:rPr>
          <w:rFonts w:ascii="宋体" w:eastAsia="宋体" w:hAnsi="宋体" w:cs="宋体"/>
          <w:vanish/>
        </w:rPr>
        <w:t>onRiskMemberintc:ThreeLargestCustomersMember2020-12-272021-12-250000050863us-gaap:SalesRevenueNetMemberus-gaap:CustomerConcentrationRiskMemberintc:ThreeLargestCustomersMember2019-12-292020-12-260000050863intc:DellIncMemberus-gaap:SalesRevenueNetMemberus-ga</w:t>
      </w:r>
      <w:r>
        <w:rPr>
          <w:rFonts w:ascii="宋体" w:eastAsia="宋体" w:hAnsi="宋体" w:cs="宋体"/>
          <w:vanish/>
        </w:rPr>
        <w:t>ap:CustomerConcentrationRiskMember2021-12-262022-12-310000050863intc:DellIncMemberus-gaap:SalesRevenueNetMemberus-gaap:CustomerConcentrationRiskMember2020-12-272021-12-250000050863intc:DellIncMemberus-gaap:SalesRevenueNetMemberus-gaap:CustomerConcentration</w:t>
      </w:r>
      <w:r>
        <w:rPr>
          <w:rFonts w:ascii="宋体" w:eastAsia="宋体" w:hAnsi="宋体" w:cs="宋体"/>
          <w:vanish/>
        </w:rPr>
        <w:t>RiskMember2019-12-292020-12-260000050863us-gaap:SalesRevenueNetMemberus-gaap:CustomerConcentrationRiskMemberintc:LenovoGroupLimitedMember2021-12-262022-12-310000050863us-gaap:SalesRevenueNetMemberus-gaap:CustomerConcentrationRiskMemberintc:LenovoGroupLimit</w:t>
      </w:r>
      <w:r>
        <w:rPr>
          <w:rFonts w:ascii="宋体" w:eastAsia="宋体" w:hAnsi="宋体" w:cs="宋体"/>
          <w:vanish/>
        </w:rPr>
        <w:t>edMember2020-12-272021-12-250000050863us-gaap:SalesRevenueNetMemberus-gaap:CustomerConcentrationRiskMemberintc:LenovoGroupLimitedMember2019-12-292020-12-260000050863us-gaap:SalesRevenueNetMemberintc:HPInc.Memberus-gaap:CustomerConcentrationRiskMember2021-1</w:t>
      </w:r>
      <w:r>
        <w:rPr>
          <w:rFonts w:ascii="宋体" w:eastAsia="宋体" w:hAnsi="宋体" w:cs="宋体"/>
          <w:vanish/>
        </w:rPr>
        <w:t>2-262022-12-310000050863us-gaap:SalesRevenueNetMemberintc:HPInc.Memberus-gaap:CustomerConcentrationRiskMember2020-12-272021-12-250000050863us-gaap:SalesRevenueNetMemberintc:HPInc.Memberus-gaap:CustomerConcentrationRiskMember2019-12-292020-12-260000050863in</w:t>
      </w:r>
      <w:r>
        <w:rPr>
          <w:rFonts w:ascii="宋体" w:eastAsia="宋体" w:hAnsi="宋体" w:cs="宋体"/>
          <w:vanish/>
        </w:rPr>
        <w:t>tc:ChinaIncludingHongKongMember2021-12-262022-12-310000050863intc:ChinaIncludingHongKongMember2020-12-272021-12-250000050863intc:ChinaIncludingHongKongMember2019-12-292020-12-260000050863country:SG2021-12-262022-12-310000050863country:SG2020-12-272021-12-2</w:t>
      </w:r>
      <w:r>
        <w:rPr>
          <w:rFonts w:ascii="宋体" w:eastAsia="宋体" w:hAnsi="宋体" w:cs="宋体"/>
          <w:vanish/>
        </w:rPr>
        <w:t>50000050863country:SG2019-12-292020-12-260000050863country:US2021-12-262022-12-310000050863country:US2020-12-272021-12-250000050863country:US2019-12-292020-12-260000050863country:TW2021-12-262022-12-310000050863country:TW2020-12-272021-12-250000050863count</w:t>
      </w:r>
      <w:r>
        <w:rPr>
          <w:rFonts w:ascii="宋体" w:eastAsia="宋体" w:hAnsi="宋体" w:cs="宋体"/>
          <w:vanish/>
        </w:rPr>
        <w:t>ry:TW2019-12-292020-12-260000050863intc:OtherCountriesMember2021-12-262022-12-310000050863intc:OtherCountriesMember2020-12-272021-12-250000050863intc:OtherCountriesMember2019-12-292020-12-260000050863intc:ArizonaFabLLCMemberus-gaap:VariableInterestEntityPr</w:t>
      </w:r>
      <w:r>
        <w:rPr>
          <w:rFonts w:ascii="宋体" w:eastAsia="宋体" w:hAnsi="宋体" w:cs="宋体"/>
          <w:vanish/>
        </w:rPr>
        <w:t>imaryBeneficiaryMember2022-10-022022-12-310000050863us-gaap:VariableInterestEntityNotPrimaryBeneficiaryMemberintc:ArizonaFabLLCMember2022-10-022022-12-310000050863intc:ArizonaFabLLCMember2022-10-022022-12-310000050863intc:SemiconductorCoInvestmentProgramCo</w:t>
      </w:r>
      <w:r>
        <w:rPr>
          <w:rFonts w:ascii="宋体" w:eastAsia="宋体" w:hAnsi="宋体" w:cs="宋体"/>
          <w:vanish/>
        </w:rPr>
        <w:t>nstructionCostsMemberintc:IntelCorporationAndBrookfieldAssetManagementMember2022-12-310000050863us-gaap:VariableInterestEntityPrimaryBeneficiaryMemberus-gaap:AssetPledgedAsCollateralMember2022-12-310000050863intc:ArizonaFabLLCMember2022-12-310000050863intc</w:t>
      </w:r>
      <w:r>
        <w:rPr>
          <w:rFonts w:ascii="宋体" w:eastAsia="宋体" w:hAnsi="宋体" w:cs="宋体"/>
          <w:vanish/>
        </w:rPr>
        <w:t>:MobileyeMember2022-10-262022-12-310000050863intc:MobileyeMember2022-10-262022-12-310000050863intc:MobileyeMember2022-12-310000050863intc:MobileyeMember2021-12-262022-12-310000050863intc:PrepaidSupplyAgreementsMember2021-12-250000050863intc:PrepaidSupplyAg</w:t>
      </w:r>
      <w:r>
        <w:rPr>
          <w:rFonts w:ascii="宋体" w:eastAsia="宋体" w:hAnsi="宋体" w:cs="宋体"/>
          <w:vanish/>
        </w:rPr>
        <w:t>reementsMember2021-12-262022-12-310000050863intc:PrepaidSupplyAgreementsMember2022-12-3100000508632022-04-020000050863intc:PrepaidSupplyAgreementsMember2022-04-020000050863intc:PrepaidSupplyAgreementsMember2021-12-262022-04-020000050863us-gaap:LandAndBuild</w:t>
      </w:r>
      <w:r>
        <w:rPr>
          <w:rFonts w:ascii="宋体" w:eastAsia="宋体" w:hAnsi="宋体" w:cs="宋体"/>
          <w:vanish/>
        </w:rPr>
        <w:t>ingMember2022-12-310000050863us-gaap:LandAndBuildingMember2021-12-250000050863us-gaap:MachineryAndEquipmentMember2022-12-310000050863us-gaap:MachineryAndEquipmentMember2021-12-250000050863us-gaap:ConstructionInProgressMember2022-12-310000050863us-gaap:Cons</w:t>
      </w:r>
      <w:r>
        <w:rPr>
          <w:rFonts w:ascii="宋体" w:eastAsia="宋体" w:hAnsi="宋体" w:cs="宋体"/>
          <w:vanish/>
        </w:rPr>
        <w:t>tructionInProgressMember2021-12-250000050863us-gaap:MachineryAndEquipmentMembersrt:MinimumMember2021-12-262022-12-310000050863us-gaap:MachineryAndEquipmentMembersrt:MaximumMember2021-12-262022-12-310000050863srt:MinimumMemberus-gaap:BuildingMember2021-12-2</w:t>
      </w:r>
      <w:r>
        <w:rPr>
          <w:rFonts w:ascii="宋体" w:eastAsia="宋体" w:hAnsi="宋体" w:cs="宋体"/>
          <w:vanish/>
        </w:rPr>
        <w:t>62022-12-310000050863srt:MaximumMemberus-gaap:BuildingMember2021-12-262022-12-310000050863country:US2022-12-310000050863country:US2021-12-250000050863country:IE2022-12-310000050863country:IE2021-12-250000050863country:IL2022-12-310000050863country:IL2021-1</w:t>
      </w:r>
      <w:r>
        <w:rPr>
          <w:rFonts w:ascii="宋体" w:eastAsia="宋体" w:hAnsi="宋体" w:cs="宋体"/>
          <w:vanish/>
        </w:rPr>
        <w:t>2-250000050863intc:OtherCountriesMember2022-12-310000050863intc:OtherCountriesMember2021-12-250000050863intc:NANDMemoryBusinessMember2021-12-292021-12-290000050863intc:EcFineMember2022-07-032022-10-0100000508632021-06-272021-09-2500000508632021-09-262021-1</w:t>
      </w:r>
      <w:r>
        <w:rPr>
          <w:rFonts w:ascii="宋体" w:eastAsia="宋体" w:hAnsi="宋体" w:cs="宋体"/>
          <w:vanish/>
        </w:rPr>
        <w:t>2-250000050863srt:MinimumMember2021-12-262022-12-310000050863srt:MaximumMember2021-12-262022-12-310000050863us-gaap:ValuationAllowanceOfDeferredTaxAssetsMember2021-12-250000050863us-gaap:ValuationAllowanceOfDeferredTaxAssetsMember2021-12-262022-12-31000005</w:t>
      </w:r>
      <w:r>
        <w:rPr>
          <w:rFonts w:ascii="宋体" w:eastAsia="宋体" w:hAnsi="宋体" w:cs="宋体"/>
          <w:vanish/>
        </w:rPr>
        <w:t>0863us-gaap:ValuationAllowanceOfDeferredTaxAssetsMember2022-12-310000050863us-gaap:ValuationAllowanceOfDeferredTaxAssetsMember2020-12-260000050863us-gaap:ValuationAllowanceOfDeferredTaxAssetsMember2020-12-272021-12-250000050863us-gaap:ValuationAllowanceOfD</w:t>
      </w:r>
      <w:r>
        <w:rPr>
          <w:rFonts w:ascii="宋体" w:eastAsia="宋体" w:hAnsi="宋体" w:cs="宋体"/>
          <w:vanish/>
        </w:rPr>
        <w:t>eferredTaxAssetsMember2019-12-280000050863us-gaap:ValuationAllowanceOfDeferredTaxAssetsMember2019-12-292020-12-260000050863us-gaap:DomesticCountryMember2022-12-310000050863us-gaap:ForeignCountryMember2022-12-310000050863us-gaap:AvailableforsaleSecuritiesMe</w:t>
      </w:r>
      <w:r>
        <w:rPr>
          <w:rFonts w:ascii="宋体" w:eastAsia="宋体" w:hAnsi="宋体" w:cs="宋体"/>
          <w:vanish/>
        </w:rPr>
        <w:t>mber2022-12-310000050863us-gaap:AvailableforsaleSecuritiesMember2021-12-250000050863us-gaap:AvailableforsaleSecuritiesMember2021-12-262022-12-310000050863us-gaap:AvailableforsaleSecuritiesMember2020-12-272021-12-250000050863us-gaap:AvailableforsaleSecuriti</w:t>
      </w:r>
      <w:r>
        <w:rPr>
          <w:rFonts w:ascii="宋体" w:eastAsia="宋体" w:hAnsi="宋体" w:cs="宋体"/>
          <w:vanish/>
        </w:rPr>
        <w:t>esMember2019-12-292020-12-260000050863us-gaap:CostmethodInvestmentsMember2021-12-262022-12-310000050863us-gaap:CostmethodInvestmentsMember2020-12-272021-12-250000050863us-gaap:CostmethodInvestmentsMember2019-12-292020-12-260000050863intc:McAfeeMember2022-1</w:t>
      </w:r>
      <w:r>
        <w:rPr>
          <w:rFonts w:ascii="宋体" w:eastAsia="宋体" w:hAnsi="宋体" w:cs="宋体"/>
          <w:vanish/>
        </w:rPr>
        <w:t>2-310000050863intc:McAfeeMember2022-10-022022-12-310000050863intc:McAfeeMember2021-12-262022-12-310000050863intc:McAfeeMemberintc:McAfeeEnterpriseBusinessMember2021-12-262022-12-310000050863intc:McAfeeMember2020-12-272021-12-250000050863intc:BejingUnisocTe</w:t>
      </w:r>
      <w:r>
        <w:rPr>
          <w:rFonts w:ascii="宋体" w:eastAsia="宋体" w:hAnsi="宋体" w:cs="宋体"/>
          <w:vanish/>
        </w:rPr>
        <w:t>chnologyLtdMember2021-12-262022-04-020000050863intc:BejingUnisocTechnologyLtdMember2022-12-310000050863intc:BejingUnisocTechnologyLtdMember2021-12-250000050863us-gaap:SeriesOfIndividuallyImmaterialBusinessAcquisitionsMember2021-12-262022-12-31intc:Acquisit</w:t>
      </w:r>
      <w:r>
        <w:rPr>
          <w:rFonts w:ascii="宋体" w:eastAsia="宋体" w:hAnsi="宋体" w:cs="宋体"/>
          <w:vanish/>
        </w:rPr>
        <w:t>ion0000050863us-gaap:SeriesOfIndividuallyImmaterialBusinessAcquisitionsMember2020-12-272021-12-250000050863intc:MoovitMember2020-05-042020-05-040000050863intc:MoovitMember2020-05-040000050863intc:NANDMemoryBusinessMember2020-10-192020-10-190000050863srt:Sc</w:t>
      </w:r>
      <w:r>
        <w:rPr>
          <w:rFonts w:ascii="宋体" w:eastAsia="宋体" w:hAnsi="宋体" w:cs="宋体"/>
          <w:vanish/>
        </w:rPr>
        <w:t>enarioForecastMemberintc:NANDMemoryBusinessMember2025-03-012025-03-310000050863intc:NANDMemoryBusinessMember2021-12-290000050863intc:NANDMemoryBusinessMember2022-12-310000050863us-gaap:DiscontinuedOperationsHeldforsaleMemberintc:NANDMemoryBusinessMember202</w:t>
      </w:r>
      <w:r>
        <w:rPr>
          <w:rFonts w:ascii="宋体" w:eastAsia="宋体" w:hAnsi="宋体" w:cs="宋体"/>
          <w:vanish/>
        </w:rPr>
        <w:t>1-12-250000050863intc:NANDMemoryBusinessMember2020-10-310000050863srt:ScenarioForecastMemberintc:NANDMemoryBusinessMember2023-01-012023-06-240000050863intc:NANDMemoryBusinessDivestitureMember2022-12-310000050863intc:HomeGatewayPlatformDivisionMember2020-07</w:t>
      </w:r>
      <w:r>
        <w:rPr>
          <w:rFonts w:ascii="宋体" w:eastAsia="宋体" w:hAnsi="宋体" w:cs="宋体"/>
          <w:vanish/>
        </w:rPr>
        <w:t>-312020-07-310000050863intc:ClientComputingGroupMember2021-12-250000050863intc:ClientComputingGroupMember2022-12-310000050863intc:DatacenterAndAIMember2021-12-250000050863intc:DatacenterAndAIMember2022-12-310000050863intc:NetworkAndEdgeMember2021-12-250000</w:t>
      </w:r>
      <w:r>
        <w:rPr>
          <w:rFonts w:ascii="宋体" w:eastAsia="宋体" w:hAnsi="宋体" w:cs="宋体"/>
          <w:vanish/>
        </w:rPr>
        <w:t>050863intc:NetworkAndEdgeMember2022-12-310000050863intc:MobileyeSegmentMember2021-12-250000050863intc:MobileyeSegmentMember2022-12-310000050863intc:AcceleratedComputingSystemsAndGraphicsMember2021-12-250000050863intc:AcceleratedComputingSystemsAndGraphicsM</w:t>
      </w:r>
      <w:r>
        <w:rPr>
          <w:rFonts w:ascii="宋体" w:eastAsia="宋体" w:hAnsi="宋体" w:cs="宋体"/>
          <w:vanish/>
        </w:rPr>
        <w:t>ember2022-12-310000050863us-gaap:AllOtherSegmentsMember2021-12-250000050863us-gaap:AllOtherSegmentsMember2022-12-310000050863intc:ClientComputingGroupMember2020-12-260000050863intc:DatacenterAndAIMember2020-12-260000050863intc:NetworkAndEdgeMember2020-12-2</w:t>
      </w:r>
      <w:r>
        <w:rPr>
          <w:rFonts w:ascii="宋体" w:eastAsia="宋体" w:hAnsi="宋体" w:cs="宋体"/>
          <w:vanish/>
        </w:rPr>
        <w:t>60000050863intc:MobileyeSegmentMember2020-12-260000050863intc:AcceleratedComputingSystemsAndGraphicsMember2020-12-260000050863us-gaap:AllOtherSegmentsMember2020-12-260000050863srt:ScenarioPreviouslyReportedMemberintc:ClientComputingGroupMember2021-12-25000</w:t>
      </w:r>
      <w:r>
        <w:rPr>
          <w:rFonts w:ascii="宋体" w:eastAsia="宋体" w:hAnsi="宋体" w:cs="宋体"/>
          <w:vanish/>
        </w:rPr>
        <w:t>0050863intc:RevisionOfPriorPeriodReclassificationAdjustmentTransfersOutMemberintc:ClientComputingGroupMember2021-12-250000050863intc:RevisionOfPriorPeriodReclassificationAdjustmentTransfersInMemberintc:ClientComputingGroupMember2021-12-250000050863intc:Dat</w:t>
      </w:r>
      <w:r>
        <w:rPr>
          <w:rFonts w:ascii="宋体" w:eastAsia="宋体" w:hAnsi="宋体" w:cs="宋体"/>
          <w:vanish/>
        </w:rPr>
        <w:t>aCenterGroupMembersrt:ScenarioPreviouslyReportedMember2021-12-250000050863intc:RevisionOfPriorPeriodReclassificationAdjustmentTransfersOutMemberintc:DataCenterGroupMember2021-12-250000050863intc:DataCenterGroupMemberintc:RevisionOfPriorPeriodReclassificati</w:t>
      </w:r>
      <w:r>
        <w:rPr>
          <w:rFonts w:ascii="宋体" w:eastAsia="宋体" w:hAnsi="宋体" w:cs="宋体"/>
          <w:vanish/>
        </w:rPr>
        <w:t>onAdjustmentTransfersInMember2021-12-250000050863intc:DataCenterGroupMember2021-12-250000050863srt:ScenarioPreviouslyReportedMemberintc:DatacenterAndAIMember2021-12-250000050863intc:RevisionOfPriorPeriodReclassificationAdjustmentTransfersOutMemberintc:Data</w:t>
      </w:r>
      <w:r>
        <w:rPr>
          <w:rFonts w:ascii="宋体" w:eastAsia="宋体" w:hAnsi="宋体" w:cs="宋体"/>
          <w:vanish/>
        </w:rPr>
        <w:t>centerAndAIMember2021-12-250000050863intc:RevisionOfPriorPeriodReclassificationAdjustmentTransfersInMemberintc:DatacenterAndAIMember2021-12-250000050863intc:InternetOfThingsGroupMembersrt:ScenarioPreviouslyReportedMember2021-12-250000050863intc:InternetOfT</w:t>
      </w:r>
      <w:r>
        <w:rPr>
          <w:rFonts w:ascii="宋体" w:eastAsia="宋体" w:hAnsi="宋体" w:cs="宋体"/>
          <w:vanish/>
        </w:rPr>
        <w:t>hingsGroupMemberintc:RevisionOfPriorPeriodReclassificationAdjustmentTransfersOutMember2021-12-250000050863intc:InternetOfThingsGroupMemberintc:RevisionOfPriorPeriodReclassificationAdjustmentTransfersInMember2021-12-250000050863intc:InternetOfThingsGroupMem</w:t>
      </w:r>
      <w:r>
        <w:rPr>
          <w:rFonts w:ascii="宋体" w:eastAsia="宋体" w:hAnsi="宋体" w:cs="宋体"/>
          <w:vanish/>
        </w:rPr>
        <w:t>ber2021-12-250000050863intc:NetworkAndEdgeMembersrt:ScenarioPreviouslyReportedMember2021-12-250000050863intc:NetworkAndEdgeMemberintc:RevisionOfPriorPeriodReclassificationAdjustmentTransfersOutMember2021-12-250000050863intc:NetworkAndEdgeMemberintc:Revisio</w:t>
      </w:r>
      <w:r>
        <w:rPr>
          <w:rFonts w:ascii="宋体" w:eastAsia="宋体" w:hAnsi="宋体" w:cs="宋体"/>
          <w:vanish/>
        </w:rPr>
        <w:t>nOfPriorPeriodReclassificationAdjustmentTransfersInMember2021-12-250000050863srt:ScenarioPreviouslyReportedMemberintc:MobileyeSegmentMember2021-12-250000050863intc:RevisionOfPriorPeriodReclassificationAdjustmentTransfersOutMemberintc:MobileyeSegmentMember2</w:t>
      </w:r>
      <w:r>
        <w:rPr>
          <w:rFonts w:ascii="宋体" w:eastAsia="宋体" w:hAnsi="宋体" w:cs="宋体"/>
          <w:vanish/>
        </w:rPr>
        <w:t>021-12-250000050863intc:RevisionOfPriorPeriodReclassificationAdjustmentTransfersInMemberintc:MobileyeSegmentMember2021-12-250000050863intc:AcceleratedComputingSystemsAndGraphicsMembersrt:ScenarioPreviouslyReportedMember2021-12-250000050863intc:AcceleratedC</w:t>
      </w:r>
      <w:r>
        <w:rPr>
          <w:rFonts w:ascii="宋体" w:eastAsia="宋体" w:hAnsi="宋体" w:cs="宋体"/>
          <w:vanish/>
        </w:rPr>
        <w:t>omputingSystemsAndGraphicsMemberintc:RevisionOfPriorPeriodReclassificationAdjustmentTransfersOutMember2021-12-250000050863intc:AcceleratedComputingSystemsAndGraphicsMemberintc:RevisionOfPriorPeriodReclassificationAdjustmentTransfersInMember2021-12-25000005</w:t>
      </w:r>
      <w:r>
        <w:rPr>
          <w:rFonts w:ascii="宋体" w:eastAsia="宋体" w:hAnsi="宋体" w:cs="宋体"/>
          <w:vanish/>
        </w:rPr>
        <w:t>0863intc:ProgrammableSolutionsGroupMembersrt:ScenarioPreviouslyReportedMember2021-12-250000050863intc:ProgrammableSolutionsGroupMemberintc:RevisionOfPriorPeriodReclassificationAdjustmentTransfersOutMember2021-12-250000050863intc:ProgrammableSolutionsGroupM</w:t>
      </w:r>
      <w:r>
        <w:rPr>
          <w:rFonts w:ascii="宋体" w:eastAsia="宋体" w:hAnsi="宋体" w:cs="宋体"/>
          <w:vanish/>
        </w:rPr>
        <w:t>emberintc:RevisionOfPriorPeriodReclassificationAdjustmentTransfersInMember2021-12-250000050863intc:ProgrammableSolutionsGroupMember2021-12-250000050863srt:ScenarioPreviouslyReportedMember2021-12-250000050863intc:RevisionOfPriorPeriodReclassificationAdjustm</w:t>
      </w:r>
      <w:r>
        <w:rPr>
          <w:rFonts w:ascii="宋体" w:eastAsia="宋体" w:hAnsi="宋体" w:cs="宋体"/>
          <w:vanish/>
        </w:rPr>
        <w:t>entTransfersOutMember2021-12-250000050863intc:RevisionOfPriorPeriodReclassificationAdjustmentTransfersInMember2021-12-250000050863us-gaap:AllOtherSegmentsMember2022-04-032022-07-020000050863intc:DataCenterGroupMember2022-12-310000050863intc:InternetOfThing</w:t>
      </w:r>
      <w:r>
        <w:rPr>
          <w:rFonts w:ascii="宋体" w:eastAsia="宋体" w:hAnsi="宋体" w:cs="宋体"/>
          <w:vanish/>
        </w:rPr>
        <w:t>sGroupMember2022-12-310000050863us-gaap:DevelopedTechnologyRightsMember2022-12-310000050863us-gaap:DevelopedTechnologyRightsMember2021-12-250000050863us-gaap:CustomerRelationshipsMember2022-12-310000050863us-gaap:CustomerRelationshipsMember2021-12-25000005</w:t>
      </w:r>
      <w:r>
        <w:rPr>
          <w:rFonts w:ascii="宋体" w:eastAsia="宋体" w:hAnsi="宋体" w:cs="宋体"/>
          <w:vanish/>
        </w:rPr>
        <w:t>0863intc:LicensedTechnologyAndPatentsMember2022-12-310000050863intc:LicensedTechnologyAndPatentsMember2021-12-250000050863intc:LicensedTechnologyMember2021-12-262022-12-310000050863us-gaap:DevelopedTechnologyRightsMember2021-12-262022-12-310000050863us-gaa</w:t>
      </w:r>
      <w:r>
        <w:rPr>
          <w:rFonts w:ascii="宋体" w:eastAsia="宋体" w:hAnsi="宋体" w:cs="宋体"/>
          <w:vanish/>
        </w:rPr>
        <w:t>p:DevelopedTechnologyRightsMember2020-12-272021-12-250000050863us-gaap:DevelopedTechnologyRightsMember2019-12-292020-12-260000050863us-gaap:CustomerRelationshipsMember2021-12-262022-12-310000050863us-gaap:CustomerRelationshipsMember2020-12-272021-12-250000</w:t>
      </w:r>
      <w:r>
        <w:rPr>
          <w:rFonts w:ascii="宋体" w:eastAsia="宋体" w:hAnsi="宋体" w:cs="宋体"/>
          <w:vanish/>
        </w:rPr>
        <w:t>050863us-gaap:CustomerRelationshipsMember2019-12-292020-12-260000050863intc:LicensedTechnologyAndPatentsMember2021-12-262022-12-310000050863intc:LicensedTechnologyAndPatentsMember2020-12-272021-12-250000050863intc:LicensedTechnologyAndPatentsMember2019-12-</w:t>
      </w:r>
      <w:r>
        <w:rPr>
          <w:rFonts w:ascii="宋体" w:eastAsia="宋体" w:hAnsi="宋体" w:cs="宋体"/>
          <w:vanish/>
        </w:rPr>
        <w:t>292020-12-260000050863us-gaap:CommercialPaperMember2022-12-310000050863intc:DebtInstrumentFortyMember2022-12-310000050863intc:DebtInstrumentFortyMember2021-12-250000050863intc:DebtInstrumentThirtyNineMember2022-12-310000050863intc:DebtInstrumentThirtyNineM</w:t>
      </w:r>
      <w:r>
        <w:rPr>
          <w:rFonts w:ascii="宋体" w:eastAsia="宋体" w:hAnsi="宋体" w:cs="宋体"/>
          <w:vanish/>
        </w:rPr>
        <w:t>ember2021-12-250000050863intc:DebtInstrumentFifteenMember2022-12-310000050863intc:DebtInstrumentFifteenMember2021-12-250000050863intc:DebtInstrumentTwentyThreeMember2022-12-310000050863intc:DebtInstrumentTwentyThreeMember2021-12-250000050863intc:DebtInstru</w:t>
      </w:r>
      <w:r>
        <w:rPr>
          <w:rFonts w:ascii="宋体" w:eastAsia="宋体" w:hAnsi="宋体" w:cs="宋体"/>
          <w:vanish/>
        </w:rPr>
        <w:t>mentTenMember2022-12-310000050863intc:DebtInstrumentTenMember2021-12-250000050863intc:DebtInstrumentTwentyNineMember2022-12-310000050863intc:DebtInstrumentTwentyNineMember2021-12-250000050863intc:DebtInstrumentFortyOneMember2022-12-310000050863intc:DebtIns</w:t>
      </w:r>
      <w:r>
        <w:rPr>
          <w:rFonts w:ascii="宋体" w:eastAsia="宋体" w:hAnsi="宋体" w:cs="宋体"/>
          <w:vanish/>
        </w:rPr>
        <w:t>trumentFortyOneMember2021-12-250000050863intc:DebtInstrumentFortyFourMember2022-12-310000050863intc:DebtInstrumentFortyFourMember2021-12-250000050863intc:FixedRateSeniorNotes340DueMarch2025Member2022-12-310000050863intc:FixedRateSeniorNotes340DueMarch2025M</w:t>
      </w:r>
      <w:r>
        <w:rPr>
          <w:rFonts w:ascii="宋体" w:eastAsia="宋体" w:hAnsi="宋体" w:cs="宋体"/>
          <w:vanish/>
        </w:rPr>
        <w:t>ember2021-12-250000050863intc:DebtInstrumentSixteenMember2022-12-310000050863intc:DebtInstrumentSixteenMember2021-12-250000050863intc:DebtInstrumentThirtyTwoMember2022-12-310000050863intc:DebtInstrumentThirtyTwoMember2021-12-250000050863intc:FixedRateSenio</w:t>
      </w:r>
      <w:r>
        <w:rPr>
          <w:rFonts w:ascii="宋体" w:eastAsia="宋体" w:hAnsi="宋体" w:cs="宋体"/>
          <w:vanish/>
        </w:rPr>
        <w:t>rNotes375DueMarch2027Member2022-12-310000050863intc:FixedRateSeniorNotes375DueMarch2027Member2021-12-250000050863intc:DebtInstrumentFortyTwoMember2022-12-310000050863intc:DebtInstrumentFortyTwoMember2021-12-250000050863intc:FixedRateSeniorNotes375DueAugust</w:t>
      </w:r>
      <w:r>
        <w:rPr>
          <w:rFonts w:ascii="宋体" w:eastAsia="宋体" w:hAnsi="宋体" w:cs="宋体"/>
          <w:vanish/>
        </w:rPr>
        <w:t>2027Member2022-12-310000050863intc:FixedRateSeniorNotes375DueAugust2027Member2021-12-250000050863intc:FixedRateSeniorNotes160DueAugust2028Member2022-12-310000050863intc:FixedRateSeniorNotes160DueAugust2028Member2021-12-250000050863intc:FixedRateSeniorNotes</w:t>
      </w:r>
      <w:r>
        <w:rPr>
          <w:rFonts w:ascii="宋体" w:eastAsia="宋体" w:hAnsi="宋体" w:cs="宋体"/>
          <w:vanish/>
        </w:rPr>
        <w:t>405DueAugust2029Member2022-12-310000050863intc:FixedRateSeniorNotes405DueAugust2029Member2021-12-250000050863intc:A2019SeniorNotesDueNovember2029At245Member2022-12-310000050863intc:A2019SeniorNotesDueNovember2029At245Member2021-12-250000050863intc:FixedRat</w:t>
      </w:r>
      <w:r>
        <w:rPr>
          <w:rFonts w:ascii="宋体" w:eastAsia="宋体" w:hAnsi="宋体" w:cs="宋体"/>
          <w:vanish/>
        </w:rPr>
        <w:t>eSeniorNotes390DueMarch2030Member2022-12-310000050863intc:FixedRateSeniorNotes390DueMarch2030Member2021-12-250000050863intc:FixedRateSeniorNotes200DueAugust2031Member2022-12-310000050863intc:FixedRateSeniorNotes200DueAugust2031Member2021-12-250000050863int</w:t>
      </w:r>
      <w:r>
        <w:rPr>
          <w:rFonts w:ascii="宋体" w:eastAsia="宋体" w:hAnsi="宋体" w:cs="宋体"/>
          <w:vanish/>
        </w:rPr>
        <w:t>c:FixedRateSeniorNotes415DueAugust2032Member2022-12-310000050863intc:FixedRateSeniorNotes415DueAugust2032Member2021-12-250000050863intc:DebtInstrumentElevenMember2022-12-310000050863intc:DebtInstrumentElevenMember2021-12-250000050863intc:FixedRateSeniorNot</w:t>
      </w:r>
      <w:r>
        <w:rPr>
          <w:rFonts w:ascii="宋体" w:eastAsia="宋体" w:hAnsi="宋体" w:cs="宋体"/>
          <w:vanish/>
        </w:rPr>
        <w:t>es460DueMarch2040Member2022-12-310000050863intc:FixedRateSeniorNotes460DueMarch2040Member2021-12-250000050863intc:FixedRateSeniorNotes280DueAugust2041Member2022-12-310000050863intc:FixedRateSeniorNotes280DueAugust2041Member2021-12-250000050863intc:DebtInst</w:t>
      </w:r>
      <w:r>
        <w:rPr>
          <w:rFonts w:ascii="宋体" w:eastAsia="宋体" w:hAnsi="宋体" w:cs="宋体"/>
          <w:vanish/>
        </w:rPr>
        <w:t>rumentEightMember2022-12-310000050863intc:DebtInstrumentEightMember2021-12-250000050863intc:DebtInstrumentTwelveMember2022-12-310000050863intc:DebtInstrumentTwelveMember2021-12-250000050863intc:DebtInstrumentSeventeenMember2022-12-310000050863intc:DebtInst</w:t>
      </w:r>
      <w:r>
        <w:rPr>
          <w:rFonts w:ascii="宋体" w:eastAsia="宋体" w:hAnsi="宋体" w:cs="宋体"/>
          <w:vanish/>
        </w:rPr>
        <w:t>rumentSeventeenMember2021-12-250000050863intc:DebtInstrumentThirtyThreeMember2022-12-310000050863intc:DebtInstrumentThirtyThreeMember2021-12-250000050863intc:DebtInstrumentFortyThreeMember2022-12-310000050863intc:DebtInstrumentFortyThreeMember2021-12-25000</w:t>
      </w:r>
      <w:r>
        <w:rPr>
          <w:rFonts w:ascii="宋体" w:eastAsia="宋体" w:hAnsi="宋体" w:cs="宋体"/>
          <w:vanish/>
        </w:rPr>
        <w:t>0050863intc:A6404.10SeniorNotesdueAugust2047Member2022-12-310000050863intc:A6404.10SeniorNotesdueAugust2047Member2021-12-250000050863intc:A2017SeniornotesdueDecember2047at3.73Member2022-12-310000050863intc:A2017SeniornotesdueDecember2047at3.73Member2021-12</w:t>
      </w:r>
      <w:r>
        <w:rPr>
          <w:rFonts w:ascii="宋体" w:eastAsia="宋体" w:hAnsi="宋体" w:cs="宋体"/>
          <w:vanish/>
        </w:rPr>
        <w:t>-250000050863intc:A2019SeniorNotesdueDecember2049at3.25Member2022-12-310000050863intc:A2019SeniorNotesdueDecember2049at3.25Member2021-12-250000050863intc:FixedRateSeniorNotes475DueMarch2050Member2022-12-310000050863intc:FixedRateSeniorNotes475DueMarch2050M</w:t>
      </w:r>
      <w:r>
        <w:rPr>
          <w:rFonts w:ascii="宋体" w:eastAsia="宋体" w:hAnsi="宋体" w:cs="宋体"/>
          <w:vanish/>
        </w:rPr>
        <w:t>ember2021-12-250000050863intc:FixedRateSeniorNotes305DueAugust2051Member2022-12-310000050863intc:FixedRateSeniorNotes305DueAugust2051Member2021-12-250000050863intc:FixedRateSeniorNotes490DueAugust2052Member2022-12-310000050863intc:FixedRateSeniorNotes490Du</w:t>
      </w:r>
      <w:r>
        <w:rPr>
          <w:rFonts w:ascii="宋体" w:eastAsia="宋体" w:hAnsi="宋体" w:cs="宋体"/>
          <w:vanish/>
        </w:rPr>
        <w:t>eAugust2052Member2021-12-250000050863intc:FixedRateSeniorNotes310DueFebruary2060Member2022-12-310000050863intc:FixedRateSeniorNotes310DueFebruary2060Member2021-12-250000050863intc:FixedRateSeniorNotes495DueMarch2060Member2022-12-310000050863intc:FixedRateS</w:t>
      </w:r>
      <w:r>
        <w:rPr>
          <w:rFonts w:ascii="宋体" w:eastAsia="宋体" w:hAnsi="宋体" w:cs="宋体"/>
          <w:vanish/>
        </w:rPr>
        <w:t>eniorNotes495DueMarch2060Member2021-12-250000050863intc:FixedRateSeniorNotes320DueAugust2061Member2022-12-310000050863intc:FixedRateSeniorNotes320DueAugust2061Member2021-12-250000050863intc:FixedRateSeniorNotes505DueAugust2062Member2022-12-310000050863intc</w:t>
      </w:r>
      <w:r>
        <w:rPr>
          <w:rFonts w:ascii="宋体" w:eastAsia="宋体" w:hAnsi="宋体" w:cs="宋体"/>
          <w:vanish/>
        </w:rPr>
        <w:t>:FixedRateSeniorNotes505DueAugust2062Member2021-12-250000050863intc:OregonandArizonaBondsMember2022-12-310000050863intc:OregonandArizonaBondsMember2021-12-250000050863intc:A500OregonAndArizonaBondsDueSeptember2042Member2022-12-310000050863intc:A500OregonAn</w:t>
      </w:r>
      <w:r>
        <w:rPr>
          <w:rFonts w:ascii="宋体" w:eastAsia="宋体" w:hAnsi="宋体" w:cs="宋体"/>
          <w:vanish/>
        </w:rPr>
        <w:t>dArizonaBondsDueSeptember2042Member2021-12-250000050863intc:StateofOregonBusinessDevelopmentCommissionMember2022-12-310000050863intc:StateofOregonBusinessDevelopmentCommissionMember2021-12-250000050863intc:IndustrialAuthorityoftheCityofChandlerArizonaMembe</w:t>
      </w:r>
      <w:r>
        <w:rPr>
          <w:rFonts w:ascii="宋体" w:eastAsia="宋体" w:hAnsi="宋体" w:cs="宋体"/>
          <w:vanish/>
        </w:rPr>
        <w:t>r2022-12-310000050863intc:IndustrialAuthorityoftheCityofChandlerArizonaMember2021-12-250000050863intc:A500OregonAndArizonaBondsDueSeptember2052Member2022-12-310000050863intc:A500OregonAndArizonaBondsDueSeptember2052Member2021-12-250000050863us-gaap:Interes</w:t>
      </w:r>
      <w:r>
        <w:rPr>
          <w:rFonts w:ascii="宋体" w:eastAsia="宋体" w:hAnsi="宋体" w:cs="宋体"/>
          <w:vanish/>
        </w:rPr>
        <w:t>tRateSwapMemberus-gaap:LongTermDebtMemberus-gaap:FairValueHedgingMember2021-12-262022-12-310000050863us-gaap:InterestRateSwapMemberus-gaap:LongTermDebtMemberus-gaap:FairValueHedgingMember2020-12-272021-12-250000050863us-gaap:SeniorNotesMember2022-12-310000</w:t>
      </w:r>
      <w:r>
        <w:rPr>
          <w:rFonts w:ascii="宋体" w:eastAsia="宋体" w:hAnsi="宋体" w:cs="宋体"/>
          <w:vanish/>
        </w:rPr>
        <w:t>050863intc:SeniorNotesDueMay2022Member2021-12-262022-12-310000050863intc:SeniorNotesDueJuly2022Member2021-12-262022-12-310000050863intc:SeniorNotesDueDecember2022Member2021-12-262022-12-310000050863intc:SeniorNotesDueNovember2023Member2021-12-262022-12-310</w:t>
      </w:r>
      <w:r>
        <w:rPr>
          <w:rFonts w:ascii="宋体" w:eastAsia="宋体" w:hAnsi="宋体" w:cs="宋体"/>
          <w:vanish/>
        </w:rPr>
        <w:t>000050863us-gaap:SeniorNotesMember2021-12-250000050863intc:DebtInstrumentThirtyOneMember2021-12-262022-12-310000050863intc:DebtInstrumentThirtyOneMember2022-12-310000050863intc:DebtInstrumentSevenMember2021-12-262022-12-310000050863intc:DebtInstrumentSeven</w:t>
      </w:r>
      <w:r>
        <w:rPr>
          <w:rFonts w:ascii="宋体" w:eastAsia="宋体" w:hAnsi="宋体" w:cs="宋体"/>
          <w:vanish/>
        </w:rPr>
        <w:t>Member2022-12-310000050863intc:CIDABondsMemberus-gaap:MunicipalBondsMember2022-12-310000050863us-gaap:MunicipalBondsMemberintc:OregonBusinessDevelopmentCommissionBondsMember2022-03-012022-03-310000050863us-gaap:LineOfCreditMemberus-gaap:RevolvingCreditFaci</w:t>
      </w:r>
      <w:r>
        <w:rPr>
          <w:rFonts w:ascii="宋体" w:eastAsia="宋体" w:hAnsi="宋体" w:cs="宋体"/>
          <w:vanish/>
        </w:rPr>
        <w:t>lityMemberintc:A2022VariableRateUnsecuredRevolvingCreditAgreementMaturingInNovember2023Member2022-12-310000050863us-gaap:LineOfCreditMemberus-gaap:RevolvingCreditFacilityMemberintc:A2022VariableRateUnsecuredRevolvingCreditAgreementMaturingInNovember2023Mem</w:t>
      </w:r>
      <w:r>
        <w:rPr>
          <w:rFonts w:ascii="宋体" w:eastAsia="宋体" w:hAnsi="宋体" w:cs="宋体"/>
          <w:vanish/>
        </w:rPr>
        <w:t>ber2021-12-262022-12-310000050863us-gaap:LineOfCreditMemberus-gaap:RevolvingCreditFacilityMember2022-12-310000050863us-gaap:LineOfCreditMemberus-gaap:RevolvingCreditFacilityMember2021-12-262022-12-310000050863us-gaap:FairValueInputsLevel1Memberus-gaap:Cash</w:t>
      </w:r>
      <w:r>
        <w:rPr>
          <w:rFonts w:ascii="宋体" w:eastAsia="宋体" w:hAnsi="宋体" w:cs="宋体"/>
          <w:vanish/>
        </w:rPr>
        <w:t>EquivalentsMemberus-gaap:CorporateDebtSecuritiesMemberus-gaap:FairValueMeasurementsRecurringMember2022-12-310000050863us-gaap:FairValueInputsLevel2Memberus-gaap:CashEquivalentsMemberus-gaap:CorporateDebtSecuritiesMemberus-gaap:FairValueMeasurementsRecurrin</w:t>
      </w:r>
      <w:r>
        <w:rPr>
          <w:rFonts w:ascii="宋体" w:eastAsia="宋体" w:hAnsi="宋体" w:cs="宋体"/>
          <w:vanish/>
        </w:rPr>
        <w:t>gMember2022-12-310000050863us-gaap:CashEquivalentsMemberus-gaap:FairValueInputsLevel3Memberus-gaap:CorporateDebtSecuritiesMemberus-gaap:FairValueMeasurementsRecurringMember2022-12-310000050863us-gaap:CashEquivalentsMemberus-gaap:CorporateDebtSecuritiesMemb</w:t>
      </w:r>
      <w:r>
        <w:rPr>
          <w:rFonts w:ascii="宋体" w:eastAsia="宋体" w:hAnsi="宋体" w:cs="宋体"/>
          <w:vanish/>
        </w:rPr>
        <w:t>erus-gaap:FairValueMeasurementsRecurringMember2022-12-310000050863us-gaap:FairValueInputsLevel1Memberus-gaap:CashEquivalentsMemberus-gaap:CorporateDebtSecuritiesMemberus-gaap:FairValueMeasurementsRecurringMember2021-12-250000050863us-gaap:FairValueInputsLe</w:t>
      </w:r>
      <w:r>
        <w:rPr>
          <w:rFonts w:ascii="宋体" w:eastAsia="宋体" w:hAnsi="宋体" w:cs="宋体"/>
          <w:vanish/>
        </w:rPr>
        <w:t>vel2Memberus-gaap:CashEquivalentsMemberus-gaap:CorporateDebtSecuritiesMemberus-gaap:FairValueMeasurementsRecurringMember2021-12-250000050863us-gaap:CashEquivalentsMemberus-gaap:FairValueInputsLevel3Memberus-gaap:CorporateDebtSecuritiesMemberus-gaap:FairVal</w:t>
      </w:r>
      <w:r>
        <w:rPr>
          <w:rFonts w:ascii="宋体" w:eastAsia="宋体" w:hAnsi="宋体" w:cs="宋体"/>
          <w:vanish/>
        </w:rPr>
        <w:t>ueMeasurementsRecurringMember2021-12-250000050863us-gaap:CashEquivalentsMemberus-gaap:CorporateDebtSecuritiesMemberus-gaap:FairValueMeasurementsRecurringMember2021-12-250000050863us-gaap:FairValueInputsLevel1Memberus-gaap:CashEquivalentsMemberus-gaap:Fixed</w:t>
      </w:r>
      <w:r>
        <w:rPr>
          <w:rFonts w:ascii="宋体" w:eastAsia="宋体" w:hAnsi="宋体" w:cs="宋体"/>
          <w:vanish/>
        </w:rPr>
        <w:t>IncomeSecuritiesMemberus-gaap:FairValueMeasurementsRecurringMember2022-12-310000050863us-gaap:FairValueInputsLevel2Memberus-gaap:CashEquivalentsMemberus-gaap:FixedIncomeSecuritiesMemberus-gaap:FairValueMeasurementsRecurringMember2022-12-310000050863us-gaap</w:t>
      </w:r>
      <w:r>
        <w:rPr>
          <w:rFonts w:ascii="宋体" w:eastAsia="宋体" w:hAnsi="宋体" w:cs="宋体"/>
          <w:vanish/>
        </w:rPr>
        <w:t>:CashEquivalentsMemberus-gaap:FairValueInputsLevel3Memberus-gaap:FixedIncomeSecuritiesMemberus-gaap:FairValueMeasurementsRecurringMember2022-12-310000050863us-gaap:CashEquivalentsMemberus-gaap:FixedIncomeSecuritiesMemberus-gaap:FairValueMeasurementsRecurri</w:t>
      </w:r>
      <w:r>
        <w:rPr>
          <w:rFonts w:ascii="宋体" w:eastAsia="宋体" w:hAnsi="宋体" w:cs="宋体"/>
          <w:vanish/>
        </w:rPr>
        <w:t>ngMember2022-12-310000050863us-gaap:FairValueInputsLevel1Memberus-gaap:CashEquivalentsMemberus-gaap:FixedIncomeSecuritiesMemberus-gaap:FairValueMeasurementsRecurringMember2021-12-250000050863us-gaap:FairValueInputsLevel2Memberus-gaap:CashEquivalentsMemberu</w:t>
      </w:r>
      <w:r>
        <w:rPr>
          <w:rFonts w:ascii="宋体" w:eastAsia="宋体" w:hAnsi="宋体" w:cs="宋体"/>
          <w:vanish/>
        </w:rPr>
        <w:t>s-gaap:FixedIncomeSecuritiesMemberus-gaap:FairValueMeasurementsRecurringMember2021-12-250000050863us-gaap:CashEquivalentsMemberus-gaap:FairValueInputsLevel3Memberus-gaap:FixedIncomeSecuritiesMemberus-gaap:FairValueMeasurementsRecurringMember2021-12-2500000</w:t>
      </w:r>
      <w:r>
        <w:rPr>
          <w:rFonts w:ascii="宋体" w:eastAsia="宋体" w:hAnsi="宋体" w:cs="宋体"/>
          <w:vanish/>
        </w:rPr>
        <w:t>50863us-gaap:CashEquivalentsMemberus-gaap:FixedIncomeSecuritiesMemberus-gaap:FairValueMeasurementsRecurringMember2021-12-250000050863us-gaap:FairValueInputsLevel1Memberus-gaap:CashEquivalentsMemberus-gaap:RepurchaseAgreementsMemberus-gaap:FairValueMeasurem</w:t>
      </w:r>
      <w:r>
        <w:rPr>
          <w:rFonts w:ascii="宋体" w:eastAsia="宋体" w:hAnsi="宋体" w:cs="宋体"/>
          <w:vanish/>
        </w:rPr>
        <w:t>entsRecurringMember2022-12-310000050863us-gaap:FairValueInputsLevel2Memberus-gaap:CashEquivalentsMemberus-gaap:RepurchaseAgreementsMemberus-gaap:FairValueMeasurementsRecurringMember2022-12-310000050863us-gaap:CashEquivalentsMemberus-gaap:RepurchaseAgreemen</w:t>
      </w:r>
      <w:r>
        <w:rPr>
          <w:rFonts w:ascii="宋体" w:eastAsia="宋体" w:hAnsi="宋体" w:cs="宋体"/>
          <w:vanish/>
        </w:rPr>
        <w:t>tsMemberus-gaap:FairValueInputsLevel3Memberus-gaap:FairValueMeasurementsRecurringMember2022-12-310000050863us-gaap:CashEquivalentsMemberus-gaap:RepurchaseAgreementsMemberus-gaap:FairValueMeasurementsRecurringMember2022-12-310000050863us-gaap:FairValueInput</w:t>
      </w:r>
      <w:r>
        <w:rPr>
          <w:rFonts w:ascii="宋体" w:eastAsia="宋体" w:hAnsi="宋体" w:cs="宋体"/>
          <w:vanish/>
        </w:rPr>
        <w:t>sLevel1Memberus-gaap:CashEquivalentsMemberus-gaap:RepurchaseAgreementsMemberus-gaap:FairValueMeasurementsRecurringMember2021-12-250000050863us-gaap:FairValueInputsLevel2Memberus-gaap:CashEquivalentsMemberus-gaap:RepurchaseAgreementsMemberus-gaap:FairValueM</w:t>
      </w:r>
      <w:r>
        <w:rPr>
          <w:rFonts w:ascii="宋体" w:eastAsia="宋体" w:hAnsi="宋体" w:cs="宋体"/>
          <w:vanish/>
        </w:rPr>
        <w:t>easurementsRecurringMember2021-12-250000050863us-gaap:CashEquivalentsMemberus-gaap:RepurchaseAgreementsMemberus-gaap:FairValueInputsLevel3Memberus-gaap:FairValueMeasurementsRecurringMember2021-12-250000050863us-gaap:CashEquivalentsMemberus-gaap:RepurchaseA</w:t>
      </w:r>
      <w:r>
        <w:rPr>
          <w:rFonts w:ascii="宋体" w:eastAsia="宋体" w:hAnsi="宋体" w:cs="宋体"/>
          <w:vanish/>
        </w:rPr>
        <w:t>greementsMemberus-gaap:FairValueMeasurementsRecurringMember2021-12-250000050863us-gaap:FairValueInputsLevel1Memberus-gaap:ShortTermInvestmentsMemberus-gaap:CorporateDebtSecuritiesMemberus-gaap:FairValueMeasurementsRecurringMember2022-12-310000050863us-gaap</w:t>
      </w:r>
      <w:r>
        <w:rPr>
          <w:rFonts w:ascii="宋体" w:eastAsia="宋体" w:hAnsi="宋体" w:cs="宋体"/>
          <w:vanish/>
        </w:rPr>
        <w:t>:FairValueInputsLevel2Memberus-gaap:ShortTermInvestmentsMemberus-gaap:CorporateDebtSecuritiesMemberus-gaap:FairValueMeasurementsRecurringMember2022-12-310000050863us-gaap:ShortTermInvestmentsMemberus-gaap:FairValueInputsLevel3Memberus-gaap:CorporateDebtSec</w:t>
      </w:r>
      <w:r>
        <w:rPr>
          <w:rFonts w:ascii="宋体" w:eastAsia="宋体" w:hAnsi="宋体" w:cs="宋体"/>
          <w:vanish/>
        </w:rPr>
        <w:t>uritiesMemberus-gaap:FairValueMeasurementsRecurringMember2022-12-310000050863us-gaap:ShortTermInvestmentsMemberus-gaap:CorporateDebtSecuritiesMemberus-gaap:FairValueMeasurementsRecurringMember2022-12-310000050863us-gaap:FairValueInputsLevel1Memberus-gaap:S</w:t>
      </w:r>
      <w:r>
        <w:rPr>
          <w:rFonts w:ascii="宋体" w:eastAsia="宋体" w:hAnsi="宋体" w:cs="宋体"/>
          <w:vanish/>
        </w:rPr>
        <w:t>hortTermInvestmentsMemberus-gaap:CorporateDebtSecuritiesMemberus-gaap:FairValueMeasurementsRecurringMember2021-12-250000050863us-gaap:FairValueInputsLevel2Memberus-gaap:ShortTermInvestmentsMemberus-gaap:CorporateDebtSecuritiesMemberus-gaap:FairValueMeasure</w:t>
      </w:r>
      <w:r>
        <w:rPr>
          <w:rFonts w:ascii="宋体" w:eastAsia="宋体" w:hAnsi="宋体" w:cs="宋体"/>
          <w:vanish/>
        </w:rPr>
        <w:t>mentsRecurringMember2021-12-250000050863us-gaap:ShortTermInvestmentsMemberus-gaap:FairValueInputsLevel3Memberus-gaap:CorporateDebtSecuritiesMemberus-gaap:FairValueMeasurementsRecurringMember2021-12-250000050863us-gaap:ShortTermInvestmentsMemberus-gaap:Corp</w:t>
      </w:r>
      <w:r>
        <w:rPr>
          <w:rFonts w:ascii="宋体" w:eastAsia="宋体" w:hAnsi="宋体" w:cs="宋体"/>
          <w:vanish/>
        </w:rPr>
        <w:t>orateDebtSecuritiesMemberus-gaap:FairValueMeasurementsRecurringMember2021-12-250000050863us-gaap:FairValueInputsLevel1Memberus-gaap:ShortTermInvestmentsMemberus-gaap:FixedIncomeSecuritiesMemberus-gaap:FairValueMeasurementsRecurringMember2022-12-31000005086</w:t>
      </w:r>
      <w:r>
        <w:rPr>
          <w:rFonts w:ascii="宋体" w:eastAsia="宋体" w:hAnsi="宋体" w:cs="宋体"/>
          <w:vanish/>
        </w:rPr>
        <w:t>3us-gaap:FairValueInputsLevel2Memberus-gaap:ShortTermInvestmentsMemberus-gaap:FixedIncomeSecuritiesMemberus-gaap:FairValueMeasurementsRecurringMember2022-12-310000050863us-gaap:ShortTermInvestmentsMemberus-gaap:FairValueInputsLevel3Memberus-gaap:FixedIncom</w:t>
      </w:r>
      <w:r>
        <w:rPr>
          <w:rFonts w:ascii="宋体" w:eastAsia="宋体" w:hAnsi="宋体" w:cs="宋体"/>
          <w:vanish/>
        </w:rPr>
        <w:t>eSecuritiesMemberus-gaap:FairValueMeasurementsRecurringMember2022-12-310000050863us-gaap:ShortTermInvestmentsMemberus-gaap:FixedIncomeSecuritiesMemberus-gaap:FairValueMeasurementsRecurringMember2022-12-310000050863us-gaap:FairValueInputsLevel1Memberus-gaap</w:t>
      </w:r>
      <w:r>
        <w:rPr>
          <w:rFonts w:ascii="宋体" w:eastAsia="宋体" w:hAnsi="宋体" w:cs="宋体"/>
          <w:vanish/>
        </w:rPr>
        <w:t>:ShortTermInvestmentsMemberus-gaap:FixedIncomeSecuritiesMemberus-gaap:FairValueMeasurementsRecurringMember2021-12-250000050863us-gaap:FairValueInputsLevel2Memberus-gaap:ShortTermInvestmentsMemberus-gaap:FixedIncomeSecuritiesMemberus-gaap:FairValueMeasureme</w:t>
      </w:r>
      <w:r>
        <w:rPr>
          <w:rFonts w:ascii="宋体" w:eastAsia="宋体" w:hAnsi="宋体" w:cs="宋体"/>
          <w:vanish/>
        </w:rPr>
        <w:t>ntsRecurringMember2021-12-250000050863us-gaap:ShortTermInvestmentsMemberus-gaap:FairValueInputsLevel3Memberus-gaap:FixedIncomeSecuritiesMemberus-gaap:FairValueMeasurementsRecurringMember2021-12-250000050863us-gaap:ShortTermInvestmentsMemberus-gaap:FixedInc</w:t>
      </w:r>
      <w:r>
        <w:rPr>
          <w:rFonts w:ascii="宋体" w:eastAsia="宋体" w:hAnsi="宋体" w:cs="宋体"/>
          <w:vanish/>
        </w:rPr>
        <w:t>omeSecuritiesMemberus-gaap:FairValueMeasurementsRecurringMember2021-12-250000050863us-gaap:FairValueInputsLevel1Memberus-gaap:ShortTermInvestmentsMemberus-gaap:FairValueMeasurementsRecurringMemberintc:GovernmentDebtSecuritiesMember2022-12-310000050863us-ga</w:t>
      </w:r>
      <w:r>
        <w:rPr>
          <w:rFonts w:ascii="宋体" w:eastAsia="宋体" w:hAnsi="宋体" w:cs="宋体"/>
          <w:vanish/>
        </w:rPr>
        <w:t>ap:FairValueInputsLevel2Memberus-gaap:ShortTermInvestmentsMemberus-gaap:FairValueMeasurementsRecurringMemberintc:GovernmentDebtSecuritiesMember2022-12-310000050863us-gaap:ShortTermInvestmentsMemberus-gaap:FairValueInputsLevel3Memberus-gaap:FairValueMeasure</w:t>
      </w:r>
      <w:r>
        <w:rPr>
          <w:rFonts w:ascii="宋体" w:eastAsia="宋体" w:hAnsi="宋体" w:cs="宋体"/>
          <w:vanish/>
        </w:rPr>
        <w:t>mentsRecurringMemberintc:GovernmentDebtSecuritiesMember2022-12-310000050863us-gaap:ShortTermInvestmentsMemberus-gaap:FairValueMeasurementsRecurringMemberintc:GovernmentDebtSecuritiesMember2022-12-310000050863us-gaap:FairValueInputsLevel1Memberus-gaap:Short</w:t>
      </w:r>
      <w:r>
        <w:rPr>
          <w:rFonts w:ascii="宋体" w:eastAsia="宋体" w:hAnsi="宋体" w:cs="宋体"/>
          <w:vanish/>
        </w:rPr>
        <w:t>TermInvestmentsMemberus-gaap:FairValueMeasurementsRecurringMemberintc:GovernmentDebtSecuritiesMember2021-12-250000050863us-gaap:FairValueInputsLevel2Memberus-gaap:ShortTermInvestmentsMemberus-gaap:FairValueMeasurementsRecurringMemberintc:GovernmentDebtSecu</w:t>
      </w:r>
      <w:r>
        <w:rPr>
          <w:rFonts w:ascii="宋体" w:eastAsia="宋体" w:hAnsi="宋体" w:cs="宋体"/>
          <w:vanish/>
        </w:rPr>
        <w:t>ritiesMember2021-12-250000050863us-gaap:ShortTermInvestmentsMemberus-gaap:FairValueInputsLevel3Memberus-gaap:FairValueMeasurementsRecurringMemberintc:GovernmentDebtSecuritiesMember2021-12-250000050863us-gaap:ShortTermInvestmentsMemberus-gaap:FairValueMeasu</w:t>
      </w:r>
      <w:r>
        <w:rPr>
          <w:rFonts w:ascii="宋体" w:eastAsia="宋体" w:hAnsi="宋体" w:cs="宋体"/>
          <w:vanish/>
        </w:rPr>
        <w:t>rementsRecurringMemberintc:GovernmentDebtSecuritiesMember2021-12-250000050863us-gaap:FairValueInputsLevel1Memberus-gaap:FairValueMeasurementsRecurringMember2022-12-310000050863us-gaap:FairValueInputsLevel2Memberus-gaap:FairValueMeasurementsRecurringMember2</w:t>
      </w:r>
      <w:r>
        <w:rPr>
          <w:rFonts w:ascii="宋体" w:eastAsia="宋体" w:hAnsi="宋体" w:cs="宋体"/>
          <w:vanish/>
        </w:rPr>
        <w:t>022-12-310000050863us-gaap:FairValueInputsLevel3Memberus-gaap:FairValueMeasurementsRecurringMember2022-12-310000050863us-gaap:FairValueMeasurementsRecurringMember2022-12-310000050863us-gaap:FairValueInputsLevel1Memberus-gaap:FairValueMeasurementsRecurringM</w:t>
      </w:r>
      <w:r>
        <w:rPr>
          <w:rFonts w:ascii="宋体" w:eastAsia="宋体" w:hAnsi="宋体" w:cs="宋体"/>
          <w:vanish/>
        </w:rPr>
        <w:t>ember2021-12-250000050863us-gaap:FairValueInputsLevel2Memberus-gaap:FairValueMeasurementsRecurringMember2021-12-250000050863us-gaap:FairValueInputsLevel3Memberus-gaap:FairValueMeasurementsRecurringMember2021-12-250000050863us-gaap:FairValueMeasurementsRecu</w:t>
      </w:r>
      <w:r>
        <w:rPr>
          <w:rFonts w:ascii="宋体" w:eastAsia="宋体" w:hAnsi="宋体" w:cs="宋体"/>
          <w:vanish/>
        </w:rPr>
        <w:t>rringMember2021-12-250000050863us-gaap:FairValueInputsLevel1Memberus-gaap:OtherCurrentAssetsMemberus-gaap:FairValueMeasurementsRecurringMember2022-12-310000050863us-gaap:FairValueInputsLevel2Memberus-gaap:OtherCurrentAssetsMemberus-gaap:FairValueMeasuremen</w:t>
      </w:r>
      <w:r>
        <w:rPr>
          <w:rFonts w:ascii="宋体" w:eastAsia="宋体" w:hAnsi="宋体" w:cs="宋体"/>
          <w:vanish/>
        </w:rPr>
        <w:t>tsRecurringMember2022-12-310000050863us-gaap:OtherCurrentAssetsMemberus-gaap:FairValueInputsLevel3Memberus-gaap:FairValueMeasurementsRecurringMember2022-12-310000050863us-gaap:OtherCurrentAssetsMemberus-gaap:FairValueMeasurementsRecurringMember2022-12-3100</w:t>
      </w:r>
      <w:r>
        <w:rPr>
          <w:rFonts w:ascii="宋体" w:eastAsia="宋体" w:hAnsi="宋体" w:cs="宋体"/>
          <w:vanish/>
        </w:rPr>
        <w:t>00050863us-gaap:FairValueInputsLevel1Memberus-gaap:OtherCurrentAssetsMemberus-gaap:FairValueMeasurementsRecurringMember2021-12-250000050863us-gaap:FairValueInputsLevel2Memberus-gaap:OtherCurrentAssetsMemberus-gaap:FairValueMeasurementsRecurringMember2021-1</w:t>
      </w:r>
      <w:r>
        <w:rPr>
          <w:rFonts w:ascii="宋体" w:eastAsia="宋体" w:hAnsi="宋体" w:cs="宋体"/>
          <w:vanish/>
        </w:rPr>
        <w:t>2-250000050863us-gaap:OtherCurrentAssetsMemberus-gaap:FairValueInputsLevel3Memberus-gaap:FairValueMeasurementsRecurringMember2021-12-250000050863us-gaap:OtherCurrentAssetsMemberus-gaap:FairValueMeasurementsRecurringMember2021-12-250000050863us-gaap:FairVal</w:t>
      </w:r>
      <w:r>
        <w:rPr>
          <w:rFonts w:ascii="宋体" w:eastAsia="宋体" w:hAnsi="宋体" w:cs="宋体"/>
          <w:vanish/>
        </w:rPr>
        <w:t>ueInputsLevel1Memberus-gaap:EquitySecuritiesMemberus-gaap:FairValueMeasurementsRecurringMember2022-12-310000050863us-gaap:FairValueInputsLevel2Memberus-gaap:EquitySecuritiesMemberus-gaap:FairValueMeasurementsRecurringMember2022-12-310000050863us-gaap:Equit</w:t>
      </w:r>
      <w:r>
        <w:rPr>
          <w:rFonts w:ascii="宋体" w:eastAsia="宋体" w:hAnsi="宋体" w:cs="宋体"/>
          <w:vanish/>
        </w:rPr>
        <w:t>ySecuritiesMemberus-gaap:FairValueInputsLevel3Memberus-gaap:FairValueMeasurementsRecurringMember2022-12-310000050863us-gaap:EquitySecuritiesMemberus-gaap:FairValueMeasurementsRecurringMember2022-12-310000050863us-gaap:FairValueInputsLevel1Memberus-gaap:Equ</w:t>
      </w:r>
      <w:r>
        <w:rPr>
          <w:rFonts w:ascii="宋体" w:eastAsia="宋体" w:hAnsi="宋体" w:cs="宋体"/>
          <w:vanish/>
        </w:rPr>
        <w:t>itySecuritiesMemberus-gaap:FairValueMeasurementsRecurringMember2021-12-250000050863us-gaap:FairValueInputsLevel2Memberus-gaap:EquitySecuritiesMemberus-gaap:FairValueMeasurementsRecurringMember2021-12-250000050863us-gaap:EquitySecuritiesMemberus-gaap:FairVa</w:t>
      </w:r>
      <w:r>
        <w:rPr>
          <w:rFonts w:ascii="宋体" w:eastAsia="宋体" w:hAnsi="宋体" w:cs="宋体"/>
          <w:vanish/>
        </w:rPr>
        <w:t>lueInputsLevel3Memberus-gaap:FairValueMeasurementsRecurringMember2021-12-250000050863us-gaap:EquitySecuritiesMemberus-gaap:FairValueMeasurementsRecurringMember2021-12-250000050863us-gaap:FairValueInputsLevel1Memberus-gaap:OtherNoncurrentAssetsMemberus-gaap</w:t>
      </w:r>
      <w:r>
        <w:rPr>
          <w:rFonts w:ascii="宋体" w:eastAsia="宋体" w:hAnsi="宋体" w:cs="宋体"/>
          <w:vanish/>
        </w:rPr>
        <w:t>:FairValueMeasurementsRecurringMember2022-12-310000050863us-gaap:FairValueInputsLevel2Memberus-gaap:OtherNoncurrentAssetsMemberus-gaap:FairValueMeasurementsRecurringMember2022-12-310000050863us-gaap:OtherNoncurrentAssetsMemberus-gaap:FairValueInputsLevel3M</w:t>
      </w:r>
      <w:r>
        <w:rPr>
          <w:rFonts w:ascii="宋体" w:eastAsia="宋体" w:hAnsi="宋体" w:cs="宋体"/>
          <w:vanish/>
        </w:rPr>
        <w:t>emberus-gaap:FairValueMeasurementsRecurringMember2022-12-310000050863us-gaap:OtherNoncurrentAssetsMemberus-gaap:FairValueMeasurementsRecurringMember2022-12-310000050863us-gaap:FairValueInputsLevel1Memberus-gaap:OtherNoncurrentAssetsMemberus-gaap:FairValueM</w:t>
      </w:r>
      <w:r>
        <w:rPr>
          <w:rFonts w:ascii="宋体" w:eastAsia="宋体" w:hAnsi="宋体" w:cs="宋体"/>
          <w:vanish/>
        </w:rPr>
        <w:t>easurementsRecurringMember2021-12-250000050863us-gaap:FairValueInputsLevel2Memberus-gaap:OtherNoncurrentAssetsMemberus-gaap:FairValueMeasurementsRecurringMember2021-12-250000050863us-gaap:OtherNoncurrentAssetsMemberus-gaap:FairValueInputsLevel3Memberus-gaa</w:t>
      </w:r>
      <w:r>
        <w:rPr>
          <w:rFonts w:ascii="宋体" w:eastAsia="宋体" w:hAnsi="宋体" w:cs="宋体"/>
          <w:vanish/>
        </w:rPr>
        <w:t>p:FairValueMeasurementsRecurringMember2021-12-250000050863us-gaap:OtherNoncurrentAssetsMemberus-gaap:FairValueMeasurementsRecurringMember2021-12-250000050863us-gaap:FairValueMeasurementsNonrecurringMemberus-gaap:CostmethodInvestmentsMember2021-12-262022-12</w:t>
      </w:r>
      <w:r>
        <w:rPr>
          <w:rFonts w:ascii="宋体" w:eastAsia="宋体" w:hAnsi="宋体" w:cs="宋体"/>
          <w:vanish/>
        </w:rPr>
        <w:t>-310000050863us-gaap:FairValueMeasurementsNonrecurringMemberus-gaap:CostmethodInvestmentsMember2020-12-272021-12-250000050863us-gaap:CarryingReportedAmountFairValueDisclosureMemberus-gaap:FairValueMeasurementsNonrecurringMember2022-12-310000050863us-gaap:C</w:t>
      </w:r>
      <w:r>
        <w:rPr>
          <w:rFonts w:ascii="宋体" w:eastAsia="宋体" w:hAnsi="宋体" w:cs="宋体"/>
          <w:vanish/>
        </w:rPr>
        <w:t>arryingReportedAmountFairValueDisclosureMemberus-gaap:FairValueMeasurementsNonrecurringMember2021-12-250000050863us-gaap:CarryingReportedAmountFairValueDisclosureMemberus-gaap:FairValueInputsLevel2Memberus-gaap:FairValueMeasurementsNonrecurringMember2022-1</w:t>
      </w:r>
      <w:r>
        <w:rPr>
          <w:rFonts w:ascii="宋体" w:eastAsia="宋体" w:hAnsi="宋体" w:cs="宋体"/>
          <w:vanish/>
        </w:rPr>
        <w:t>2-310000050863us-gaap:CarryingReportedAmountFairValueDisclosureMemberus-gaap:FairValueInputsLevel2Memberus-gaap:FairValueMeasurementsNonrecurringMember2021-12-250000050863us-gaap:AccumulatedNetGainLossFromCashFlowHedgesIncludingPortionAttributableToNoncont</w:t>
      </w:r>
      <w:r>
        <w:rPr>
          <w:rFonts w:ascii="宋体" w:eastAsia="宋体" w:hAnsi="宋体" w:cs="宋体"/>
          <w:vanish/>
        </w:rPr>
        <w:t>rollingInterestMember2019-12-280000050863us-gaap:AccumulatedDefinedBenefitPlansAdjustmentNetGainLossIncludingPortionAttributableToNoncontrollingInterestMember2019-12-280000050863us-gaap:AccumulatedTranslationAdjustmentMember2019-12-280000050863us-gaap:Aoci</w:t>
      </w:r>
      <w:r>
        <w:rPr>
          <w:rFonts w:ascii="宋体" w:eastAsia="宋体" w:hAnsi="宋体" w:cs="宋体"/>
          <w:vanish/>
        </w:rPr>
        <w:t>IncludingPortionAttributableToNoncontrollingInterestMember2019-12-280000050863us-gaap:AccumulatedNetGainLossFromCashFlowHedgesIncludingPortionAttributableToNoncontrollingInterestMember2019-12-292020-12-260000050863us-gaap:AccumulatedDefinedBenefitPlansAdju</w:t>
      </w:r>
      <w:r>
        <w:rPr>
          <w:rFonts w:ascii="宋体" w:eastAsia="宋体" w:hAnsi="宋体" w:cs="宋体"/>
          <w:vanish/>
        </w:rPr>
        <w:t>stmentNetGainLossIncludingPortionAttributableToNoncontrollingInterestMember2019-12-292020-12-260000050863us-gaap:AccumulatedTranslationAdjustmentMember2019-12-292020-12-260000050863us-gaap:AccumulatedNetGainLossFromCashFlowHedgesIncludingPortionAttributabl</w:t>
      </w:r>
      <w:r>
        <w:rPr>
          <w:rFonts w:ascii="宋体" w:eastAsia="宋体" w:hAnsi="宋体" w:cs="宋体"/>
          <w:vanish/>
        </w:rPr>
        <w:t>eToNoncontrollingInterestMember2020-12-260000050863us-gaap:AccumulatedDefinedBenefitPlansAdjustmentNetGainLossIncludingPortionAttributableToNoncontrollingInterestMember2020-12-260000050863us-gaap:AccumulatedTranslationAdjustmentMember2020-12-260000050863us</w:t>
      </w:r>
      <w:r>
        <w:rPr>
          <w:rFonts w:ascii="宋体" w:eastAsia="宋体" w:hAnsi="宋体" w:cs="宋体"/>
          <w:vanish/>
        </w:rPr>
        <w:t>-gaap:AociIncludingPortionAttributableToNoncontrollingInterestMember2020-12-260000050863us-gaap:AccumulatedNetGainLossFromCashFlowHedgesIncludingPortionAttributableToNoncontrollingInterestMember2020-12-272021-12-250000050863us-gaap:AccumulatedDefinedBenefi</w:t>
      </w:r>
      <w:r>
        <w:rPr>
          <w:rFonts w:ascii="宋体" w:eastAsia="宋体" w:hAnsi="宋体" w:cs="宋体"/>
          <w:vanish/>
        </w:rPr>
        <w:t>tPlansAdjustmentNetGainLossIncludingPortionAttributableToNoncontrollingInterestMember2020-12-272021-12-250000050863us-gaap:AccumulatedTranslationAdjustmentMember2020-12-272021-12-250000050863us-gaap:AccumulatedNetGainLossFromCashFlowHedgesIncludingPortionA</w:t>
      </w:r>
      <w:r>
        <w:rPr>
          <w:rFonts w:ascii="宋体" w:eastAsia="宋体" w:hAnsi="宋体" w:cs="宋体"/>
          <w:vanish/>
        </w:rPr>
        <w:t>ttributableToNoncontrollingInterestMember2021-12-250000050863us-gaap:AccumulatedDefinedBenefitPlansAdjustmentNetGainLossIncludingPortionAttributableToNoncontrollingInterestMember2021-12-250000050863us-gaap:AccumulatedTranslationAdjustmentMember2021-12-2500</w:t>
      </w:r>
      <w:r>
        <w:rPr>
          <w:rFonts w:ascii="宋体" w:eastAsia="宋体" w:hAnsi="宋体" w:cs="宋体"/>
          <w:vanish/>
        </w:rPr>
        <w:t>00050863us-gaap:AociIncludingPortionAttributableToNoncontrollingInterestMember2021-12-250000050863us-gaap:AccumulatedNetGainLossFromCashFlowHedgesIncludingPortionAttributableToNoncontrollingInterestMember2021-12-262022-12-310000050863us-gaap:AccumulatedDef</w:t>
      </w:r>
      <w:r>
        <w:rPr>
          <w:rFonts w:ascii="宋体" w:eastAsia="宋体" w:hAnsi="宋体" w:cs="宋体"/>
          <w:vanish/>
        </w:rPr>
        <w:t>inedBenefitPlansAdjustmentNetGainLossIncludingPortionAttributableToNoncontrollingInterestMember2021-12-262022-12-310000050863us-gaap:AccumulatedTranslationAdjustmentMember2021-12-262022-12-310000050863us-gaap:AccumulatedNetGainLossFromCashFlowHedgesIncludi</w:t>
      </w:r>
      <w:r>
        <w:rPr>
          <w:rFonts w:ascii="宋体" w:eastAsia="宋体" w:hAnsi="宋体" w:cs="宋体"/>
          <w:vanish/>
        </w:rPr>
        <w:t>ngPortionAttributableToNoncontrollingInterestMember2022-12-310000050863us-gaap:AccumulatedDefinedBenefitPlansAdjustmentNetGainLossIncludingPortionAttributableToNoncontrollingInterestMember2022-12-310000050863us-gaap:AccumulatedTranslationAdjustmentMember20</w:t>
      </w:r>
      <w:r>
        <w:rPr>
          <w:rFonts w:ascii="宋体" w:eastAsia="宋体" w:hAnsi="宋体" w:cs="宋体"/>
          <w:vanish/>
        </w:rPr>
        <w:t>22-12-310000050863us-gaap:AociIncludingPortionAttributableToNoncontrollingInterestMember2022-12-310000050863us-gaap:ForeignExchangeContractMember2022-12-310000050863us-gaap:ForeignExchangeContractMember2021-12-250000050863us-gaap:ForeignExchangeContractMem</w:t>
      </w:r>
      <w:r>
        <w:rPr>
          <w:rFonts w:ascii="宋体" w:eastAsia="宋体" w:hAnsi="宋体" w:cs="宋体"/>
          <w:vanish/>
        </w:rPr>
        <w:t>ber2020-12-260000050863us-gaap:InterestRateContractMember2022-12-310000050863us-gaap:InterestRateContractMember2021-12-250000050863us-gaap:InterestRateContractMember2020-12-260000050863us-gaap:OtherContractMember2022-12-310000050863us-gaap:OtherContractMem</w:t>
      </w:r>
      <w:r>
        <w:rPr>
          <w:rFonts w:ascii="宋体" w:eastAsia="宋体" w:hAnsi="宋体" w:cs="宋体"/>
          <w:vanish/>
        </w:rPr>
        <w:t>ber2021-12-250000050863us-gaap:OtherContractMember2020-12-260000050863us-gaap:InterestRateSwapMemberus-gaap:LongTermDebtMemberus-gaap:FairValueHedgingMember2022-12-310000050863us-gaap:InterestRateSwapMemberus-gaap:LongTermDebtMemberus-gaap:FairValueHedging</w:t>
      </w:r>
      <w:r>
        <w:rPr>
          <w:rFonts w:ascii="宋体" w:eastAsia="宋体" w:hAnsi="宋体" w:cs="宋体"/>
          <w:vanish/>
        </w:rPr>
        <w:t>Member2021-12-250000050863us-gaap:ForeignExchangeContractMemberus-gaap:DesignatedAsHedgingInstrumentMemberus-gaap:OtherAssetsMember2022-12-310000050863us-gaap:ForeignExchangeContractMemberus-gaap:DesignatedAsHedgingInstrumentMemberus-gaap:OtherLiabilitiesM</w:t>
      </w:r>
      <w:r>
        <w:rPr>
          <w:rFonts w:ascii="宋体" w:eastAsia="宋体" w:hAnsi="宋体" w:cs="宋体"/>
          <w:vanish/>
        </w:rPr>
        <w:t>ember2022-12-310000050863us-gaap:ForeignExchangeContractMemberus-gaap:DesignatedAsHedgingInstrumentMemberus-gaap:OtherAssetsMember2021-12-250000050863us-gaap:ForeignExchangeContractMemberus-gaap:DesignatedAsHedgingInstrumentMemberus-gaap:OtherLiabilitiesMe</w:t>
      </w:r>
      <w:r>
        <w:rPr>
          <w:rFonts w:ascii="宋体" w:eastAsia="宋体" w:hAnsi="宋体" w:cs="宋体"/>
          <w:vanish/>
        </w:rPr>
        <w:t>mber2021-12-250000050863us-gaap:DesignatedAsHedgingInstrumentMemberus-gaap:OtherAssetsMemberus-gaap:InterestRateContractMember2022-12-310000050863us-gaap:DesignatedAsHedgingInstrumentMemberus-gaap:InterestRateContractMemberus-gaap:OtherLiabilitiesMember202</w:t>
      </w:r>
      <w:r>
        <w:rPr>
          <w:rFonts w:ascii="宋体" w:eastAsia="宋体" w:hAnsi="宋体" w:cs="宋体"/>
          <w:vanish/>
        </w:rPr>
        <w:t>2-12-310000050863us-gaap:DesignatedAsHedgingInstrumentMemberus-gaap:OtherAssetsMemberus-gaap:InterestRateContractMember2021-12-250000050863us-gaap:DesignatedAsHedgingInstrumentMemberus-gaap:InterestRateContractMemberus-gaap:OtherLiabilitiesMember2021-12-25</w:t>
      </w:r>
      <w:r>
        <w:rPr>
          <w:rFonts w:ascii="宋体" w:eastAsia="宋体" w:hAnsi="宋体" w:cs="宋体"/>
          <w:vanish/>
        </w:rPr>
        <w:t>0000050863us-gaap:DesignatedAsHedgingInstrumentMemberus-gaap:OtherAssetsMember2022-12-310000050863us-gaap:DesignatedAsHedgingInstrumentMemberus-gaap:OtherLiabilitiesMember2022-12-310000050863us-gaap:DesignatedAsHedgingInstrumentMemberus-gaap:OtherAssetsMem</w:t>
      </w:r>
      <w:r>
        <w:rPr>
          <w:rFonts w:ascii="宋体" w:eastAsia="宋体" w:hAnsi="宋体" w:cs="宋体"/>
          <w:vanish/>
        </w:rPr>
        <w:t>ber2021-12-250000050863us-gaap:DesignatedAsHedgingInstrumentMemberus-gaap:OtherLiabilitiesMember2021-12-250000050863us-gaap:ForeignExchangeContractMemberus-gaap:NondesignatedMemberus-gaap:OtherAssetsMember2022-12-310000050863us-gaap:ForeignExchangeContract</w:t>
      </w:r>
      <w:r>
        <w:rPr>
          <w:rFonts w:ascii="宋体" w:eastAsia="宋体" w:hAnsi="宋体" w:cs="宋体"/>
          <w:vanish/>
        </w:rPr>
        <w:t>Memberus-gaap:NondesignatedMemberus-gaap:OtherLiabilitiesMember2022-12-310000050863us-gaap:ForeignExchangeContractMemberus-gaap:NondesignatedMemberus-gaap:OtherAssetsMember2021-12-250000050863us-gaap:ForeignExchangeContractMemberus-gaap:NondesignatedMember</w:t>
      </w:r>
      <w:r>
        <w:rPr>
          <w:rFonts w:ascii="宋体" w:eastAsia="宋体" w:hAnsi="宋体" w:cs="宋体"/>
          <w:vanish/>
        </w:rPr>
        <w:t>us-gaap:OtherLiabilitiesMember2021-12-250000050863us-gaap:NondesignatedMemberus-gaap:OtherAssetsMemberus-gaap:InterestRateContractMember2022-12-310000050863us-gaap:NondesignatedMemberus-gaap:InterestRateContractMemberus-gaap:OtherLiabilitiesMember2022-12-3</w:t>
      </w:r>
      <w:r>
        <w:rPr>
          <w:rFonts w:ascii="宋体" w:eastAsia="宋体" w:hAnsi="宋体" w:cs="宋体"/>
          <w:vanish/>
        </w:rPr>
        <w:t>10000050863us-gaap:NondesignatedMemberus-gaap:OtherAssetsMemberus-gaap:InterestRateContractMember2021-12-250000050863us-gaap:NondesignatedMemberus-gaap:InterestRateContractMemberus-gaap:OtherLiabilitiesMember2021-12-250000050863us-gaap:NondesignatedMemberu</w:t>
      </w:r>
      <w:r>
        <w:rPr>
          <w:rFonts w:ascii="宋体" w:eastAsia="宋体" w:hAnsi="宋体" w:cs="宋体"/>
          <w:vanish/>
        </w:rPr>
        <w:t>s-gaap:OtherAssetsMemberus-gaap:OtherContractMember2022-12-310000050863us-gaap:NondesignatedMemberus-gaap:OtherContractMemberus-gaap:OtherLiabilitiesMember2022-12-310000050863us-gaap:NondesignatedMemberus-gaap:OtherAssetsMemberus-gaap:OtherContractMember20</w:t>
      </w:r>
      <w:r>
        <w:rPr>
          <w:rFonts w:ascii="宋体" w:eastAsia="宋体" w:hAnsi="宋体" w:cs="宋体"/>
          <w:vanish/>
        </w:rPr>
        <w:t>21-12-250000050863us-gaap:NondesignatedMemberus-gaap:OtherContractMemberus-gaap:OtherLiabilitiesMember2021-12-250000050863us-gaap:NondesignatedMemberus-gaap:OtherAssetsMember2022-12-310000050863us-gaap:NondesignatedMemberus-gaap:OtherLiabilitiesMember2022-</w:t>
      </w:r>
      <w:r>
        <w:rPr>
          <w:rFonts w:ascii="宋体" w:eastAsia="宋体" w:hAnsi="宋体" w:cs="宋体"/>
          <w:vanish/>
        </w:rPr>
        <w:t>12-310000050863us-gaap:NondesignatedMemberus-gaap:OtherAssetsMember2021-12-250000050863us-gaap:NondesignatedMemberus-gaap:OtherLiabilitiesMember2021-12-250000050863us-gaap:OtherAssetsMember2022-12-310000050863us-gaap:OtherLiabilitiesMember2022-12-310000050</w:t>
      </w:r>
      <w:r>
        <w:rPr>
          <w:rFonts w:ascii="宋体" w:eastAsia="宋体" w:hAnsi="宋体" w:cs="宋体"/>
          <w:vanish/>
        </w:rPr>
        <w:t>863us-gaap:OtherAssetsMember2021-12-250000050863us-gaap:OtherLiabilitiesMember2021-12-250000050863us-gaap:ForeignExchangeContractMember2021-12-262022-12-310000050863us-gaap:ForeignExchangeContractMember2020-12-272021-12-250000050863us-gaap:ForeignExchangeC</w:t>
      </w:r>
      <w:r>
        <w:rPr>
          <w:rFonts w:ascii="宋体" w:eastAsia="宋体" w:hAnsi="宋体" w:cs="宋体"/>
          <w:vanish/>
        </w:rPr>
        <w:t>ontractMember2019-12-292020-12-260000050863us-gaap:InterestRateContractMember2021-12-262022-12-310000050863us-gaap:InterestRateContractMember2020-12-272021-12-250000050863us-gaap:InterestRateContractMember2019-12-292020-12-260000050863us-gaap:ForeignExchan</w:t>
      </w:r>
      <w:r>
        <w:rPr>
          <w:rFonts w:ascii="宋体" w:eastAsia="宋体" w:hAnsi="宋体" w:cs="宋体"/>
          <w:vanish/>
        </w:rPr>
        <w:t>geContractMemberus-gaap:NondesignatedMember2020-12-272021-12-250000050863us-gaap:ForeignExchangeContractMemberus-gaap:NondesignatedMember2021-12-262022-12-310000050863us-gaap:ForeignExchangeContractMemberus-gaap:NondesignatedMember2019-12-292020-12-2600000</w:t>
      </w:r>
      <w:r>
        <w:rPr>
          <w:rFonts w:ascii="宋体" w:eastAsia="宋体" w:hAnsi="宋体" w:cs="宋体"/>
          <w:vanish/>
        </w:rPr>
        <w:t>50863us-gaap:DesignatedAsHedgingInstrumentMember2021-12-262022-12-310000050863us-gaap:DesignatedAsHedgingInstrumentMember2020-12-272021-12-250000050863us-gaap:DesignatedAsHedgingInstrumentMember2019-12-292020-12-260000050863us-gaap:InterestRateSwapMemberus</w:t>
      </w:r>
      <w:r>
        <w:rPr>
          <w:rFonts w:ascii="宋体" w:eastAsia="宋体" w:hAnsi="宋体" w:cs="宋体"/>
          <w:vanish/>
        </w:rPr>
        <w:t>-gaap:FairValueHedgingMember2021-12-262022-12-310000050863us-gaap:InterestRateSwapMemberus-gaap:FairValueHedgingMember2020-12-272021-12-250000050863us-gaap:ForeignExchangeContractMemberus-gaap:NondesignatedMember2022-10-022022-12-310000050863us-gaap:Nondes</w:t>
      </w:r>
      <w:r>
        <w:rPr>
          <w:rFonts w:ascii="宋体" w:eastAsia="宋体" w:hAnsi="宋体" w:cs="宋体"/>
          <w:vanish/>
        </w:rPr>
        <w:t>ignatedMemberus-gaap:InterestRateContractMember2021-12-262022-12-310000050863us-gaap:NondesignatedMemberus-gaap:InterestRateContractMember2019-12-292020-12-260000050863us-gaap:NondesignatedMemberus-gaap:InterestRateContractMember2020-12-272021-12-250000050</w:t>
      </w:r>
      <w:r>
        <w:rPr>
          <w:rFonts w:ascii="宋体" w:eastAsia="宋体" w:hAnsi="宋体" w:cs="宋体"/>
          <w:vanish/>
        </w:rPr>
        <w:t>863us-gaap:NondesignatedMemberus-gaap:OtherContractMember2020-12-272021-12-250000050863us-gaap:NondesignatedMemberus-gaap:OtherContractMember2019-12-292020-12-260000050863us-gaap:NondesignatedMemberus-gaap:OtherContractMember2021-12-262022-12-310000050863u</w:t>
      </w:r>
      <w:r>
        <w:rPr>
          <w:rFonts w:ascii="宋体" w:eastAsia="宋体" w:hAnsi="宋体" w:cs="宋体"/>
          <w:vanish/>
        </w:rPr>
        <w:t>s-gaap:NondesignatedMember2021-12-262022-12-310000050863us-gaap:NondesignatedMember2020-12-272021-12-250000050863us-gaap:NondesignatedMember2019-12-292020-12-260000050863us-gaap:FairValueHedgingMember2021-12-262022-12-310000050863us-gaap:FairValueHedgingMe</w:t>
      </w:r>
      <w:r>
        <w:rPr>
          <w:rFonts w:ascii="宋体" w:eastAsia="宋体" w:hAnsi="宋体" w:cs="宋体"/>
          <w:vanish/>
        </w:rPr>
        <w:t>mber2020-12-272021-12-250000050863country:US2021-12-262022-12-310000050863country:US2020-12-272021-12-250000050863country:US2019-12-292020-12-260000050863us-gaap:DefinedBenefitPostretirementHealthCoverageMembercountry:US2022-12-310000050863us-gaap:DefinedB</w:t>
      </w:r>
      <w:r>
        <w:rPr>
          <w:rFonts w:ascii="宋体" w:eastAsia="宋体" w:hAnsi="宋体" w:cs="宋体"/>
          <w:vanish/>
        </w:rPr>
        <w:t>enefitPostretirementHealthCoverageMembercountry:US2021-12-250000050863us-gaap:EquitySecuritiesMemberus-gaap:DefinedBenefitPostretirementHealthCoverageMembercountry:US2022-12-310000050863us-gaap:FixedIncomeSecuritiesMemberus-gaap:DefinedBenefitPostretiremen</w:t>
      </w:r>
      <w:r>
        <w:rPr>
          <w:rFonts w:ascii="宋体" w:eastAsia="宋体" w:hAnsi="宋体" w:cs="宋体"/>
          <w:vanish/>
        </w:rPr>
        <w:t>tHealthCoverageMembercountry:US2022-12-310000050863us-gaap:DefinedBenefitPostretirementHealthCoverageMember2021-12-262022-12-310000050863intc:OtherlongtermassetsMember2022-12-310000050863intc:OtherlongtermassetsMember2021-12-250000050863intc:Otherlongterml</w:t>
      </w:r>
      <w:r>
        <w:rPr>
          <w:rFonts w:ascii="宋体" w:eastAsia="宋体" w:hAnsi="宋体" w:cs="宋体"/>
          <w:vanish/>
        </w:rPr>
        <w:t>iabilitiesMember2022-12-310000050863intc:OtherlongtermliabilitiesMember2021-12-250000050863country:US2022-12-310000050863us-gaap:ForeignPlanMember2022-12-310000050863country:US2021-12-250000050863us-gaap:ForeignPlanMember2021-12-250000050863country:USus-ga</w:t>
      </w:r>
      <w:r>
        <w:rPr>
          <w:rFonts w:ascii="宋体" w:eastAsia="宋体" w:hAnsi="宋体" w:cs="宋体"/>
          <w:vanish/>
        </w:rPr>
        <w:t>ap:PensionPlansDefinedBenefitMember2021-12-262022-12-310000050863country:USus-gaap:PensionPlansDefinedBenefitMember2020-12-272021-12-250000050863country:USus-gaap:PensionPlansDefinedBenefitMember2019-12-292020-12-260000050863us-gaap:FairValueInputsLevel1Me</w:t>
      </w:r>
      <w:r>
        <w:rPr>
          <w:rFonts w:ascii="宋体" w:eastAsia="宋体" w:hAnsi="宋体" w:cs="宋体"/>
          <w:vanish/>
        </w:rPr>
        <w:t>mberus-gaap:EquitySecuritiesMember2022-12-310000050863us-gaap:FairValueInputsLevel2Memberus-gaap:EquitySecuritiesMember2022-12-310000050863us-gaap:EquitySecuritiesMemberus-gaap:FairValueInputsLevel3Member2022-12-310000050863us-gaap:EquitySecuritiesMember20</w:t>
      </w:r>
      <w:r>
        <w:rPr>
          <w:rFonts w:ascii="宋体" w:eastAsia="宋体" w:hAnsi="宋体" w:cs="宋体"/>
          <w:vanish/>
        </w:rPr>
        <w:t>22-12-310000050863us-gaap:EquitySecuritiesMember2021-12-250000050863us-gaap:FairValueInputsLevel1Memberus-gaap:FixedIncomeSecuritiesMember2022-12-310000050863us-gaap:FixedIncomeSecuritiesMemberus-gaap:FairValueInputsLevel2Member2022-12-310000050863us-gaap:</w:t>
      </w:r>
      <w:r>
        <w:rPr>
          <w:rFonts w:ascii="宋体" w:eastAsia="宋体" w:hAnsi="宋体" w:cs="宋体"/>
          <w:vanish/>
        </w:rPr>
        <w:t>FixedIncomeSecuritiesMemberus-gaap:FairValueInputsLevel3Member2022-12-310000050863us-gaap:FixedIncomeSecuritiesMember2022-12-310000050863us-gaap:FixedIncomeSecuritiesMember2021-12-250000050863us-gaap:FairValueInputsLevel1Member2022-12-310000050863us-gaap:F</w:t>
      </w:r>
      <w:r>
        <w:rPr>
          <w:rFonts w:ascii="宋体" w:eastAsia="宋体" w:hAnsi="宋体" w:cs="宋体"/>
          <w:vanish/>
        </w:rPr>
        <w:t>airValueInputsLevel2Member2022-12-310000050863us-gaap:FairValueInputsLevel3Member2022-12-310000050863us-gaap:PensionPlansDefinedBenefitMember2022-12-310000050863us-gaap:PensionPlansDefinedBenefitMember2021-12-250000050863intc:AssetsmeasuredatnetassetvalueM</w:t>
      </w:r>
      <w:r>
        <w:rPr>
          <w:rFonts w:ascii="宋体" w:eastAsia="宋体" w:hAnsi="宋体" w:cs="宋体"/>
          <w:vanish/>
        </w:rPr>
        <w:t>ember2022-12-310000050863intc:AssetsmeasuredatnetassetvalueMember2021-12-250000050863us-gaap:CashAndCashEquivalentsMember2022-12-310000050863us-gaap:CashAndCashEquivalentsMember2021-12-250000050863us-gaap:FixedIncomeSecuritiesMembercountry:US2022-12-310000</w:t>
      </w:r>
      <w:r>
        <w:rPr>
          <w:rFonts w:ascii="宋体" w:eastAsia="宋体" w:hAnsi="宋体" w:cs="宋体"/>
          <w:vanish/>
        </w:rPr>
        <w:t>050863us-gaap:EquitySecuritiesMembercountry:US2022-12-310000050863us-gaap:HedgeFundsMemberus-gaap:ForeignPlanMember2022-12-310000050863us-gaap:PensionPlansDefinedBenefitMember2021-12-262022-12-310000050863intc:EquityIncentivePlanOneMember2022-12-3100000508</w:t>
      </w:r>
      <w:r>
        <w:rPr>
          <w:rFonts w:ascii="宋体" w:eastAsia="宋体" w:hAnsi="宋体" w:cs="宋体"/>
          <w:vanish/>
        </w:rPr>
        <w:t>63srt:MinimumMemberintc:MarketBasedRestrictedStockUnitsMember2022-12-310000050863srt:MaximumMemberintc:MarketBasedRestrictedStockUnitsMember2022-12-310000050863intc:MarketBasedRestrictedStockUnitsMember2022-12-310000050863us-gaap:RestrictedStockUnitsRSUMem</w:t>
      </w:r>
      <w:r>
        <w:rPr>
          <w:rFonts w:ascii="宋体" w:eastAsia="宋体" w:hAnsi="宋体" w:cs="宋体"/>
          <w:vanish/>
        </w:rPr>
        <w:t>ber2021-12-262022-12-310000050863us-gaap:RestrictedStockUnitsRSUMember2020-12-272021-12-250000050863us-gaap:RestrictedStockUnitsRSUMember2019-12-292020-12-260000050863intc:MarketBasedRestrictedStockUnitsMember2021-12-262022-12-310000050863intc:MarketBasedR</w:t>
      </w:r>
      <w:r>
        <w:rPr>
          <w:rFonts w:ascii="宋体" w:eastAsia="宋体" w:hAnsi="宋体" w:cs="宋体"/>
          <w:vanish/>
        </w:rPr>
        <w:t>estrictedStockUnitsMember2020-12-272021-12-250000050863intc:MarketBasedRestrictedStockUnitsMember2019-12-292020-12-260000050863us-gaap:RestrictedStockUnitsRSUMember2021-12-250000050863us-gaap:RestrictedStockUnitsRSUMember2022-12-310000050863intc:StockPurch</w:t>
      </w:r>
      <w:r>
        <w:rPr>
          <w:rFonts w:ascii="宋体" w:eastAsia="宋体" w:hAnsi="宋体" w:cs="宋体"/>
          <w:vanish/>
        </w:rPr>
        <w:t>asePlanMember2021-12-262022-12-310000050863intc:StockPurchasePlanMember2022-12-310000050863intc:StockPurchasePlanRIghtsMember2021-12-262022-12-310000050863intc:StockPurchasePlanRIghtsMember2020-12-272021-12-250000050863intc:StockPurchasePlanRIghtsMember201</w:t>
      </w:r>
      <w:r>
        <w:rPr>
          <w:rFonts w:ascii="宋体" w:eastAsia="宋体" w:hAnsi="宋体" w:cs="宋体"/>
          <w:vanish/>
        </w:rPr>
        <w:t>9-12-292020-12-260000050863intc:StockPurchasePlanRIghtsMember2022-12-310000050863us-gaap:AccruedLiabilitiesMember2022-12-310000050863us-gaap:OtherNoncurrentLiabilitiesMember2022-12-310000050863srt:MinimumMember2022-12-310000050863srt:MaximumMember2022-12-3</w:t>
      </w:r>
      <w:r>
        <w:rPr>
          <w:rFonts w:ascii="宋体" w:eastAsia="宋体" w:hAnsi="宋体" w:cs="宋体"/>
          <w:vanish/>
        </w:rPr>
        <w:t>10000050863intc:SupplierCapacityEightYearLeaseMember2022-12-310000050863intc:SupplierCapacityEightYearLeaseMember2021-12-262022-12-310000050863us-gaap:CapitalAdditionsMember2022-12-310000050863us-gaap:CapitalAdditionsMember2021-12-250000050863intc:Semicond</w:t>
      </w:r>
      <w:r>
        <w:rPr>
          <w:rFonts w:ascii="宋体" w:eastAsia="宋体" w:hAnsi="宋体" w:cs="宋体"/>
          <w:vanish/>
        </w:rPr>
        <w:t>uctorCoInvestmentProgramConstructionCostsMember2022-12-310000050863intc:VLSITechnologyLLCVIntelMember2022-11-012022-11-30</w:t>
      </w:r>
    </w:p>
    <w:p w14:paraId="5A1AF140" w14:textId="77777777" w:rsidR="00960BB8" w:rsidRDefault="00960BB8"/>
    <w:p w14:paraId="5A1AF141" w14:textId="77777777" w:rsidR="00960BB8" w:rsidRDefault="00960BB8">
      <w:pPr>
        <w:jc w:val="center"/>
      </w:pPr>
    </w:p>
    <w:p w14:paraId="5A1AF142" w14:textId="77777777" w:rsidR="00960BB8" w:rsidRDefault="00C06650">
      <w:pPr>
        <w:jc w:val="center"/>
      </w:pPr>
      <w:r>
        <w:rPr>
          <w:rFonts w:ascii="Arial" w:eastAsia="宋体" w:hAnsi="Arial" w:cs="Arial"/>
          <w:b/>
          <w:bCs/>
          <w:color w:val="262626"/>
          <w:sz w:val="32"/>
          <w:szCs w:val="32"/>
        </w:rPr>
        <w:t>UNITED STATES SECURITIES AND EXCHANGE COMMISSION</w:t>
      </w:r>
    </w:p>
    <w:p w14:paraId="5A1AF143" w14:textId="77777777" w:rsidR="00960BB8" w:rsidRDefault="00C06650">
      <w:pPr>
        <w:jc w:val="center"/>
      </w:pPr>
      <w:r>
        <w:rPr>
          <w:rFonts w:ascii="Arial" w:eastAsia="宋体" w:hAnsi="Arial" w:cs="Arial"/>
          <w:b/>
          <w:bCs/>
          <w:color w:val="262626"/>
          <w:sz w:val="22"/>
          <w:szCs w:val="22"/>
        </w:rPr>
        <w:t>Washington, D.C. 20549</w:t>
      </w:r>
    </w:p>
    <w:tbl>
      <w:tblPr>
        <w:tblW w:w="1824" w:type="pct"/>
        <w:jc w:val="center"/>
        <w:tblCellMar>
          <w:top w:w="15" w:type="dxa"/>
          <w:left w:w="15" w:type="dxa"/>
          <w:bottom w:w="15" w:type="dxa"/>
          <w:right w:w="15" w:type="dxa"/>
        </w:tblCellMar>
        <w:tblLook w:val="04A0" w:firstRow="1" w:lastRow="0" w:firstColumn="1" w:lastColumn="0" w:noHBand="0" w:noVBand="1"/>
      </w:tblPr>
      <w:tblGrid>
        <w:gridCol w:w="36"/>
        <w:gridCol w:w="2969"/>
        <w:gridCol w:w="36"/>
      </w:tblGrid>
      <w:tr w:rsidR="00960BB8" w14:paraId="5A1AF147" w14:textId="77777777">
        <w:trPr>
          <w:jc w:val="center"/>
        </w:trPr>
        <w:tc>
          <w:tcPr>
            <w:tcW w:w="50" w:type="pct"/>
            <w:shd w:val="clear" w:color="auto" w:fill="auto"/>
            <w:vAlign w:val="bottom"/>
          </w:tcPr>
          <w:p w14:paraId="5A1AF144" w14:textId="77777777" w:rsidR="00960BB8" w:rsidRDefault="00960BB8">
            <w:pPr>
              <w:rPr>
                <w:rFonts w:ascii="宋体"/>
              </w:rPr>
            </w:pPr>
          </w:p>
        </w:tc>
        <w:tc>
          <w:tcPr>
            <w:tcW w:w="4945" w:type="pct"/>
            <w:shd w:val="clear" w:color="auto" w:fill="auto"/>
            <w:vAlign w:val="bottom"/>
          </w:tcPr>
          <w:p w14:paraId="5A1AF145" w14:textId="77777777" w:rsidR="00960BB8" w:rsidRDefault="00960BB8">
            <w:pPr>
              <w:rPr>
                <w:rFonts w:ascii="宋体"/>
              </w:rPr>
            </w:pPr>
          </w:p>
        </w:tc>
        <w:tc>
          <w:tcPr>
            <w:tcW w:w="5" w:type="pct"/>
            <w:shd w:val="clear" w:color="auto" w:fill="auto"/>
            <w:vAlign w:val="bottom"/>
          </w:tcPr>
          <w:p w14:paraId="5A1AF146" w14:textId="77777777" w:rsidR="00960BB8" w:rsidRDefault="00960BB8">
            <w:pPr>
              <w:rPr>
                <w:rFonts w:ascii="宋体"/>
              </w:rPr>
            </w:pPr>
          </w:p>
        </w:tc>
      </w:tr>
      <w:tr w:rsidR="00960BB8" w14:paraId="5A1AF149" w14:textId="77777777">
        <w:trPr>
          <w:trHeight w:val="60"/>
          <w:jc w:val="center"/>
        </w:trPr>
        <w:tc>
          <w:tcPr>
            <w:tcW w:w="0" w:type="auto"/>
            <w:gridSpan w:val="3"/>
            <w:tcBorders>
              <w:top w:val="single" w:sz="8" w:space="0" w:color="333333"/>
            </w:tcBorders>
            <w:shd w:val="clear" w:color="auto" w:fill="auto"/>
            <w:tcMar>
              <w:top w:w="0" w:type="dxa"/>
              <w:left w:w="20" w:type="dxa"/>
              <w:bottom w:w="0" w:type="dxa"/>
              <w:right w:w="20" w:type="dxa"/>
            </w:tcMar>
            <w:vAlign w:val="bottom"/>
          </w:tcPr>
          <w:p w14:paraId="5A1AF148" w14:textId="77777777" w:rsidR="00960BB8" w:rsidRDefault="00960BB8">
            <w:pPr>
              <w:rPr>
                <w:rFonts w:ascii="宋体"/>
              </w:rPr>
            </w:pPr>
          </w:p>
        </w:tc>
      </w:tr>
    </w:tbl>
    <w:p w14:paraId="5A1AF14A" w14:textId="77777777" w:rsidR="00960BB8" w:rsidRDefault="00C06650">
      <w:pPr>
        <w:jc w:val="center"/>
      </w:pPr>
      <w:r>
        <w:rPr>
          <w:rFonts w:ascii="Arial" w:eastAsia="宋体" w:hAnsi="Arial" w:cs="Arial"/>
          <w:b/>
          <w:bCs/>
          <w:color w:val="262626"/>
          <w:sz w:val="32"/>
          <w:szCs w:val="32"/>
        </w:rPr>
        <w:t xml:space="preserve">FORM 10-K </w:t>
      </w:r>
    </w:p>
    <w:p w14:paraId="5A1AF14B" w14:textId="77777777" w:rsidR="00960BB8" w:rsidRDefault="00C06650">
      <w:r>
        <w:rPr>
          <w:rFonts w:ascii="Arial" w:eastAsia="宋体" w:hAnsi="Arial" w:cs="Arial"/>
          <w:b/>
          <w:bCs/>
          <w:color w:val="262626"/>
          <w:sz w:val="18"/>
          <w:szCs w:val="18"/>
        </w:rPr>
        <w:t>(Mark One)</w:t>
      </w:r>
    </w:p>
    <w:tbl>
      <w:tblPr>
        <w:tblW w:w="5000" w:type="pct"/>
        <w:tblCellMar>
          <w:top w:w="15" w:type="dxa"/>
          <w:left w:w="15" w:type="dxa"/>
          <w:bottom w:w="15" w:type="dxa"/>
          <w:right w:w="15" w:type="dxa"/>
        </w:tblCellMar>
        <w:tblLook w:val="04A0" w:firstRow="1" w:lastRow="0" w:firstColumn="1" w:lastColumn="0" w:noHBand="0" w:noVBand="1"/>
      </w:tblPr>
      <w:tblGrid>
        <w:gridCol w:w="74"/>
        <w:gridCol w:w="309"/>
        <w:gridCol w:w="36"/>
        <w:gridCol w:w="69"/>
        <w:gridCol w:w="7811"/>
        <w:gridCol w:w="37"/>
      </w:tblGrid>
      <w:tr w:rsidR="00960BB8" w14:paraId="5A1AF152" w14:textId="77777777">
        <w:tc>
          <w:tcPr>
            <w:tcW w:w="50" w:type="pct"/>
            <w:shd w:val="clear" w:color="auto" w:fill="auto"/>
            <w:vAlign w:val="bottom"/>
          </w:tcPr>
          <w:p w14:paraId="5A1AF14C" w14:textId="77777777" w:rsidR="00960BB8" w:rsidRDefault="00960BB8">
            <w:pPr>
              <w:rPr>
                <w:rFonts w:ascii="宋体"/>
              </w:rPr>
            </w:pPr>
          </w:p>
        </w:tc>
        <w:tc>
          <w:tcPr>
            <w:tcW w:w="197" w:type="pct"/>
            <w:shd w:val="clear" w:color="auto" w:fill="auto"/>
            <w:vAlign w:val="bottom"/>
          </w:tcPr>
          <w:p w14:paraId="5A1AF14D" w14:textId="77777777" w:rsidR="00960BB8" w:rsidRDefault="00960BB8">
            <w:pPr>
              <w:rPr>
                <w:rFonts w:ascii="宋体"/>
              </w:rPr>
            </w:pPr>
          </w:p>
        </w:tc>
        <w:tc>
          <w:tcPr>
            <w:tcW w:w="5" w:type="pct"/>
            <w:shd w:val="clear" w:color="auto" w:fill="auto"/>
            <w:vAlign w:val="bottom"/>
          </w:tcPr>
          <w:p w14:paraId="5A1AF14E" w14:textId="77777777" w:rsidR="00960BB8" w:rsidRDefault="00960BB8">
            <w:pPr>
              <w:rPr>
                <w:rFonts w:ascii="宋体"/>
              </w:rPr>
            </w:pPr>
          </w:p>
        </w:tc>
        <w:tc>
          <w:tcPr>
            <w:tcW w:w="50" w:type="pct"/>
            <w:shd w:val="clear" w:color="auto" w:fill="auto"/>
            <w:vAlign w:val="bottom"/>
          </w:tcPr>
          <w:p w14:paraId="5A1AF14F" w14:textId="77777777" w:rsidR="00960BB8" w:rsidRDefault="00960BB8">
            <w:pPr>
              <w:rPr>
                <w:rFonts w:ascii="宋体"/>
              </w:rPr>
            </w:pPr>
          </w:p>
        </w:tc>
        <w:tc>
          <w:tcPr>
            <w:tcW w:w="4692" w:type="pct"/>
            <w:shd w:val="clear" w:color="auto" w:fill="auto"/>
            <w:vAlign w:val="bottom"/>
          </w:tcPr>
          <w:p w14:paraId="5A1AF150" w14:textId="77777777" w:rsidR="00960BB8" w:rsidRDefault="00960BB8">
            <w:pPr>
              <w:rPr>
                <w:rFonts w:ascii="宋体"/>
              </w:rPr>
            </w:pPr>
          </w:p>
        </w:tc>
        <w:tc>
          <w:tcPr>
            <w:tcW w:w="5" w:type="pct"/>
            <w:shd w:val="clear" w:color="auto" w:fill="auto"/>
            <w:vAlign w:val="bottom"/>
          </w:tcPr>
          <w:p w14:paraId="5A1AF151" w14:textId="77777777" w:rsidR="00960BB8" w:rsidRDefault="00960BB8">
            <w:pPr>
              <w:rPr>
                <w:rFonts w:ascii="宋体"/>
              </w:rPr>
            </w:pPr>
          </w:p>
        </w:tc>
      </w:tr>
      <w:tr w:rsidR="00960BB8" w14:paraId="5A1AF155" w14:textId="77777777">
        <w:tc>
          <w:tcPr>
            <w:tcW w:w="0" w:type="auto"/>
            <w:gridSpan w:val="3"/>
            <w:shd w:val="clear" w:color="auto" w:fill="auto"/>
            <w:tcMar>
              <w:top w:w="40" w:type="dxa"/>
              <w:left w:w="20" w:type="dxa"/>
              <w:bottom w:w="40" w:type="dxa"/>
              <w:right w:w="20" w:type="dxa"/>
            </w:tcMar>
            <w:vAlign w:val="bottom"/>
          </w:tcPr>
          <w:p w14:paraId="5A1AF153" w14:textId="77777777" w:rsidR="00960BB8" w:rsidRDefault="00C06650">
            <w:pPr>
              <w:jc w:val="center"/>
              <w:textAlignment w:val="bottom"/>
            </w:pPr>
            <w:r>
              <w:rPr>
                <w:rFonts w:ascii="Arial Unicode MS" w:eastAsia="Arial Unicode MS" w:hAnsi="Arial Unicode MS" w:cs="Arial Unicode MS"/>
                <w:color w:val="262626"/>
              </w:rPr>
              <w:t>☑</w:t>
            </w:r>
          </w:p>
        </w:tc>
        <w:tc>
          <w:tcPr>
            <w:tcW w:w="0" w:type="auto"/>
            <w:gridSpan w:val="3"/>
            <w:shd w:val="clear" w:color="auto" w:fill="auto"/>
            <w:tcMar>
              <w:top w:w="40" w:type="dxa"/>
              <w:left w:w="20" w:type="dxa"/>
              <w:bottom w:w="40" w:type="dxa"/>
              <w:right w:w="20" w:type="dxa"/>
            </w:tcMar>
            <w:vAlign w:val="bottom"/>
          </w:tcPr>
          <w:p w14:paraId="5A1AF154" w14:textId="77777777" w:rsidR="00960BB8" w:rsidRDefault="00C06650">
            <w:pPr>
              <w:textAlignment w:val="bottom"/>
            </w:pPr>
            <w:r>
              <w:rPr>
                <w:rFonts w:ascii="Arial" w:eastAsia="宋体" w:hAnsi="Arial" w:cs="Arial"/>
                <w:b/>
                <w:bCs/>
                <w:color w:val="262626"/>
                <w:sz w:val="16"/>
                <w:szCs w:val="16"/>
              </w:rPr>
              <w:t xml:space="preserve">ANNUAL REPORT </w:t>
            </w:r>
            <w:r>
              <w:rPr>
                <w:rFonts w:ascii="Arial" w:eastAsia="宋体" w:hAnsi="Arial" w:cs="Arial"/>
                <w:b/>
                <w:bCs/>
                <w:color w:val="262626"/>
                <w:sz w:val="16"/>
                <w:szCs w:val="16"/>
              </w:rPr>
              <w:t>PURSUANT TO SECTION 13 OR 15(d) OF THE SECURITIES EXCHANGE ACT OF 1934</w:t>
            </w:r>
          </w:p>
        </w:tc>
      </w:tr>
      <w:tr w:rsidR="00960BB8" w14:paraId="5A1AF158" w14:textId="77777777">
        <w:tc>
          <w:tcPr>
            <w:tcW w:w="0" w:type="auto"/>
            <w:gridSpan w:val="3"/>
            <w:shd w:val="clear" w:color="auto" w:fill="auto"/>
            <w:tcMar>
              <w:top w:w="0" w:type="dxa"/>
              <w:left w:w="20" w:type="dxa"/>
              <w:bottom w:w="0" w:type="dxa"/>
              <w:right w:w="20" w:type="dxa"/>
            </w:tcMar>
            <w:vAlign w:val="bottom"/>
          </w:tcPr>
          <w:p w14:paraId="5A1AF15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157" w14:textId="77777777" w:rsidR="00960BB8" w:rsidRDefault="00C06650">
            <w:pPr>
              <w:textAlignment w:val="bottom"/>
            </w:pPr>
            <w:r>
              <w:rPr>
                <w:rFonts w:ascii="Arial" w:eastAsia="宋体" w:hAnsi="Arial" w:cs="Arial"/>
                <w:color w:val="262626"/>
                <w:sz w:val="16"/>
                <w:szCs w:val="16"/>
              </w:rPr>
              <w:t>For the fiscal year ended December 31, 2022.</w:t>
            </w:r>
          </w:p>
        </w:tc>
      </w:tr>
      <w:tr w:rsidR="00960BB8" w14:paraId="5A1AF15B" w14:textId="77777777">
        <w:tc>
          <w:tcPr>
            <w:tcW w:w="0" w:type="auto"/>
            <w:gridSpan w:val="3"/>
            <w:shd w:val="clear" w:color="auto" w:fill="auto"/>
            <w:tcMar>
              <w:top w:w="0" w:type="dxa"/>
              <w:left w:w="20" w:type="dxa"/>
              <w:bottom w:w="0" w:type="dxa"/>
              <w:right w:w="20" w:type="dxa"/>
            </w:tcMar>
            <w:vAlign w:val="bottom"/>
          </w:tcPr>
          <w:p w14:paraId="5A1AF15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15A" w14:textId="77777777" w:rsidR="00960BB8" w:rsidRDefault="00C06650">
            <w:pPr>
              <w:textAlignment w:val="bottom"/>
            </w:pPr>
            <w:r>
              <w:rPr>
                <w:rFonts w:ascii="Arial" w:eastAsia="宋体" w:hAnsi="Arial" w:cs="Arial"/>
                <w:color w:val="262626"/>
                <w:sz w:val="16"/>
                <w:szCs w:val="16"/>
              </w:rPr>
              <w:t>or</w:t>
            </w:r>
          </w:p>
        </w:tc>
      </w:tr>
      <w:tr w:rsidR="00960BB8" w14:paraId="5A1AF15E" w14:textId="77777777">
        <w:tc>
          <w:tcPr>
            <w:tcW w:w="0" w:type="auto"/>
            <w:gridSpan w:val="3"/>
            <w:shd w:val="clear" w:color="auto" w:fill="auto"/>
            <w:tcMar>
              <w:top w:w="40" w:type="dxa"/>
              <w:left w:w="20" w:type="dxa"/>
              <w:bottom w:w="40" w:type="dxa"/>
              <w:right w:w="20" w:type="dxa"/>
            </w:tcMar>
          </w:tcPr>
          <w:p w14:paraId="5A1AF15C" w14:textId="77777777" w:rsidR="00960BB8" w:rsidRDefault="00C06650">
            <w:pPr>
              <w:jc w:val="center"/>
              <w:textAlignment w:val="top"/>
            </w:pPr>
            <w:r>
              <w:rPr>
                <w:rFonts w:ascii="Arial Unicode MS" w:eastAsia="Arial Unicode MS" w:hAnsi="Arial Unicode MS" w:cs="Arial Unicode MS" w:hint="eastAsia"/>
                <w:color w:val="262626"/>
              </w:rPr>
              <w:t>☐</w:t>
            </w:r>
          </w:p>
        </w:tc>
        <w:tc>
          <w:tcPr>
            <w:tcW w:w="0" w:type="auto"/>
            <w:gridSpan w:val="3"/>
            <w:shd w:val="clear" w:color="auto" w:fill="auto"/>
            <w:tcMar>
              <w:top w:w="40" w:type="dxa"/>
              <w:left w:w="20" w:type="dxa"/>
              <w:bottom w:w="40" w:type="dxa"/>
              <w:right w:w="20" w:type="dxa"/>
            </w:tcMar>
            <w:vAlign w:val="bottom"/>
          </w:tcPr>
          <w:p w14:paraId="5A1AF15D" w14:textId="77777777" w:rsidR="00960BB8" w:rsidRDefault="00C06650">
            <w:pPr>
              <w:textAlignment w:val="bottom"/>
            </w:pPr>
            <w:r>
              <w:rPr>
                <w:rFonts w:ascii="Arial" w:eastAsia="宋体" w:hAnsi="Arial" w:cs="Arial"/>
                <w:b/>
                <w:bCs/>
                <w:color w:val="262626"/>
                <w:sz w:val="16"/>
                <w:szCs w:val="16"/>
              </w:rPr>
              <w:t>TRANSITION REPORT PURSUANT TO SECTION 13 OR 15(d) OF THE SECURITIES EXCHANGE ACT OF 1934</w:t>
            </w:r>
          </w:p>
        </w:tc>
      </w:tr>
      <w:tr w:rsidR="00960BB8" w14:paraId="5A1AF161" w14:textId="77777777">
        <w:tc>
          <w:tcPr>
            <w:tcW w:w="0" w:type="auto"/>
            <w:gridSpan w:val="3"/>
            <w:shd w:val="clear" w:color="auto" w:fill="auto"/>
            <w:tcMar>
              <w:top w:w="0" w:type="dxa"/>
              <w:left w:w="20" w:type="dxa"/>
              <w:bottom w:w="0" w:type="dxa"/>
              <w:right w:w="20" w:type="dxa"/>
            </w:tcMar>
            <w:vAlign w:val="bottom"/>
          </w:tcPr>
          <w:p w14:paraId="5A1AF15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160" w14:textId="77777777" w:rsidR="00960BB8" w:rsidRDefault="00C06650">
            <w:pPr>
              <w:spacing w:before="40"/>
              <w:textAlignment w:val="bottom"/>
            </w:pPr>
            <w:r>
              <w:rPr>
                <w:rFonts w:ascii="Arial" w:eastAsia="宋体" w:hAnsi="Arial" w:cs="Arial"/>
                <w:color w:val="262626"/>
                <w:sz w:val="16"/>
                <w:szCs w:val="16"/>
              </w:rPr>
              <w:t xml:space="preserve">For the transition period from </w:t>
            </w:r>
            <w:r>
              <w:rPr>
                <w:rFonts w:ascii="Arial" w:eastAsia="宋体" w:hAnsi="Arial" w:cs="Arial"/>
                <w:color w:val="262626"/>
                <w:sz w:val="16"/>
                <w:szCs w:val="16"/>
                <w:u w:val="single"/>
              </w:rPr>
              <w:t>                    </w:t>
            </w:r>
            <w:r>
              <w:rPr>
                <w:rFonts w:ascii="Arial" w:eastAsia="宋体" w:hAnsi="Arial" w:cs="Arial"/>
                <w:color w:val="262626"/>
                <w:sz w:val="16"/>
                <w:szCs w:val="16"/>
              </w:rPr>
              <w:t xml:space="preserve"> to</w:t>
            </w:r>
            <w:r>
              <w:rPr>
                <w:rFonts w:ascii="Arial" w:eastAsia="宋体" w:hAnsi="Arial" w:cs="Arial"/>
                <w:color w:val="262626"/>
                <w:sz w:val="16"/>
                <w:szCs w:val="16"/>
                <w:u w:val="single"/>
              </w:rPr>
              <w:t>                    </w:t>
            </w:r>
            <w:r>
              <w:rPr>
                <w:rFonts w:ascii="Arial" w:eastAsia="宋体" w:hAnsi="Arial" w:cs="Arial"/>
                <w:color w:val="262626"/>
                <w:sz w:val="16"/>
                <w:szCs w:val="16"/>
              </w:rPr>
              <w:t>.</w:t>
            </w:r>
          </w:p>
        </w:tc>
      </w:tr>
    </w:tbl>
    <w:p w14:paraId="5A1AF162" w14:textId="77777777" w:rsidR="00960BB8" w:rsidRDefault="00C06650">
      <w:pPr>
        <w:jc w:val="center"/>
      </w:pPr>
      <w:r>
        <w:rPr>
          <w:rFonts w:ascii="Arial" w:eastAsia="宋体" w:hAnsi="Arial" w:cs="Arial"/>
          <w:b/>
          <w:bCs/>
          <w:color w:val="262626"/>
          <w:sz w:val="18"/>
          <w:szCs w:val="18"/>
        </w:rPr>
        <w:t xml:space="preserve">Commission File Number 000-06217 </w:t>
      </w:r>
    </w:p>
    <w:tbl>
      <w:tblPr>
        <w:tblW w:w="1824" w:type="pct"/>
        <w:jc w:val="center"/>
        <w:tblCellMar>
          <w:top w:w="15" w:type="dxa"/>
          <w:left w:w="15" w:type="dxa"/>
          <w:bottom w:w="15" w:type="dxa"/>
          <w:right w:w="15" w:type="dxa"/>
        </w:tblCellMar>
        <w:tblLook w:val="04A0" w:firstRow="1" w:lastRow="0" w:firstColumn="1" w:lastColumn="0" w:noHBand="0" w:noVBand="1"/>
      </w:tblPr>
      <w:tblGrid>
        <w:gridCol w:w="36"/>
        <w:gridCol w:w="2969"/>
        <w:gridCol w:w="36"/>
      </w:tblGrid>
      <w:tr w:rsidR="00960BB8" w14:paraId="5A1AF166" w14:textId="77777777">
        <w:trPr>
          <w:jc w:val="center"/>
        </w:trPr>
        <w:tc>
          <w:tcPr>
            <w:tcW w:w="50" w:type="pct"/>
            <w:shd w:val="clear" w:color="auto" w:fill="auto"/>
            <w:vAlign w:val="bottom"/>
          </w:tcPr>
          <w:p w14:paraId="5A1AF163" w14:textId="77777777" w:rsidR="00960BB8" w:rsidRDefault="00960BB8">
            <w:pPr>
              <w:rPr>
                <w:rFonts w:ascii="宋体"/>
              </w:rPr>
            </w:pPr>
          </w:p>
        </w:tc>
        <w:tc>
          <w:tcPr>
            <w:tcW w:w="4945" w:type="pct"/>
            <w:shd w:val="clear" w:color="auto" w:fill="auto"/>
            <w:vAlign w:val="bottom"/>
          </w:tcPr>
          <w:p w14:paraId="5A1AF164" w14:textId="77777777" w:rsidR="00960BB8" w:rsidRDefault="00960BB8">
            <w:pPr>
              <w:rPr>
                <w:rFonts w:ascii="宋体"/>
              </w:rPr>
            </w:pPr>
          </w:p>
        </w:tc>
        <w:tc>
          <w:tcPr>
            <w:tcW w:w="5" w:type="pct"/>
            <w:shd w:val="clear" w:color="auto" w:fill="auto"/>
            <w:vAlign w:val="bottom"/>
          </w:tcPr>
          <w:p w14:paraId="5A1AF165" w14:textId="77777777" w:rsidR="00960BB8" w:rsidRDefault="00960BB8">
            <w:pPr>
              <w:rPr>
                <w:rFonts w:ascii="宋体"/>
              </w:rPr>
            </w:pPr>
          </w:p>
        </w:tc>
      </w:tr>
      <w:tr w:rsidR="00960BB8" w14:paraId="5A1AF168" w14:textId="77777777">
        <w:trPr>
          <w:trHeight w:val="60"/>
          <w:jc w:val="center"/>
        </w:trPr>
        <w:tc>
          <w:tcPr>
            <w:tcW w:w="0" w:type="auto"/>
            <w:gridSpan w:val="3"/>
            <w:tcBorders>
              <w:top w:val="single" w:sz="8" w:space="0" w:color="333333"/>
            </w:tcBorders>
            <w:shd w:val="clear" w:color="auto" w:fill="auto"/>
            <w:tcMar>
              <w:top w:w="0" w:type="dxa"/>
              <w:left w:w="20" w:type="dxa"/>
              <w:bottom w:w="0" w:type="dxa"/>
              <w:right w:w="20" w:type="dxa"/>
            </w:tcMar>
            <w:vAlign w:val="bottom"/>
          </w:tcPr>
          <w:p w14:paraId="5A1AF167" w14:textId="77777777" w:rsidR="00960BB8" w:rsidRDefault="00960BB8">
            <w:pPr>
              <w:rPr>
                <w:rFonts w:ascii="宋体"/>
              </w:rPr>
            </w:pPr>
          </w:p>
        </w:tc>
      </w:tr>
    </w:tbl>
    <w:p w14:paraId="5A1AF169" w14:textId="77777777" w:rsidR="00960BB8" w:rsidRDefault="00C06650">
      <w:pPr>
        <w:spacing w:after="60"/>
        <w:jc w:val="center"/>
      </w:pPr>
      <w:r>
        <w:rPr>
          <w:rFonts w:ascii="Arial" w:eastAsia="宋体" w:hAnsi="Arial" w:cs="Arial"/>
          <w:color w:val="262626"/>
          <w:sz w:val="18"/>
          <w:szCs w:val="18"/>
        </w:rPr>
        <w:br/>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15" wp14:editId="5A1B4316">
            <wp:extent cx="304800" cy="304800"/>
            <wp:effectExtent l="0" t="0" r="0" b="0"/>
            <wp:docPr id="108"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16A" w14:textId="77777777" w:rsidR="00960BB8" w:rsidRDefault="00960BB8">
      <w:pPr>
        <w:spacing w:after="60"/>
        <w:jc w:val="center"/>
      </w:pPr>
    </w:p>
    <w:p w14:paraId="5A1AF16B" w14:textId="77777777" w:rsidR="00960BB8" w:rsidRDefault="00C06650">
      <w:pPr>
        <w:jc w:val="center"/>
      </w:pPr>
      <w:r>
        <w:rPr>
          <w:rFonts w:ascii="Arial" w:eastAsia="宋体" w:hAnsi="Arial" w:cs="Arial"/>
          <w:b/>
          <w:bCs/>
          <w:color w:val="262626"/>
          <w:sz w:val="44"/>
          <w:szCs w:val="44"/>
        </w:rPr>
        <w:t xml:space="preserve">INTEL CORPORATION </w:t>
      </w:r>
    </w:p>
    <w:p w14:paraId="5A1AF16C" w14:textId="77777777" w:rsidR="00960BB8" w:rsidRDefault="00C06650">
      <w:pPr>
        <w:jc w:val="center"/>
      </w:pPr>
      <w:r>
        <w:rPr>
          <w:rFonts w:ascii="Arial" w:eastAsia="宋体" w:hAnsi="Arial" w:cs="Arial"/>
          <w:color w:val="262626"/>
          <w:sz w:val="16"/>
          <w:szCs w:val="16"/>
        </w:rPr>
        <w:lastRenderedPageBreak/>
        <w:t>(Exact name of registrant as specified in its charter)</w:t>
      </w:r>
    </w:p>
    <w:tbl>
      <w:tblPr>
        <w:tblW w:w="4071" w:type="pct"/>
        <w:jc w:val="center"/>
        <w:tblCellMar>
          <w:top w:w="15" w:type="dxa"/>
          <w:left w:w="15" w:type="dxa"/>
          <w:bottom w:w="15" w:type="dxa"/>
          <w:right w:w="15" w:type="dxa"/>
        </w:tblCellMar>
        <w:tblLook w:val="04A0" w:firstRow="1" w:lastRow="0" w:firstColumn="1" w:lastColumn="0" w:noHBand="0" w:noVBand="1"/>
      </w:tblPr>
      <w:tblGrid>
        <w:gridCol w:w="38"/>
        <w:gridCol w:w="2100"/>
        <w:gridCol w:w="37"/>
        <w:gridCol w:w="42"/>
        <w:gridCol w:w="752"/>
        <w:gridCol w:w="36"/>
        <w:gridCol w:w="83"/>
        <w:gridCol w:w="780"/>
        <w:gridCol w:w="36"/>
        <w:gridCol w:w="36"/>
        <w:gridCol w:w="384"/>
        <w:gridCol w:w="36"/>
        <w:gridCol w:w="37"/>
        <w:gridCol w:w="2354"/>
        <w:gridCol w:w="36"/>
      </w:tblGrid>
      <w:tr w:rsidR="00960BB8" w14:paraId="5A1AF17C" w14:textId="77777777">
        <w:trPr>
          <w:jc w:val="center"/>
        </w:trPr>
        <w:tc>
          <w:tcPr>
            <w:tcW w:w="50" w:type="pct"/>
            <w:shd w:val="clear" w:color="auto" w:fill="auto"/>
            <w:vAlign w:val="bottom"/>
          </w:tcPr>
          <w:p w14:paraId="5A1AF16D" w14:textId="77777777" w:rsidR="00960BB8" w:rsidRDefault="00960BB8">
            <w:pPr>
              <w:rPr>
                <w:rFonts w:ascii="宋体"/>
              </w:rPr>
            </w:pPr>
          </w:p>
        </w:tc>
        <w:tc>
          <w:tcPr>
            <w:tcW w:w="1580" w:type="pct"/>
            <w:shd w:val="clear" w:color="auto" w:fill="auto"/>
            <w:vAlign w:val="bottom"/>
          </w:tcPr>
          <w:p w14:paraId="5A1AF16E" w14:textId="77777777" w:rsidR="00960BB8" w:rsidRDefault="00960BB8">
            <w:pPr>
              <w:rPr>
                <w:rFonts w:ascii="宋体"/>
              </w:rPr>
            </w:pPr>
          </w:p>
        </w:tc>
        <w:tc>
          <w:tcPr>
            <w:tcW w:w="5" w:type="pct"/>
            <w:shd w:val="clear" w:color="auto" w:fill="auto"/>
            <w:vAlign w:val="bottom"/>
          </w:tcPr>
          <w:p w14:paraId="5A1AF16F" w14:textId="77777777" w:rsidR="00960BB8" w:rsidRDefault="00960BB8">
            <w:pPr>
              <w:rPr>
                <w:rFonts w:ascii="宋体"/>
              </w:rPr>
            </w:pPr>
          </w:p>
        </w:tc>
        <w:tc>
          <w:tcPr>
            <w:tcW w:w="50" w:type="pct"/>
            <w:shd w:val="clear" w:color="auto" w:fill="auto"/>
            <w:vAlign w:val="bottom"/>
          </w:tcPr>
          <w:p w14:paraId="5A1AF170" w14:textId="77777777" w:rsidR="00960BB8" w:rsidRDefault="00960BB8">
            <w:pPr>
              <w:rPr>
                <w:rFonts w:ascii="宋体"/>
              </w:rPr>
            </w:pPr>
          </w:p>
        </w:tc>
        <w:tc>
          <w:tcPr>
            <w:tcW w:w="590" w:type="pct"/>
            <w:shd w:val="clear" w:color="auto" w:fill="auto"/>
            <w:vAlign w:val="bottom"/>
          </w:tcPr>
          <w:p w14:paraId="5A1AF171" w14:textId="77777777" w:rsidR="00960BB8" w:rsidRDefault="00960BB8">
            <w:pPr>
              <w:rPr>
                <w:rFonts w:ascii="宋体"/>
              </w:rPr>
            </w:pPr>
          </w:p>
        </w:tc>
        <w:tc>
          <w:tcPr>
            <w:tcW w:w="5" w:type="pct"/>
            <w:shd w:val="clear" w:color="auto" w:fill="auto"/>
            <w:vAlign w:val="bottom"/>
          </w:tcPr>
          <w:p w14:paraId="5A1AF172" w14:textId="77777777" w:rsidR="00960BB8" w:rsidRDefault="00960BB8">
            <w:pPr>
              <w:rPr>
                <w:rFonts w:ascii="宋体"/>
              </w:rPr>
            </w:pPr>
          </w:p>
        </w:tc>
        <w:tc>
          <w:tcPr>
            <w:tcW w:w="50" w:type="pct"/>
            <w:shd w:val="clear" w:color="auto" w:fill="auto"/>
            <w:vAlign w:val="bottom"/>
          </w:tcPr>
          <w:p w14:paraId="5A1AF173" w14:textId="77777777" w:rsidR="00960BB8" w:rsidRDefault="00960BB8">
            <w:pPr>
              <w:rPr>
                <w:rFonts w:ascii="宋体"/>
              </w:rPr>
            </w:pPr>
          </w:p>
        </w:tc>
        <w:tc>
          <w:tcPr>
            <w:tcW w:w="473" w:type="pct"/>
            <w:shd w:val="clear" w:color="auto" w:fill="auto"/>
            <w:vAlign w:val="bottom"/>
          </w:tcPr>
          <w:p w14:paraId="5A1AF174" w14:textId="77777777" w:rsidR="00960BB8" w:rsidRDefault="00960BB8">
            <w:pPr>
              <w:rPr>
                <w:rFonts w:ascii="宋体"/>
              </w:rPr>
            </w:pPr>
          </w:p>
        </w:tc>
        <w:tc>
          <w:tcPr>
            <w:tcW w:w="5" w:type="pct"/>
            <w:shd w:val="clear" w:color="auto" w:fill="auto"/>
            <w:vAlign w:val="bottom"/>
          </w:tcPr>
          <w:p w14:paraId="5A1AF175" w14:textId="77777777" w:rsidR="00960BB8" w:rsidRDefault="00960BB8">
            <w:pPr>
              <w:rPr>
                <w:rFonts w:ascii="宋体"/>
              </w:rPr>
            </w:pPr>
          </w:p>
        </w:tc>
        <w:tc>
          <w:tcPr>
            <w:tcW w:w="50" w:type="pct"/>
            <w:shd w:val="clear" w:color="auto" w:fill="auto"/>
            <w:vAlign w:val="bottom"/>
          </w:tcPr>
          <w:p w14:paraId="5A1AF176" w14:textId="77777777" w:rsidR="00960BB8" w:rsidRDefault="00960BB8">
            <w:pPr>
              <w:rPr>
                <w:rFonts w:ascii="宋体"/>
              </w:rPr>
            </w:pPr>
          </w:p>
        </w:tc>
        <w:tc>
          <w:tcPr>
            <w:tcW w:w="314" w:type="pct"/>
            <w:shd w:val="clear" w:color="auto" w:fill="auto"/>
            <w:vAlign w:val="bottom"/>
          </w:tcPr>
          <w:p w14:paraId="5A1AF177" w14:textId="77777777" w:rsidR="00960BB8" w:rsidRDefault="00960BB8">
            <w:pPr>
              <w:rPr>
                <w:rFonts w:ascii="宋体"/>
              </w:rPr>
            </w:pPr>
          </w:p>
        </w:tc>
        <w:tc>
          <w:tcPr>
            <w:tcW w:w="5" w:type="pct"/>
            <w:shd w:val="clear" w:color="auto" w:fill="auto"/>
            <w:vAlign w:val="bottom"/>
          </w:tcPr>
          <w:p w14:paraId="5A1AF178" w14:textId="77777777" w:rsidR="00960BB8" w:rsidRDefault="00960BB8">
            <w:pPr>
              <w:rPr>
                <w:rFonts w:ascii="宋体"/>
              </w:rPr>
            </w:pPr>
          </w:p>
        </w:tc>
        <w:tc>
          <w:tcPr>
            <w:tcW w:w="50" w:type="pct"/>
            <w:shd w:val="clear" w:color="auto" w:fill="auto"/>
            <w:vAlign w:val="bottom"/>
          </w:tcPr>
          <w:p w14:paraId="5A1AF179" w14:textId="77777777" w:rsidR="00960BB8" w:rsidRDefault="00960BB8">
            <w:pPr>
              <w:rPr>
                <w:rFonts w:ascii="宋体"/>
              </w:rPr>
            </w:pPr>
          </w:p>
        </w:tc>
        <w:tc>
          <w:tcPr>
            <w:tcW w:w="1765" w:type="pct"/>
            <w:shd w:val="clear" w:color="auto" w:fill="auto"/>
            <w:vAlign w:val="bottom"/>
          </w:tcPr>
          <w:p w14:paraId="5A1AF17A" w14:textId="77777777" w:rsidR="00960BB8" w:rsidRDefault="00960BB8">
            <w:pPr>
              <w:rPr>
                <w:rFonts w:ascii="宋体"/>
              </w:rPr>
            </w:pPr>
          </w:p>
        </w:tc>
        <w:tc>
          <w:tcPr>
            <w:tcW w:w="5" w:type="pct"/>
            <w:shd w:val="clear" w:color="auto" w:fill="auto"/>
            <w:vAlign w:val="bottom"/>
          </w:tcPr>
          <w:p w14:paraId="5A1AF17B" w14:textId="77777777" w:rsidR="00960BB8" w:rsidRDefault="00960BB8">
            <w:pPr>
              <w:rPr>
                <w:rFonts w:ascii="宋体"/>
              </w:rPr>
            </w:pPr>
          </w:p>
        </w:tc>
      </w:tr>
      <w:tr w:rsidR="00960BB8" w14:paraId="5A1AF182" w14:textId="77777777">
        <w:trPr>
          <w:jc w:val="center"/>
        </w:trPr>
        <w:tc>
          <w:tcPr>
            <w:tcW w:w="0" w:type="auto"/>
            <w:gridSpan w:val="3"/>
            <w:shd w:val="clear" w:color="auto" w:fill="auto"/>
            <w:tcMar>
              <w:top w:w="40" w:type="dxa"/>
              <w:left w:w="20" w:type="dxa"/>
              <w:bottom w:w="40" w:type="dxa"/>
              <w:right w:w="20" w:type="dxa"/>
            </w:tcMar>
          </w:tcPr>
          <w:p w14:paraId="5A1AF17D" w14:textId="77777777" w:rsidR="00960BB8" w:rsidRDefault="00C06650">
            <w:pPr>
              <w:jc w:val="right"/>
              <w:textAlignment w:val="top"/>
            </w:pPr>
            <w:r>
              <w:rPr>
                <w:rFonts w:ascii="Arial" w:eastAsia="宋体" w:hAnsi="Arial" w:cs="Arial"/>
                <w:b/>
                <w:bCs/>
                <w:color w:val="262626"/>
                <w:sz w:val="18"/>
                <w:szCs w:val="18"/>
              </w:rPr>
              <w:t>Delaware</w:t>
            </w:r>
          </w:p>
        </w:tc>
        <w:tc>
          <w:tcPr>
            <w:tcW w:w="0" w:type="auto"/>
            <w:gridSpan w:val="3"/>
            <w:shd w:val="clear" w:color="auto" w:fill="auto"/>
            <w:tcMar>
              <w:top w:w="0" w:type="dxa"/>
              <w:left w:w="20" w:type="dxa"/>
              <w:bottom w:w="0" w:type="dxa"/>
              <w:right w:w="20" w:type="dxa"/>
            </w:tcMar>
            <w:vAlign w:val="bottom"/>
          </w:tcPr>
          <w:p w14:paraId="5A1AF17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17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18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181" w14:textId="77777777" w:rsidR="00960BB8" w:rsidRDefault="00C06650">
            <w:pPr>
              <w:jc w:val="center"/>
              <w:textAlignment w:val="top"/>
            </w:pPr>
            <w:r>
              <w:rPr>
                <w:rFonts w:ascii="Arial" w:eastAsia="宋体" w:hAnsi="Arial" w:cs="Arial"/>
                <w:b/>
                <w:bCs/>
                <w:color w:val="262626"/>
                <w:sz w:val="18"/>
                <w:szCs w:val="18"/>
              </w:rPr>
              <w:t>94-1672743</w:t>
            </w:r>
          </w:p>
        </w:tc>
      </w:tr>
      <w:tr w:rsidR="00960BB8" w14:paraId="5A1AF186" w14:textId="77777777">
        <w:trPr>
          <w:jc w:val="center"/>
        </w:trPr>
        <w:tc>
          <w:tcPr>
            <w:tcW w:w="0" w:type="auto"/>
            <w:gridSpan w:val="9"/>
            <w:shd w:val="clear" w:color="auto" w:fill="auto"/>
            <w:tcMar>
              <w:top w:w="40" w:type="dxa"/>
              <w:left w:w="20" w:type="dxa"/>
              <w:bottom w:w="40" w:type="dxa"/>
              <w:right w:w="20" w:type="dxa"/>
            </w:tcMar>
            <w:vAlign w:val="bottom"/>
          </w:tcPr>
          <w:p w14:paraId="5A1AF183" w14:textId="77777777" w:rsidR="00960BB8" w:rsidRDefault="00C06650">
            <w:pPr>
              <w:jc w:val="center"/>
              <w:textAlignment w:val="bottom"/>
            </w:pPr>
            <w:r>
              <w:rPr>
                <w:rFonts w:ascii="Arial" w:eastAsia="宋体" w:hAnsi="Arial" w:cs="Arial"/>
                <w:color w:val="262626"/>
                <w:sz w:val="16"/>
                <w:szCs w:val="16"/>
              </w:rPr>
              <w:t>(State or other jurisdiction of incorporation or organization)</w:t>
            </w:r>
          </w:p>
        </w:tc>
        <w:tc>
          <w:tcPr>
            <w:tcW w:w="0" w:type="auto"/>
            <w:gridSpan w:val="3"/>
            <w:shd w:val="clear" w:color="auto" w:fill="auto"/>
            <w:tcMar>
              <w:top w:w="0" w:type="dxa"/>
              <w:left w:w="20" w:type="dxa"/>
              <w:bottom w:w="0" w:type="dxa"/>
              <w:right w:w="20" w:type="dxa"/>
            </w:tcMar>
            <w:vAlign w:val="bottom"/>
          </w:tcPr>
          <w:p w14:paraId="5A1AF18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185" w14:textId="77777777" w:rsidR="00960BB8" w:rsidRDefault="00C06650">
            <w:pPr>
              <w:jc w:val="center"/>
              <w:textAlignment w:val="bottom"/>
            </w:pPr>
            <w:r>
              <w:rPr>
                <w:rFonts w:ascii="Arial" w:eastAsia="宋体" w:hAnsi="Arial" w:cs="Arial"/>
                <w:color w:val="262626"/>
                <w:sz w:val="16"/>
                <w:szCs w:val="16"/>
              </w:rPr>
              <w:t>(I.R.S. Employer Identification No.)</w:t>
            </w:r>
          </w:p>
        </w:tc>
      </w:tr>
      <w:tr w:rsidR="00960BB8" w14:paraId="5A1AF18C" w14:textId="77777777">
        <w:trPr>
          <w:trHeight w:val="60"/>
          <w:jc w:val="center"/>
        </w:trPr>
        <w:tc>
          <w:tcPr>
            <w:tcW w:w="0" w:type="auto"/>
            <w:gridSpan w:val="3"/>
            <w:shd w:val="clear" w:color="auto" w:fill="auto"/>
            <w:tcMar>
              <w:top w:w="0" w:type="dxa"/>
              <w:left w:w="20" w:type="dxa"/>
              <w:bottom w:w="0" w:type="dxa"/>
              <w:right w:w="20" w:type="dxa"/>
            </w:tcMar>
            <w:vAlign w:val="bottom"/>
          </w:tcPr>
          <w:p w14:paraId="5A1AF18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18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18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18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18B" w14:textId="77777777" w:rsidR="00960BB8" w:rsidRDefault="00960BB8">
            <w:pPr>
              <w:rPr>
                <w:rFonts w:ascii="宋体"/>
              </w:rPr>
            </w:pPr>
          </w:p>
        </w:tc>
      </w:tr>
      <w:tr w:rsidR="00960BB8" w14:paraId="5A1AF192" w14:textId="77777777">
        <w:trPr>
          <w:jc w:val="center"/>
        </w:trPr>
        <w:tc>
          <w:tcPr>
            <w:tcW w:w="0" w:type="auto"/>
            <w:gridSpan w:val="3"/>
            <w:shd w:val="clear" w:color="auto" w:fill="auto"/>
            <w:tcMar>
              <w:top w:w="40" w:type="dxa"/>
              <w:left w:w="20" w:type="dxa"/>
              <w:bottom w:w="40" w:type="dxa"/>
              <w:right w:w="20" w:type="dxa"/>
            </w:tcMar>
          </w:tcPr>
          <w:p w14:paraId="5A1AF18D" w14:textId="77777777" w:rsidR="00960BB8" w:rsidRDefault="00C06650">
            <w:pPr>
              <w:jc w:val="right"/>
              <w:textAlignment w:val="top"/>
            </w:pPr>
            <w:r>
              <w:rPr>
                <w:rFonts w:ascii="Arial" w:eastAsia="宋体" w:hAnsi="Arial" w:cs="Arial"/>
                <w:b/>
                <w:bCs/>
                <w:color w:val="262626"/>
                <w:sz w:val="18"/>
                <w:szCs w:val="18"/>
              </w:rPr>
              <w:t xml:space="preserve">2200 Mission College Boulevard, </w:t>
            </w:r>
          </w:p>
        </w:tc>
        <w:tc>
          <w:tcPr>
            <w:tcW w:w="0" w:type="auto"/>
            <w:gridSpan w:val="3"/>
            <w:shd w:val="clear" w:color="auto" w:fill="auto"/>
            <w:tcMar>
              <w:top w:w="40" w:type="dxa"/>
              <w:left w:w="20" w:type="dxa"/>
              <w:bottom w:w="40" w:type="dxa"/>
              <w:right w:w="20" w:type="dxa"/>
            </w:tcMar>
          </w:tcPr>
          <w:p w14:paraId="5A1AF18E" w14:textId="77777777" w:rsidR="00960BB8" w:rsidRDefault="00C06650">
            <w:pPr>
              <w:jc w:val="right"/>
              <w:textAlignment w:val="top"/>
            </w:pPr>
            <w:r>
              <w:rPr>
                <w:rFonts w:ascii="Arial" w:eastAsia="宋体" w:hAnsi="Arial" w:cs="Arial"/>
                <w:b/>
                <w:bCs/>
                <w:color w:val="262626"/>
                <w:sz w:val="18"/>
                <w:szCs w:val="18"/>
              </w:rPr>
              <w:t>Santa Clara,</w:t>
            </w:r>
          </w:p>
        </w:tc>
        <w:tc>
          <w:tcPr>
            <w:tcW w:w="0" w:type="auto"/>
            <w:gridSpan w:val="3"/>
            <w:shd w:val="clear" w:color="auto" w:fill="auto"/>
            <w:tcMar>
              <w:top w:w="40" w:type="dxa"/>
              <w:left w:w="20" w:type="dxa"/>
              <w:bottom w:w="40" w:type="dxa"/>
              <w:right w:w="20" w:type="dxa"/>
            </w:tcMar>
          </w:tcPr>
          <w:p w14:paraId="5A1AF18F" w14:textId="77777777" w:rsidR="00960BB8" w:rsidRDefault="00C06650">
            <w:pPr>
              <w:textAlignment w:val="top"/>
            </w:pPr>
            <w:r>
              <w:rPr>
                <w:rFonts w:ascii="Arial" w:eastAsia="宋体" w:hAnsi="Arial" w:cs="Arial"/>
                <w:b/>
                <w:bCs/>
                <w:color w:val="262626"/>
                <w:sz w:val="18"/>
                <w:szCs w:val="18"/>
              </w:rPr>
              <w:t>California</w:t>
            </w:r>
          </w:p>
        </w:tc>
        <w:tc>
          <w:tcPr>
            <w:tcW w:w="0" w:type="auto"/>
            <w:gridSpan w:val="3"/>
            <w:shd w:val="clear" w:color="auto" w:fill="auto"/>
            <w:tcMar>
              <w:top w:w="0" w:type="dxa"/>
              <w:left w:w="20" w:type="dxa"/>
              <w:bottom w:w="0" w:type="dxa"/>
              <w:right w:w="20" w:type="dxa"/>
            </w:tcMar>
            <w:vAlign w:val="bottom"/>
          </w:tcPr>
          <w:p w14:paraId="5A1AF19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191" w14:textId="77777777" w:rsidR="00960BB8" w:rsidRDefault="00C06650">
            <w:pPr>
              <w:jc w:val="center"/>
              <w:textAlignment w:val="top"/>
            </w:pPr>
            <w:r>
              <w:rPr>
                <w:rFonts w:ascii="Arial" w:eastAsia="宋体" w:hAnsi="Arial" w:cs="Arial"/>
                <w:b/>
                <w:bCs/>
                <w:color w:val="262626"/>
                <w:sz w:val="18"/>
                <w:szCs w:val="18"/>
              </w:rPr>
              <w:t>95054-1549</w:t>
            </w:r>
          </w:p>
        </w:tc>
      </w:tr>
      <w:tr w:rsidR="00960BB8" w14:paraId="5A1AF196" w14:textId="77777777">
        <w:trPr>
          <w:jc w:val="center"/>
        </w:trPr>
        <w:tc>
          <w:tcPr>
            <w:tcW w:w="0" w:type="auto"/>
            <w:gridSpan w:val="9"/>
            <w:shd w:val="clear" w:color="auto" w:fill="auto"/>
            <w:tcMar>
              <w:top w:w="40" w:type="dxa"/>
              <w:left w:w="20" w:type="dxa"/>
              <w:bottom w:w="40" w:type="dxa"/>
              <w:right w:w="20" w:type="dxa"/>
            </w:tcMar>
          </w:tcPr>
          <w:p w14:paraId="5A1AF193" w14:textId="77777777" w:rsidR="00960BB8" w:rsidRDefault="00C06650">
            <w:pPr>
              <w:jc w:val="center"/>
              <w:textAlignment w:val="top"/>
            </w:pPr>
            <w:r>
              <w:rPr>
                <w:rFonts w:ascii="Arial" w:eastAsia="宋体" w:hAnsi="Arial" w:cs="Arial"/>
                <w:color w:val="262626"/>
                <w:sz w:val="16"/>
                <w:szCs w:val="16"/>
              </w:rPr>
              <w:t>(Address of principal executive offices)</w:t>
            </w:r>
          </w:p>
        </w:tc>
        <w:tc>
          <w:tcPr>
            <w:tcW w:w="0" w:type="auto"/>
            <w:gridSpan w:val="3"/>
            <w:shd w:val="clear" w:color="auto" w:fill="auto"/>
            <w:tcMar>
              <w:top w:w="0" w:type="dxa"/>
              <w:left w:w="20" w:type="dxa"/>
              <w:bottom w:w="0" w:type="dxa"/>
              <w:right w:w="20" w:type="dxa"/>
            </w:tcMar>
            <w:vAlign w:val="bottom"/>
          </w:tcPr>
          <w:p w14:paraId="5A1AF19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195" w14:textId="77777777" w:rsidR="00960BB8" w:rsidRDefault="00C06650">
            <w:pPr>
              <w:jc w:val="center"/>
              <w:textAlignment w:val="top"/>
            </w:pPr>
            <w:r>
              <w:rPr>
                <w:rFonts w:ascii="Arial" w:eastAsia="宋体" w:hAnsi="Arial" w:cs="Arial"/>
                <w:color w:val="262626"/>
                <w:sz w:val="16"/>
                <w:szCs w:val="16"/>
              </w:rPr>
              <w:t>(Zip Code)</w:t>
            </w:r>
          </w:p>
        </w:tc>
      </w:tr>
    </w:tbl>
    <w:p w14:paraId="5A1AF197" w14:textId="77777777" w:rsidR="00960BB8" w:rsidRDefault="00C06650">
      <w:pPr>
        <w:jc w:val="center"/>
      </w:pPr>
      <w:r>
        <w:rPr>
          <w:rFonts w:ascii="Arial" w:eastAsia="宋体" w:hAnsi="Arial" w:cs="Arial"/>
          <w:color w:val="262626"/>
          <w:sz w:val="16"/>
          <w:szCs w:val="16"/>
        </w:rPr>
        <w:t xml:space="preserve">Registrant’s telephone number, including area code: </w:t>
      </w:r>
      <w:r>
        <w:rPr>
          <w:rFonts w:ascii="Arial" w:eastAsia="宋体" w:hAnsi="Arial" w:cs="Arial"/>
          <w:b/>
          <w:bCs/>
          <w:color w:val="262626"/>
          <w:sz w:val="16"/>
          <w:szCs w:val="16"/>
        </w:rPr>
        <w:t xml:space="preserve">(408) 765-8080 </w:t>
      </w:r>
    </w:p>
    <w:p w14:paraId="5A1AF198" w14:textId="77777777" w:rsidR="00960BB8" w:rsidRDefault="00C06650">
      <w:pPr>
        <w:jc w:val="center"/>
      </w:pPr>
      <w:r>
        <w:rPr>
          <w:rFonts w:ascii="Arial" w:eastAsia="宋体" w:hAnsi="Arial" w:cs="Arial"/>
          <w:color w:val="262626"/>
          <w:sz w:val="16"/>
          <w:szCs w:val="16"/>
        </w:rPr>
        <w:t>Securities registered pursuant to Section 12(b) of the Act:</w:t>
      </w:r>
    </w:p>
    <w:tbl>
      <w:tblPr>
        <w:tblW w:w="4993" w:type="pct"/>
        <w:tblCellMar>
          <w:top w:w="15" w:type="dxa"/>
          <w:left w:w="15" w:type="dxa"/>
          <w:bottom w:w="15" w:type="dxa"/>
          <w:right w:w="15" w:type="dxa"/>
        </w:tblCellMar>
        <w:tblLook w:val="04A0" w:firstRow="1" w:lastRow="0" w:firstColumn="1" w:lastColumn="0" w:noHBand="0" w:noVBand="1"/>
      </w:tblPr>
      <w:tblGrid>
        <w:gridCol w:w="58"/>
        <w:gridCol w:w="2765"/>
        <w:gridCol w:w="37"/>
        <w:gridCol w:w="36"/>
        <w:gridCol w:w="36"/>
        <w:gridCol w:w="36"/>
        <w:gridCol w:w="39"/>
        <w:gridCol w:w="1934"/>
        <w:gridCol w:w="36"/>
        <w:gridCol w:w="36"/>
        <w:gridCol w:w="36"/>
        <w:gridCol w:w="36"/>
        <w:gridCol w:w="39"/>
        <w:gridCol w:w="3164"/>
        <w:gridCol w:w="36"/>
      </w:tblGrid>
      <w:tr w:rsidR="00960BB8" w14:paraId="5A1AF1A8" w14:textId="77777777">
        <w:tc>
          <w:tcPr>
            <w:tcW w:w="50" w:type="pct"/>
            <w:shd w:val="clear" w:color="auto" w:fill="auto"/>
            <w:vAlign w:val="bottom"/>
          </w:tcPr>
          <w:p w14:paraId="5A1AF199" w14:textId="77777777" w:rsidR="00960BB8" w:rsidRDefault="00960BB8">
            <w:pPr>
              <w:rPr>
                <w:rFonts w:ascii="宋体"/>
              </w:rPr>
            </w:pPr>
          </w:p>
        </w:tc>
        <w:tc>
          <w:tcPr>
            <w:tcW w:w="1675" w:type="pct"/>
            <w:shd w:val="clear" w:color="auto" w:fill="auto"/>
            <w:vAlign w:val="bottom"/>
          </w:tcPr>
          <w:p w14:paraId="5A1AF19A" w14:textId="77777777" w:rsidR="00960BB8" w:rsidRDefault="00960BB8">
            <w:pPr>
              <w:rPr>
                <w:rFonts w:ascii="宋体"/>
              </w:rPr>
            </w:pPr>
          </w:p>
        </w:tc>
        <w:tc>
          <w:tcPr>
            <w:tcW w:w="5" w:type="pct"/>
            <w:shd w:val="clear" w:color="auto" w:fill="auto"/>
            <w:vAlign w:val="bottom"/>
          </w:tcPr>
          <w:p w14:paraId="5A1AF19B" w14:textId="77777777" w:rsidR="00960BB8" w:rsidRDefault="00960BB8">
            <w:pPr>
              <w:rPr>
                <w:rFonts w:ascii="宋体"/>
              </w:rPr>
            </w:pPr>
          </w:p>
        </w:tc>
        <w:tc>
          <w:tcPr>
            <w:tcW w:w="5" w:type="pct"/>
            <w:shd w:val="clear" w:color="auto" w:fill="auto"/>
            <w:vAlign w:val="bottom"/>
          </w:tcPr>
          <w:p w14:paraId="5A1AF19C" w14:textId="77777777" w:rsidR="00960BB8" w:rsidRDefault="00960BB8">
            <w:pPr>
              <w:rPr>
                <w:rFonts w:ascii="宋体"/>
              </w:rPr>
            </w:pPr>
          </w:p>
        </w:tc>
        <w:tc>
          <w:tcPr>
            <w:tcW w:w="24" w:type="pct"/>
            <w:shd w:val="clear" w:color="auto" w:fill="auto"/>
            <w:vAlign w:val="bottom"/>
          </w:tcPr>
          <w:p w14:paraId="5A1AF19D" w14:textId="77777777" w:rsidR="00960BB8" w:rsidRDefault="00960BB8">
            <w:pPr>
              <w:rPr>
                <w:rFonts w:ascii="宋体"/>
              </w:rPr>
            </w:pPr>
          </w:p>
        </w:tc>
        <w:tc>
          <w:tcPr>
            <w:tcW w:w="5" w:type="pct"/>
            <w:shd w:val="clear" w:color="auto" w:fill="auto"/>
            <w:vAlign w:val="bottom"/>
          </w:tcPr>
          <w:p w14:paraId="5A1AF19E" w14:textId="77777777" w:rsidR="00960BB8" w:rsidRDefault="00960BB8">
            <w:pPr>
              <w:rPr>
                <w:rFonts w:ascii="宋体"/>
              </w:rPr>
            </w:pPr>
          </w:p>
        </w:tc>
        <w:tc>
          <w:tcPr>
            <w:tcW w:w="50" w:type="pct"/>
            <w:shd w:val="clear" w:color="auto" w:fill="auto"/>
            <w:vAlign w:val="bottom"/>
          </w:tcPr>
          <w:p w14:paraId="5A1AF19F" w14:textId="77777777" w:rsidR="00960BB8" w:rsidRDefault="00960BB8">
            <w:pPr>
              <w:rPr>
                <w:rFonts w:ascii="宋体"/>
              </w:rPr>
            </w:pPr>
          </w:p>
        </w:tc>
        <w:tc>
          <w:tcPr>
            <w:tcW w:w="1176" w:type="pct"/>
            <w:shd w:val="clear" w:color="auto" w:fill="auto"/>
            <w:vAlign w:val="bottom"/>
          </w:tcPr>
          <w:p w14:paraId="5A1AF1A0" w14:textId="77777777" w:rsidR="00960BB8" w:rsidRDefault="00960BB8">
            <w:pPr>
              <w:rPr>
                <w:rFonts w:ascii="宋体"/>
              </w:rPr>
            </w:pPr>
          </w:p>
        </w:tc>
        <w:tc>
          <w:tcPr>
            <w:tcW w:w="5" w:type="pct"/>
            <w:shd w:val="clear" w:color="auto" w:fill="auto"/>
            <w:vAlign w:val="bottom"/>
          </w:tcPr>
          <w:p w14:paraId="5A1AF1A1" w14:textId="77777777" w:rsidR="00960BB8" w:rsidRDefault="00960BB8">
            <w:pPr>
              <w:rPr>
                <w:rFonts w:ascii="宋体"/>
              </w:rPr>
            </w:pPr>
          </w:p>
        </w:tc>
        <w:tc>
          <w:tcPr>
            <w:tcW w:w="5" w:type="pct"/>
            <w:shd w:val="clear" w:color="auto" w:fill="auto"/>
            <w:vAlign w:val="bottom"/>
          </w:tcPr>
          <w:p w14:paraId="5A1AF1A2" w14:textId="77777777" w:rsidR="00960BB8" w:rsidRDefault="00960BB8">
            <w:pPr>
              <w:rPr>
                <w:rFonts w:ascii="宋体"/>
              </w:rPr>
            </w:pPr>
          </w:p>
        </w:tc>
        <w:tc>
          <w:tcPr>
            <w:tcW w:w="24" w:type="pct"/>
            <w:shd w:val="clear" w:color="auto" w:fill="auto"/>
            <w:vAlign w:val="bottom"/>
          </w:tcPr>
          <w:p w14:paraId="5A1AF1A3" w14:textId="77777777" w:rsidR="00960BB8" w:rsidRDefault="00960BB8">
            <w:pPr>
              <w:rPr>
                <w:rFonts w:ascii="宋体"/>
              </w:rPr>
            </w:pPr>
          </w:p>
        </w:tc>
        <w:tc>
          <w:tcPr>
            <w:tcW w:w="5" w:type="pct"/>
            <w:shd w:val="clear" w:color="auto" w:fill="auto"/>
            <w:vAlign w:val="bottom"/>
          </w:tcPr>
          <w:p w14:paraId="5A1AF1A4" w14:textId="77777777" w:rsidR="00960BB8" w:rsidRDefault="00960BB8">
            <w:pPr>
              <w:rPr>
                <w:rFonts w:ascii="宋体"/>
              </w:rPr>
            </w:pPr>
          </w:p>
        </w:tc>
        <w:tc>
          <w:tcPr>
            <w:tcW w:w="50" w:type="pct"/>
            <w:shd w:val="clear" w:color="auto" w:fill="auto"/>
            <w:vAlign w:val="bottom"/>
          </w:tcPr>
          <w:p w14:paraId="5A1AF1A5" w14:textId="77777777" w:rsidR="00960BB8" w:rsidRDefault="00960BB8">
            <w:pPr>
              <w:rPr>
                <w:rFonts w:ascii="宋体"/>
              </w:rPr>
            </w:pPr>
          </w:p>
        </w:tc>
        <w:tc>
          <w:tcPr>
            <w:tcW w:w="1915" w:type="pct"/>
            <w:shd w:val="clear" w:color="auto" w:fill="auto"/>
            <w:vAlign w:val="bottom"/>
          </w:tcPr>
          <w:p w14:paraId="5A1AF1A6" w14:textId="77777777" w:rsidR="00960BB8" w:rsidRDefault="00960BB8">
            <w:pPr>
              <w:rPr>
                <w:rFonts w:ascii="宋体"/>
              </w:rPr>
            </w:pPr>
          </w:p>
        </w:tc>
        <w:tc>
          <w:tcPr>
            <w:tcW w:w="5" w:type="pct"/>
            <w:shd w:val="clear" w:color="auto" w:fill="auto"/>
            <w:vAlign w:val="bottom"/>
          </w:tcPr>
          <w:p w14:paraId="5A1AF1A7" w14:textId="77777777" w:rsidR="00960BB8" w:rsidRDefault="00960BB8">
            <w:pPr>
              <w:rPr>
                <w:rFonts w:ascii="宋体"/>
              </w:rPr>
            </w:pPr>
          </w:p>
        </w:tc>
      </w:tr>
      <w:tr w:rsidR="00960BB8" w14:paraId="5A1AF1AE" w14:textId="77777777">
        <w:tc>
          <w:tcPr>
            <w:tcW w:w="0" w:type="auto"/>
            <w:gridSpan w:val="3"/>
            <w:shd w:val="clear" w:color="auto" w:fill="auto"/>
            <w:tcMar>
              <w:top w:w="40" w:type="dxa"/>
              <w:left w:w="20" w:type="dxa"/>
              <w:bottom w:w="40" w:type="dxa"/>
              <w:right w:w="20" w:type="dxa"/>
            </w:tcMar>
            <w:vAlign w:val="bottom"/>
          </w:tcPr>
          <w:p w14:paraId="5A1AF1A9" w14:textId="77777777" w:rsidR="00960BB8" w:rsidRDefault="00C06650">
            <w:pPr>
              <w:jc w:val="center"/>
              <w:textAlignment w:val="bottom"/>
            </w:pPr>
            <w:r>
              <w:rPr>
                <w:rFonts w:ascii="Arial" w:eastAsia="宋体" w:hAnsi="Arial" w:cs="Arial"/>
                <w:b/>
                <w:bCs/>
                <w:color w:val="262626"/>
                <w:sz w:val="16"/>
                <w:szCs w:val="16"/>
                <w:u w:val="single"/>
              </w:rPr>
              <w:t>Title of each class</w:t>
            </w:r>
          </w:p>
        </w:tc>
        <w:tc>
          <w:tcPr>
            <w:tcW w:w="0" w:type="auto"/>
            <w:gridSpan w:val="3"/>
            <w:shd w:val="clear" w:color="auto" w:fill="auto"/>
            <w:tcMar>
              <w:top w:w="0" w:type="dxa"/>
              <w:left w:w="20" w:type="dxa"/>
              <w:bottom w:w="0" w:type="dxa"/>
              <w:right w:w="20" w:type="dxa"/>
            </w:tcMar>
            <w:vAlign w:val="bottom"/>
          </w:tcPr>
          <w:p w14:paraId="5A1AF1A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1AB" w14:textId="77777777" w:rsidR="00960BB8" w:rsidRDefault="00C06650">
            <w:pPr>
              <w:jc w:val="center"/>
              <w:textAlignment w:val="bottom"/>
            </w:pPr>
            <w:r>
              <w:rPr>
                <w:rFonts w:ascii="Arial" w:eastAsia="宋体" w:hAnsi="Arial" w:cs="Arial"/>
                <w:b/>
                <w:bCs/>
                <w:color w:val="262626"/>
                <w:sz w:val="16"/>
                <w:szCs w:val="16"/>
                <w:u w:val="single"/>
              </w:rPr>
              <w:t>Trading symbol</w:t>
            </w:r>
          </w:p>
        </w:tc>
        <w:tc>
          <w:tcPr>
            <w:tcW w:w="0" w:type="auto"/>
            <w:gridSpan w:val="3"/>
            <w:shd w:val="clear" w:color="auto" w:fill="auto"/>
            <w:tcMar>
              <w:top w:w="0" w:type="dxa"/>
              <w:left w:w="20" w:type="dxa"/>
              <w:bottom w:w="0" w:type="dxa"/>
              <w:right w:w="20" w:type="dxa"/>
            </w:tcMar>
            <w:vAlign w:val="bottom"/>
          </w:tcPr>
          <w:p w14:paraId="5A1AF1A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1AD" w14:textId="77777777" w:rsidR="00960BB8" w:rsidRDefault="00C06650">
            <w:pPr>
              <w:jc w:val="center"/>
              <w:textAlignment w:val="bottom"/>
            </w:pPr>
            <w:r>
              <w:rPr>
                <w:rFonts w:ascii="Arial" w:eastAsia="宋体" w:hAnsi="Arial" w:cs="Arial"/>
                <w:b/>
                <w:bCs/>
                <w:color w:val="262626"/>
                <w:sz w:val="16"/>
                <w:szCs w:val="16"/>
                <w:u w:val="single"/>
              </w:rPr>
              <w:t>Name of each exchange on which registered</w:t>
            </w:r>
          </w:p>
        </w:tc>
      </w:tr>
      <w:tr w:rsidR="00960BB8" w14:paraId="5A1AF1B4" w14:textId="77777777">
        <w:tc>
          <w:tcPr>
            <w:tcW w:w="0" w:type="auto"/>
            <w:gridSpan w:val="3"/>
            <w:shd w:val="clear" w:color="auto" w:fill="auto"/>
            <w:tcMar>
              <w:top w:w="40" w:type="dxa"/>
              <w:left w:w="20" w:type="dxa"/>
              <w:bottom w:w="40" w:type="dxa"/>
              <w:right w:w="20" w:type="dxa"/>
            </w:tcMar>
          </w:tcPr>
          <w:p w14:paraId="5A1AF1AF" w14:textId="77777777" w:rsidR="00960BB8" w:rsidRDefault="00C06650">
            <w:pPr>
              <w:jc w:val="center"/>
              <w:textAlignment w:val="top"/>
            </w:pPr>
            <w:r>
              <w:rPr>
                <w:rFonts w:ascii="Arial" w:eastAsia="宋体" w:hAnsi="Arial" w:cs="Arial"/>
                <w:color w:val="262626"/>
                <w:sz w:val="16"/>
                <w:szCs w:val="16"/>
              </w:rPr>
              <w:t xml:space="preserve">Common stock, $0.001 par </w:t>
            </w:r>
            <w:r>
              <w:rPr>
                <w:rFonts w:ascii="Arial" w:eastAsia="宋体" w:hAnsi="Arial" w:cs="Arial"/>
                <w:color w:val="262626"/>
                <w:sz w:val="16"/>
                <w:szCs w:val="16"/>
              </w:rPr>
              <w:t>value</w:t>
            </w:r>
          </w:p>
        </w:tc>
        <w:tc>
          <w:tcPr>
            <w:tcW w:w="0" w:type="auto"/>
            <w:gridSpan w:val="3"/>
            <w:shd w:val="clear" w:color="auto" w:fill="auto"/>
            <w:tcMar>
              <w:top w:w="0" w:type="dxa"/>
              <w:left w:w="20" w:type="dxa"/>
              <w:bottom w:w="0" w:type="dxa"/>
              <w:right w:w="20" w:type="dxa"/>
            </w:tcMar>
            <w:vAlign w:val="bottom"/>
          </w:tcPr>
          <w:p w14:paraId="5A1AF1B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1B1" w14:textId="77777777" w:rsidR="00960BB8" w:rsidRDefault="00C06650">
            <w:pPr>
              <w:jc w:val="center"/>
              <w:textAlignment w:val="top"/>
            </w:pPr>
            <w:r>
              <w:rPr>
                <w:rFonts w:ascii="Arial" w:eastAsia="宋体" w:hAnsi="Arial" w:cs="Arial"/>
                <w:color w:val="262626"/>
                <w:sz w:val="16"/>
                <w:szCs w:val="16"/>
              </w:rPr>
              <w:t>INTC</w:t>
            </w:r>
          </w:p>
        </w:tc>
        <w:tc>
          <w:tcPr>
            <w:tcW w:w="0" w:type="auto"/>
            <w:gridSpan w:val="3"/>
            <w:shd w:val="clear" w:color="auto" w:fill="auto"/>
            <w:tcMar>
              <w:top w:w="0" w:type="dxa"/>
              <w:left w:w="20" w:type="dxa"/>
              <w:bottom w:w="0" w:type="dxa"/>
              <w:right w:w="20" w:type="dxa"/>
            </w:tcMar>
            <w:vAlign w:val="bottom"/>
          </w:tcPr>
          <w:p w14:paraId="5A1AF1B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1B3" w14:textId="77777777" w:rsidR="00960BB8" w:rsidRDefault="00C06650">
            <w:pPr>
              <w:jc w:val="center"/>
              <w:textAlignment w:val="top"/>
            </w:pPr>
            <w:r>
              <w:rPr>
                <w:rFonts w:ascii="Arial" w:eastAsia="宋体" w:hAnsi="Arial" w:cs="Arial"/>
                <w:color w:val="262626"/>
                <w:sz w:val="16"/>
                <w:szCs w:val="16"/>
              </w:rPr>
              <w:t>Nasdaq Global Select Market</w:t>
            </w:r>
          </w:p>
        </w:tc>
      </w:tr>
    </w:tbl>
    <w:p w14:paraId="5A1AF1B5" w14:textId="77777777" w:rsidR="00960BB8" w:rsidRDefault="00C06650">
      <w:pPr>
        <w:jc w:val="center"/>
      </w:pPr>
      <w:r>
        <w:rPr>
          <w:rFonts w:ascii="Arial" w:eastAsia="宋体" w:hAnsi="Arial" w:cs="Arial"/>
          <w:color w:val="262626"/>
          <w:sz w:val="16"/>
          <w:szCs w:val="16"/>
        </w:rPr>
        <w:t>Securities registered pursuant to Section 12(g) of the Act:</w:t>
      </w:r>
    </w:p>
    <w:p w14:paraId="5A1AF1B6" w14:textId="77777777" w:rsidR="00960BB8" w:rsidRDefault="00C06650">
      <w:pPr>
        <w:jc w:val="center"/>
      </w:pPr>
      <w:r>
        <w:rPr>
          <w:rFonts w:ascii="Arial" w:eastAsia="宋体" w:hAnsi="Arial" w:cs="Arial"/>
          <w:color w:val="262626"/>
          <w:sz w:val="16"/>
          <w:szCs w:val="16"/>
        </w:rPr>
        <w:t>None</w:t>
      </w:r>
    </w:p>
    <w:tbl>
      <w:tblPr>
        <w:tblW w:w="1824" w:type="pct"/>
        <w:jc w:val="center"/>
        <w:tblCellMar>
          <w:top w:w="15" w:type="dxa"/>
          <w:left w:w="15" w:type="dxa"/>
          <w:bottom w:w="15" w:type="dxa"/>
          <w:right w:w="15" w:type="dxa"/>
        </w:tblCellMar>
        <w:tblLook w:val="04A0" w:firstRow="1" w:lastRow="0" w:firstColumn="1" w:lastColumn="0" w:noHBand="0" w:noVBand="1"/>
      </w:tblPr>
      <w:tblGrid>
        <w:gridCol w:w="36"/>
        <w:gridCol w:w="2969"/>
        <w:gridCol w:w="36"/>
      </w:tblGrid>
      <w:tr w:rsidR="00960BB8" w14:paraId="5A1AF1BA" w14:textId="77777777">
        <w:trPr>
          <w:jc w:val="center"/>
        </w:trPr>
        <w:tc>
          <w:tcPr>
            <w:tcW w:w="50" w:type="pct"/>
            <w:shd w:val="clear" w:color="auto" w:fill="auto"/>
            <w:vAlign w:val="bottom"/>
          </w:tcPr>
          <w:p w14:paraId="5A1AF1B7" w14:textId="77777777" w:rsidR="00960BB8" w:rsidRDefault="00960BB8">
            <w:pPr>
              <w:rPr>
                <w:rFonts w:ascii="宋体"/>
              </w:rPr>
            </w:pPr>
          </w:p>
        </w:tc>
        <w:tc>
          <w:tcPr>
            <w:tcW w:w="4945" w:type="pct"/>
            <w:shd w:val="clear" w:color="auto" w:fill="auto"/>
            <w:vAlign w:val="bottom"/>
          </w:tcPr>
          <w:p w14:paraId="5A1AF1B8" w14:textId="77777777" w:rsidR="00960BB8" w:rsidRDefault="00960BB8">
            <w:pPr>
              <w:rPr>
                <w:rFonts w:ascii="宋体"/>
              </w:rPr>
            </w:pPr>
          </w:p>
        </w:tc>
        <w:tc>
          <w:tcPr>
            <w:tcW w:w="5" w:type="pct"/>
            <w:shd w:val="clear" w:color="auto" w:fill="auto"/>
            <w:vAlign w:val="bottom"/>
          </w:tcPr>
          <w:p w14:paraId="5A1AF1B9" w14:textId="77777777" w:rsidR="00960BB8" w:rsidRDefault="00960BB8">
            <w:pPr>
              <w:rPr>
                <w:rFonts w:ascii="宋体"/>
              </w:rPr>
            </w:pPr>
          </w:p>
        </w:tc>
      </w:tr>
      <w:tr w:rsidR="00960BB8" w14:paraId="5A1AF1BC"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A1AF1BB" w14:textId="77777777" w:rsidR="00960BB8" w:rsidRDefault="00960BB8">
            <w:pPr>
              <w:rPr>
                <w:rFonts w:ascii="宋体"/>
              </w:rPr>
            </w:pPr>
          </w:p>
        </w:tc>
      </w:tr>
    </w:tbl>
    <w:p w14:paraId="5A1AF1BD" w14:textId="77777777" w:rsidR="00960BB8" w:rsidRDefault="00C06650">
      <w:r>
        <w:rPr>
          <w:rFonts w:ascii="Arial" w:eastAsia="宋体" w:hAnsi="Arial" w:cs="Arial"/>
          <w:color w:val="262626"/>
          <w:sz w:val="16"/>
          <w:szCs w:val="16"/>
        </w:rPr>
        <w:t>Indicate by check mark if the registrant is a well-known seasoned issuer, as defined in Rule 405 of the Securities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5A1AF1BE" w14:textId="77777777" w:rsidR="00960BB8" w:rsidRDefault="00C06650">
      <w:pPr>
        <w:spacing w:before="100"/>
      </w:pPr>
      <w:r>
        <w:rPr>
          <w:rFonts w:ascii="Arial" w:eastAsia="宋体" w:hAnsi="Arial" w:cs="Arial"/>
          <w:color w:val="262626"/>
          <w:sz w:val="16"/>
          <w:szCs w:val="16"/>
        </w:rPr>
        <w:t>Indicate by check mark if the registrant is not required to file reports pursuant to Section 13 or Section 15(d) of the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5A1AF1BF" w14:textId="77777777" w:rsidR="00960BB8" w:rsidRDefault="00C06650">
      <w:pPr>
        <w:spacing w:before="100"/>
      </w:pPr>
      <w:r>
        <w:rPr>
          <w:rFonts w:ascii="Arial" w:eastAsia="宋体" w:hAnsi="Arial" w:cs="Arial"/>
          <w:color w:val="262626"/>
          <w:sz w:val="16"/>
          <w:szCs w:val="16"/>
        </w:rPr>
        <w:t xml:space="preserve">Indicate by check mark whether the registrant (1) has filed all reports required to be filed by Section 13 or 15(d) </w:t>
      </w:r>
      <w:r>
        <w:rPr>
          <w:rFonts w:ascii="Arial" w:eastAsia="宋体" w:hAnsi="Arial" w:cs="Arial"/>
          <w:color w:val="262626"/>
          <w:sz w:val="16"/>
          <w:szCs w:val="16"/>
        </w:rPr>
        <w:t xml:space="preserve">of the 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5A1AF1C0" w14:textId="77777777" w:rsidR="00960BB8" w:rsidRDefault="00C06650">
      <w:pPr>
        <w:spacing w:before="100"/>
      </w:pPr>
      <w:r>
        <w:rPr>
          <w:rFonts w:ascii="Arial" w:eastAsia="宋体" w:hAnsi="Arial" w:cs="Arial"/>
          <w:color w:val="262626"/>
          <w:sz w:val="16"/>
          <w:szCs w:val="16"/>
        </w:rPr>
        <w:t xml:space="preserve">Indicate by </w:t>
      </w:r>
      <w:r>
        <w:rPr>
          <w:rFonts w:ascii="Arial" w:eastAsia="宋体" w:hAnsi="Arial" w:cs="Arial"/>
          <w:color w:val="262626"/>
          <w:sz w:val="16"/>
          <w:szCs w:val="16"/>
        </w:rPr>
        <w:t>check mark whether the registrant has submitted electronically every interactive data file required to be submitted pursuant to Rule 405 of Regulation S-T (§232.405 of this chapter) during the preceding 12 months (or for such shorter period that the regist</w:t>
      </w:r>
      <w:r>
        <w:rPr>
          <w:rFonts w:ascii="Arial" w:eastAsia="宋体" w:hAnsi="Arial" w:cs="Arial"/>
          <w:color w:val="262626"/>
          <w:sz w:val="16"/>
          <w:szCs w:val="16"/>
        </w:rPr>
        <w:t xml:space="preserve">rant was required to submit such files).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5A1AF1C1" w14:textId="77777777" w:rsidR="00960BB8" w:rsidRDefault="00C06650">
      <w:pPr>
        <w:spacing w:before="100"/>
      </w:pPr>
      <w:r>
        <w:rPr>
          <w:rFonts w:ascii="Arial" w:eastAsia="宋体" w:hAnsi="Arial" w:cs="Arial"/>
          <w:color w:val="262626"/>
          <w:sz w:val="16"/>
          <w:szCs w:val="16"/>
        </w:rPr>
        <w:t>Indicate by check mark whether the registrant is a large accelerated filer, an accelerated filer, a non-accelerated filer, a smaller reporting company, or an emerging growth company. See the definitio</w:t>
      </w:r>
      <w:r>
        <w:rPr>
          <w:rFonts w:ascii="Arial" w:eastAsia="宋体" w:hAnsi="Arial" w:cs="Arial"/>
          <w:color w:val="262626"/>
          <w:sz w:val="16"/>
          <w:szCs w:val="16"/>
        </w:rPr>
        <w:t>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6"/>
        <w:gridCol w:w="1293"/>
        <w:gridCol w:w="36"/>
        <w:gridCol w:w="36"/>
        <w:gridCol w:w="84"/>
        <w:gridCol w:w="1238"/>
        <w:gridCol w:w="36"/>
        <w:gridCol w:w="36"/>
        <w:gridCol w:w="88"/>
        <w:gridCol w:w="1581"/>
        <w:gridCol w:w="36"/>
        <w:gridCol w:w="36"/>
        <w:gridCol w:w="94"/>
        <w:gridCol w:w="2036"/>
        <w:gridCol w:w="36"/>
        <w:gridCol w:w="37"/>
        <w:gridCol w:w="1551"/>
        <w:gridCol w:w="36"/>
      </w:tblGrid>
      <w:tr w:rsidR="00960BB8" w14:paraId="5A1AF1D4" w14:textId="77777777">
        <w:tc>
          <w:tcPr>
            <w:tcW w:w="50" w:type="pct"/>
            <w:shd w:val="clear" w:color="auto" w:fill="auto"/>
            <w:vAlign w:val="bottom"/>
          </w:tcPr>
          <w:p w14:paraId="5A1AF1C2" w14:textId="77777777" w:rsidR="00960BB8" w:rsidRDefault="00960BB8">
            <w:pPr>
              <w:rPr>
                <w:rFonts w:ascii="宋体"/>
              </w:rPr>
            </w:pPr>
          </w:p>
        </w:tc>
        <w:tc>
          <w:tcPr>
            <w:tcW w:w="921" w:type="pct"/>
            <w:shd w:val="clear" w:color="auto" w:fill="auto"/>
            <w:vAlign w:val="bottom"/>
          </w:tcPr>
          <w:p w14:paraId="5A1AF1C3" w14:textId="77777777" w:rsidR="00960BB8" w:rsidRDefault="00960BB8">
            <w:pPr>
              <w:rPr>
                <w:rFonts w:ascii="宋体"/>
              </w:rPr>
            </w:pPr>
          </w:p>
        </w:tc>
        <w:tc>
          <w:tcPr>
            <w:tcW w:w="5" w:type="pct"/>
            <w:shd w:val="clear" w:color="auto" w:fill="auto"/>
            <w:vAlign w:val="bottom"/>
          </w:tcPr>
          <w:p w14:paraId="5A1AF1C4" w14:textId="77777777" w:rsidR="00960BB8" w:rsidRDefault="00960BB8">
            <w:pPr>
              <w:rPr>
                <w:rFonts w:ascii="宋体"/>
              </w:rPr>
            </w:pPr>
          </w:p>
        </w:tc>
        <w:tc>
          <w:tcPr>
            <w:tcW w:w="0" w:type="auto"/>
            <w:shd w:val="clear" w:color="auto" w:fill="auto"/>
            <w:vAlign w:val="bottom"/>
          </w:tcPr>
          <w:p w14:paraId="5A1AF1C5" w14:textId="77777777" w:rsidR="00960BB8" w:rsidRDefault="00960BB8">
            <w:pPr>
              <w:rPr>
                <w:rFonts w:ascii="宋体"/>
                <w:vanish/>
              </w:rPr>
            </w:pPr>
          </w:p>
        </w:tc>
        <w:tc>
          <w:tcPr>
            <w:tcW w:w="50" w:type="pct"/>
            <w:shd w:val="clear" w:color="auto" w:fill="auto"/>
            <w:vAlign w:val="bottom"/>
          </w:tcPr>
          <w:p w14:paraId="5A1AF1C6" w14:textId="77777777" w:rsidR="00960BB8" w:rsidRDefault="00960BB8">
            <w:pPr>
              <w:rPr>
                <w:rFonts w:ascii="宋体"/>
              </w:rPr>
            </w:pPr>
          </w:p>
        </w:tc>
        <w:tc>
          <w:tcPr>
            <w:tcW w:w="744" w:type="pct"/>
            <w:shd w:val="clear" w:color="auto" w:fill="auto"/>
            <w:vAlign w:val="bottom"/>
          </w:tcPr>
          <w:p w14:paraId="5A1AF1C7" w14:textId="77777777" w:rsidR="00960BB8" w:rsidRDefault="00960BB8">
            <w:pPr>
              <w:rPr>
                <w:rFonts w:ascii="宋体"/>
              </w:rPr>
            </w:pPr>
          </w:p>
        </w:tc>
        <w:tc>
          <w:tcPr>
            <w:tcW w:w="5" w:type="pct"/>
            <w:shd w:val="clear" w:color="auto" w:fill="auto"/>
            <w:vAlign w:val="bottom"/>
          </w:tcPr>
          <w:p w14:paraId="5A1AF1C8" w14:textId="77777777" w:rsidR="00960BB8" w:rsidRDefault="00960BB8">
            <w:pPr>
              <w:rPr>
                <w:rFonts w:ascii="宋体"/>
              </w:rPr>
            </w:pPr>
          </w:p>
        </w:tc>
        <w:tc>
          <w:tcPr>
            <w:tcW w:w="0" w:type="auto"/>
            <w:shd w:val="clear" w:color="auto" w:fill="auto"/>
            <w:vAlign w:val="bottom"/>
          </w:tcPr>
          <w:p w14:paraId="5A1AF1C9" w14:textId="77777777" w:rsidR="00960BB8" w:rsidRDefault="00960BB8">
            <w:pPr>
              <w:rPr>
                <w:rFonts w:ascii="宋体"/>
                <w:vanish/>
              </w:rPr>
            </w:pPr>
          </w:p>
        </w:tc>
        <w:tc>
          <w:tcPr>
            <w:tcW w:w="50" w:type="pct"/>
            <w:shd w:val="clear" w:color="auto" w:fill="auto"/>
            <w:vAlign w:val="bottom"/>
          </w:tcPr>
          <w:p w14:paraId="5A1AF1CA" w14:textId="77777777" w:rsidR="00960BB8" w:rsidRDefault="00960BB8">
            <w:pPr>
              <w:rPr>
                <w:rFonts w:ascii="宋体"/>
              </w:rPr>
            </w:pPr>
          </w:p>
        </w:tc>
        <w:tc>
          <w:tcPr>
            <w:tcW w:w="901" w:type="pct"/>
            <w:shd w:val="clear" w:color="auto" w:fill="auto"/>
            <w:vAlign w:val="bottom"/>
          </w:tcPr>
          <w:p w14:paraId="5A1AF1CB" w14:textId="77777777" w:rsidR="00960BB8" w:rsidRDefault="00960BB8">
            <w:pPr>
              <w:rPr>
                <w:rFonts w:ascii="宋体"/>
              </w:rPr>
            </w:pPr>
          </w:p>
        </w:tc>
        <w:tc>
          <w:tcPr>
            <w:tcW w:w="5" w:type="pct"/>
            <w:shd w:val="clear" w:color="auto" w:fill="auto"/>
            <w:vAlign w:val="bottom"/>
          </w:tcPr>
          <w:p w14:paraId="5A1AF1CC" w14:textId="77777777" w:rsidR="00960BB8" w:rsidRDefault="00960BB8">
            <w:pPr>
              <w:rPr>
                <w:rFonts w:ascii="宋体"/>
              </w:rPr>
            </w:pPr>
          </w:p>
        </w:tc>
        <w:tc>
          <w:tcPr>
            <w:tcW w:w="0" w:type="auto"/>
            <w:shd w:val="clear" w:color="auto" w:fill="auto"/>
            <w:vAlign w:val="bottom"/>
          </w:tcPr>
          <w:p w14:paraId="5A1AF1CD" w14:textId="77777777" w:rsidR="00960BB8" w:rsidRDefault="00960BB8">
            <w:pPr>
              <w:rPr>
                <w:rFonts w:ascii="宋体"/>
                <w:vanish/>
              </w:rPr>
            </w:pPr>
          </w:p>
        </w:tc>
        <w:tc>
          <w:tcPr>
            <w:tcW w:w="50" w:type="pct"/>
            <w:shd w:val="clear" w:color="auto" w:fill="auto"/>
            <w:vAlign w:val="bottom"/>
          </w:tcPr>
          <w:p w14:paraId="5A1AF1CE" w14:textId="77777777" w:rsidR="00960BB8" w:rsidRDefault="00960BB8">
            <w:pPr>
              <w:rPr>
                <w:rFonts w:ascii="宋体"/>
              </w:rPr>
            </w:pPr>
          </w:p>
        </w:tc>
        <w:tc>
          <w:tcPr>
            <w:tcW w:w="1085" w:type="pct"/>
            <w:shd w:val="clear" w:color="auto" w:fill="auto"/>
            <w:vAlign w:val="bottom"/>
          </w:tcPr>
          <w:p w14:paraId="5A1AF1CF" w14:textId="77777777" w:rsidR="00960BB8" w:rsidRDefault="00960BB8">
            <w:pPr>
              <w:rPr>
                <w:rFonts w:ascii="宋体"/>
              </w:rPr>
            </w:pPr>
          </w:p>
        </w:tc>
        <w:tc>
          <w:tcPr>
            <w:tcW w:w="5" w:type="pct"/>
            <w:shd w:val="clear" w:color="auto" w:fill="auto"/>
            <w:vAlign w:val="bottom"/>
          </w:tcPr>
          <w:p w14:paraId="5A1AF1D0" w14:textId="77777777" w:rsidR="00960BB8" w:rsidRDefault="00960BB8">
            <w:pPr>
              <w:rPr>
                <w:rFonts w:ascii="宋体"/>
              </w:rPr>
            </w:pPr>
          </w:p>
        </w:tc>
        <w:tc>
          <w:tcPr>
            <w:tcW w:w="50" w:type="pct"/>
            <w:shd w:val="clear" w:color="auto" w:fill="auto"/>
            <w:vAlign w:val="bottom"/>
          </w:tcPr>
          <w:p w14:paraId="5A1AF1D1" w14:textId="77777777" w:rsidR="00960BB8" w:rsidRDefault="00960BB8">
            <w:pPr>
              <w:rPr>
                <w:rFonts w:ascii="宋体"/>
              </w:rPr>
            </w:pPr>
          </w:p>
        </w:tc>
        <w:tc>
          <w:tcPr>
            <w:tcW w:w="1072" w:type="pct"/>
            <w:shd w:val="clear" w:color="auto" w:fill="auto"/>
            <w:vAlign w:val="bottom"/>
          </w:tcPr>
          <w:p w14:paraId="5A1AF1D2" w14:textId="77777777" w:rsidR="00960BB8" w:rsidRDefault="00960BB8">
            <w:pPr>
              <w:rPr>
                <w:rFonts w:ascii="宋体"/>
              </w:rPr>
            </w:pPr>
          </w:p>
        </w:tc>
        <w:tc>
          <w:tcPr>
            <w:tcW w:w="5" w:type="pct"/>
            <w:shd w:val="clear" w:color="auto" w:fill="auto"/>
            <w:vAlign w:val="bottom"/>
          </w:tcPr>
          <w:p w14:paraId="5A1AF1D3" w14:textId="77777777" w:rsidR="00960BB8" w:rsidRDefault="00960BB8">
            <w:pPr>
              <w:rPr>
                <w:rFonts w:ascii="宋体"/>
              </w:rPr>
            </w:pPr>
          </w:p>
        </w:tc>
      </w:tr>
      <w:tr w:rsidR="00960BB8" w14:paraId="5A1AF1DD" w14:textId="77777777">
        <w:tc>
          <w:tcPr>
            <w:tcW w:w="0" w:type="auto"/>
            <w:gridSpan w:val="3"/>
            <w:shd w:val="clear" w:color="auto" w:fill="auto"/>
            <w:tcMar>
              <w:top w:w="40" w:type="dxa"/>
              <w:left w:w="20" w:type="dxa"/>
              <w:bottom w:w="40" w:type="dxa"/>
              <w:right w:w="20" w:type="dxa"/>
            </w:tcMar>
            <w:vAlign w:val="bottom"/>
          </w:tcPr>
          <w:p w14:paraId="5A1AF1D5" w14:textId="77777777" w:rsidR="00960BB8" w:rsidRDefault="00C06650">
            <w:pPr>
              <w:jc w:val="center"/>
              <w:textAlignment w:val="bottom"/>
            </w:pPr>
            <w:r>
              <w:rPr>
                <w:rFonts w:ascii="Arial" w:eastAsia="宋体" w:hAnsi="Arial" w:cs="Arial"/>
                <w:color w:val="262626"/>
                <w:sz w:val="16"/>
                <w:szCs w:val="16"/>
              </w:rPr>
              <w:t>Large Accelerated Filer</w:t>
            </w:r>
          </w:p>
        </w:tc>
        <w:tc>
          <w:tcPr>
            <w:tcW w:w="0" w:type="auto"/>
            <w:shd w:val="clear" w:color="auto" w:fill="auto"/>
            <w:vAlign w:val="bottom"/>
          </w:tcPr>
          <w:p w14:paraId="5A1AF1D6"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bottom"/>
          </w:tcPr>
          <w:p w14:paraId="5A1AF1D7" w14:textId="77777777" w:rsidR="00960BB8" w:rsidRDefault="00C06650">
            <w:pPr>
              <w:jc w:val="right"/>
              <w:textAlignment w:val="bottom"/>
            </w:pPr>
            <w:r>
              <w:rPr>
                <w:rFonts w:ascii="Arial" w:eastAsia="宋体" w:hAnsi="Arial" w:cs="Arial"/>
                <w:color w:val="262626"/>
                <w:sz w:val="16"/>
                <w:szCs w:val="16"/>
              </w:rPr>
              <w:t>Accelerated Filer  </w:t>
            </w:r>
          </w:p>
        </w:tc>
        <w:tc>
          <w:tcPr>
            <w:tcW w:w="0" w:type="auto"/>
            <w:shd w:val="clear" w:color="auto" w:fill="auto"/>
            <w:vAlign w:val="bottom"/>
          </w:tcPr>
          <w:p w14:paraId="5A1AF1D8"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bottom"/>
          </w:tcPr>
          <w:p w14:paraId="5A1AF1D9" w14:textId="77777777" w:rsidR="00960BB8" w:rsidRDefault="00C06650">
            <w:pPr>
              <w:jc w:val="right"/>
              <w:textAlignment w:val="bottom"/>
            </w:pPr>
            <w:r>
              <w:rPr>
                <w:rFonts w:ascii="Arial" w:eastAsia="宋体" w:hAnsi="Arial" w:cs="Arial"/>
                <w:color w:val="262626"/>
                <w:sz w:val="16"/>
                <w:szCs w:val="16"/>
              </w:rPr>
              <w:t>Non-Accelerated Filer  </w:t>
            </w:r>
          </w:p>
        </w:tc>
        <w:tc>
          <w:tcPr>
            <w:tcW w:w="0" w:type="auto"/>
            <w:shd w:val="clear" w:color="auto" w:fill="auto"/>
            <w:vAlign w:val="bottom"/>
          </w:tcPr>
          <w:p w14:paraId="5A1AF1DA"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bottom"/>
          </w:tcPr>
          <w:p w14:paraId="5A1AF1DB" w14:textId="77777777" w:rsidR="00960BB8" w:rsidRDefault="00C06650">
            <w:pPr>
              <w:jc w:val="right"/>
              <w:textAlignment w:val="bottom"/>
            </w:pPr>
            <w:r>
              <w:rPr>
                <w:rFonts w:ascii="Arial" w:eastAsia="宋体" w:hAnsi="Arial" w:cs="Arial"/>
                <w:color w:val="262626"/>
                <w:sz w:val="16"/>
                <w:szCs w:val="16"/>
              </w:rPr>
              <w:t>Smaller Reporting Company  </w:t>
            </w:r>
          </w:p>
        </w:tc>
        <w:tc>
          <w:tcPr>
            <w:tcW w:w="0" w:type="auto"/>
            <w:gridSpan w:val="3"/>
            <w:shd w:val="clear" w:color="auto" w:fill="auto"/>
            <w:tcMar>
              <w:top w:w="40" w:type="dxa"/>
              <w:left w:w="20" w:type="dxa"/>
              <w:bottom w:w="40" w:type="dxa"/>
              <w:right w:w="20" w:type="dxa"/>
            </w:tcMar>
            <w:vAlign w:val="bottom"/>
          </w:tcPr>
          <w:p w14:paraId="5A1AF1DC" w14:textId="77777777" w:rsidR="00960BB8" w:rsidRDefault="00C06650">
            <w:pPr>
              <w:jc w:val="right"/>
              <w:textAlignment w:val="bottom"/>
            </w:pPr>
            <w:r>
              <w:rPr>
                <w:rFonts w:ascii="Arial" w:eastAsia="宋体" w:hAnsi="Arial" w:cs="Arial"/>
                <w:color w:val="262626"/>
                <w:sz w:val="16"/>
                <w:szCs w:val="16"/>
              </w:rPr>
              <w:t>Emerging Growth Company  </w:t>
            </w:r>
          </w:p>
        </w:tc>
      </w:tr>
      <w:tr w:rsidR="00960BB8" w14:paraId="5A1AF1E6" w14:textId="77777777">
        <w:tc>
          <w:tcPr>
            <w:tcW w:w="0" w:type="auto"/>
            <w:gridSpan w:val="3"/>
            <w:shd w:val="clear" w:color="auto" w:fill="auto"/>
            <w:tcMar>
              <w:top w:w="40" w:type="dxa"/>
              <w:left w:w="20" w:type="dxa"/>
              <w:bottom w:w="40" w:type="dxa"/>
              <w:right w:w="20" w:type="dxa"/>
            </w:tcMar>
            <w:vAlign w:val="bottom"/>
          </w:tcPr>
          <w:p w14:paraId="5A1AF1DE" w14:textId="77777777" w:rsidR="00960BB8" w:rsidRDefault="00C06650">
            <w:pPr>
              <w:jc w:val="center"/>
              <w:textAlignment w:val="bottom"/>
            </w:pPr>
            <w:r>
              <w:rPr>
                <w:rFonts w:ascii="Arial" w:eastAsia="宋体" w:hAnsi="Arial" w:cs="Arial"/>
                <w:b/>
                <w:bCs/>
                <w:color w:val="262626"/>
                <w:sz w:val="18"/>
                <w:szCs w:val="18"/>
              </w:rPr>
              <w:t>☑</w:t>
            </w:r>
          </w:p>
        </w:tc>
        <w:tc>
          <w:tcPr>
            <w:tcW w:w="0" w:type="auto"/>
            <w:shd w:val="clear" w:color="auto" w:fill="auto"/>
            <w:vAlign w:val="bottom"/>
          </w:tcPr>
          <w:p w14:paraId="5A1AF1DF"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bottom"/>
          </w:tcPr>
          <w:p w14:paraId="5A1AF1E0" w14:textId="77777777" w:rsidR="00960BB8" w:rsidRDefault="00C06650">
            <w:pPr>
              <w:jc w:val="center"/>
              <w:textAlignment w:val="bottom"/>
            </w:pPr>
            <w:r>
              <w:rPr>
                <w:rFonts w:ascii="Arial Unicode MS" w:eastAsia="Arial Unicode MS" w:hAnsi="Arial Unicode MS" w:cs="Arial Unicode MS" w:hint="eastAsia"/>
                <w:color w:val="262626"/>
                <w:sz w:val="18"/>
                <w:szCs w:val="18"/>
              </w:rPr>
              <w:t>☐</w:t>
            </w:r>
          </w:p>
        </w:tc>
        <w:tc>
          <w:tcPr>
            <w:tcW w:w="0" w:type="auto"/>
            <w:shd w:val="clear" w:color="auto" w:fill="auto"/>
            <w:vAlign w:val="bottom"/>
          </w:tcPr>
          <w:p w14:paraId="5A1AF1E1"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bottom"/>
          </w:tcPr>
          <w:p w14:paraId="5A1AF1E2" w14:textId="77777777" w:rsidR="00960BB8" w:rsidRDefault="00C06650">
            <w:pPr>
              <w:jc w:val="center"/>
              <w:textAlignment w:val="bottom"/>
            </w:pPr>
            <w:r>
              <w:rPr>
                <w:rFonts w:ascii="Arial Unicode MS" w:eastAsia="Arial Unicode MS" w:hAnsi="Arial Unicode MS" w:cs="Arial Unicode MS" w:hint="eastAsia"/>
                <w:color w:val="262626"/>
                <w:sz w:val="18"/>
                <w:szCs w:val="18"/>
              </w:rPr>
              <w:t>☐</w:t>
            </w:r>
          </w:p>
        </w:tc>
        <w:tc>
          <w:tcPr>
            <w:tcW w:w="0" w:type="auto"/>
            <w:shd w:val="clear" w:color="auto" w:fill="auto"/>
            <w:vAlign w:val="bottom"/>
          </w:tcPr>
          <w:p w14:paraId="5A1AF1E3"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bottom"/>
          </w:tcPr>
          <w:p w14:paraId="5A1AF1E4" w14:textId="77777777" w:rsidR="00960BB8" w:rsidRDefault="00C06650">
            <w:pPr>
              <w:jc w:val="center"/>
              <w:textAlignment w:val="bottom"/>
            </w:pPr>
            <w:r>
              <w:rPr>
                <w:rFonts w:ascii="Arial Unicode MS" w:eastAsia="Arial Unicode MS" w:hAnsi="Arial Unicode MS" w:cs="Arial Unicode MS" w:hint="eastAsia"/>
                <w:color w:val="262626"/>
                <w:sz w:val="18"/>
                <w:szCs w:val="18"/>
              </w:rPr>
              <w:t>☐</w:t>
            </w:r>
          </w:p>
        </w:tc>
        <w:tc>
          <w:tcPr>
            <w:tcW w:w="0" w:type="auto"/>
            <w:gridSpan w:val="3"/>
            <w:shd w:val="clear" w:color="auto" w:fill="auto"/>
            <w:tcMar>
              <w:top w:w="40" w:type="dxa"/>
              <w:left w:w="20" w:type="dxa"/>
              <w:bottom w:w="40" w:type="dxa"/>
              <w:right w:w="20" w:type="dxa"/>
            </w:tcMar>
          </w:tcPr>
          <w:p w14:paraId="5A1AF1E5" w14:textId="77777777" w:rsidR="00960BB8" w:rsidRDefault="00C06650">
            <w:pPr>
              <w:jc w:val="center"/>
              <w:textAlignment w:val="top"/>
            </w:pPr>
            <w:r>
              <w:rPr>
                <w:rFonts w:ascii="Arial Unicode MS" w:eastAsia="Arial Unicode MS" w:hAnsi="Arial Unicode MS" w:cs="Arial Unicode MS" w:hint="eastAsia"/>
                <w:color w:val="262626"/>
                <w:sz w:val="18"/>
                <w:szCs w:val="18"/>
              </w:rPr>
              <w:t>☐</w:t>
            </w:r>
          </w:p>
        </w:tc>
      </w:tr>
    </w:tbl>
    <w:p w14:paraId="5A1AF1E7" w14:textId="77777777" w:rsidR="00960BB8" w:rsidRDefault="00C06650">
      <w:r>
        <w:rPr>
          <w:rFonts w:ascii="Arial" w:eastAsia="宋体" w:hAnsi="Arial" w:cs="Arial"/>
          <w:color w:val="262626"/>
          <w:sz w:val="16"/>
          <w:szCs w:val="16"/>
        </w:rPr>
        <w:t xml:space="preserve">If an emerging growth company, indicate by check mark if the registrant has elected not to use the extended transition period for complying with any new or </w:t>
      </w:r>
      <w:r>
        <w:rPr>
          <w:rFonts w:ascii="Arial" w:eastAsia="宋体" w:hAnsi="Arial" w:cs="Arial"/>
          <w:color w:val="262626"/>
          <w:sz w:val="16"/>
          <w:szCs w:val="16"/>
        </w:rPr>
        <w:t>revised financial accounting standards provided pursuant to Section 13(a) of the Exchange Act.  </w:t>
      </w:r>
      <w:r>
        <w:rPr>
          <w:rFonts w:ascii="Arial Unicode MS" w:eastAsia="Arial Unicode MS" w:hAnsi="Arial Unicode MS" w:cs="Arial Unicode MS" w:hint="eastAsia"/>
          <w:color w:val="262626"/>
          <w:sz w:val="18"/>
          <w:szCs w:val="18"/>
        </w:rPr>
        <w:t>☐</w:t>
      </w:r>
    </w:p>
    <w:p w14:paraId="5A1AF1E8" w14:textId="77777777" w:rsidR="00960BB8" w:rsidRDefault="00C06650">
      <w:pPr>
        <w:spacing w:before="100"/>
      </w:pPr>
      <w:r>
        <w:rPr>
          <w:rFonts w:ascii="Arial" w:eastAsia="宋体" w:hAnsi="Arial" w:cs="Arial"/>
          <w:color w:val="262626"/>
          <w:sz w:val="16"/>
          <w:szCs w:val="16"/>
        </w:rPr>
        <w:t>Indicate by check mark whether the registrant has filed a report on and attestation to its management's assessment of the effectiveness of its internal contro</w:t>
      </w:r>
      <w:r>
        <w:rPr>
          <w:rFonts w:ascii="Arial" w:eastAsia="宋体" w:hAnsi="Arial" w:cs="Arial"/>
          <w:color w:val="262626"/>
          <w:sz w:val="16"/>
          <w:szCs w:val="16"/>
        </w:rPr>
        <w:t>l over financial reporting under Section 404(b) of the Sarbanes-Oxley Act (15 U.S.C 7262(b)) by the registered public accounting firm that prepared or issued its audit report.  </w:t>
      </w:r>
      <w:r>
        <w:rPr>
          <w:rFonts w:ascii="Arial Unicode MS" w:eastAsia="Arial Unicode MS" w:hAnsi="Arial Unicode MS" w:cs="Arial Unicode MS" w:hint="eastAsia"/>
          <w:color w:val="262626"/>
          <w:sz w:val="18"/>
          <w:szCs w:val="18"/>
        </w:rPr>
        <w:t>☑</w:t>
      </w:r>
    </w:p>
    <w:p w14:paraId="5A1AF1E9" w14:textId="77777777" w:rsidR="00960BB8" w:rsidRDefault="00C06650">
      <w:pPr>
        <w:spacing w:before="100" w:after="100"/>
      </w:pPr>
      <w:r>
        <w:rPr>
          <w:rFonts w:ascii="Arial" w:eastAsia="宋体" w:hAnsi="Arial" w:cs="Arial"/>
          <w:color w:val="262626"/>
          <w:sz w:val="16"/>
          <w:szCs w:val="16"/>
        </w:rPr>
        <w:t xml:space="preserve">Indicate by check mark whether the registrant is a shell company (as defined </w:t>
      </w:r>
      <w:r>
        <w:rPr>
          <w:rFonts w:ascii="Arial" w:eastAsia="宋体" w:hAnsi="Arial" w:cs="Arial"/>
          <w:color w:val="262626"/>
          <w:sz w:val="16"/>
          <w:szCs w:val="16"/>
        </w:rPr>
        <w:t>in Rule 12b-2 of the Exchange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5A1AF1EA" w14:textId="77777777" w:rsidR="00960BB8" w:rsidRDefault="00C06650">
      <w:pPr>
        <w:spacing w:after="180"/>
      </w:pPr>
      <w:r>
        <w:rPr>
          <w:rFonts w:ascii="Arial" w:eastAsia="宋体" w:hAnsi="Arial" w:cs="Arial"/>
          <w:color w:val="262626"/>
          <w:sz w:val="16"/>
          <w:szCs w:val="16"/>
        </w:rPr>
        <w:t>Aggregate market value of voting and non-voting common equity held by non-affiliates of the registrant as of July 1, 2022, based upon the closing price of the common stock as reported by the Nasdaq Global Select Market on such date, was $149.2 billion. 4,1</w:t>
      </w:r>
      <w:r>
        <w:rPr>
          <w:rFonts w:ascii="Arial" w:eastAsia="宋体" w:hAnsi="Arial" w:cs="Arial"/>
          <w:color w:val="262626"/>
          <w:sz w:val="16"/>
          <w:szCs w:val="16"/>
        </w:rPr>
        <w:t xml:space="preserve">37 million shares of common stock were outstanding as of January 20, 2023. </w:t>
      </w:r>
    </w:p>
    <w:p w14:paraId="5A1AF1EB" w14:textId="77777777" w:rsidR="00960BB8" w:rsidRDefault="00C06650">
      <w:pPr>
        <w:spacing w:before="100"/>
        <w:jc w:val="center"/>
      </w:pPr>
      <w:r>
        <w:rPr>
          <w:rFonts w:ascii="Arial" w:eastAsia="宋体" w:hAnsi="Arial" w:cs="Arial"/>
          <w:b/>
          <w:bCs/>
          <w:color w:val="262626"/>
          <w:sz w:val="17"/>
          <w:szCs w:val="17"/>
        </w:rPr>
        <w:t xml:space="preserve">DOCUMENTS INCORPORATED BY REFERENCE </w:t>
      </w:r>
    </w:p>
    <w:p w14:paraId="5A1AF1EC" w14:textId="77777777" w:rsidR="00960BB8" w:rsidRDefault="00C06650">
      <w:pPr>
        <w:spacing w:before="60"/>
      </w:pPr>
      <w:r>
        <w:rPr>
          <w:rFonts w:ascii="Arial" w:eastAsia="宋体" w:hAnsi="Arial" w:cs="Arial"/>
          <w:color w:val="262626"/>
          <w:sz w:val="16"/>
          <w:szCs w:val="16"/>
        </w:rPr>
        <w:t>Portions of the registrant’s proxy statement related to its 2023 Annual Stockholders' Meeting to be filed subsequently are incorporated by refe</w:t>
      </w:r>
      <w:r>
        <w:rPr>
          <w:rFonts w:ascii="Arial" w:eastAsia="宋体" w:hAnsi="Arial" w:cs="Arial"/>
          <w:color w:val="262626"/>
          <w:sz w:val="16"/>
          <w:szCs w:val="16"/>
        </w:rPr>
        <w:t xml:space="preserve">rence into Part III of this Form 10-K. Except as expressly incorporated by reference, the registrant's proxy statement shall not be deemed to be part of this report. </w:t>
      </w:r>
    </w:p>
    <w:p w14:paraId="5A1AF1ED" w14:textId="77777777" w:rsidR="00960BB8" w:rsidRDefault="00960BB8"/>
    <w:p w14:paraId="5A1AF1EE" w14:textId="77777777" w:rsidR="00960BB8" w:rsidRDefault="00C06650">
      <w:r>
        <w:pict w14:anchorId="5A1B4317">
          <v:rect id="_x0000_i1025" style="width:415.3pt;height:1.5pt" o:hralign="center" o:hrstd="t" o:hr="t" fillcolor="#a0a0a0" stroked="f"/>
        </w:pict>
      </w:r>
    </w:p>
    <w:p w14:paraId="5A1AF1EF" w14:textId="77777777" w:rsidR="00960BB8" w:rsidRDefault="00960BB8"/>
    <w:p w14:paraId="5A1AF1F0" w14:textId="77777777" w:rsidR="00960BB8" w:rsidRDefault="00C06650">
      <w:pPr>
        <w:spacing w:after="180"/>
      </w:pPr>
      <w:r>
        <w:rPr>
          <w:rFonts w:ascii="Arial" w:eastAsia="宋体" w:hAnsi="Arial" w:cs="Arial"/>
          <w:color w:val="0068B5"/>
          <w:sz w:val="36"/>
          <w:szCs w:val="36"/>
        </w:rPr>
        <w:lastRenderedPageBreak/>
        <w:t>Table of Contents</w:t>
      </w:r>
    </w:p>
    <w:p w14:paraId="5A1AF1F1" w14:textId="77777777" w:rsidR="00960BB8" w:rsidRDefault="00C06650">
      <w:pPr>
        <w:spacing w:after="180"/>
      </w:pPr>
      <w:r>
        <w:rPr>
          <w:rFonts w:ascii="Arial" w:eastAsia="宋体" w:hAnsi="Arial" w:cs="Arial"/>
          <w:color w:val="0068B5"/>
        </w:rPr>
        <w:t xml:space="preserve">Organization of Our Form 10-K </w:t>
      </w:r>
    </w:p>
    <w:p w14:paraId="5A1AF1F2" w14:textId="77777777" w:rsidR="00960BB8" w:rsidRDefault="00C06650">
      <w:pPr>
        <w:spacing w:after="180"/>
      </w:pPr>
      <w:r>
        <w:rPr>
          <w:rFonts w:ascii="Arial" w:eastAsia="宋体" w:hAnsi="Arial" w:cs="Arial"/>
          <w:color w:val="262626"/>
          <w:sz w:val="18"/>
          <w:szCs w:val="18"/>
        </w:rPr>
        <w:t>The order and presentation of content in our Form 10-K differs from the traditional SEC Form 10-K format. Our format is designed to improve readability and better present how we organize and manage our business. See "Form 10-K Cross-Reference Index" within</w:t>
      </w:r>
      <w:r>
        <w:rPr>
          <w:rFonts w:ascii="Arial" w:eastAsia="宋体" w:hAnsi="Arial" w:cs="Arial"/>
          <w:color w:val="262626"/>
          <w:sz w:val="18"/>
          <w:szCs w:val="18"/>
        </w:rPr>
        <w:t xml:space="preserve"> the Financial Statements and Supplemental Details for a cross-reference index to the traditional SEC Form 10-K format. </w:t>
      </w:r>
    </w:p>
    <w:p w14:paraId="5A1AF1F3" w14:textId="77777777" w:rsidR="00960BB8" w:rsidRDefault="00C06650">
      <w:pPr>
        <w:spacing w:after="180"/>
      </w:pPr>
      <w:r>
        <w:rPr>
          <w:rFonts w:ascii="Arial" w:eastAsia="宋体" w:hAnsi="Arial" w:cs="Arial"/>
          <w:color w:val="262626"/>
          <w:sz w:val="18"/>
          <w:szCs w:val="18"/>
        </w:rPr>
        <w:t>We have defined certain terms and abbreviations used throughout our Form 10-K in "Key Terms" within the Financial Statements and Supple</w:t>
      </w:r>
      <w:r>
        <w:rPr>
          <w:rFonts w:ascii="Arial" w:eastAsia="宋体" w:hAnsi="Arial" w:cs="Arial"/>
          <w:color w:val="262626"/>
          <w:sz w:val="18"/>
          <w:szCs w:val="18"/>
        </w:rPr>
        <w:t>mental Details.</w:t>
      </w:r>
    </w:p>
    <w:p w14:paraId="5A1AF1F4" w14:textId="77777777" w:rsidR="00960BB8" w:rsidRDefault="00C06650">
      <w:pPr>
        <w:spacing w:after="180"/>
      </w:pPr>
      <w:r>
        <w:rPr>
          <w:rFonts w:ascii="Arial" w:eastAsia="宋体" w:hAnsi="Arial" w:cs="Arial"/>
          <w:color w:val="262626"/>
          <w:sz w:val="18"/>
          <w:szCs w:val="18"/>
        </w:rPr>
        <w:t>The preparation of our Consolidated Financial Statements is in conformity with US GAAP. Our Form 10-K includes key metrics that we use to measure our business, some of which are non-GAAP measures. See "Non-GAAP Financial Measures" within MD</w:t>
      </w:r>
      <w:r>
        <w:rPr>
          <w:rFonts w:ascii="Arial" w:eastAsia="宋体" w:hAnsi="Arial" w:cs="Arial"/>
          <w:color w:val="262626"/>
          <w:sz w:val="18"/>
          <w:szCs w:val="18"/>
        </w:rPr>
        <w:t xml:space="preserve">&amp;A for an explanation of these measures and why management uses them and believes they provide investors with useful supplemental information. </w:t>
      </w:r>
    </w:p>
    <w:tbl>
      <w:tblPr>
        <w:tblW w:w="4993" w:type="pct"/>
        <w:tblCellMar>
          <w:top w:w="15" w:type="dxa"/>
          <w:left w:w="15" w:type="dxa"/>
          <w:bottom w:w="15" w:type="dxa"/>
          <w:right w:w="15" w:type="dxa"/>
        </w:tblCellMar>
        <w:tblLook w:val="04A0" w:firstRow="1" w:lastRow="0" w:firstColumn="1" w:lastColumn="0" w:noHBand="0" w:noVBand="1"/>
      </w:tblPr>
      <w:tblGrid>
        <w:gridCol w:w="69"/>
        <w:gridCol w:w="5510"/>
        <w:gridCol w:w="37"/>
        <w:gridCol w:w="69"/>
        <w:gridCol w:w="1090"/>
        <w:gridCol w:w="36"/>
        <w:gridCol w:w="69"/>
        <w:gridCol w:w="1408"/>
        <w:gridCol w:w="36"/>
      </w:tblGrid>
      <w:tr w:rsidR="00960BB8" w14:paraId="5A1AF1FE" w14:textId="77777777">
        <w:tc>
          <w:tcPr>
            <w:tcW w:w="50" w:type="pct"/>
            <w:shd w:val="clear" w:color="auto" w:fill="auto"/>
            <w:vAlign w:val="bottom"/>
          </w:tcPr>
          <w:p w14:paraId="5A1AF1F5" w14:textId="77777777" w:rsidR="00960BB8" w:rsidRDefault="00960BB8">
            <w:pPr>
              <w:rPr>
                <w:rFonts w:ascii="宋体"/>
              </w:rPr>
            </w:pPr>
          </w:p>
        </w:tc>
        <w:tc>
          <w:tcPr>
            <w:tcW w:w="3317" w:type="pct"/>
            <w:shd w:val="clear" w:color="auto" w:fill="auto"/>
            <w:vAlign w:val="bottom"/>
          </w:tcPr>
          <w:p w14:paraId="5A1AF1F6" w14:textId="77777777" w:rsidR="00960BB8" w:rsidRDefault="00960BB8">
            <w:pPr>
              <w:rPr>
                <w:rFonts w:ascii="宋体"/>
              </w:rPr>
            </w:pPr>
          </w:p>
        </w:tc>
        <w:tc>
          <w:tcPr>
            <w:tcW w:w="5" w:type="pct"/>
            <w:shd w:val="clear" w:color="auto" w:fill="auto"/>
            <w:vAlign w:val="bottom"/>
          </w:tcPr>
          <w:p w14:paraId="5A1AF1F7" w14:textId="77777777" w:rsidR="00960BB8" w:rsidRDefault="00960BB8">
            <w:pPr>
              <w:rPr>
                <w:rFonts w:ascii="宋体"/>
              </w:rPr>
            </w:pPr>
          </w:p>
        </w:tc>
        <w:tc>
          <w:tcPr>
            <w:tcW w:w="50" w:type="pct"/>
            <w:shd w:val="clear" w:color="auto" w:fill="auto"/>
            <w:vAlign w:val="bottom"/>
          </w:tcPr>
          <w:p w14:paraId="5A1AF1F8" w14:textId="77777777" w:rsidR="00960BB8" w:rsidRDefault="00960BB8">
            <w:pPr>
              <w:rPr>
                <w:rFonts w:ascii="宋体"/>
              </w:rPr>
            </w:pPr>
          </w:p>
        </w:tc>
        <w:tc>
          <w:tcPr>
            <w:tcW w:w="663" w:type="pct"/>
            <w:shd w:val="clear" w:color="auto" w:fill="auto"/>
            <w:vAlign w:val="bottom"/>
          </w:tcPr>
          <w:p w14:paraId="5A1AF1F9" w14:textId="77777777" w:rsidR="00960BB8" w:rsidRDefault="00960BB8">
            <w:pPr>
              <w:rPr>
                <w:rFonts w:ascii="宋体"/>
              </w:rPr>
            </w:pPr>
          </w:p>
        </w:tc>
        <w:tc>
          <w:tcPr>
            <w:tcW w:w="5" w:type="pct"/>
            <w:shd w:val="clear" w:color="auto" w:fill="auto"/>
            <w:vAlign w:val="bottom"/>
          </w:tcPr>
          <w:p w14:paraId="5A1AF1FA" w14:textId="77777777" w:rsidR="00960BB8" w:rsidRDefault="00960BB8">
            <w:pPr>
              <w:rPr>
                <w:rFonts w:ascii="宋体"/>
              </w:rPr>
            </w:pPr>
          </w:p>
        </w:tc>
        <w:tc>
          <w:tcPr>
            <w:tcW w:w="50" w:type="pct"/>
            <w:shd w:val="clear" w:color="auto" w:fill="auto"/>
            <w:vAlign w:val="bottom"/>
          </w:tcPr>
          <w:p w14:paraId="5A1AF1FB" w14:textId="77777777" w:rsidR="00960BB8" w:rsidRDefault="00960BB8">
            <w:pPr>
              <w:rPr>
                <w:rFonts w:ascii="宋体"/>
              </w:rPr>
            </w:pPr>
          </w:p>
        </w:tc>
        <w:tc>
          <w:tcPr>
            <w:tcW w:w="854" w:type="pct"/>
            <w:shd w:val="clear" w:color="auto" w:fill="auto"/>
            <w:vAlign w:val="bottom"/>
          </w:tcPr>
          <w:p w14:paraId="5A1AF1FC" w14:textId="77777777" w:rsidR="00960BB8" w:rsidRDefault="00960BB8">
            <w:pPr>
              <w:rPr>
                <w:rFonts w:ascii="宋体"/>
              </w:rPr>
            </w:pPr>
          </w:p>
        </w:tc>
        <w:tc>
          <w:tcPr>
            <w:tcW w:w="5" w:type="pct"/>
            <w:shd w:val="clear" w:color="auto" w:fill="auto"/>
            <w:vAlign w:val="bottom"/>
          </w:tcPr>
          <w:p w14:paraId="5A1AF1FD" w14:textId="77777777" w:rsidR="00960BB8" w:rsidRDefault="00960BB8">
            <w:pPr>
              <w:rPr>
                <w:rFonts w:ascii="宋体"/>
              </w:rPr>
            </w:pPr>
          </w:p>
        </w:tc>
      </w:tr>
      <w:tr w:rsidR="00960BB8" w14:paraId="5A1AF202" w14:textId="77777777">
        <w:tc>
          <w:tcPr>
            <w:tcW w:w="0" w:type="auto"/>
            <w:gridSpan w:val="3"/>
            <w:shd w:val="clear" w:color="auto" w:fill="auto"/>
            <w:tcMar>
              <w:top w:w="40" w:type="dxa"/>
              <w:left w:w="20" w:type="dxa"/>
              <w:bottom w:w="40" w:type="dxa"/>
              <w:right w:w="20" w:type="dxa"/>
            </w:tcMar>
            <w:vAlign w:val="center"/>
          </w:tcPr>
          <w:p w14:paraId="5A1AF1FF" w14:textId="77777777" w:rsidR="00960BB8" w:rsidRDefault="00C06650">
            <w:pPr>
              <w:textAlignment w:val="center"/>
            </w:pPr>
            <w:r>
              <w:rPr>
                <w:rFonts w:ascii="Arial" w:eastAsia="宋体" w:hAnsi="Arial" w:cs="Arial"/>
                <w:color w:val="0068B5"/>
                <w:sz w:val="20"/>
                <w:szCs w:val="20"/>
              </w:rPr>
              <w:t>Fundamentals of Our Business</w:t>
            </w:r>
          </w:p>
        </w:tc>
        <w:tc>
          <w:tcPr>
            <w:tcW w:w="0" w:type="auto"/>
            <w:gridSpan w:val="3"/>
            <w:shd w:val="clear" w:color="auto" w:fill="auto"/>
            <w:tcMar>
              <w:top w:w="0" w:type="dxa"/>
              <w:left w:w="20" w:type="dxa"/>
              <w:bottom w:w="0" w:type="dxa"/>
              <w:right w:w="20" w:type="dxa"/>
            </w:tcMar>
            <w:vAlign w:val="bottom"/>
          </w:tcPr>
          <w:p w14:paraId="5A1AF20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01" w14:textId="77777777" w:rsidR="00960BB8" w:rsidRDefault="00C06650">
            <w:pPr>
              <w:jc w:val="center"/>
              <w:textAlignment w:val="center"/>
            </w:pPr>
            <w:r>
              <w:rPr>
                <w:rFonts w:ascii="Arial" w:eastAsia="宋体" w:hAnsi="Arial" w:cs="Arial"/>
                <w:color w:val="0068B5"/>
                <w:sz w:val="18"/>
                <w:szCs w:val="18"/>
              </w:rPr>
              <w:t>Page</w:t>
            </w:r>
          </w:p>
        </w:tc>
      </w:tr>
      <w:tr w:rsidR="00960BB8" w14:paraId="5A1AF206" w14:textId="77777777">
        <w:tc>
          <w:tcPr>
            <w:tcW w:w="0" w:type="auto"/>
            <w:gridSpan w:val="3"/>
            <w:tcBorders>
              <w:top w:val="single" w:sz="4" w:space="0" w:color="262626"/>
            </w:tcBorders>
            <w:shd w:val="clear" w:color="auto" w:fill="auto"/>
            <w:tcMar>
              <w:top w:w="40" w:type="dxa"/>
              <w:left w:w="20" w:type="dxa"/>
              <w:bottom w:w="40" w:type="dxa"/>
              <w:right w:w="20" w:type="dxa"/>
            </w:tcMar>
            <w:vAlign w:val="center"/>
          </w:tcPr>
          <w:p w14:paraId="5A1AF203" w14:textId="77777777" w:rsidR="00960BB8" w:rsidRDefault="00C06650">
            <w:pPr>
              <w:textAlignment w:val="center"/>
            </w:pPr>
            <w:r>
              <w:rPr>
                <w:rFonts w:ascii="Arial" w:eastAsia="宋体" w:hAnsi="Arial" w:cs="Arial"/>
                <w:color w:val="262626"/>
                <w:sz w:val="18"/>
                <w:szCs w:val="18"/>
              </w:rPr>
              <w:t>Availability of Company Information</w:t>
            </w: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204"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5A1AF205" w14:textId="77777777" w:rsidR="00960BB8" w:rsidRDefault="00C06650">
            <w:pPr>
              <w:jc w:val="center"/>
              <w:textAlignment w:val="top"/>
            </w:pPr>
            <w:hyperlink r:id="rId7" w:anchor="i8aaa7b4dbd2e419ca0f5c30af85a11aa_235" w:history="1">
              <w:r>
                <w:rPr>
                  <w:rStyle w:val="a5"/>
                  <w:rFonts w:ascii="Arial" w:eastAsia="宋体" w:hAnsi="Arial" w:cs="Arial"/>
                  <w:color w:val="262626"/>
                  <w:sz w:val="18"/>
                  <w:szCs w:val="18"/>
                  <w:u w:val="none"/>
                </w:rPr>
                <w:t>2</w:t>
              </w:r>
            </w:hyperlink>
          </w:p>
        </w:tc>
      </w:tr>
      <w:tr w:rsidR="00960BB8" w14:paraId="5A1AF20A" w14:textId="77777777">
        <w:tc>
          <w:tcPr>
            <w:tcW w:w="0" w:type="auto"/>
            <w:gridSpan w:val="3"/>
            <w:shd w:val="clear" w:color="auto" w:fill="auto"/>
            <w:tcMar>
              <w:top w:w="40" w:type="dxa"/>
              <w:left w:w="20" w:type="dxa"/>
              <w:bottom w:w="40" w:type="dxa"/>
              <w:right w:w="20" w:type="dxa"/>
            </w:tcMar>
            <w:vAlign w:val="center"/>
          </w:tcPr>
          <w:p w14:paraId="5A1AF207" w14:textId="77777777" w:rsidR="00960BB8" w:rsidRDefault="00C06650">
            <w:pPr>
              <w:textAlignment w:val="center"/>
            </w:pPr>
            <w:r>
              <w:rPr>
                <w:rFonts w:ascii="Arial" w:eastAsia="宋体" w:hAnsi="Arial" w:cs="Arial"/>
                <w:color w:val="262626"/>
                <w:sz w:val="18"/>
                <w:szCs w:val="18"/>
              </w:rPr>
              <w:t>Introduction to Our Business</w:t>
            </w:r>
          </w:p>
        </w:tc>
        <w:tc>
          <w:tcPr>
            <w:tcW w:w="0" w:type="auto"/>
            <w:gridSpan w:val="3"/>
            <w:shd w:val="clear" w:color="auto" w:fill="auto"/>
            <w:tcMar>
              <w:top w:w="0" w:type="dxa"/>
              <w:left w:w="20" w:type="dxa"/>
              <w:bottom w:w="0" w:type="dxa"/>
              <w:right w:w="20" w:type="dxa"/>
            </w:tcMar>
            <w:vAlign w:val="bottom"/>
          </w:tcPr>
          <w:p w14:paraId="5A1AF20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09" w14:textId="77777777" w:rsidR="00960BB8" w:rsidRDefault="00C06650">
            <w:pPr>
              <w:jc w:val="center"/>
              <w:textAlignment w:val="center"/>
            </w:pPr>
            <w:hyperlink r:id="rId8" w:anchor="i8aaa7b4dbd2e419ca0f5c30af85a11aa_22" w:history="1">
              <w:r>
                <w:rPr>
                  <w:rStyle w:val="a5"/>
                  <w:rFonts w:ascii="Arial" w:eastAsia="宋体" w:hAnsi="Arial" w:cs="Arial"/>
                  <w:color w:val="262626"/>
                  <w:sz w:val="18"/>
                  <w:szCs w:val="18"/>
                  <w:u w:val="none"/>
                </w:rPr>
                <w:t>3</w:t>
              </w:r>
            </w:hyperlink>
          </w:p>
        </w:tc>
      </w:tr>
      <w:tr w:rsidR="00960BB8" w14:paraId="5A1AF20E" w14:textId="77777777">
        <w:tc>
          <w:tcPr>
            <w:tcW w:w="0" w:type="auto"/>
            <w:gridSpan w:val="3"/>
            <w:shd w:val="clear" w:color="auto" w:fill="auto"/>
            <w:tcMar>
              <w:top w:w="40" w:type="dxa"/>
              <w:left w:w="20" w:type="dxa"/>
              <w:bottom w:w="40" w:type="dxa"/>
              <w:right w:w="20" w:type="dxa"/>
            </w:tcMar>
            <w:vAlign w:val="center"/>
          </w:tcPr>
          <w:p w14:paraId="5A1AF20B" w14:textId="77777777" w:rsidR="00960BB8" w:rsidRDefault="00C06650">
            <w:pPr>
              <w:textAlignment w:val="center"/>
            </w:pPr>
            <w:r>
              <w:rPr>
                <w:rFonts w:ascii="Arial" w:eastAsia="宋体" w:hAnsi="Arial" w:cs="Arial"/>
                <w:color w:val="262626"/>
                <w:sz w:val="18"/>
                <w:szCs w:val="18"/>
              </w:rPr>
              <w:t>A Year in Review</w:t>
            </w:r>
          </w:p>
        </w:tc>
        <w:tc>
          <w:tcPr>
            <w:tcW w:w="0" w:type="auto"/>
            <w:gridSpan w:val="3"/>
            <w:shd w:val="clear" w:color="auto" w:fill="auto"/>
            <w:tcMar>
              <w:top w:w="0" w:type="dxa"/>
              <w:left w:w="20" w:type="dxa"/>
              <w:bottom w:w="0" w:type="dxa"/>
              <w:right w:w="20" w:type="dxa"/>
            </w:tcMar>
            <w:vAlign w:val="bottom"/>
          </w:tcPr>
          <w:p w14:paraId="5A1AF20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0D" w14:textId="77777777" w:rsidR="00960BB8" w:rsidRDefault="00C06650">
            <w:pPr>
              <w:jc w:val="center"/>
              <w:textAlignment w:val="center"/>
            </w:pPr>
            <w:hyperlink r:id="rId9" w:anchor="i8aaa7b4dbd2e419ca0f5c30af85a11aa_28" w:history="1">
              <w:r>
                <w:rPr>
                  <w:rStyle w:val="a5"/>
                  <w:rFonts w:ascii="Arial" w:eastAsia="宋体" w:hAnsi="Arial" w:cs="Arial"/>
                  <w:color w:val="262626"/>
                  <w:sz w:val="18"/>
                  <w:szCs w:val="18"/>
                  <w:u w:val="none"/>
                </w:rPr>
                <w:t>5</w:t>
              </w:r>
            </w:hyperlink>
          </w:p>
        </w:tc>
      </w:tr>
      <w:tr w:rsidR="00960BB8" w14:paraId="5A1AF212" w14:textId="77777777">
        <w:tc>
          <w:tcPr>
            <w:tcW w:w="0" w:type="auto"/>
            <w:gridSpan w:val="3"/>
            <w:shd w:val="clear" w:color="auto" w:fill="auto"/>
            <w:tcMar>
              <w:top w:w="40" w:type="dxa"/>
              <w:left w:w="20" w:type="dxa"/>
              <w:bottom w:w="40" w:type="dxa"/>
              <w:right w:w="20" w:type="dxa"/>
            </w:tcMar>
            <w:vAlign w:val="center"/>
          </w:tcPr>
          <w:p w14:paraId="5A1AF20F" w14:textId="77777777" w:rsidR="00960BB8" w:rsidRDefault="00C06650">
            <w:pPr>
              <w:textAlignment w:val="center"/>
            </w:pPr>
            <w:r>
              <w:rPr>
                <w:rFonts w:ascii="Arial" w:eastAsia="宋体" w:hAnsi="Arial" w:cs="Arial"/>
                <w:color w:val="262626"/>
                <w:sz w:val="18"/>
                <w:szCs w:val="18"/>
              </w:rPr>
              <w:t>Our Strategy</w:t>
            </w:r>
          </w:p>
        </w:tc>
        <w:tc>
          <w:tcPr>
            <w:tcW w:w="0" w:type="auto"/>
            <w:gridSpan w:val="3"/>
            <w:shd w:val="clear" w:color="auto" w:fill="auto"/>
            <w:tcMar>
              <w:top w:w="0" w:type="dxa"/>
              <w:left w:w="20" w:type="dxa"/>
              <w:bottom w:w="0" w:type="dxa"/>
              <w:right w:w="20" w:type="dxa"/>
            </w:tcMar>
            <w:vAlign w:val="bottom"/>
          </w:tcPr>
          <w:p w14:paraId="5A1AF21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11" w14:textId="77777777" w:rsidR="00960BB8" w:rsidRDefault="00C06650">
            <w:pPr>
              <w:jc w:val="center"/>
              <w:textAlignment w:val="center"/>
            </w:pPr>
            <w:hyperlink r:id="rId10" w:anchor="i8aaa7b4dbd2e419ca0f5c30af85a11aa_34" w:history="1">
              <w:r>
                <w:rPr>
                  <w:rStyle w:val="a5"/>
                  <w:rFonts w:ascii="Arial" w:eastAsia="宋体" w:hAnsi="Arial" w:cs="Arial"/>
                  <w:color w:val="262626"/>
                  <w:sz w:val="18"/>
                  <w:szCs w:val="18"/>
                  <w:u w:val="none"/>
                </w:rPr>
                <w:t>7</w:t>
              </w:r>
            </w:hyperlink>
          </w:p>
        </w:tc>
      </w:tr>
      <w:tr w:rsidR="00960BB8" w14:paraId="5A1AF216" w14:textId="77777777">
        <w:tc>
          <w:tcPr>
            <w:tcW w:w="0" w:type="auto"/>
            <w:gridSpan w:val="3"/>
            <w:shd w:val="clear" w:color="auto" w:fill="auto"/>
            <w:tcMar>
              <w:top w:w="40" w:type="dxa"/>
              <w:left w:w="20" w:type="dxa"/>
              <w:bottom w:w="40" w:type="dxa"/>
              <w:right w:w="20" w:type="dxa"/>
            </w:tcMar>
            <w:vAlign w:val="center"/>
          </w:tcPr>
          <w:p w14:paraId="5A1AF213" w14:textId="77777777" w:rsidR="00960BB8" w:rsidRDefault="00C06650">
            <w:pPr>
              <w:textAlignment w:val="center"/>
            </w:pPr>
            <w:r>
              <w:rPr>
                <w:rFonts w:ascii="Arial" w:eastAsia="宋体" w:hAnsi="Arial" w:cs="Arial"/>
                <w:color w:val="262626"/>
                <w:sz w:val="18"/>
                <w:szCs w:val="18"/>
              </w:rPr>
              <w:t>Our Capital</w:t>
            </w:r>
          </w:p>
        </w:tc>
        <w:tc>
          <w:tcPr>
            <w:tcW w:w="0" w:type="auto"/>
            <w:gridSpan w:val="3"/>
            <w:shd w:val="clear" w:color="auto" w:fill="auto"/>
            <w:tcMar>
              <w:top w:w="0" w:type="dxa"/>
              <w:left w:w="20" w:type="dxa"/>
              <w:bottom w:w="0" w:type="dxa"/>
              <w:right w:w="20" w:type="dxa"/>
            </w:tcMar>
            <w:vAlign w:val="bottom"/>
          </w:tcPr>
          <w:p w14:paraId="5A1AF21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15" w14:textId="77777777" w:rsidR="00960BB8" w:rsidRDefault="00C06650">
            <w:pPr>
              <w:jc w:val="center"/>
              <w:textAlignment w:val="center"/>
            </w:pPr>
            <w:hyperlink r:id="rId11" w:anchor="i8aaa7b4dbd2e419ca0f5c30af85a11aa_40" w:history="1">
              <w:r>
                <w:rPr>
                  <w:rStyle w:val="a5"/>
                  <w:rFonts w:ascii="Arial" w:eastAsia="宋体" w:hAnsi="Arial" w:cs="Arial"/>
                  <w:color w:val="262626"/>
                  <w:sz w:val="18"/>
                  <w:szCs w:val="18"/>
                  <w:u w:val="none"/>
                </w:rPr>
                <w:t>10</w:t>
              </w:r>
            </w:hyperlink>
          </w:p>
        </w:tc>
      </w:tr>
      <w:tr w:rsidR="00960BB8" w14:paraId="5A1AF21A" w14:textId="77777777">
        <w:trPr>
          <w:trHeight w:val="100"/>
        </w:trPr>
        <w:tc>
          <w:tcPr>
            <w:tcW w:w="0" w:type="auto"/>
            <w:gridSpan w:val="3"/>
            <w:shd w:val="clear" w:color="auto" w:fill="auto"/>
            <w:tcMar>
              <w:top w:w="0" w:type="dxa"/>
              <w:left w:w="20" w:type="dxa"/>
              <w:bottom w:w="0" w:type="dxa"/>
              <w:right w:w="20" w:type="dxa"/>
            </w:tcMar>
            <w:vAlign w:val="bottom"/>
          </w:tcPr>
          <w:p w14:paraId="5A1AF21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21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219" w14:textId="77777777" w:rsidR="00960BB8" w:rsidRDefault="00960BB8">
            <w:pPr>
              <w:rPr>
                <w:rFonts w:ascii="宋体"/>
              </w:rPr>
            </w:pPr>
          </w:p>
        </w:tc>
      </w:tr>
      <w:tr w:rsidR="00960BB8" w14:paraId="5A1AF21E" w14:textId="77777777">
        <w:tc>
          <w:tcPr>
            <w:tcW w:w="0" w:type="auto"/>
            <w:gridSpan w:val="3"/>
            <w:shd w:val="clear" w:color="auto" w:fill="auto"/>
            <w:tcMar>
              <w:top w:w="40" w:type="dxa"/>
              <w:left w:w="20" w:type="dxa"/>
              <w:bottom w:w="40" w:type="dxa"/>
              <w:right w:w="20" w:type="dxa"/>
            </w:tcMar>
            <w:vAlign w:val="center"/>
          </w:tcPr>
          <w:p w14:paraId="5A1AF21B" w14:textId="77777777" w:rsidR="00960BB8" w:rsidRDefault="00C06650">
            <w:pPr>
              <w:textAlignment w:val="center"/>
            </w:pPr>
            <w:r>
              <w:rPr>
                <w:rFonts w:ascii="Arial" w:eastAsia="宋体" w:hAnsi="Arial" w:cs="Arial"/>
                <w:color w:val="0068B5"/>
                <w:sz w:val="20"/>
                <w:szCs w:val="20"/>
              </w:rPr>
              <w:t>Management's Discussion and Analysis</w:t>
            </w:r>
          </w:p>
        </w:tc>
        <w:tc>
          <w:tcPr>
            <w:tcW w:w="0" w:type="auto"/>
            <w:gridSpan w:val="3"/>
            <w:shd w:val="clear" w:color="auto" w:fill="auto"/>
            <w:tcMar>
              <w:top w:w="0" w:type="dxa"/>
              <w:left w:w="20" w:type="dxa"/>
              <w:bottom w:w="0" w:type="dxa"/>
              <w:right w:w="20" w:type="dxa"/>
            </w:tcMar>
            <w:vAlign w:val="bottom"/>
          </w:tcPr>
          <w:p w14:paraId="5A1AF21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21D" w14:textId="77777777" w:rsidR="00960BB8" w:rsidRDefault="00960BB8">
            <w:pPr>
              <w:rPr>
                <w:rFonts w:ascii="宋体"/>
              </w:rPr>
            </w:pPr>
          </w:p>
        </w:tc>
      </w:tr>
      <w:tr w:rsidR="00960BB8" w14:paraId="5A1AF222" w14:textId="77777777">
        <w:tc>
          <w:tcPr>
            <w:tcW w:w="0" w:type="auto"/>
            <w:gridSpan w:val="3"/>
            <w:tcBorders>
              <w:top w:val="single" w:sz="4" w:space="0" w:color="262626"/>
            </w:tcBorders>
            <w:shd w:val="clear" w:color="auto" w:fill="auto"/>
            <w:tcMar>
              <w:top w:w="40" w:type="dxa"/>
              <w:left w:w="20" w:type="dxa"/>
              <w:bottom w:w="40" w:type="dxa"/>
              <w:right w:w="20" w:type="dxa"/>
            </w:tcMar>
          </w:tcPr>
          <w:p w14:paraId="5A1AF21F" w14:textId="77777777" w:rsidR="00960BB8" w:rsidRDefault="00C06650">
            <w:pPr>
              <w:textAlignment w:val="top"/>
            </w:pPr>
            <w:r>
              <w:rPr>
                <w:rFonts w:ascii="Arial" w:eastAsia="宋体" w:hAnsi="Arial" w:cs="Arial"/>
                <w:color w:val="262626"/>
                <w:sz w:val="18"/>
                <w:szCs w:val="18"/>
              </w:rPr>
              <w:t>Our Products</w:t>
            </w: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220"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5A1AF221" w14:textId="77777777" w:rsidR="00960BB8" w:rsidRDefault="00C06650">
            <w:pPr>
              <w:spacing w:after="180"/>
              <w:jc w:val="center"/>
              <w:textAlignment w:val="top"/>
            </w:pPr>
            <w:hyperlink r:id="rId12" w:anchor="i8aaa7b4dbd2e419ca0f5c30af85a11aa_73" w:history="1">
              <w:r>
                <w:rPr>
                  <w:rStyle w:val="a5"/>
                  <w:rFonts w:ascii="Arial" w:eastAsia="宋体" w:hAnsi="Arial" w:cs="Arial"/>
                  <w:color w:val="262626"/>
                  <w:sz w:val="18"/>
                  <w:szCs w:val="18"/>
                  <w:u w:val="none"/>
                </w:rPr>
                <w:t>19</w:t>
              </w:r>
            </w:hyperlink>
          </w:p>
        </w:tc>
      </w:tr>
      <w:tr w:rsidR="00960BB8" w14:paraId="5A1AF226" w14:textId="77777777">
        <w:tc>
          <w:tcPr>
            <w:tcW w:w="0" w:type="auto"/>
            <w:gridSpan w:val="3"/>
            <w:shd w:val="clear" w:color="auto" w:fill="auto"/>
            <w:tcMar>
              <w:top w:w="40" w:type="dxa"/>
              <w:left w:w="20" w:type="dxa"/>
              <w:bottom w:w="40" w:type="dxa"/>
              <w:right w:w="20" w:type="dxa"/>
            </w:tcMar>
            <w:vAlign w:val="center"/>
          </w:tcPr>
          <w:p w14:paraId="5A1AF223" w14:textId="77777777" w:rsidR="00960BB8" w:rsidRDefault="00C06650">
            <w:pPr>
              <w:textAlignment w:val="center"/>
            </w:pPr>
            <w:r>
              <w:rPr>
                <w:rFonts w:ascii="Arial" w:eastAsia="宋体" w:hAnsi="Arial" w:cs="Arial"/>
                <w:color w:val="262626"/>
                <w:sz w:val="18"/>
                <w:szCs w:val="18"/>
              </w:rPr>
              <w:t>Segment Trends and Results</w:t>
            </w:r>
          </w:p>
        </w:tc>
        <w:tc>
          <w:tcPr>
            <w:tcW w:w="0" w:type="auto"/>
            <w:gridSpan w:val="3"/>
            <w:shd w:val="clear" w:color="auto" w:fill="auto"/>
            <w:tcMar>
              <w:top w:w="0" w:type="dxa"/>
              <w:left w:w="20" w:type="dxa"/>
              <w:bottom w:w="0" w:type="dxa"/>
              <w:right w:w="20" w:type="dxa"/>
            </w:tcMar>
            <w:vAlign w:val="bottom"/>
          </w:tcPr>
          <w:p w14:paraId="5A1AF22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25" w14:textId="77777777" w:rsidR="00960BB8" w:rsidRDefault="00C06650">
            <w:pPr>
              <w:jc w:val="center"/>
              <w:textAlignment w:val="center"/>
            </w:pPr>
            <w:hyperlink r:id="rId13" w:anchor="i8aaa7b4dbd2e419ca0f5c30af85a11aa_85" w:history="1">
              <w:r>
                <w:rPr>
                  <w:rStyle w:val="a5"/>
                  <w:rFonts w:ascii="Arial" w:eastAsia="宋体" w:hAnsi="Arial" w:cs="Arial"/>
                  <w:color w:val="262626"/>
                  <w:sz w:val="18"/>
                  <w:szCs w:val="18"/>
                  <w:u w:val="none"/>
                </w:rPr>
                <w:t>20</w:t>
              </w:r>
            </w:hyperlink>
          </w:p>
        </w:tc>
      </w:tr>
      <w:tr w:rsidR="00960BB8" w14:paraId="5A1AF22A" w14:textId="77777777">
        <w:tc>
          <w:tcPr>
            <w:tcW w:w="0" w:type="auto"/>
            <w:gridSpan w:val="3"/>
            <w:shd w:val="clear" w:color="auto" w:fill="auto"/>
            <w:tcMar>
              <w:top w:w="40" w:type="dxa"/>
              <w:left w:w="20" w:type="dxa"/>
              <w:bottom w:w="40" w:type="dxa"/>
              <w:right w:w="20" w:type="dxa"/>
            </w:tcMar>
            <w:vAlign w:val="center"/>
          </w:tcPr>
          <w:p w14:paraId="5A1AF227" w14:textId="77777777" w:rsidR="00960BB8" w:rsidRDefault="00C06650">
            <w:pPr>
              <w:textAlignment w:val="center"/>
            </w:pPr>
            <w:r>
              <w:rPr>
                <w:rFonts w:ascii="Arial" w:eastAsia="宋体" w:hAnsi="Arial" w:cs="Arial"/>
                <w:color w:val="262626"/>
                <w:sz w:val="18"/>
                <w:szCs w:val="18"/>
              </w:rPr>
              <w:t>Consolidated Results of Operations</w:t>
            </w:r>
          </w:p>
        </w:tc>
        <w:tc>
          <w:tcPr>
            <w:tcW w:w="0" w:type="auto"/>
            <w:gridSpan w:val="3"/>
            <w:shd w:val="clear" w:color="auto" w:fill="auto"/>
            <w:tcMar>
              <w:top w:w="0" w:type="dxa"/>
              <w:left w:w="20" w:type="dxa"/>
              <w:bottom w:w="0" w:type="dxa"/>
              <w:right w:w="20" w:type="dxa"/>
            </w:tcMar>
            <w:vAlign w:val="bottom"/>
          </w:tcPr>
          <w:p w14:paraId="5A1AF22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29" w14:textId="77777777" w:rsidR="00960BB8" w:rsidRDefault="00C06650">
            <w:pPr>
              <w:jc w:val="center"/>
              <w:textAlignment w:val="center"/>
            </w:pPr>
            <w:hyperlink r:id="rId14" w:anchor="i8aaa7b4dbd2e419ca0f5c30af85a11aa_139" w:history="1">
              <w:r>
                <w:rPr>
                  <w:rStyle w:val="a5"/>
                  <w:rFonts w:ascii="Arial" w:eastAsia="宋体" w:hAnsi="Arial" w:cs="Arial"/>
                  <w:color w:val="262626"/>
                  <w:sz w:val="18"/>
                  <w:szCs w:val="18"/>
                  <w:u w:val="none"/>
                </w:rPr>
                <w:t>39</w:t>
              </w:r>
            </w:hyperlink>
          </w:p>
        </w:tc>
      </w:tr>
      <w:tr w:rsidR="00960BB8" w14:paraId="5A1AF22E" w14:textId="77777777">
        <w:tc>
          <w:tcPr>
            <w:tcW w:w="0" w:type="auto"/>
            <w:gridSpan w:val="3"/>
            <w:shd w:val="clear" w:color="auto" w:fill="auto"/>
            <w:tcMar>
              <w:top w:w="40" w:type="dxa"/>
              <w:left w:w="20" w:type="dxa"/>
              <w:bottom w:w="40" w:type="dxa"/>
              <w:right w:w="20" w:type="dxa"/>
            </w:tcMar>
            <w:vAlign w:val="center"/>
          </w:tcPr>
          <w:p w14:paraId="5A1AF22B" w14:textId="77777777" w:rsidR="00960BB8" w:rsidRDefault="00C06650">
            <w:pPr>
              <w:textAlignment w:val="center"/>
            </w:pPr>
            <w:r>
              <w:rPr>
                <w:rFonts w:ascii="Arial" w:eastAsia="宋体" w:hAnsi="Arial" w:cs="Arial"/>
                <w:color w:val="262626"/>
                <w:sz w:val="18"/>
                <w:szCs w:val="18"/>
              </w:rPr>
              <w:t>Liquidity and Capital Resources</w:t>
            </w:r>
          </w:p>
        </w:tc>
        <w:tc>
          <w:tcPr>
            <w:tcW w:w="0" w:type="auto"/>
            <w:gridSpan w:val="3"/>
            <w:shd w:val="clear" w:color="auto" w:fill="auto"/>
            <w:tcMar>
              <w:top w:w="0" w:type="dxa"/>
              <w:left w:w="20" w:type="dxa"/>
              <w:bottom w:w="0" w:type="dxa"/>
              <w:right w:w="20" w:type="dxa"/>
            </w:tcMar>
            <w:vAlign w:val="bottom"/>
          </w:tcPr>
          <w:p w14:paraId="5A1AF22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2D" w14:textId="77777777" w:rsidR="00960BB8" w:rsidRDefault="00C06650">
            <w:pPr>
              <w:jc w:val="center"/>
              <w:textAlignment w:val="center"/>
            </w:pPr>
            <w:hyperlink r:id="rId15" w:anchor="i8aaa7b4dbd2e419ca0f5c30af85a11aa_172" w:history="1">
              <w:r>
                <w:rPr>
                  <w:rStyle w:val="a5"/>
                  <w:rFonts w:ascii="Arial" w:eastAsia="宋体" w:hAnsi="Arial" w:cs="Arial"/>
                  <w:color w:val="262626"/>
                  <w:sz w:val="18"/>
                  <w:szCs w:val="18"/>
                  <w:u w:val="none"/>
                </w:rPr>
                <w:t>44</w:t>
              </w:r>
            </w:hyperlink>
          </w:p>
        </w:tc>
      </w:tr>
      <w:tr w:rsidR="00960BB8" w14:paraId="5A1AF232" w14:textId="77777777">
        <w:trPr>
          <w:hidden/>
        </w:trPr>
        <w:tc>
          <w:tcPr>
            <w:tcW w:w="0" w:type="auto"/>
            <w:gridSpan w:val="3"/>
            <w:shd w:val="clear" w:color="auto" w:fill="auto"/>
            <w:vAlign w:val="bottom"/>
          </w:tcPr>
          <w:p w14:paraId="5A1AF22F" w14:textId="77777777" w:rsidR="00960BB8" w:rsidRDefault="00960BB8">
            <w:pPr>
              <w:rPr>
                <w:rFonts w:ascii="宋体"/>
                <w:vanish/>
              </w:rPr>
            </w:pPr>
          </w:p>
        </w:tc>
        <w:tc>
          <w:tcPr>
            <w:tcW w:w="0" w:type="auto"/>
            <w:gridSpan w:val="3"/>
            <w:shd w:val="clear" w:color="auto" w:fill="auto"/>
            <w:vAlign w:val="bottom"/>
          </w:tcPr>
          <w:p w14:paraId="5A1AF230" w14:textId="77777777" w:rsidR="00960BB8" w:rsidRDefault="00960BB8">
            <w:pPr>
              <w:rPr>
                <w:rFonts w:ascii="宋体"/>
                <w:vanish/>
              </w:rPr>
            </w:pPr>
          </w:p>
        </w:tc>
        <w:tc>
          <w:tcPr>
            <w:tcW w:w="0" w:type="auto"/>
            <w:gridSpan w:val="3"/>
            <w:shd w:val="clear" w:color="auto" w:fill="auto"/>
            <w:vAlign w:val="bottom"/>
          </w:tcPr>
          <w:p w14:paraId="5A1AF231" w14:textId="77777777" w:rsidR="00960BB8" w:rsidRDefault="00960BB8">
            <w:pPr>
              <w:rPr>
                <w:rFonts w:ascii="宋体"/>
                <w:vanish/>
              </w:rPr>
            </w:pPr>
          </w:p>
        </w:tc>
      </w:tr>
      <w:tr w:rsidR="00960BB8" w14:paraId="5A1AF236" w14:textId="77777777">
        <w:tc>
          <w:tcPr>
            <w:tcW w:w="0" w:type="auto"/>
            <w:gridSpan w:val="3"/>
            <w:shd w:val="clear" w:color="auto" w:fill="auto"/>
            <w:tcMar>
              <w:top w:w="40" w:type="dxa"/>
              <w:left w:w="20" w:type="dxa"/>
              <w:bottom w:w="40" w:type="dxa"/>
              <w:right w:w="20" w:type="dxa"/>
            </w:tcMar>
            <w:vAlign w:val="center"/>
          </w:tcPr>
          <w:p w14:paraId="5A1AF233" w14:textId="77777777" w:rsidR="00960BB8" w:rsidRDefault="00C06650">
            <w:pPr>
              <w:textAlignment w:val="center"/>
            </w:pPr>
            <w:r>
              <w:rPr>
                <w:rFonts w:ascii="Arial" w:eastAsia="宋体" w:hAnsi="Arial" w:cs="Arial"/>
                <w:color w:val="262626"/>
                <w:sz w:val="18"/>
                <w:szCs w:val="18"/>
              </w:rPr>
              <w:t>Critical Accounting Estimates</w:t>
            </w:r>
          </w:p>
        </w:tc>
        <w:tc>
          <w:tcPr>
            <w:tcW w:w="0" w:type="auto"/>
            <w:gridSpan w:val="3"/>
            <w:shd w:val="clear" w:color="auto" w:fill="auto"/>
            <w:tcMar>
              <w:top w:w="0" w:type="dxa"/>
              <w:left w:w="20" w:type="dxa"/>
              <w:bottom w:w="0" w:type="dxa"/>
              <w:right w:w="20" w:type="dxa"/>
            </w:tcMar>
            <w:vAlign w:val="bottom"/>
          </w:tcPr>
          <w:p w14:paraId="5A1AF23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35" w14:textId="77777777" w:rsidR="00960BB8" w:rsidRDefault="00C06650">
            <w:pPr>
              <w:jc w:val="center"/>
              <w:textAlignment w:val="center"/>
            </w:pPr>
            <w:hyperlink r:id="rId16" w:anchor="i8aaa7b4dbd2e419ca0f5c30af85a11aa_184" w:history="1">
              <w:r>
                <w:rPr>
                  <w:rStyle w:val="a5"/>
                  <w:rFonts w:ascii="Arial" w:eastAsia="宋体" w:hAnsi="Arial" w:cs="Arial"/>
                  <w:color w:val="262626"/>
                  <w:sz w:val="18"/>
                  <w:szCs w:val="18"/>
                  <w:u w:val="none"/>
                </w:rPr>
                <w:t>47</w:t>
              </w:r>
            </w:hyperlink>
          </w:p>
        </w:tc>
      </w:tr>
      <w:tr w:rsidR="00960BB8" w14:paraId="5A1AF23A" w14:textId="77777777">
        <w:tc>
          <w:tcPr>
            <w:tcW w:w="0" w:type="auto"/>
            <w:gridSpan w:val="3"/>
            <w:shd w:val="clear" w:color="auto" w:fill="auto"/>
            <w:tcMar>
              <w:top w:w="40" w:type="dxa"/>
              <w:left w:w="20" w:type="dxa"/>
              <w:bottom w:w="40" w:type="dxa"/>
              <w:right w:w="20" w:type="dxa"/>
            </w:tcMar>
            <w:vAlign w:val="center"/>
          </w:tcPr>
          <w:p w14:paraId="5A1AF237" w14:textId="77777777" w:rsidR="00960BB8" w:rsidRDefault="00C06650">
            <w:pPr>
              <w:textAlignment w:val="center"/>
            </w:pPr>
            <w:r>
              <w:rPr>
                <w:rFonts w:ascii="Arial" w:eastAsia="宋体" w:hAnsi="Arial" w:cs="Arial"/>
                <w:color w:val="262626"/>
                <w:sz w:val="18"/>
                <w:szCs w:val="18"/>
              </w:rPr>
              <w:t>Non-GAAP Financial Measures</w:t>
            </w:r>
          </w:p>
        </w:tc>
        <w:tc>
          <w:tcPr>
            <w:tcW w:w="0" w:type="auto"/>
            <w:gridSpan w:val="3"/>
            <w:shd w:val="clear" w:color="auto" w:fill="auto"/>
            <w:tcMar>
              <w:top w:w="0" w:type="dxa"/>
              <w:left w:w="20" w:type="dxa"/>
              <w:bottom w:w="0" w:type="dxa"/>
              <w:right w:w="20" w:type="dxa"/>
            </w:tcMar>
            <w:vAlign w:val="bottom"/>
          </w:tcPr>
          <w:p w14:paraId="5A1AF23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39" w14:textId="77777777" w:rsidR="00960BB8" w:rsidRDefault="00C06650">
            <w:pPr>
              <w:jc w:val="center"/>
              <w:textAlignment w:val="center"/>
            </w:pPr>
            <w:hyperlink r:id="rId17" w:anchor="i8aaa7b4dbd2e419ca0f5c30af85a11aa_190" w:history="1">
              <w:r>
                <w:rPr>
                  <w:rStyle w:val="a5"/>
                  <w:rFonts w:ascii="Arial" w:eastAsia="宋体" w:hAnsi="Arial" w:cs="Arial"/>
                  <w:color w:val="262626"/>
                  <w:sz w:val="18"/>
                  <w:szCs w:val="18"/>
                  <w:u w:val="none"/>
                </w:rPr>
                <w:t>47</w:t>
              </w:r>
            </w:hyperlink>
          </w:p>
        </w:tc>
      </w:tr>
      <w:tr w:rsidR="00960BB8" w14:paraId="5A1AF23E" w14:textId="77777777">
        <w:trPr>
          <w:trHeight w:val="100"/>
        </w:trPr>
        <w:tc>
          <w:tcPr>
            <w:tcW w:w="0" w:type="auto"/>
            <w:gridSpan w:val="3"/>
            <w:shd w:val="clear" w:color="auto" w:fill="auto"/>
            <w:tcMar>
              <w:top w:w="0" w:type="dxa"/>
              <w:left w:w="20" w:type="dxa"/>
              <w:bottom w:w="0" w:type="dxa"/>
              <w:right w:w="20" w:type="dxa"/>
            </w:tcMar>
            <w:vAlign w:val="bottom"/>
          </w:tcPr>
          <w:p w14:paraId="5A1AF23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23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23D" w14:textId="77777777" w:rsidR="00960BB8" w:rsidRDefault="00960BB8">
            <w:pPr>
              <w:rPr>
                <w:rFonts w:ascii="宋体"/>
              </w:rPr>
            </w:pPr>
          </w:p>
        </w:tc>
      </w:tr>
      <w:tr w:rsidR="00960BB8" w14:paraId="5A1AF242" w14:textId="77777777">
        <w:tc>
          <w:tcPr>
            <w:tcW w:w="0" w:type="auto"/>
            <w:gridSpan w:val="3"/>
            <w:shd w:val="clear" w:color="auto" w:fill="auto"/>
            <w:tcMar>
              <w:top w:w="40" w:type="dxa"/>
              <w:left w:w="20" w:type="dxa"/>
              <w:bottom w:w="40" w:type="dxa"/>
              <w:right w:w="20" w:type="dxa"/>
            </w:tcMar>
            <w:vAlign w:val="center"/>
          </w:tcPr>
          <w:p w14:paraId="5A1AF23F" w14:textId="77777777" w:rsidR="00960BB8" w:rsidRDefault="00C06650">
            <w:pPr>
              <w:textAlignment w:val="center"/>
            </w:pPr>
            <w:r>
              <w:rPr>
                <w:rFonts w:ascii="Arial" w:eastAsia="宋体" w:hAnsi="Arial" w:cs="Arial"/>
                <w:color w:val="0068B5"/>
                <w:sz w:val="20"/>
                <w:szCs w:val="20"/>
              </w:rPr>
              <w:t>Other Key Information</w:t>
            </w:r>
          </w:p>
        </w:tc>
        <w:tc>
          <w:tcPr>
            <w:tcW w:w="0" w:type="auto"/>
            <w:gridSpan w:val="3"/>
            <w:shd w:val="clear" w:color="auto" w:fill="auto"/>
            <w:tcMar>
              <w:top w:w="0" w:type="dxa"/>
              <w:left w:w="20" w:type="dxa"/>
              <w:bottom w:w="0" w:type="dxa"/>
              <w:right w:w="20" w:type="dxa"/>
            </w:tcMar>
            <w:vAlign w:val="bottom"/>
          </w:tcPr>
          <w:p w14:paraId="5A1AF24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241" w14:textId="77777777" w:rsidR="00960BB8" w:rsidRDefault="00960BB8">
            <w:pPr>
              <w:rPr>
                <w:rFonts w:ascii="宋体"/>
              </w:rPr>
            </w:pPr>
          </w:p>
        </w:tc>
      </w:tr>
      <w:tr w:rsidR="00960BB8" w14:paraId="5A1AF246" w14:textId="77777777">
        <w:trPr>
          <w:hidden/>
        </w:trPr>
        <w:tc>
          <w:tcPr>
            <w:tcW w:w="0" w:type="auto"/>
            <w:gridSpan w:val="3"/>
            <w:shd w:val="clear" w:color="auto" w:fill="auto"/>
            <w:vAlign w:val="bottom"/>
          </w:tcPr>
          <w:p w14:paraId="5A1AF243" w14:textId="77777777" w:rsidR="00960BB8" w:rsidRDefault="00960BB8">
            <w:pPr>
              <w:rPr>
                <w:rFonts w:ascii="宋体"/>
                <w:vanish/>
              </w:rPr>
            </w:pPr>
          </w:p>
        </w:tc>
        <w:tc>
          <w:tcPr>
            <w:tcW w:w="0" w:type="auto"/>
            <w:gridSpan w:val="3"/>
            <w:shd w:val="clear" w:color="auto" w:fill="auto"/>
            <w:vAlign w:val="bottom"/>
          </w:tcPr>
          <w:p w14:paraId="5A1AF244" w14:textId="77777777" w:rsidR="00960BB8" w:rsidRDefault="00960BB8">
            <w:pPr>
              <w:rPr>
                <w:rFonts w:ascii="宋体"/>
                <w:vanish/>
              </w:rPr>
            </w:pPr>
          </w:p>
        </w:tc>
        <w:tc>
          <w:tcPr>
            <w:tcW w:w="0" w:type="auto"/>
            <w:gridSpan w:val="3"/>
            <w:shd w:val="clear" w:color="auto" w:fill="auto"/>
            <w:vAlign w:val="bottom"/>
          </w:tcPr>
          <w:p w14:paraId="5A1AF245" w14:textId="77777777" w:rsidR="00960BB8" w:rsidRDefault="00960BB8">
            <w:pPr>
              <w:rPr>
                <w:rFonts w:ascii="宋体"/>
                <w:vanish/>
              </w:rPr>
            </w:pPr>
          </w:p>
        </w:tc>
      </w:tr>
      <w:tr w:rsidR="00960BB8" w14:paraId="5A1AF24A" w14:textId="77777777">
        <w:tc>
          <w:tcPr>
            <w:tcW w:w="0" w:type="auto"/>
            <w:gridSpan w:val="3"/>
            <w:tcBorders>
              <w:top w:val="single" w:sz="4" w:space="0" w:color="262626"/>
            </w:tcBorders>
            <w:shd w:val="clear" w:color="auto" w:fill="auto"/>
            <w:tcMar>
              <w:top w:w="40" w:type="dxa"/>
              <w:left w:w="20" w:type="dxa"/>
              <w:bottom w:w="40" w:type="dxa"/>
              <w:right w:w="20" w:type="dxa"/>
            </w:tcMar>
            <w:vAlign w:val="center"/>
          </w:tcPr>
          <w:p w14:paraId="5A1AF247" w14:textId="77777777" w:rsidR="00960BB8" w:rsidRDefault="00C06650">
            <w:pPr>
              <w:textAlignment w:val="center"/>
            </w:pPr>
            <w:r>
              <w:rPr>
                <w:rFonts w:ascii="Arial" w:eastAsia="宋体" w:hAnsi="Arial" w:cs="Arial"/>
                <w:color w:val="262626"/>
                <w:sz w:val="18"/>
                <w:szCs w:val="18"/>
              </w:rPr>
              <w:t>Sales and Marketing</w:t>
            </w: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248"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center"/>
          </w:tcPr>
          <w:p w14:paraId="5A1AF249" w14:textId="77777777" w:rsidR="00960BB8" w:rsidRDefault="00C06650">
            <w:pPr>
              <w:jc w:val="center"/>
              <w:textAlignment w:val="center"/>
            </w:pPr>
            <w:hyperlink r:id="rId18" w:anchor="i8aaa7b4dbd2e419ca0f5c30af85a11aa_202" w:history="1">
              <w:r>
                <w:rPr>
                  <w:rStyle w:val="a5"/>
                  <w:rFonts w:ascii="Arial" w:eastAsia="宋体" w:hAnsi="Arial" w:cs="Arial"/>
                  <w:color w:val="262626"/>
                  <w:sz w:val="18"/>
                  <w:szCs w:val="18"/>
                  <w:u w:val="none"/>
                </w:rPr>
                <w:t>51</w:t>
              </w:r>
            </w:hyperlink>
          </w:p>
        </w:tc>
      </w:tr>
      <w:tr w:rsidR="00960BB8" w14:paraId="5A1AF24E" w14:textId="77777777">
        <w:trPr>
          <w:hidden/>
        </w:trPr>
        <w:tc>
          <w:tcPr>
            <w:tcW w:w="0" w:type="auto"/>
            <w:gridSpan w:val="3"/>
            <w:shd w:val="clear" w:color="auto" w:fill="auto"/>
            <w:vAlign w:val="bottom"/>
          </w:tcPr>
          <w:p w14:paraId="5A1AF24B" w14:textId="77777777" w:rsidR="00960BB8" w:rsidRDefault="00960BB8">
            <w:pPr>
              <w:rPr>
                <w:rFonts w:ascii="宋体"/>
                <w:vanish/>
              </w:rPr>
            </w:pPr>
          </w:p>
        </w:tc>
        <w:tc>
          <w:tcPr>
            <w:tcW w:w="0" w:type="auto"/>
            <w:gridSpan w:val="3"/>
            <w:shd w:val="clear" w:color="auto" w:fill="auto"/>
            <w:vAlign w:val="bottom"/>
          </w:tcPr>
          <w:p w14:paraId="5A1AF24C" w14:textId="77777777" w:rsidR="00960BB8" w:rsidRDefault="00960BB8">
            <w:pPr>
              <w:rPr>
                <w:rFonts w:ascii="宋体"/>
                <w:vanish/>
              </w:rPr>
            </w:pPr>
          </w:p>
        </w:tc>
        <w:tc>
          <w:tcPr>
            <w:tcW w:w="0" w:type="auto"/>
            <w:gridSpan w:val="3"/>
            <w:shd w:val="clear" w:color="auto" w:fill="auto"/>
            <w:vAlign w:val="bottom"/>
          </w:tcPr>
          <w:p w14:paraId="5A1AF24D" w14:textId="77777777" w:rsidR="00960BB8" w:rsidRDefault="00960BB8">
            <w:pPr>
              <w:rPr>
                <w:rFonts w:ascii="宋体"/>
                <w:vanish/>
              </w:rPr>
            </w:pPr>
          </w:p>
        </w:tc>
      </w:tr>
      <w:tr w:rsidR="00960BB8" w14:paraId="5A1AF252" w14:textId="77777777">
        <w:trPr>
          <w:hidden/>
        </w:trPr>
        <w:tc>
          <w:tcPr>
            <w:tcW w:w="0" w:type="auto"/>
            <w:gridSpan w:val="3"/>
            <w:shd w:val="clear" w:color="auto" w:fill="auto"/>
            <w:vAlign w:val="bottom"/>
          </w:tcPr>
          <w:p w14:paraId="5A1AF24F" w14:textId="77777777" w:rsidR="00960BB8" w:rsidRDefault="00960BB8">
            <w:pPr>
              <w:rPr>
                <w:rFonts w:ascii="宋体"/>
                <w:vanish/>
              </w:rPr>
            </w:pPr>
          </w:p>
        </w:tc>
        <w:tc>
          <w:tcPr>
            <w:tcW w:w="0" w:type="auto"/>
            <w:gridSpan w:val="3"/>
            <w:shd w:val="clear" w:color="auto" w:fill="auto"/>
            <w:vAlign w:val="bottom"/>
          </w:tcPr>
          <w:p w14:paraId="5A1AF250" w14:textId="77777777" w:rsidR="00960BB8" w:rsidRDefault="00960BB8">
            <w:pPr>
              <w:rPr>
                <w:rFonts w:ascii="宋体"/>
                <w:vanish/>
              </w:rPr>
            </w:pPr>
          </w:p>
        </w:tc>
        <w:tc>
          <w:tcPr>
            <w:tcW w:w="0" w:type="auto"/>
            <w:gridSpan w:val="3"/>
            <w:shd w:val="clear" w:color="auto" w:fill="auto"/>
            <w:vAlign w:val="bottom"/>
          </w:tcPr>
          <w:p w14:paraId="5A1AF251" w14:textId="77777777" w:rsidR="00960BB8" w:rsidRDefault="00960BB8">
            <w:pPr>
              <w:rPr>
                <w:rFonts w:ascii="宋体"/>
                <w:vanish/>
              </w:rPr>
            </w:pPr>
          </w:p>
        </w:tc>
      </w:tr>
      <w:tr w:rsidR="00960BB8" w14:paraId="5A1AF256" w14:textId="77777777">
        <w:trPr>
          <w:hidden/>
        </w:trPr>
        <w:tc>
          <w:tcPr>
            <w:tcW w:w="0" w:type="auto"/>
            <w:gridSpan w:val="3"/>
            <w:shd w:val="clear" w:color="auto" w:fill="auto"/>
            <w:vAlign w:val="bottom"/>
          </w:tcPr>
          <w:p w14:paraId="5A1AF253" w14:textId="77777777" w:rsidR="00960BB8" w:rsidRDefault="00960BB8">
            <w:pPr>
              <w:rPr>
                <w:rFonts w:ascii="宋体"/>
                <w:vanish/>
              </w:rPr>
            </w:pPr>
          </w:p>
        </w:tc>
        <w:tc>
          <w:tcPr>
            <w:tcW w:w="0" w:type="auto"/>
            <w:gridSpan w:val="3"/>
            <w:shd w:val="clear" w:color="auto" w:fill="auto"/>
            <w:vAlign w:val="bottom"/>
          </w:tcPr>
          <w:p w14:paraId="5A1AF254" w14:textId="77777777" w:rsidR="00960BB8" w:rsidRDefault="00960BB8">
            <w:pPr>
              <w:rPr>
                <w:rFonts w:ascii="宋体"/>
                <w:vanish/>
              </w:rPr>
            </w:pPr>
          </w:p>
        </w:tc>
        <w:tc>
          <w:tcPr>
            <w:tcW w:w="0" w:type="auto"/>
            <w:gridSpan w:val="3"/>
            <w:shd w:val="clear" w:color="auto" w:fill="auto"/>
            <w:vAlign w:val="bottom"/>
          </w:tcPr>
          <w:p w14:paraId="5A1AF255" w14:textId="77777777" w:rsidR="00960BB8" w:rsidRDefault="00960BB8">
            <w:pPr>
              <w:rPr>
                <w:rFonts w:ascii="宋体"/>
                <w:vanish/>
              </w:rPr>
            </w:pPr>
          </w:p>
        </w:tc>
      </w:tr>
      <w:tr w:rsidR="00960BB8" w14:paraId="5A1AF25A" w14:textId="77777777">
        <w:tc>
          <w:tcPr>
            <w:tcW w:w="0" w:type="auto"/>
            <w:gridSpan w:val="3"/>
            <w:shd w:val="clear" w:color="auto" w:fill="auto"/>
            <w:tcMar>
              <w:top w:w="40" w:type="dxa"/>
              <w:left w:w="20" w:type="dxa"/>
              <w:bottom w:w="40" w:type="dxa"/>
              <w:right w:w="20" w:type="dxa"/>
            </w:tcMar>
            <w:vAlign w:val="center"/>
          </w:tcPr>
          <w:p w14:paraId="5A1AF257" w14:textId="77777777" w:rsidR="00960BB8" w:rsidRDefault="00C06650">
            <w:pPr>
              <w:textAlignment w:val="center"/>
            </w:pPr>
            <w:r>
              <w:rPr>
                <w:rFonts w:ascii="Arial" w:eastAsia="宋体" w:hAnsi="Arial" w:cs="Arial"/>
                <w:color w:val="262626"/>
                <w:sz w:val="18"/>
                <w:szCs w:val="18"/>
              </w:rPr>
              <w:t>Quantitative and Qualitative Disclosures About Market Risk</w:t>
            </w:r>
          </w:p>
        </w:tc>
        <w:tc>
          <w:tcPr>
            <w:tcW w:w="0" w:type="auto"/>
            <w:gridSpan w:val="3"/>
            <w:shd w:val="clear" w:color="auto" w:fill="auto"/>
            <w:tcMar>
              <w:top w:w="0" w:type="dxa"/>
              <w:left w:w="20" w:type="dxa"/>
              <w:bottom w:w="0" w:type="dxa"/>
              <w:right w:w="20" w:type="dxa"/>
            </w:tcMar>
            <w:vAlign w:val="bottom"/>
          </w:tcPr>
          <w:p w14:paraId="5A1AF25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59" w14:textId="77777777" w:rsidR="00960BB8" w:rsidRDefault="00C06650">
            <w:pPr>
              <w:jc w:val="center"/>
              <w:textAlignment w:val="center"/>
            </w:pPr>
            <w:hyperlink r:id="rId19" w:anchor="i8aaa7b4dbd2e419ca0f5c30af85a11aa_211" w:history="1">
              <w:r>
                <w:rPr>
                  <w:rStyle w:val="a5"/>
                  <w:rFonts w:ascii="Arial" w:eastAsia="宋体" w:hAnsi="Arial" w:cs="Arial"/>
                  <w:color w:val="262626"/>
                  <w:sz w:val="18"/>
                  <w:szCs w:val="18"/>
                  <w:u w:val="none"/>
                </w:rPr>
                <w:t>52</w:t>
              </w:r>
            </w:hyperlink>
          </w:p>
        </w:tc>
      </w:tr>
      <w:tr w:rsidR="00960BB8" w14:paraId="5A1AF25E" w14:textId="77777777">
        <w:tc>
          <w:tcPr>
            <w:tcW w:w="0" w:type="auto"/>
            <w:gridSpan w:val="3"/>
            <w:shd w:val="clear" w:color="auto" w:fill="auto"/>
            <w:tcMar>
              <w:top w:w="40" w:type="dxa"/>
              <w:left w:w="20" w:type="dxa"/>
              <w:bottom w:w="40" w:type="dxa"/>
              <w:right w:w="20" w:type="dxa"/>
            </w:tcMar>
          </w:tcPr>
          <w:p w14:paraId="5A1AF25B" w14:textId="77777777" w:rsidR="00960BB8" w:rsidRDefault="00C06650">
            <w:pPr>
              <w:textAlignment w:val="top"/>
            </w:pPr>
            <w:r>
              <w:rPr>
                <w:rFonts w:ascii="Arial" w:eastAsia="宋体" w:hAnsi="Arial" w:cs="Arial"/>
                <w:color w:val="262626"/>
                <w:sz w:val="18"/>
                <w:szCs w:val="18"/>
              </w:rPr>
              <w:t>Risk Factors</w:t>
            </w:r>
          </w:p>
        </w:tc>
        <w:tc>
          <w:tcPr>
            <w:tcW w:w="0" w:type="auto"/>
            <w:gridSpan w:val="3"/>
            <w:shd w:val="clear" w:color="auto" w:fill="auto"/>
            <w:tcMar>
              <w:top w:w="0" w:type="dxa"/>
              <w:left w:w="20" w:type="dxa"/>
              <w:bottom w:w="0" w:type="dxa"/>
              <w:right w:w="20" w:type="dxa"/>
            </w:tcMar>
            <w:vAlign w:val="bottom"/>
          </w:tcPr>
          <w:p w14:paraId="5A1AF25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25D" w14:textId="77777777" w:rsidR="00960BB8" w:rsidRDefault="00C06650">
            <w:pPr>
              <w:jc w:val="center"/>
              <w:textAlignment w:val="top"/>
            </w:pPr>
            <w:hyperlink r:id="rId20" w:anchor="i8aaa7b4dbd2e419ca0f5c30af85a11aa_214" w:history="1">
              <w:r>
                <w:rPr>
                  <w:rStyle w:val="a5"/>
                  <w:rFonts w:ascii="Arial" w:eastAsia="宋体" w:hAnsi="Arial" w:cs="Arial"/>
                  <w:color w:val="262626"/>
                  <w:sz w:val="18"/>
                  <w:szCs w:val="18"/>
                  <w:u w:val="none"/>
                </w:rPr>
                <w:t>53</w:t>
              </w:r>
            </w:hyperlink>
          </w:p>
        </w:tc>
      </w:tr>
      <w:tr w:rsidR="00960BB8" w14:paraId="5A1AF262" w14:textId="77777777">
        <w:tc>
          <w:tcPr>
            <w:tcW w:w="0" w:type="auto"/>
            <w:gridSpan w:val="3"/>
            <w:shd w:val="clear" w:color="auto" w:fill="auto"/>
            <w:tcMar>
              <w:top w:w="40" w:type="dxa"/>
              <w:left w:w="20" w:type="dxa"/>
              <w:bottom w:w="40" w:type="dxa"/>
              <w:right w:w="20" w:type="dxa"/>
            </w:tcMar>
          </w:tcPr>
          <w:p w14:paraId="5A1AF25F" w14:textId="77777777" w:rsidR="00960BB8" w:rsidRDefault="00C06650">
            <w:pPr>
              <w:textAlignment w:val="top"/>
            </w:pPr>
            <w:r>
              <w:rPr>
                <w:rFonts w:ascii="Arial" w:eastAsia="宋体" w:hAnsi="Arial" w:cs="Arial"/>
                <w:color w:val="262626"/>
                <w:sz w:val="18"/>
                <w:szCs w:val="18"/>
              </w:rPr>
              <w:t>Properties</w:t>
            </w:r>
          </w:p>
        </w:tc>
        <w:tc>
          <w:tcPr>
            <w:tcW w:w="0" w:type="auto"/>
            <w:gridSpan w:val="3"/>
            <w:shd w:val="clear" w:color="auto" w:fill="auto"/>
            <w:tcMar>
              <w:top w:w="0" w:type="dxa"/>
              <w:left w:w="20" w:type="dxa"/>
              <w:bottom w:w="0" w:type="dxa"/>
              <w:right w:w="20" w:type="dxa"/>
            </w:tcMar>
            <w:vAlign w:val="bottom"/>
          </w:tcPr>
          <w:p w14:paraId="5A1AF26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261" w14:textId="77777777" w:rsidR="00960BB8" w:rsidRDefault="00C06650">
            <w:pPr>
              <w:jc w:val="center"/>
              <w:textAlignment w:val="top"/>
            </w:pPr>
            <w:hyperlink r:id="rId21" w:anchor="i8aaa7b4dbd2e419ca0f5c30af85a11aa_220" w:history="1">
              <w:r>
                <w:rPr>
                  <w:rStyle w:val="a5"/>
                  <w:rFonts w:ascii="Arial" w:eastAsia="宋体" w:hAnsi="Arial" w:cs="Arial"/>
                  <w:color w:val="262626"/>
                  <w:sz w:val="18"/>
                  <w:szCs w:val="18"/>
                  <w:u w:val="none"/>
                </w:rPr>
                <w:t>67</w:t>
              </w:r>
            </w:hyperlink>
          </w:p>
        </w:tc>
      </w:tr>
      <w:tr w:rsidR="00960BB8" w14:paraId="5A1AF266" w14:textId="77777777">
        <w:tc>
          <w:tcPr>
            <w:tcW w:w="0" w:type="auto"/>
            <w:gridSpan w:val="3"/>
            <w:shd w:val="clear" w:color="auto" w:fill="auto"/>
            <w:tcMar>
              <w:top w:w="40" w:type="dxa"/>
              <w:left w:w="20" w:type="dxa"/>
              <w:bottom w:w="40" w:type="dxa"/>
              <w:right w:w="20" w:type="dxa"/>
            </w:tcMar>
          </w:tcPr>
          <w:p w14:paraId="5A1AF263" w14:textId="77777777" w:rsidR="00960BB8" w:rsidRDefault="00C06650">
            <w:pPr>
              <w:textAlignment w:val="top"/>
            </w:pPr>
            <w:r>
              <w:rPr>
                <w:rFonts w:ascii="Arial" w:eastAsia="宋体" w:hAnsi="Arial" w:cs="Arial"/>
                <w:color w:val="262626"/>
                <w:sz w:val="18"/>
                <w:szCs w:val="18"/>
              </w:rPr>
              <w:t>Market for Our Common Stock</w:t>
            </w:r>
          </w:p>
        </w:tc>
        <w:tc>
          <w:tcPr>
            <w:tcW w:w="0" w:type="auto"/>
            <w:gridSpan w:val="3"/>
            <w:shd w:val="clear" w:color="auto" w:fill="auto"/>
            <w:tcMar>
              <w:top w:w="0" w:type="dxa"/>
              <w:left w:w="20" w:type="dxa"/>
              <w:bottom w:w="0" w:type="dxa"/>
              <w:right w:w="20" w:type="dxa"/>
            </w:tcMar>
            <w:vAlign w:val="bottom"/>
          </w:tcPr>
          <w:p w14:paraId="5A1AF26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265" w14:textId="77777777" w:rsidR="00960BB8" w:rsidRDefault="00C06650">
            <w:pPr>
              <w:jc w:val="center"/>
              <w:textAlignment w:val="top"/>
            </w:pPr>
            <w:hyperlink r:id="rId22" w:anchor="i8aaa7b4dbd2e419ca0f5c30af85a11aa_223" w:history="1">
              <w:r>
                <w:rPr>
                  <w:rStyle w:val="a5"/>
                  <w:rFonts w:ascii="Arial" w:eastAsia="宋体" w:hAnsi="Arial" w:cs="Arial"/>
                  <w:color w:val="262626"/>
                  <w:sz w:val="18"/>
                  <w:szCs w:val="18"/>
                  <w:u w:val="none"/>
                </w:rPr>
                <w:t>68</w:t>
              </w:r>
            </w:hyperlink>
          </w:p>
        </w:tc>
      </w:tr>
      <w:tr w:rsidR="00960BB8" w14:paraId="5A1AF26A" w14:textId="77777777">
        <w:tc>
          <w:tcPr>
            <w:tcW w:w="0" w:type="auto"/>
            <w:gridSpan w:val="3"/>
            <w:shd w:val="clear" w:color="auto" w:fill="auto"/>
            <w:tcMar>
              <w:top w:w="40" w:type="dxa"/>
              <w:left w:w="20" w:type="dxa"/>
              <w:bottom w:w="40" w:type="dxa"/>
              <w:right w:w="20" w:type="dxa"/>
            </w:tcMar>
          </w:tcPr>
          <w:p w14:paraId="5A1AF267" w14:textId="77777777" w:rsidR="00960BB8" w:rsidRDefault="00C06650">
            <w:pPr>
              <w:textAlignment w:val="top"/>
            </w:pPr>
            <w:r>
              <w:rPr>
                <w:rFonts w:ascii="Arial" w:eastAsia="宋体" w:hAnsi="Arial" w:cs="Arial"/>
                <w:color w:val="262626"/>
                <w:sz w:val="18"/>
                <w:szCs w:val="18"/>
              </w:rPr>
              <w:t>Information About Our Executive Officers</w:t>
            </w:r>
          </w:p>
        </w:tc>
        <w:tc>
          <w:tcPr>
            <w:tcW w:w="0" w:type="auto"/>
            <w:gridSpan w:val="3"/>
            <w:shd w:val="clear" w:color="auto" w:fill="auto"/>
            <w:tcMar>
              <w:top w:w="0" w:type="dxa"/>
              <w:left w:w="20" w:type="dxa"/>
              <w:bottom w:w="0" w:type="dxa"/>
              <w:right w:w="20" w:type="dxa"/>
            </w:tcMar>
            <w:vAlign w:val="bottom"/>
          </w:tcPr>
          <w:p w14:paraId="5A1AF26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269" w14:textId="77777777" w:rsidR="00960BB8" w:rsidRDefault="00C06650">
            <w:pPr>
              <w:spacing w:after="180"/>
              <w:jc w:val="center"/>
              <w:textAlignment w:val="top"/>
            </w:pPr>
            <w:hyperlink r:id="rId23" w:anchor="i8aaa7b4dbd2e419ca0f5c30af85a11aa_232" w:history="1">
              <w:r>
                <w:rPr>
                  <w:rStyle w:val="a5"/>
                  <w:rFonts w:ascii="Arial" w:eastAsia="宋体" w:hAnsi="Arial" w:cs="Arial"/>
                  <w:color w:val="262626"/>
                  <w:sz w:val="18"/>
                  <w:szCs w:val="18"/>
                  <w:u w:val="none"/>
                </w:rPr>
                <w:t>70</w:t>
              </w:r>
            </w:hyperlink>
          </w:p>
        </w:tc>
      </w:tr>
      <w:tr w:rsidR="00960BB8" w14:paraId="5A1AF26E" w14:textId="77777777">
        <w:tc>
          <w:tcPr>
            <w:tcW w:w="0" w:type="auto"/>
            <w:gridSpan w:val="3"/>
            <w:shd w:val="clear" w:color="auto" w:fill="auto"/>
            <w:tcMar>
              <w:top w:w="40" w:type="dxa"/>
              <w:left w:w="20" w:type="dxa"/>
              <w:bottom w:w="40" w:type="dxa"/>
              <w:right w:w="20" w:type="dxa"/>
            </w:tcMar>
          </w:tcPr>
          <w:p w14:paraId="5A1AF26B" w14:textId="77777777" w:rsidR="00960BB8" w:rsidRDefault="00C06650">
            <w:pPr>
              <w:textAlignment w:val="top"/>
            </w:pPr>
            <w:r>
              <w:rPr>
                <w:rFonts w:ascii="Arial" w:eastAsia="宋体" w:hAnsi="Arial" w:cs="Arial"/>
                <w:color w:val="262626"/>
                <w:sz w:val="18"/>
                <w:szCs w:val="18"/>
              </w:rPr>
              <w:t>Disclosure Pursuant to Section 13(r) of the Securities Exchange Act of 1934</w:t>
            </w:r>
          </w:p>
        </w:tc>
        <w:tc>
          <w:tcPr>
            <w:tcW w:w="0" w:type="auto"/>
            <w:gridSpan w:val="3"/>
            <w:shd w:val="clear" w:color="auto" w:fill="auto"/>
            <w:tcMar>
              <w:top w:w="0" w:type="dxa"/>
              <w:left w:w="20" w:type="dxa"/>
              <w:bottom w:w="0" w:type="dxa"/>
              <w:right w:w="20" w:type="dxa"/>
            </w:tcMar>
            <w:vAlign w:val="bottom"/>
          </w:tcPr>
          <w:p w14:paraId="5A1AF26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26D" w14:textId="77777777" w:rsidR="00960BB8" w:rsidRDefault="00C06650">
            <w:pPr>
              <w:jc w:val="center"/>
              <w:textAlignment w:val="top"/>
            </w:pPr>
            <w:hyperlink r:id="rId24" w:anchor="i8aaa7b4dbd2e419ca0f5c30af85a11aa_238" w:history="1">
              <w:r>
                <w:rPr>
                  <w:rStyle w:val="a5"/>
                  <w:rFonts w:ascii="Arial" w:eastAsia="宋体" w:hAnsi="Arial" w:cs="Arial"/>
                  <w:color w:val="262626"/>
                  <w:sz w:val="18"/>
                  <w:szCs w:val="18"/>
                  <w:u w:val="none"/>
                </w:rPr>
                <w:t>71</w:t>
              </w:r>
            </w:hyperlink>
          </w:p>
        </w:tc>
      </w:tr>
      <w:tr w:rsidR="00960BB8" w14:paraId="5A1AF272" w14:textId="77777777">
        <w:trPr>
          <w:trHeight w:val="100"/>
        </w:trPr>
        <w:tc>
          <w:tcPr>
            <w:tcW w:w="0" w:type="auto"/>
            <w:gridSpan w:val="3"/>
            <w:shd w:val="clear" w:color="auto" w:fill="auto"/>
            <w:tcMar>
              <w:top w:w="0" w:type="dxa"/>
              <w:left w:w="20" w:type="dxa"/>
              <w:bottom w:w="0" w:type="dxa"/>
              <w:right w:w="20" w:type="dxa"/>
            </w:tcMar>
            <w:vAlign w:val="bottom"/>
          </w:tcPr>
          <w:p w14:paraId="5A1AF26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27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271" w14:textId="77777777" w:rsidR="00960BB8" w:rsidRDefault="00960BB8">
            <w:pPr>
              <w:rPr>
                <w:rFonts w:ascii="宋体"/>
              </w:rPr>
            </w:pPr>
          </w:p>
        </w:tc>
      </w:tr>
      <w:tr w:rsidR="00960BB8" w14:paraId="5A1AF276" w14:textId="77777777">
        <w:tc>
          <w:tcPr>
            <w:tcW w:w="0" w:type="auto"/>
            <w:gridSpan w:val="3"/>
            <w:shd w:val="clear" w:color="auto" w:fill="auto"/>
            <w:tcMar>
              <w:top w:w="40" w:type="dxa"/>
              <w:left w:w="20" w:type="dxa"/>
              <w:bottom w:w="40" w:type="dxa"/>
              <w:right w:w="20" w:type="dxa"/>
            </w:tcMar>
            <w:vAlign w:val="center"/>
          </w:tcPr>
          <w:p w14:paraId="5A1AF273" w14:textId="77777777" w:rsidR="00960BB8" w:rsidRDefault="00C06650">
            <w:pPr>
              <w:textAlignment w:val="center"/>
            </w:pPr>
            <w:r>
              <w:rPr>
                <w:rFonts w:ascii="Arial" w:eastAsia="宋体" w:hAnsi="Arial" w:cs="Arial"/>
                <w:color w:val="0068B5"/>
                <w:sz w:val="20"/>
                <w:szCs w:val="20"/>
              </w:rPr>
              <w:t>Financial Statements and Supplemental Details</w:t>
            </w:r>
          </w:p>
        </w:tc>
        <w:tc>
          <w:tcPr>
            <w:tcW w:w="0" w:type="auto"/>
            <w:gridSpan w:val="3"/>
            <w:shd w:val="clear" w:color="auto" w:fill="auto"/>
            <w:tcMar>
              <w:top w:w="0" w:type="dxa"/>
              <w:left w:w="20" w:type="dxa"/>
              <w:bottom w:w="0" w:type="dxa"/>
              <w:right w:w="20" w:type="dxa"/>
            </w:tcMar>
            <w:vAlign w:val="bottom"/>
          </w:tcPr>
          <w:p w14:paraId="5A1AF27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275" w14:textId="77777777" w:rsidR="00960BB8" w:rsidRDefault="00960BB8">
            <w:pPr>
              <w:rPr>
                <w:rFonts w:ascii="宋体"/>
              </w:rPr>
            </w:pPr>
          </w:p>
        </w:tc>
      </w:tr>
      <w:tr w:rsidR="00960BB8" w14:paraId="5A1AF27A" w14:textId="77777777">
        <w:tc>
          <w:tcPr>
            <w:tcW w:w="0" w:type="auto"/>
            <w:gridSpan w:val="3"/>
            <w:tcBorders>
              <w:top w:val="single" w:sz="4" w:space="0" w:color="262626"/>
            </w:tcBorders>
            <w:shd w:val="clear" w:color="auto" w:fill="auto"/>
            <w:tcMar>
              <w:top w:w="40" w:type="dxa"/>
              <w:left w:w="20" w:type="dxa"/>
              <w:bottom w:w="40" w:type="dxa"/>
              <w:right w:w="20" w:type="dxa"/>
            </w:tcMar>
            <w:vAlign w:val="center"/>
          </w:tcPr>
          <w:p w14:paraId="5A1AF277" w14:textId="77777777" w:rsidR="00960BB8" w:rsidRDefault="00C06650">
            <w:pPr>
              <w:textAlignment w:val="center"/>
            </w:pPr>
            <w:r>
              <w:rPr>
                <w:rFonts w:ascii="Arial" w:eastAsia="宋体" w:hAnsi="Arial" w:cs="Arial"/>
                <w:color w:val="262626"/>
                <w:sz w:val="18"/>
                <w:szCs w:val="18"/>
              </w:rPr>
              <w:t>Auditor's Reports</w:t>
            </w: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278"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center"/>
          </w:tcPr>
          <w:p w14:paraId="5A1AF279" w14:textId="77777777" w:rsidR="00960BB8" w:rsidRDefault="00C06650">
            <w:pPr>
              <w:jc w:val="center"/>
              <w:textAlignment w:val="center"/>
            </w:pPr>
            <w:hyperlink r:id="rId25" w:anchor="i8aaa7b4dbd2e419ca0f5c30af85a11aa_244" w:history="1">
              <w:r>
                <w:rPr>
                  <w:rStyle w:val="a5"/>
                  <w:rFonts w:ascii="Arial" w:eastAsia="宋体" w:hAnsi="Arial" w:cs="Arial"/>
                  <w:color w:val="262626"/>
                  <w:sz w:val="18"/>
                  <w:szCs w:val="18"/>
                  <w:u w:val="none"/>
                </w:rPr>
                <w:t>73</w:t>
              </w:r>
            </w:hyperlink>
          </w:p>
        </w:tc>
      </w:tr>
      <w:tr w:rsidR="00960BB8" w14:paraId="5A1AF27E" w14:textId="77777777">
        <w:tc>
          <w:tcPr>
            <w:tcW w:w="0" w:type="auto"/>
            <w:gridSpan w:val="3"/>
            <w:shd w:val="clear" w:color="auto" w:fill="auto"/>
            <w:tcMar>
              <w:top w:w="40" w:type="dxa"/>
              <w:left w:w="20" w:type="dxa"/>
              <w:bottom w:w="40" w:type="dxa"/>
              <w:right w:w="20" w:type="dxa"/>
            </w:tcMar>
            <w:vAlign w:val="center"/>
          </w:tcPr>
          <w:p w14:paraId="5A1AF27B" w14:textId="77777777" w:rsidR="00960BB8" w:rsidRDefault="00C06650">
            <w:pPr>
              <w:textAlignment w:val="center"/>
            </w:pPr>
            <w:r>
              <w:rPr>
                <w:rFonts w:ascii="Arial" w:eastAsia="宋体" w:hAnsi="Arial" w:cs="Arial"/>
                <w:color w:val="262626"/>
                <w:sz w:val="18"/>
                <w:szCs w:val="18"/>
              </w:rPr>
              <w:t>Consolidated Financial Statements</w:t>
            </w:r>
          </w:p>
        </w:tc>
        <w:tc>
          <w:tcPr>
            <w:tcW w:w="0" w:type="auto"/>
            <w:gridSpan w:val="3"/>
            <w:shd w:val="clear" w:color="auto" w:fill="auto"/>
            <w:tcMar>
              <w:top w:w="0" w:type="dxa"/>
              <w:left w:w="20" w:type="dxa"/>
              <w:bottom w:w="0" w:type="dxa"/>
              <w:right w:w="20" w:type="dxa"/>
            </w:tcMar>
            <w:vAlign w:val="bottom"/>
          </w:tcPr>
          <w:p w14:paraId="5A1AF27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7D" w14:textId="77777777" w:rsidR="00960BB8" w:rsidRDefault="00C06650">
            <w:pPr>
              <w:jc w:val="center"/>
              <w:textAlignment w:val="center"/>
            </w:pPr>
            <w:hyperlink r:id="rId26" w:anchor="i8aaa7b4dbd2e419ca0f5c30af85a11aa_253" w:history="1">
              <w:r>
                <w:rPr>
                  <w:rStyle w:val="a5"/>
                  <w:rFonts w:ascii="Arial" w:eastAsia="宋体" w:hAnsi="Arial" w:cs="Arial"/>
                  <w:color w:val="262626"/>
                  <w:sz w:val="18"/>
                  <w:szCs w:val="18"/>
                  <w:u w:val="none"/>
                </w:rPr>
                <w:t>76</w:t>
              </w:r>
            </w:hyperlink>
          </w:p>
        </w:tc>
      </w:tr>
      <w:tr w:rsidR="00960BB8" w14:paraId="5A1AF282" w14:textId="77777777">
        <w:tc>
          <w:tcPr>
            <w:tcW w:w="0" w:type="auto"/>
            <w:gridSpan w:val="3"/>
            <w:shd w:val="clear" w:color="auto" w:fill="auto"/>
            <w:tcMar>
              <w:top w:w="40" w:type="dxa"/>
              <w:left w:w="20" w:type="dxa"/>
              <w:bottom w:w="40" w:type="dxa"/>
              <w:right w:w="20" w:type="dxa"/>
            </w:tcMar>
            <w:vAlign w:val="center"/>
          </w:tcPr>
          <w:p w14:paraId="5A1AF27F" w14:textId="77777777" w:rsidR="00960BB8" w:rsidRDefault="00C06650">
            <w:pPr>
              <w:textAlignment w:val="center"/>
            </w:pPr>
            <w:r>
              <w:rPr>
                <w:rFonts w:ascii="Arial" w:eastAsia="宋体" w:hAnsi="Arial" w:cs="Arial"/>
                <w:color w:val="262626"/>
                <w:sz w:val="18"/>
                <w:szCs w:val="18"/>
              </w:rPr>
              <w:t>Notes to Consolidated Financial Statements</w:t>
            </w:r>
          </w:p>
        </w:tc>
        <w:tc>
          <w:tcPr>
            <w:tcW w:w="0" w:type="auto"/>
            <w:gridSpan w:val="3"/>
            <w:shd w:val="clear" w:color="auto" w:fill="auto"/>
            <w:tcMar>
              <w:top w:w="0" w:type="dxa"/>
              <w:left w:w="20" w:type="dxa"/>
              <w:bottom w:w="0" w:type="dxa"/>
              <w:right w:w="20" w:type="dxa"/>
            </w:tcMar>
            <w:vAlign w:val="bottom"/>
          </w:tcPr>
          <w:p w14:paraId="5A1AF28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81" w14:textId="77777777" w:rsidR="00960BB8" w:rsidRDefault="00C06650">
            <w:pPr>
              <w:jc w:val="center"/>
              <w:textAlignment w:val="center"/>
            </w:pPr>
            <w:hyperlink r:id="rId27" w:anchor="i8aaa7b4dbd2e419ca0f5c30af85a11aa_277" w:history="1">
              <w:r>
                <w:rPr>
                  <w:rStyle w:val="a5"/>
                  <w:rFonts w:ascii="Arial" w:eastAsia="宋体" w:hAnsi="Arial" w:cs="Arial"/>
                  <w:color w:val="262626"/>
                  <w:sz w:val="18"/>
                  <w:szCs w:val="18"/>
                  <w:u w:val="none"/>
                </w:rPr>
                <w:t>81</w:t>
              </w:r>
            </w:hyperlink>
          </w:p>
        </w:tc>
      </w:tr>
      <w:tr w:rsidR="00960BB8" w14:paraId="5A1AF286" w14:textId="77777777">
        <w:tc>
          <w:tcPr>
            <w:tcW w:w="0" w:type="auto"/>
            <w:gridSpan w:val="3"/>
            <w:shd w:val="clear" w:color="auto" w:fill="auto"/>
            <w:tcMar>
              <w:top w:w="40" w:type="dxa"/>
              <w:left w:w="20" w:type="dxa"/>
              <w:bottom w:w="40" w:type="dxa"/>
              <w:right w:w="20" w:type="dxa"/>
            </w:tcMar>
            <w:vAlign w:val="center"/>
          </w:tcPr>
          <w:p w14:paraId="5A1AF283" w14:textId="77777777" w:rsidR="00960BB8" w:rsidRDefault="00C06650">
            <w:pPr>
              <w:textAlignment w:val="center"/>
            </w:pPr>
            <w:r>
              <w:rPr>
                <w:rFonts w:ascii="Arial" w:eastAsia="宋体" w:hAnsi="Arial" w:cs="Arial"/>
                <w:color w:val="262626"/>
                <w:sz w:val="18"/>
                <w:szCs w:val="18"/>
              </w:rPr>
              <w:t>Key Terms</w:t>
            </w:r>
          </w:p>
        </w:tc>
        <w:tc>
          <w:tcPr>
            <w:tcW w:w="0" w:type="auto"/>
            <w:gridSpan w:val="3"/>
            <w:shd w:val="clear" w:color="auto" w:fill="auto"/>
            <w:tcMar>
              <w:top w:w="0" w:type="dxa"/>
              <w:left w:w="20" w:type="dxa"/>
              <w:bottom w:w="0" w:type="dxa"/>
              <w:right w:w="20" w:type="dxa"/>
            </w:tcMar>
            <w:vAlign w:val="bottom"/>
          </w:tcPr>
          <w:p w14:paraId="5A1AF28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85" w14:textId="77777777" w:rsidR="00960BB8" w:rsidRDefault="00C06650">
            <w:pPr>
              <w:jc w:val="center"/>
              <w:textAlignment w:val="center"/>
            </w:pPr>
            <w:hyperlink r:id="rId28" w:anchor="i8aaa7b4dbd2e419ca0f5c30af85a11aa_463" w:history="1">
              <w:r>
                <w:rPr>
                  <w:rStyle w:val="a5"/>
                  <w:rFonts w:ascii="Arial" w:eastAsia="宋体" w:hAnsi="Arial" w:cs="Arial"/>
                  <w:color w:val="262626"/>
                  <w:sz w:val="18"/>
                  <w:szCs w:val="18"/>
                  <w:u w:val="none"/>
                </w:rPr>
                <w:t>115</w:t>
              </w:r>
            </w:hyperlink>
          </w:p>
        </w:tc>
      </w:tr>
      <w:tr w:rsidR="00960BB8" w14:paraId="5A1AF28A" w14:textId="77777777">
        <w:trPr>
          <w:hidden/>
        </w:trPr>
        <w:tc>
          <w:tcPr>
            <w:tcW w:w="0" w:type="auto"/>
            <w:gridSpan w:val="3"/>
            <w:shd w:val="clear" w:color="auto" w:fill="auto"/>
            <w:vAlign w:val="bottom"/>
          </w:tcPr>
          <w:p w14:paraId="5A1AF287" w14:textId="77777777" w:rsidR="00960BB8" w:rsidRDefault="00960BB8">
            <w:pPr>
              <w:rPr>
                <w:rFonts w:ascii="宋体"/>
                <w:vanish/>
              </w:rPr>
            </w:pPr>
          </w:p>
        </w:tc>
        <w:tc>
          <w:tcPr>
            <w:tcW w:w="0" w:type="auto"/>
            <w:gridSpan w:val="3"/>
            <w:shd w:val="clear" w:color="auto" w:fill="auto"/>
            <w:vAlign w:val="bottom"/>
          </w:tcPr>
          <w:p w14:paraId="5A1AF288" w14:textId="77777777" w:rsidR="00960BB8" w:rsidRDefault="00960BB8">
            <w:pPr>
              <w:rPr>
                <w:rFonts w:ascii="宋体"/>
                <w:vanish/>
              </w:rPr>
            </w:pPr>
          </w:p>
        </w:tc>
        <w:tc>
          <w:tcPr>
            <w:tcW w:w="0" w:type="auto"/>
            <w:gridSpan w:val="3"/>
            <w:shd w:val="clear" w:color="auto" w:fill="auto"/>
            <w:vAlign w:val="bottom"/>
          </w:tcPr>
          <w:p w14:paraId="5A1AF289" w14:textId="77777777" w:rsidR="00960BB8" w:rsidRDefault="00960BB8">
            <w:pPr>
              <w:rPr>
                <w:rFonts w:ascii="宋体"/>
                <w:vanish/>
              </w:rPr>
            </w:pPr>
          </w:p>
        </w:tc>
      </w:tr>
      <w:tr w:rsidR="00960BB8" w14:paraId="5A1AF28E" w14:textId="77777777">
        <w:tc>
          <w:tcPr>
            <w:tcW w:w="0" w:type="auto"/>
            <w:gridSpan w:val="3"/>
            <w:shd w:val="clear" w:color="auto" w:fill="auto"/>
            <w:tcMar>
              <w:top w:w="40" w:type="dxa"/>
              <w:left w:w="20" w:type="dxa"/>
              <w:bottom w:w="40" w:type="dxa"/>
              <w:right w:w="20" w:type="dxa"/>
            </w:tcMar>
            <w:vAlign w:val="center"/>
          </w:tcPr>
          <w:p w14:paraId="5A1AF28B" w14:textId="77777777" w:rsidR="00960BB8" w:rsidRDefault="00C06650">
            <w:pPr>
              <w:textAlignment w:val="center"/>
            </w:pPr>
            <w:r>
              <w:rPr>
                <w:rFonts w:ascii="Arial" w:eastAsia="宋体" w:hAnsi="Arial" w:cs="Arial"/>
                <w:color w:val="262626"/>
                <w:sz w:val="18"/>
                <w:szCs w:val="18"/>
              </w:rPr>
              <w:t>Controls and Procedures</w:t>
            </w:r>
          </w:p>
        </w:tc>
        <w:tc>
          <w:tcPr>
            <w:tcW w:w="0" w:type="auto"/>
            <w:gridSpan w:val="3"/>
            <w:shd w:val="clear" w:color="auto" w:fill="auto"/>
            <w:tcMar>
              <w:top w:w="0" w:type="dxa"/>
              <w:left w:w="20" w:type="dxa"/>
              <w:bottom w:w="0" w:type="dxa"/>
              <w:right w:w="20" w:type="dxa"/>
            </w:tcMar>
            <w:vAlign w:val="bottom"/>
          </w:tcPr>
          <w:p w14:paraId="5A1AF28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8D" w14:textId="77777777" w:rsidR="00960BB8" w:rsidRDefault="00C06650">
            <w:pPr>
              <w:jc w:val="center"/>
              <w:textAlignment w:val="center"/>
            </w:pPr>
            <w:hyperlink r:id="rId29" w:anchor="i8aaa7b4dbd2e419ca0f5c30af85a11aa_472" w:history="1">
              <w:r>
                <w:rPr>
                  <w:rStyle w:val="a5"/>
                  <w:rFonts w:ascii="Arial" w:eastAsia="宋体" w:hAnsi="Arial" w:cs="Arial"/>
                  <w:color w:val="262626"/>
                  <w:sz w:val="18"/>
                  <w:szCs w:val="18"/>
                  <w:u w:val="none"/>
                </w:rPr>
                <w:t>118</w:t>
              </w:r>
            </w:hyperlink>
          </w:p>
        </w:tc>
      </w:tr>
      <w:tr w:rsidR="00960BB8" w14:paraId="5A1AF292" w14:textId="77777777">
        <w:tc>
          <w:tcPr>
            <w:tcW w:w="0" w:type="auto"/>
            <w:gridSpan w:val="3"/>
            <w:shd w:val="clear" w:color="auto" w:fill="auto"/>
            <w:tcMar>
              <w:top w:w="40" w:type="dxa"/>
              <w:left w:w="20" w:type="dxa"/>
              <w:bottom w:w="40" w:type="dxa"/>
              <w:right w:w="20" w:type="dxa"/>
            </w:tcMar>
            <w:vAlign w:val="center"/>
          </w:tcPr>
          <w:p w14:paraId="5A1AF28F" w14:textId="77777777" w:rsidR="00960BB8" w:rsidRDefault="00C06650">
            <w:pPr>
              <w:textAlignment w:val="center"/>
            </w:pPr>
            <w:r>
              <w:rPr>
                <w:rFonts w:ascii="Arial" w:eastAsia="宋体" w:hAnsi="Arial" w:cs="Arial"/>
                <w:color w:val="262626"/>
                <w:sz w:val="18"/>
                <w:szCs w:val="18"/>
              </w:rPr>
              <w:t>Exhibits</w:t>
            </w:r>
          </w:p>
        </w:tc>
        <w:tc>
          <w:tcPr>
            <w:tcW w:w="0" w:type="auto"/>
            <w:gridSpan w:val="3"/>
            <w:shd w:val="clear" w:color="auto" w:fill="auto"/>
            <w:tcMar>
              <w:top w:w="0" w:type="dxa"/>
              <w:left w:w="20" w:type="dxa"/>
              <w:bottom w:w="0" w:type="dxa"/>
              <w:right w:w="20" w:type="dxa"/>
            </w:tcMar>
            <w:vAlign w:val="bottom"/>
          </w:tcPr>
          <w:p w14:paraId="5A1AF29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91" w14:textId="77777777" w:rsidR="00960BB8" w:rsidRDefault="00C06650">
            <w:pPr>
              <w:jc w:val="center"/>
              <w:textAlignment w:val="center"/>
            </w:pPr>
            <w:hyperlink r:id="rId30" w:anchor="i8aaa7b4dbd2e419ca0f5c30af85a11aa_475" w:history="1">
              <w:r>
                <w:rPr>
                  <w:rStyle w:val="a5"/>
                  <w:rFonts w:ascii="Arial" w:eastAsia="宋体" w:hAnsi="Arial" w:cs="Arial"/>
                  <w:color w:val="262626"/>
                  <w:sz w:val="18"/>
                  <w:szCs w:val="18"/>
                  <w:u w:val="none"/>
                </w:rPr>
                <w:t>119</w:t>
              </w:r>
            </w:hyperlink>
          </w:p>
        </w:tc>
      </w:tr>
      <w:tr w:rsidR="00960BB8" w14:paraId="5A1AF296" w14:textId="77777777">
        <w:tc>
          <w:tcPr>
            <w:tcW w:w="0" w:type="auto"/>
            <w:gridSpan w:val="3"/>
            <w:shd w:val="clear" w:color="auto" w:fill="auto"/>
            <w:tcMar>
              <w:top w:w="40" w:type="dxa"/>
              <w:left w:w="20" w:type="dxa"/>
              <w:bottom w:w="40" w:type="dxa"/>
              <w:right w:w="20" w:type="dxa"/>
            </w:tcMar>
            <w:vAlign w:val="center"/>
          </w:tcPr>
          <w:p w14:paraId="5A1AF293" w14:textId="77777777" w:rsidR="00960BB8" w:rsidRDefault="00C06650">
            <w:pPr>
              <w:textAlignment w:val="center"/>
            </w:pPr>
            <w:r>
              <w:rPr>
                <w:rFonts w:ascii="Arial" w:eastAsia="宋体" w:hAnsi="Arial" w:cs="Arial"/>
                <w:color w:val="262626"/>
                <w:sz w:val="18"/>
                <w:szCs w:val="18"/>
              </w:rPr>
              <w:t>Form 10-K Cross-Reference Index</w:t>
            </w:r>
          </w:p>
        </w:tc>
        <w:tc>
          <w:tcPr>
            <w:tcW w:w="0" w:type="auto"/>
            <w:gridSpan w:val="3"/>
            <w:shd w:val="clear" w:color="auto" w:fill="auto"/>
            <w:tcMar>
              <w:top w:w="0" w:type="dxa"/>
              <w:left w:w="20" w:type="dxa"/>
              <w:bottom w:w="0" w:type="dxa"/>
              <w:right w:w="20" w:type="dxa"/>
            </w:tcMar>
            <w:vAlign w:val="bottom"/>
          </w:tcPr>
          <w:p w14:paraId="5A1AF29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295" w14:textId="77777777" w:rsidR="00960BB8" w:rsidRDefault="00C06650">
            <w:pPr>
              <w:jc w:val="center"/>
              <w:textAlignment w:val="center"/>
            </w:pPr>
            <w:hyperlink r:id="rId31" w:anchor="i8aaa7b4dbd2e419ca0f5c30af85a11aa_487" w:history="1">
              <w:r>
                <w:rPr>
                  <w:rStyle w:val="a5"/>
                  <w:rFonts w:ascii="Arial" w:eastAsia="宋体" w:hAnsi="Arial" w:cs="Arial"/>
                  <w:color w:val="262626"/>
                  <w:sz w:val="18"/>
                  <w:szCs w:val="18"/>
                  <w:u w:val="none"/>
                </w:rPr>
                <w:t>124</w:t>
              </w:r>
            </w:hyperlink>
          </w:p>
        </w:tc>
      </w:tr>
    </w:tbl>
    <w:p w14:paraId="5A1AF297" w14:textId="77777777" w:rsidR="00960BB8" w:rsidRDefault="00960BB8"/>
    <w:p w14:paraId="5A1AF298" w14:textId="77777777" w:rsidR="00960BB8" w:rsidRDefault="00960BB8"/>
    <w:p w14:paraId="5A1AF299" w14:textId="77777777" w:rsidR="00960BB8" w:rsidRDefault="00960BB8"/>
    <w:p w14:paraId="5A1AF29A" w14:textId="77777777" w:rsidR="00960BB8" w:rsidRDefault="00960BB8">
      <w:pPr>
        <w:ind w:hanging="180"/>
      </w:pPr>
    </w:p>
    <w:p w14:paraId="5A1AF29B" w14:textId="77777777" w:rsidR="00960BB8" w:rsidRDefault="00960BB8"/>
    <w:p w14:paraId="5A1AF29C" w14:textId="77777777" w:rsidR="00960BB8" w:rsidRDefault="00C06650">
      <w:r>
        <w:pict w14:anchorId="5A1B4318">
          <v:rect id="_x0000_i1026" style="width:415.3pt;height:1.5pt" o:hralign="center" o:hrstd="t" o:hr="t" fillcolor="#a0a0a0" stroked="f"/>
        </w:pict>
      </w:r>
    </w:p>
    <w:p w14:paraId="5A1AF29D" w14:textId="77777777" w:rsidR="00960BB8" w:rsidRDefault="00C06650">
      <w:pPr>
        <w:jc w:val="right"/>
      </w:pPr>
      <w:hyperlink r:id="rId32" w:anchor="i8aaa7b4dbd2e419ca0f5c30af85a11aa_16" w:history="1">
        <w:r>
          <w:rPr>
            <w:rStyle w:val="a5"/>
            <w:rFonts w:ascii="Arial" w:eastAsia="宋体" w:hAnsi="Arial" w:cs="Arial"/>
            <w:b/>
            <w:bCs/>
            <w:sz w:val="16"/>
            <w:szCs w:val="16"/>
          </w:rPr>
          <w:t>Table of Contents</w:t>
        </w:r>
      </w:hyperlink>
    </w:p>
    <w:p w14:paraId="5A1AF29E" w14:textId="77777777" w:rsidR="00960BB8" w:rsidRDefault="00C06650">
      <w:pPr>
        <w:spacing w:after="180"/>
      </w:pPr>
      <w:r>
        <w:rPr>
          <w:rFonts w:ascii="Arial" w:eastAsia="宋体" w:hAnsi="Arial" w:cs="Arial"/>
          <w:color w:val="0068B5"/>
          <w:sz w:val="28"/>
          <w:szCs w:val="28"/>
        </w:rPr>
        <w:t>Forward-Looking Statements</w:t>
      </w:r>
    </w:p>
    <w:p w14:paraId="5A1AF29F" w14:textId="77777777" w:rsidR="00960BB8" w:rsidRDefault="00C06650">
      <w:pPr>
        <w:spacing w:after="180"/>
      </w:pPr>
      <w:r>
        <w:rPr>
          <w:rFonts w:ascii="Arial" w:eastAsia="宋体" w:hAnsi="Arial" w:cs="Arial"/>
          <w:color w:val="262626"/>
          <w:sz w:val="18"/>
          <w:szCs w:val="18"/>
        </w:rPr>
        <w:t>This Form 10-K contains forward-looking statements that i</w:t>
      </w:r>
      <w:r>
        <w:rPr>
          <w:rFonts w:ascii="Arial" w:eastAsia="宋体" w:hAnsi="Arial" w:cs="Arial"/>
          <w:color w:val="262626"/>
          <w:sz w:val="18"/>
          <w:szCs w:val="18"/>
        </w:rPr>
        <w:t xml:space="preserve">nvolve a number of risks and uncertainties. Words such as "accelerate," "achieve," "aim," "ambitions," "anticipate," "believe," "committed," "continue," "could," "designed," "estimated," "expect," "forecast," "future," "goals," "grow," "intend," "likely," </w:t>
      </w:r>
      <w:r>
        <w:rPr>
          <w:rFonts w:ascii="Arial" w:eastAsia="宋体" w:hAnsi="Arial" w:cs="Arial"/>
          <w:color w:val="262626"/>
          <w:sz w:val="18"/>
          <w:szCs w:val="18"/>
        </w:rPr>
        <w:t>"may," "might," "milestones," "next generation," "objective," "on track," "opportunity," "outlook," "pending," "plans," "positioned," "possible," "predict," "progress," "roadmap," "potentially," "seek," "should," "strive," "targets," "to be," "upcoming," "</w:t>
      </w:r>
      <w:r>
        <w:rPr>
          <w:rFonts w:ascii="Arial" w:eastAsia="宋体" w:hAnsi="Arial" w:cs="Arial"/>
          <w:color w:val="262626"/>
          <w:sz w:val="18"/>
          <w:szCs w:val="18"/>
        </w:rPr>
        <w:t>will," "would," and variations of such words and similar expressions are intended to identify such forward-looking statements. In addition, any statements that refer to our strategy and its anticipated benefits, including our IDM 2.0 strategy, February 202</w:t>
      </w:r>
      <w:r>
        <w:rPr>
          <w:rFonts w:ascii="Arial" w:eastAsia="宋体" w:hAnsi="Arial" w:cs="Arial"/>
          <w:color w:val="262626"/>
          <w:sz w:val="18"/>
          <w:szCs w:val="18"/>
        </w:rPr>
        <w:t>2 Investor Meeting financial model, Smart Capital strategy, SCIP, our partnership with Brookfield Asset Management (Brookfield), the transition to an internal foundry model, and updates to our reporting structure; manufacturing expansion and financing plan</w:t>
      </w:r>
      <w:r>
        <w:rPr>
          <w:rFonts w:ascii="Arial" w:eastAsia="宋体" w:hAnsi="Arial" w:cs="Arial"/>
          <w:color w:val="262626"/>
          <w:sz w:val="18"/>
          <w:szCs w:val="18"/>
        </w:rPr>
        <w:t>s; investment plans and impacts of investment plans, including in the US and abroad; future economic conditions, including regional or global downturns or recessions; business plans; internal and external manufacturing plans, including future internal manu</w:t>
      </w:r>
      <w:r>
        <w:rPr>
          <w:rFonts w:ascii="Arial" w:eastAsia="宋体" w:hAnsi="Arial" w:cs="Arial"/>
          <w:color w:val="262626"/>
          <w:sz w:val="18"/>
          <w:szCs w:val="18"/>
        </w:rPr>
        <w:t>facturing volumes and external foundry usage; future responses to and effects of COVID-19, including manufacturing, transportation, and operational restrictions or disruptions; projections of our future financial performance, including future revenue, gros</w:t>
      </w:r>
      <w:r>
        <w:rPr>
          <w:rFonts w:ascii="Arial" w:eastAsia="宋体" w:hAnsi="Arial" w:cs="Arial"/>
          <w:color w:val="262626"/>
          <w:sz w:val="18"/>
          <w:szCs w:val="18"/>
        </w:rPr>
        <w:t xml:space="preserve">s margins, capital expenditures, and cash flows; future business, social, and environmental performance, goals, measures, and strategies; our anticipated growth, future market share, and trends in our businesses and operations; projected growth and trends </w:t>
      </w:r>
      <w:r>
        <w:rPr>
          <w:rFonts w:ascii="Arial" w:eastAsia="宋体" w:hAnsi="Arial" w:cs="Arial"/>
          <w:color w:val="262626"/>
          <w:sz w:val="18"/>
          <w:szCs w:val="18"/>
        </w:rPr>
        <w:t>in markets relevant to our businesses; future technology trends; plans and goals related to Intel’s foundry business, including with respect to future manufacturing capacity and foundry service offerings, including technology and IP offerings; future produ</w:t>
      </w:r>
      <w:r>
        <w:rPr>
          <w:rFonts w:ascii="Arial" w:eastAsia="宋体" w:hAnsi="Arial" w:cs="Arial"/>
          <w:color w:val="262626"/>
          <w:sz w:val="18"/>
          <w:szCs w:val="18"/>
        </w:rPr>
        <w:t>cts, services, and technology, and the expected regulation, availability, and benefits of such products, services, and technology, including future process nodes and packaging technology, product roadmaps, schedules, future product architectures, expectati</w:t>
      </w:r>
      <w:r>
        <w:rPr>
          <w:rFonts w:ascii="Arial" w:eastAsia="宋体" w:hAnsi="Arial" w:cs="Arial"/>
          <w:color w:val="262626"/>
          <w:sz w:val="18"/>
          <w:szCs w:val="18"/>
        </w:rPr>
        <w:t>ons regarding process performance, per-watt parity, and leadership, and other metrics, and expectations regarding product leadership; projected cost and yield trends; product and manufacturing plans, goals, timelines, ramps, and progress; geopolitical cond</w:t>
      </w:r>
      <w:r>
        <w:rPr>
          <w:rFonts w:ascii="Arial" w:eastAsia="宋体" w:hAnsi="Arial" w:cs="Arial"/>
          <w:color w:val="262626"/>
          <w:sz w:val="18"/>
          <w:szCs w:val="18"/>
        </w:rPr>
        <w:t xml:space="preserve">itions, including the impacts of Russia's war on Ukraine; expected timing and impact of acquisitions, divestitures, and other significant transactions, including statements relating to the completion of our acquisition of Tower Semiconductor Ltd. (Tower), </w:t>
      </w:r>
      <w:r>
        <w:rPr>
          <w:rFonts w:ascii="Arial" w:eastAsia="宋体" w:hAnsi="Arial" w:cs="Arial"/>
          <w:color w:val="262626"/>
          <w:sz w:val="18"/>
          <w:szCs w:val="18"/>
        </w:rPr>
        <w:t>the sale of our NAND memory business, and the wind-down of our Intel</w:t>
      </w:r>
      <w:r>
        <w:rPr>
          <w:rFonts w:ascii="Arial" w:eastAsia="宋体" w:hAnsi="Arial" w:cs="Arial"/>
          <w:color w:val="262626"/>
          <w:sz w:val="11"/>
          <w:szCs w:val="11"/>
        </w:rPr>
        <w:t>®</w:t>
      </w:r>
      <w:r>
        <w:rPr>
          <w:rFonts w:ascii="Arial" w:eastAsia="宋体" w:hAnsi="Arial" w:cs="Arial"/>
          <w:color w:val="262626"/>
          <w:sz w:val="18"/>
          <w:szCs w:val="18"/>
        </w:rPr>
        <w:t xml:space="preserve"> Optane™ memory business; expected completion and impacts of restructuring activities and cost-saving or efficiency initiatives, including those related to the 2022 Restructuring Program;</w:t>
      </w:r>
      <w:r>
        <w:rPr>
          <w:rFonts w:ascii="Arial" w:eastAsia="宋体" w:hAnsi="Arial" w:cs="Arial"/>
          <w:color w:val="262626"/>
          <w:sz w:val="18"/>
          <w:szCs w:val="18"/>
        </w:rPr>
        <w:t xml:space="preserve"> future cash requirements; availability, uses, sufficiency, and cost of capital resources and sources of funding, including future capital and R&amp;D investments, credit rating expectations, and expected returns to stockholders such as stock repurchases and d</w:t>
      </w:r>
      <w:r>
        <w:rPr>
          <w:rFonts w:ascii="Arial" w:eastAsia="宋体" w:hAnsi="Arial" w:cs="Arial"/>
          <w:color w:val="262626"/>
          <w:sz w:val="18"/>
          <w:szCs w:val="18"/>
        </w:rPr>
        <w:t>ividends; our valuation; supply expectations, including regarding constraints, limitations, pricing, and industry shortages; expectations regarding government incentives; future production capacity and product supply; anticipated trends and impacts related</w:t>
      </w:r>
      <w:r>
        <w:rPr>
          <w:rFonts w:ascii="Arial" w:eastAsia="宋体" w:hAnsi="Arial" w:cs="Arial"/>
          <w:color w:val="262626"/>
          <w:sz w:val="18"/>
          <w:szCs w:val="18"/>
        </w:rPr>
        <w:t xml:space="preserve"> to industry component, substrate, and foundry capacity utilization, shortages and constraints; the future purchase, use, and availability of products, components, and services supplied by third parties, including third-party IP and foundry services; tax- </w:t>
      </w:r>
      <w:r>
        <w:rPr>
          <w:rFonts w:ascii="Arial" w:eastAsia="宋体" w:hAnsi="Arial" w:cs="Arial"/>
          <w:color w:val="262626"/>
          <w:sz w:val="18"/>
          <w:szCs w:val="18"/>
        </w:rPr>
        <w:t>and accounting-related expectations; LIBOR-related expectations; expectations regarding our relationships with certain sanctioned parties; uncertain events or assumptions, including statements relating to TAM, market opportunity, or projections of future d</w:t>
      </w:r>
      <w:r>
        <w:rPr>
          <w:rFonts w:ascii="Arial" w:eastAsia="宋体" w:hAnsi="Arial" w:cs="Arial"/>
          <w:color w:val="262626"/>
          <w:sz w:val="18"/>
          <w:szCs w:val="18"/>
        </w:rPr>
        <w:t>emand; and other characterizations of future events or circumstances are forward-looking statements. Such statements are based on management's expectations as of the date of this filing, unless an earlier date is specified, and involve many risks and uncer</w:t>
      </w:r>
      <w:r>
        <w:rPr>
          <w:rFonts w:ascii="Arial" w:eastAsia="宋体" w:hAnsi="Arial" w:cs="Arial"/>
          <w:color w:val="262626"/>
          <w:sz w:val="18"/>
          <w:szCs w:val="18"/>
        </w:rPr>
        <w:t>tainties that could cause our actual results to differ materially from those expressed or implied in our forward-looking statements. Such risks and uncertainties include those described throughout this report and particularly in "Risk Factors" within Other</w:t>
      </w:r>
      <w:r>
        <w:rPr>
          <w:rFonts w:ascii="Arial" w:eastAsia="宋体" w:hAnsi="Arial" w:cs="Arial"/>
          <w:color w:val="262626"/>
          <w:sz w:val="18"/>
          <w:szCs w:val="18"/>
        </w:rPr>
        <w:t xml:space="preserve"> Key Information, including changes in demand for our products; changes in product mix; the complexity of our manufacturing operations; competition; investments in R&amp;D and our business, products, and technologies; vulnerability to product and manufacturing</w:t>
      </w:r>
      <w:r>
        <w:rPr>
          <w:rFonts w:ascii="Arial" w:eastAsia="宋体" w:hAnsi="Arial" w:cs="Arial"/>
          <w:color w:val="262626"/>
          <w:sz w:val="18"/>
          <w:szCs w:val="18"/>
        </w:rPr>
        <w:t>-related risks; the effects of the COVID-19 pandemic; supply chain risks, including from disruptions, delays, trade tensions, or shortages; cybersecurity and privacy risks; investment and transition risk; evolving regulatory and legal requirements; our deb</w:t>
      </w:r>
      <w:r>
        <w:rPr>
          <w:rFonts w:ascii="Arial" w:eastAsia="宋体" w:hAnsi="Arial" w:cs="Arial"/>
          <w:color w:val="262626"/>
          <w:sz w:val="18"/>
          <w:szCs w:val="18"/>
        </w:rPr>
        <w:t>t obligations; stock volatility; and the risks of our global operations; among others. Given these risks and uncertainties, readers are cautioned not to place undue reliance on such forward-looking statements. Readers are urged to carefully review and cons</w:t>
      </w:r>
      <w:r>
        <w:rPr>
          <w:rFonts w:ascii="Arial" w:eastAsia="宋体" w:hAnsi="Arial" w:cs="Arial"/>
          <w:color w:val="262626"/>
          <w:sz w:val="18"/>
          <w:szCs w:val="18"/>
        </w:rPr>
        <w:t>ider the various disclosures made in this Form 10-K and in other documents we file from time to time with the SEC that disclose risks and uncertainties that may affect our business. Unless specifically indicated otherwise, the forward-looking statements in</w:t>
      </w:r>
      <w:r>
        <w:rPr>
          <w:rFonts w:ascii="Arial" w:eastAsia="宋体" w:hAnsi="Arial" w:cs="Arial"/>
          <w:color w:val="262626"/>
          <w:sz w:val="18"/>
          <w:szCs w:val="18"/>
        </w:rPr>
        <w:t xml:space="preserve"> this Form 10-K do not reflect the potential impact of any divestitures, mergers, acquisitions, or other business combinations that have not been completed as of the date of this filing. In addition, the forward-looking statements in this Form 10-K are mad</w:t>
      </w:r>
      <w:r>
        <w:rPr>
          <w:rFonts w:ascii="Arial" w:eastAsia="宋体" w:hAnsi="Arial" w:cs="Arial"/>
          <w:color w:val="262626"/>
          <w:sz w:val="18"/>
          <w:szCs w:val="18"/>
        </w:rPr>
        <w:t>e as of the date of this filing, unless an earlier date is specified, including expectations based on third-party information and projections that management believes to be reputable, and Intel does not undertake, and expressly disclaims any duty, to updat</w:t>
      </w:r>
      <w:r>
        <w:rPr>
          <w:rFonts w:ascii="Arial" w:eastAsia="宋体" w:hAnsi="Arial" w:cs="Arial"/>
          <w:color w:val="262626"/>
          <w:sz w:val="18"/>
          <w:szCs w:val="18"/>
        </w:rPr>
        <w:t xml:space="preserve">e such statements, whether as a result of new information, new developments, or otherwise, except to the extent that disclosure may be required by law. </w:t>
      </w:r>
    </w:p>
    <w:p w14:paraId="5A1AF2A0" w14:textId="77777777" w:rsidR="00960BB8" w:rsidRDefault="00C06650">
      <w:pPr>
        <w:spacing w:after="180"/>
      </w:pPr>
      <w:r>
        <w:rPr>
          <w:rFonts w:ascii="Arial" w:eastAsia="宋体" w:hAnsi="Arial" w:cs="Arial"/>
          <w:color w:val="0068B5"/>
          <w:sz w:val="28"/>
          <w:szCs w:val="28"/>
        </w:rPr>
        <w:t>Note Regarding Third-Party Information</w:t>
      </w:r>
    </w:p>
    <w:p w14:paraId="5A1AF2A1" w14:textId="77777777" w:rsidR="00960BB8" w:rsidRDefault="00C06650">
      <w:pPr>
        <w:spacing w:after="180"/>
      </w:pPr>
      <w:r>
        <w:rPr>
          <w:rFonts w:ascii="Arial" w:eastAsia="宋体" w:hAnsi="Arial" w:cs="Arial"/>
          <w:color w:val="262626"/>
          <w:sz w:val="18"/>
          <w:szCs w:val="18"/>
        </w:rPr>
        <w:t>This Form 10-K includes market data and certain other statistica</w:t>
      </w:r>
      <w:r>
        <w:rPr>
          <w:rFonts w:ascii="Arial" w:eastAsia="宋体" w:hAnsi="Arial" w:cs="Arial"/>
          <w:color w:val="262626"/>
          <w:sz w:val="18"/>
          <w:szCs w:val="18"/>
        </w:rPr>
        <w:t>l information and estimates that are based on reports and other publications from industry analysts, market research firms, and other independent sources, as well as management's own good faith estimates and analyses. Intel believes these third-party repor</w:t>
      </w:r>
      <w:r>
        <w:rPr>
          <w:rFonts w:ascii="Arial" w:eastAsia="宋体" w:hAnsi="Arial" w:cs="Arial"/>
          <w:color w:val="262626"/>
          <w:sz w:val="18"/>
          <w:szCs w:val="18"/>
        </w:rPr>
        <w:t>ts to be reputable, but has not independently verified the underlying data sources, methodologies, or assumptions. The reports and other publications referenced are generally available to the public and were not commissioned by Intel. Information that is b</w:t>
      </w:r>
      <w:r>
        <w:rPr>
          <w:rFonts w:ascii="Arial" w:eastAsia="宋体" w:hAnsi="Arial" w:cs="Arial"/>
          <w:color w:val="262626"/>
          <w:sz w:val="18"/>
          <w:szCs w:val="18"/>
        </w:rPr>
        <w:t>ased on estimates, forecasts, projections, market research, or similar methodologies is inherently subject to uncertainties, and actual events or circumstances may differ materially from events and circumstances reflected in this information.</w:t>
      </w:r>
    </w:p>
    <w:p w14:paraId="5A1AF2A2" w14:textId="77777777" w:rsidR="00960BB8" w:rsidRDefault="00C06650">
      <w:pPr>
        <w:spacing w:before="120" w:after="120"/>
      </w:pPr>
      <w:r>
        <w:rPr>
          <w:rFonts w:ascii="Arial" w:eastAsia="宋体" w:hAnsi="Arial" w:cs="Arial"/>
          <w:i/>
          <w:iCs/>
          <w:color w:val="262626"/>
          <w:sz w:val="14"/>
          <w:szCs w:val="14"/>
        </w:rPr>
        <w:t>Intel, Arc, A</w:t>
      </w:r>
      <w:r>
        <w:rPr>
          <w:rFonts w:ascii="Arial" w:eastAsia="宋体" w:hAnsi="Arial" w:cs="Arial"/>
          <w:i/>
          <w:iCs/>
          <w:color w:val="262626"/>
          <w:sz w:val="14"/>
          <w:szCs w:val="14"/>
        </w:rPr>
        <w:t>rria, Blockscale, Celeron, Cyclone, Intel Agilex, Intel Atom, Intel Core, eASIC, Intel Evo, Intel Geti, Intel Inside, the Intel logo, the Intel Inside logo, Intel Optane, Iris, Killer, MAX, Movidius, OpenVINO, OpenVINO logo, Pentium, Quark, Quartus, Strati</w:t>
      </w:r>
      <w:r>
        <w:rPr>
          <w:rFonts w:ascii="Arial" w:eastAsia="宋体" w:hAnsi="Arial" w:cs="Arial"/>
          <w:i/>
          <w:iCs/>
          <w:color w:val="262626"/>
          <w:sz w:val="14"/>
          <w:szCs w:val="14"/>
        </w:rPr>
        <w:t xml:space="preserve">x, Tofino, Thunderbolt and the Thunderbolt logo, Intel vPro, and Xeon are trademarks of Intel Corporation or its subsidiaries. </w:t>
      </w:r>
    </w:p>
    <w:p w14:paraId="5A1AF2A3" w14:textId="77777777" w:rsidR="00960BB8" w:rsidRDefault="00C06650">
      <w:r>
        <w:rPr>
          <w:rFonts w:ascii="Arial" w:eastAsia="宋体" w:hAnsi="Arial" w:cs="Arial"/>
          <w:i/>
          <w:iCs/>
          <w:color w:val="262626"/>
          <w:sz w:val="14"/>
          <w:szCs w:val="14"/>
        </w:rPr>
        <w:t>The Bluetooth</w:t>
      </w:r>
      <w:r>
        <w:rPr>
          <w:rFonts w:ascii="Arial" w:eastAsia="宋体" w:hAnsi="Arial" w:cs="Arial"/>
          <w:i/>
          <w:iCs/>
          <w:color w:val="262626"/>
          <w:sz w:val="9"/>
          <w:szCs w:val="9"/>
        </w:rPr>
        <w:t>®</w:t>
      </w:r>
      <w:r>
        <w:rPr>
          <w:rFonts w:ascii="Arial" w:eastAsia="宋体" w:hAnsi="Arial" w:cs="Arial"/>
          <w:i/>
          <w:iCs/>
          <w:color w:val="262626"/>
          <w:sz w:val="14"/>
          <w:szCs w:val="14"/>
        </w:rPr>
        <w:t xml:space="preserve"> word mark and logos are registered trademarks owned by Bluetooth SIG, Inc. and any use of such marks by Intel Cor</w:t>
      </w:r>
      <w:r>
        <w:rPr>
          <w:rFonts w:ascii="Arial" w:eastAsia="宋体" w:hAnsi="Arial" w:cs="Arial"/>
          <w:i/>
          <w:iCs/>
          <w:color w:val="262626"/>
          <w:sz w:val="14"/>
          <w:szCs w:val="14"/>
        </w:rPr>
        <w:t>poration is under license.</w:t>
      </w:r>
    </w:p>
    <w:p w14:paraId="5A1AF2A4" w14:textId="77777777" w:rsidR="00960BB8" w:rsidRDefault="00C06650">
      <w:pPr>
        <w:spacing w:before="120" w:after="120"/>
        <w:ind w:hanging="180"/>
      </w:pPr>
      <w:r>
        <w:rPr>
          <w:rFonts w:ascii="Arial" w:eastAsia="宋体" w:hAnsi="Arial" w:cs="Arial"/>
          <w:i/>
          <w:iCs/>
          <w:color w:val="262626"/>
          <w:sz w:val="14"/>
          <w:szCs w:val="14"/>
        </w:rPr>
        <w:t xml:space="preserve">*    Other names and brands may be claimed as the property of others.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2AE" w14:textId="77777777">
        <w:tc>
          <w:tcPr>
            <w:tcW w:w="50" w:type="pct"/>
            <w:shd w:val="clear" w:color="auto" w:fill="auto"/>
            <w:vAlign w:val="bottom"/>
          </w:tcPr>
          <w:p w14:paraId="5A1AF2A5" w14:textId="77777777" w:rsidR="00960BB8" w:rsidRDefault="00960BB8">
            <w:pPr>
              <w:rPr>
                <w:rFonts w:ascii="宋体"/>
              </w:rPr>
            </w:pPr>
          </w:p>
        </w:tc>
        <w:tc>
          <w:tcPr>
            <w:tcW w:w="283" w:type="pct"/>
            <w:shd w:val="clear" w:color="auto" w:fill="auto"/>
            <w:vAlign w:val="bottom"/>
          </w:tcPr>
          <w:p w14:paraId="5A1AF2A6" w14:textId="77777777" w:rsidR="00960BB8" w:rsidRDefault="00960BB8">
            <w:pPr>
              <w:rPr>
                <w:rFonts w:ascii="宋体"/>
              </w:rPr>
            </w:pPr>
          </w:p>
        </w:tc>
        <w:tc>
          <w:tcPr>
            <w:tcW w:w="5" w:type="pct"/>
            <w:shd w:val="clear" w:color="auto" w:fill="auto"/>
            <w:vAlign w:val="bottom"/>
          </w:tcPr>
          <w:p w14:paraId="5A1AF2A7" w14:textId="77777777" w:rsidR="00960BB8" w:rsidRDefault="00960BB8">
            <w:pPr>
              <w:rPr>
                <w:rFonts w:ascii="宋体"/>
              </w:rPr>
            </w:pPr>
          </w:p>
        </w:tc>
        <w:tc>
          <w:tcPr>
            <w:tcW w:w="50" w:type="pct"/>
            <w:shd w:val="clear" w:color="auto" w:fill="auto"/>
            <w:vAlign w:val="bottom"/>
          </w:tcPr>
          <w:p w14:paraId="5A1AF2A8" w14:textId="77777777" w:rsidR="00960BB8" w:rsidRDefault="00960BB8">
            <w:pPr>
              <w:rPr>
                <w:rFonts w:ascii="宋体"/>
              </w:rPr>
            </w:pPr>
          </w:p>
        </w:tc>
        <w:tc>
          <w:tcPr>
            <w:tcW w:w="2656" w:type="pct"/>
            <w:shd w:val="clear" w:color="auto" w:fill="auto"/>
            <w:vAlign w:val="bottom"/>
          </w:tcPr>
          <w:p w14:paraId="5A1AF2A9" w14:textId="77777777" w:rsidR="00960BB8" w:rsidRDefault="00960BB8">
            <w:pPr>
              <w:rPr>
                <w:rFonts w:ascii="宋体"/>
              </w:rPr>
            </w:pPr>
          </w:p>
        </w:tc>
        <w:tc>
          <w:tcPr>
            <w:tcW w:w="5" w:type="pct"/>
            <w:shd w:val="clear" w:color="auto" w:fill="auto"/>
            <w:vAlign w:val="bottom"/>
          </w:tcPr>
          <w:p w14:paraId="5A1AF2AA" w14:textId="77777777" w:rsidR="00960BB8" w:rsidRDefault="00960BB8">
            <w:pPr>
              <w:rPr>
                <w:rFonts w:ascii="宋体"/>
              </w:rPr>
            </w:pPr>
          </w:p>
        </w:tc>
        <w:tc>
          <w:tcPr>
            <w:tcW w:w="50" w:type="pct"/>
            <w:shd w:val="clear" w:color="auto" w:fill="auto"/>
            <w:vAlign w:val="bottom"/>
          </w:tcPr>
          <w:p w14:paraId="5A1AF2AB" w14:textId="77777777" w:rsidR="00960BB8" w:rsidRDefault="00960BB8">
            <w:pPr>
              <w:rPr>
                <w:rFonts w:ascii="宋体"/>
              </w:rPr>
            </w:pPr>
          </w:p>
        </w:tc>
        <w:tc>
          <w:tcPr>
            <w:tcW w:w="1894" w:type="pct"/>
            <w:shd w:val="clear" w:color="auto" w:fill="auto"/>
            <w:vAlign w:val="bottom"/>
          </w:tcPr>
          <w:p w14:paraId="5A1AF2AC" w14:textId="77777777" w:rsidR="00960BB8" w:rsidRDefault="00960BB8">
            <w:pPr>
              <w:rPr>
                <w:rFonts w:ascii="宋体"/>
              </w:rPr>
            </w:pPr>
          </w:p>
        </w:tc>
        <w:tc>
          <w:tcPr>
            <w:tcW w:w="5" w:type="pct"/>
            <w:shd w:val="clear" w:color="auto" w:fill="auto"/>
            <w:vAlign w:val="bottom"/>
          </w:tcPr>
          <w:p w14:paraId="5A1AF2AD" w14:textId="77777777" w:rsidR="00960BB8" w:rsidRDefault="00960BB8">
            <w:pPr>
              <w:rPr>
                <w:rFonts w:ascii="宋体"/>
              </w:rPr>
            </w:pPr>
          </w:p>
        </w:tc>
      </w:tr>
      <w:tr w:rsidR="00960BB8" w14:paraId="5A1AF2B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2AF"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19" wp14:editId="5A1B431A">
                  <wp:extent cx="304800" cy="304800"/>
                  <wp:effectExtent l="0" t="0" r="0" b="0"/>
                  <wp:docPr id="35" name="图片 3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2B0"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2B1" w14:textId="77777777" w:rsidR="00960BB8" w:rsidRDefault="00C06650">
            <w:pPr>
              <w:jc w:val="right"/>
              <w:textAlignment w:val="center"/>
            </w:pPr>
            <w:r>
              <w:rPr>
                <w:rFonts w:ascii="Arial" w:eastAsia="宋体" w:hAnsi="Arial" w:cs="Arial"/>
                <w:color w:val="262626"/>
                <w:sz w:val="16"/>
                <w:szCs w:val="16"/>
              </w:rPr>
              <w:t>1</w:t>
            </w:r>
          </w:p>
        </w:tc>
      </w:tr>
    </w:tbl>
    <w:p w14:paraId="5A1AF2B3" w14:textId="77777777" w:rsidR="00960BB8" w:rsidRDefault="00C06650">
      <w:r>
        <w:pict w14:anchorId="5A1B431B">
          <v:rect id="_x0000_i1027" style="width:415.3pt;height:1.5pt" o:hralign="center" o:hrstd="t" o:hr="t" fillcolor="#a0a0a0" stroked="f"/>
        </w:pict>
      </w:r>
    </w:p>
    <w:p w14:paraId="5A1AF2B4" w14:textId="77777777" w:rsidR="00960BB8" w:rsidRDefault="00960BB8"/>
    <w:p w14:paraId="5A1AF2B5" w14:textId="77777777" w:rsidR="00960BB8" w:rsidRDefault="00C06650">
      <w:pPr>
        <w:spacing w:before="180" w:after="180"/>
      </w:pPr>
      <w:r>
        <w:rPr>
          <w:rFonts w:ascii="Arial" w:eastAsia="宋体" w:hAnsi="Arial" w:cs="Arial"/>
          <w:color w:val="0068B5"/>
          <w:sz w:val="28"/>
          <w:szCs w:val="28"/>
        </w:rPr>
        <w:t>Availability of Company Information</w:t>
      </w:r>
    </w:p>
    <w:p w14:paraId="5A1AF2B6" w14:textId="77777777" w:rsidR="00960BB8" w:rsidRDefault="00C06650">
      <w:pPr>
        <w:spacing w:after="180"/>
      </w:pPr>
      <w:r>
        <w:rPr>
          <w:rFonts w:ascii="Arial" w:eastAsia="宋体" w:hAnsi="Arial" w:cs="Arial"/>
          <w:color w:val="262626"/>
          <w:sz w:val="18"/>
          <w:szCs w:val="18"/>
        </w:rPr>
        <w:t xml:space="preserve">Our Internet address is </w:t>
      </w:r>
      <w:r>
        <w:rPr>
          <w:rFonts w:ascii="Arial" w:eastAsia="宋体" w:hAnsi="Arial" w:cs="Arial"/>
          <w:i/>
          <w:iCs/>
          <w:color w:val="0068B5"/>
          <w:sz w:val="18"/>
          <w:szCs w:val="18"/>
          <w:u w:val="single"/>
        </w:rPr>
        <w:t>www.intel.com</w:t>
      </w:r>
      <w:r>
        <w:rPr>
          <w:rFonts w:ascii="Arial" w:eastAsia="宋体" w:hAnsi="Arial" w:cs="Arial"/>
          <w:color w:val="262626"/>
          <w:sz w:val="18"/>
          <w:szCs w:val="18"/>
        </w:rPr>
        <w:t xml:space="preserve">. We publish voluntary </w:t>
      </w:r>
      <w:r>
        <w:rPr>
          <w:rFonts w:ascii="Arial" w:eastAsia="宋体" w:hAnsi="Arial" w:cs="Arial"/>
          <w:color w:val="262626"/>
          <w:sz w:val="18"/>
          <w:szCs w:val="18"/>
        </w:rPr>
        <w:t>reports on our website that outline our performance and expectations with respect to corporate responsibility, including environmental, health, and safety compliance.</w:t>
      </w:r>
    </w:p>
    <w:p w14:paraId="5A1AF2B7" w14:textId="77777777" w:rsidR="00960BB8" w:rsidRDefault="00C06650">
      <w:pPr>
        <w:spacing w:after="180"/>
      </w:pPr>
      <w:r>
        <w:rPr>
          <w:rFonts w:ascii="Arial" w:eastAsia="宋体" w:hAnsi="Arial" w:cs="Arial"/>
          <w:color w:val="262626"/>
          <w:sz w:val="18"/>
          <w:szCs w:val="18"/>
        </w:rPr>
        <w:t xml:space="preserve">We use our Investor Relations website, </w:t>
      </w:r>
      <w:r>
        <w:rPr>
          <w:rFonts w:ascii="Arial" w:eastAsia="宋体" w:hAnsi="Arial" w:cs="Arial"/>
          <w:i/>
          <w:iCs/>
          <w:color w:val="0068B5"/>
          <w:sz w:val="18"/>
          <w:szCs w:val="18"/>
          <w:u w:val="single"/>
        </w:rPr>
        <w:t>www.intc.com</w:t>
      </w:r>
      <w:r>
        <w:rPr>
          <w:rFonts w:ascii="Arial" w:eastAsia="宋体" w:hAnsi="Arial" w:cs="Arial"/>
          <w:i/>
          <w:iCs/>
          <w:color w:val="262626"/>
          <w:sz w:val="18"/>
          <w:szCs w:val="18"/>
        </w:rPr>
        <w:t>,</w:t>
      </w:r>
      <w:r>
        <w:rPr>
          <w:rFonts w:ascii="Arial" w:eastAsia="宋体" w:hAnsi="Arial" w:cs="Arial"/>
          <w:color w:val="262626"/>
          <w:sz w:val="18"/>
          <w:szCs w:val="18"/>
        </w:rPr>
        <w:t xml:space="preserve"> as well as public webcasts, analyst </w:t>
      </w:r>
      <w:r>
        <w:rPr>
          <w:rFonts w:ascii="Arial" w:eastAsia="宋体" w:hAnsi="Arial" w:cs="Arial"/>
          <w:color w:val="262626"/>
          <w:sz w:val="18"/>
          <w:szCs w:val="18"/>
        </w:rPr>
        <w:t>presentations, and investor days, as routine channels for distribution of important information about us, including our business, financial condition, and operations, among other developments. Such information may be material, and you are encouraged to fol</w:t>
      </w:r>
      <w:r>
        <w:rPr>
          <w:rFonts w:ascii="Arial" w:eastAsia="宋体" w:hAnsi="Arial" w:cs="Arial"/>
          <w:color w:val="262626"/>
          <w:sz w:val="18"/>
          <w:szCs w:val="18"/>
        </w:rPr>
        <w:t>low these sources in addition to our filings with the SEC. We publish news releases, announcements, information about upcoming webcasts, analyst presentations, and investor days, archives of these events, financial information, corporate governance practic</w:t>
      </w:r>
      <w:r>
        <w:rPr>
          <w:rFonts w:ascii="Arial" w:eastAsia="宋体" w:hAnsi="Arial" w:cs="Arial"/>
          <w:color w:val="262626"/>
          <w:sz w:val="18"/>
          <w:szCs w:val="18"/>
        </w:rPr>
        <w:t>es, and corporate responsibility information on</w:t>
      </w:r>
      <w:r>
        <w:rPr>
          <w:rFonts w:ascii="Arial" w:eastAsia="宋体" w:hAnsi="Arial" w:cs="Arial"/>
          <w:i/>
          <w:iCs/>
          <w:color w:val="262626"/>
          <w:sz w:val="18"/>
          <w:szCs w:val="18"/>
        </w:rPr>
        <w:t xml:space="preserve"> </w:t>
      </w:r>
      <w:r>
        <w:rPr>
          <w:rFonts w:ascii="Arial" w:eastAsia="宋体" w:hAnsi="Arial" w:cs="Arial"/>
          <w:i/>
          <w:iCs/>
          <w:color w:val="0068B5"/>
          <w:sz w:val="18"/>
          <w:szCs w:val="18"/>
          <w:u w:val="single"/>
        </w:rPr>
        <w:t>www.intc.com</w:t>
      </w:r>
      <w:r>
        <w:rPr>
          <w:rFonts w:ascii="Arial" w:eastAsia="宋体" w:hAnsi="Arial" w:cs="Arial"/>
          <w:color w:val="262626"/>
          <w:sz w:val="18"/>
          <w:szCs w:val="18"/>
        </w:rPr>
        <w:t xml:space="preserve">. We post our filings at </w:t>
      </w:r>
      <w:r>
        <w:rPr>
          <w:rFonts w:ascii="Arial" w:eastAsia="宋体" w:hAnsi="Arial" w:cs="Arial"/>
          <w:i/>
          <w:iCs/>
          <w:color w:val="0068B5"/>
          <w:sz w:val="18"/>
          <w:szCs w:val="18"/>
          <w:u w:val="single"/>
        </w:rPr>
        <w:t>www.intc.com</w:t>
      </w:r>
      <w:r>
        <w:rPr>
          <w:rFonts w:ascii="Arial" w:eastAsia="宋体" w:hAnsi="Arial" w:cs="Arial"/>
          <w:color w:val="262626"/>
          <w:sz w:val="18"/>
          <w:szCs w:val="18"/>
        </w:rPr>
        <w:t xml:space="preserve"> the same day they are electronically filed with, or furnished to, the SEC, including our annual and quarterly reports on Forms 10-K and 10-Q and current repor</w:t>
      </w:r>
      <w:r>
        <w:rPr>
          <w:rFonts w:ascii="Arial" w:eastAsia="宋体" w:hAnsi="Arial" w:cs="Arial"/>
          <w:color w:val="262626"/>
          <w:sz w:val="18"/>
          <w:szCs w:val="18"/>
        </w:rPr>
        <w:t xml:space="preserve">ts on Form 8-K, our proxy statements, and any amendments to those reports or statements. We post our quarterly and annual earnings results at </w:t>
      </w:r>
      <w:r>
        <w:rPr>
          <w:rFonts w:ascii="Arial" w:eastAsia="宋体" w:hAnsi="Arial" w:cs="Arial"/>
          <w:i/>
          <w:iCs/>
          <w:color w:val="0068B5"/>
          <w:sz w:val="18"/>
          <w:szCs w:val="18"/>
          <w:u w:val="single"/>
        </w:rPr>
        <w:t>www.intc.com</w:t>
      </w:r>
      <w:r>
        <w:rPr>
          <w:rFonts w:ascii="Arial" w:eastAsia="宋体" w:hAnsi="Arial" w:cs="Arial"/>
          <w:color w:val="262626"/>
          <w:sz w:val="18"/>
          <w:szCs w:val="18"/>
        </w:rPr>
        <w:t>, and do not distribute our financial results via a news wire service. All such postings and filings a</w:t>
      </w:r>
      <w:r>
        <w:rPr>
          <w:rFonts w:ascii="Arial" w:eastAsia="宋体" w:hAnsi="Arial" w:cs="Arial"/>
          <w:color w:val="262626"/>
          <w:sz w:val="18"/>
          <w:szCs w:val="18"/>
        </w:rPr>
        <w:t>re available on our Investor Relations website free of charge. In addition, our Investor Relations website allows interested persons to sign up to automatically receive e-mail alerts when we post financial information and issue press releases, and to recei</w:t>
      </w:r>
      <w:r>
        <w:rPr>
          <w:rFonts w:ascii="Arial" w:eastAsia="宋体" w:hAnsi="Arial" w:cs="Arial"/>
          <w:color w:val="262626"/>
          <w:sz w:val="18"/>
          <w:szCs w:val="18"/>
        </w:rPr>
        <w:t xml:space="preserve">ve information about upcoming events. </w:t>
      </w:r>
    </w:p>
    <w:p w14:paraId="5A1AF2B8" w14:textId="77777777" w:rsidR="00960BB8" w:rsidRDefault="00C06650">
      <w:pPr>
        <w:spacing w:after="180"/>
      </w:pPr>
      <w:r>
        <w:rPr>
          <w:rFonts w:ascii="Arial" w:eastAsia="宋体" w:hAnsi="Arial" w:cs="Arial"/>
          <w:color w:val="262626"/>
          <w:sz w:val="18"/>
          <w:szCs w:val="18"/>
        </w:rPr>
        <w:t>The content on any website referred to in this Form 10-K is not incorporated by reference in this Form 10-K unless expressly noted.</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2C2" w14:textId="77777777">
        <w:tc>
          <w:tcPr>
            <w:tcW w:w="50" w:type="pct"/>
            <w:shd w:val="clear" w:color="auto" w:fill="auto"/>
            <w:vAlign w:val="bottom"/>
          </w:tcPr>
          <w:p w14:paraId="5A1AF2B9" w14:textId="77777777" w:rsidR="00960BB8" w:rsidRDefault="00960BB8">
            <w:pPr>
              <w:rPr>
                <w:rFonts w:ascii="宋体"/>
              </w:rPr>
            </w:pPr>
          </w:p>
        </w:tc>
        <w:tc>
          <w:tcPr>
            <w:tcW w:w="283" w:type="pct"/>
            <w:shd w:val="clear" w:color="auto" w:fill="auto"/>
            <w:vAlign w:val="bottom"/>
          </w:tcPr>
          <w:p w14:paraId="5A1AF2BA" w14:textId="77777777" w:rsidR="00960BB8" w:rsidRDefault="00960BB8">
            <w:pPr>
              <w:rPr>
                <w:rFonts w:ascii="宋体"/>
              </w:rPr>
            </w:pPr>
          </w:p>
        </w:tc>
        <w:tc>
          <w:tcPr>
            <w:tcW w:w="5" w:type="pct"/>
            <w:shd w:val="clear" w:color="auto" w:fill="auto"/>
            <w:vAlign w:val="bottom"/>
          </w:tcPr>
          <w:p w14:paraId="5A1AF2BB" w14:textId="77777777" w:rsidR="00960BB8" w:rsidRDefault="00960BB8">
            <w:pPr>
              <w:rPr>
                <w:rFonts w:ascii="宋体"/>
              </w:rPr>
            </w:pPr>
          </w:p>
        </w:tc>
        <w:tc>
          <w:tcPr>
            <w:tcW w:w="50" w:type="pct"/>
            <w:shd w:val="clear" w:color="auto" w:fill="auto"/>
            <w:vAlign w:val="bottom"/>
          </w:tcPr>
          <w:p w14:paraId="5A1AF2BC" w14:textId="77777777" w:rsidR="00960BB8" w:rsidRDefault="00960BB8">
            <w:pPr>
              <w:rPr>
                <w:rFonts w:ascii="宋体"/>
              </w:rPr>
            </w:pPr>
          </w:p>
        </w:tc>
        <w:tc>
          <w:tcPr>
            <w:tcW w:w="2656" w:type="pct"/>
            <w:shd w:val="clear" w:color="auto" w:fill="auto"/>
            <w:vAlign w:val="bottom"/>
          </w:tcPr>
          <w:p w14:paraId="5A1AF2BD" w14:textId="77777777" w:rsidR="00960BB8" w:rsidRDefault="00960BB8">
            <w:pPr>
              <w:rPr>
                <w:rFonts w:ascii="宋体"/>
              </w:rPr>
            </w:pPr>
          </w:p>
        </w:tc>
        <w:tc>
          <w:tcPr>
            <w:tcW w:w="5" w:type="pct"/>
            <w:shd w:val="clear" w:color="auto" w:fill="auto"/>
            <w:vAlign w:val="bottom"/>
          </w:tcPr>
          <w:p w14:paraId="5A1AF2BE" w14:textId="77777777" w:rsidR="00960BB8" w:rsidRDefault="00960BB8">
            <w:pPr>
              <w:rPr>
                <w:rFonts w:ascii="宋体"/>
              </w:rPr>
            </w:pPr>
          </w:p>
        </w:tc>
        <w:tc>
          <w:tcPr>
            <w:tcW w:w="50" w:type="pct"/>
            <w:shd w:val="clear" w:color="auto" w:fill="auto"/>
            <w:vAlign w:val="bottom"/>
          </w:tcPr>
          <w:p w14:paraId="5A1AF2BF" w14:textId="77777777" w:rsidR="00960BB8" w:rsidRDefault="00960BB8">
            <w:pPr>
              <w:rPr>
                <w:rFonts w:ascii="宋体"/>
              </w:rPr>
            </w:pPr>
          </w:p>
        </w:tc>
        <w:tc>
          <w:tcPr>
            <w:tcW w:w="1894" w:type="pct"/>
            <w:shd w:val="clear" w:color="auto" w:fill="auto"/>
            <w:vAlign w:val="bottom"/>
          </w:tcPr>
          <w:p w14:paraId="5A1AF2C0" w14:textId="77777777" w:rsidR="00960BB8" w:rsidRDefault="00960BB8">
            <w:pPr>
              <w:rPr>
                <w:rFonts w:ascii="宋体"/>
              </w:rPr>
            </w:pPr>
          </w:p>
        </w:tc>
        <w:tc>
          <w:tcPr>
            <w:tcW w:w="5" w:type="pct"/>
            <w:shd w:val="clear" w:color="auto" w:fill="auto"/>
            <w:vAlign w:val="bottom"/>
          </w:tcPr>
          <w:p w14:paraId="5A1AF2C1" w14:textId="77777777" w:rsidR="00960BB8" w:rsidRDefault="00960BB8">
            <w:pPr>
              <w:rPr>
                <w:rFonts w:ascii="宋体"/>
              </w:rPr>
            </w:pPr>
          </w:p>
        </w:tc>
      </w:tr>
      <w:tr w:rsidR="00960BB8" w14:paraId="5A1AF2C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2C3"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1C" wp14:editId="5A1B431D">
                  <wp:extent cx="304800" cy="304800"/>
                  <wp:effectExtent l="0" t="0" r="0" b="0"/>
                  <wp:docPr id="142" name="图片 3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2C4"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2C5" w14:textId="77777777" w:rsidR="00960BB8" w:rsidRDefault="00C06650">
            <w:pPr>
              <w:jc w:val="right"/>
              <w:textAlignment w:val="center"/>
            </w:pPr>
            <w:r>
              <w:rPr>
                <w:rFonts w:ascii="Arial" w:eastAsia="宋体" w:hAnsi="Arial" w:cs="Arial"/>
                <w:color w:val="262626"/>
                <w:sz w:val="16"/>
                <w:szCs w:val="16"/>
              </w:rPr>
              <w:t>2</w:t>
            </w:r>
          </w:p>
        </w:tc>
      </w:tr>
    </w:tbl>
    <w:p w14:paraId="5A1AF2C7" w14:textId="77777777" w:rsidR="00960BB8" w:rsidRDefault="00C06650">
      <w:r>
        <w:pict w14:anchorId="5A1B431E">
          <v:rect id="_x0000_i1028" style="width:415.3pt;height:1.5pt" o:hralign="center" o:hrstd="t" o:hr="t" fillcolor="#a0a0a0" stroked="f"/>
        </w:pict>
      </w:r>
    </w:p>
    <w:p w14:paraId="5A1AF2C8" w14:textId="77777777" w:rsidR="00960BB8" w:rsidRDefault="00960BB8"/>
    <w:p w14:paraId="5A1AF2C9"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1F" wp14:editId="5A1B4320">
            <wp:extent cx="304800" cy="304800"/>
            <wp:effectExtent l="0" t="0" r="0" b="0"/>
            <wp:docPr id="44" name="图片 4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2CA" w14:textId="77777777" w:rsidR="00960BB8" w:rsidRDefault="00960BB8"/>
    <w:p w14:paraId="5A1AF2CB" w14:textId="77777777" w:rsidR="00960BB8" w:rsidRDefault="00C06650">
      <w:r>
        <w:pict w14:anchorId="5A1B4321">
          <v:rect id="_x0000_i1029" style="width:415.3pt;height:1.5pt" o:hralign="center" o:hrstd="t" o:hr="t" fillcolor="#a0a0a0" stroked="f"/>
        </w:pict>
      </w:r>
    </w:p>
    <w:p w14:paraId="5A1AF2CC" w14:textId="77777777" w:rsidR="00960BB8" w:rsidRDefault="00960BB8">
      <w:pPr>
        <w:jc w:val="right"/>
      </w:pPr>
    </w:p>
    <w:p w14:paraId="5A1AF2CD"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Viewer_files/intc-202</w:instrText>
      </w:r>
      <w:r>
        <w:rPr>
          <w:rFonts w:ascii="宋体" w:eastAsia="宋体" w:hAnsi="宋体" w:cs="宋体"/>
        </w:rPr>
        <w:instrText xml:space="preserve">21231_g4.jpg"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22" wp14:editId="5A1B4323">
            <wp:extent cx="304800" cy="304800"/>
            <wp:effectExtent l="0" t="0" r="0" b="0"/>
            <wp:docPr id="116" name="图片 4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3"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2CE" w14:textId="77777777" w:rsidR="00960BB8" w:rsidRDefault="00960BB8"/>
    <w:p w14:paraId="5A1AF2CF" w14:textId="77777777" w:rsidR="00960BB8" w:rsidRDefault="00C06650">
      <w:r>
        <w:pict w14:anchorId="5A1B4324">
          <v:rect id="_x0000_i1030" style="width:415.3pt;height:1.5pt" o:hralign="center" o:hrstd="t" o:hr="t" fillcolor="#a0a0a0" stroked="f"/>
        </w:pict>
      </w:r>
    </w:p>
    <w:p w14:paraId="5A1AF2D0" w14:textId="77777777" w:rsidR="00960BB8" w:rsidRDefault="00C06650">
      <w:pPr>
        <w:spacing w:after="180"/>
        <w:jc w:val="right"/>
      </w:pPr>
      <w:hyperlink r:id="rId33" w:anchor="i8aaa7b4dbd2e419ca0f5c30af85a11aa_16" w:history="1">
        <w:r>
          <w:rPr>
            <w:rStyle w:val="a5"/>
            <w:rFonts w:ascii="Arial" w:eastAsia="宋体" w:hAnsi="Arial" w:cs="Arial"/>
            <w:sz w:val="18"/>
            <w:szCs w:val="18"/>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AF2D7" w14:textId="77777777">
        <w:tc>
          <w:tcPr>
            <w:tcW w:w="50" w:type="pct"/>
            <w:shd w:val="clear" w:color="auto" w:fill="auto"/>
            <w:vAlign w:val="bottom"/>
          </w:tcPr>
          <w:p w14:paraId="5A1AF2D1" w14:textId="77777777" w:rsidR="00960BB8" w:rsidRDefault="00960BB8">
            <w:pPr>
              <w:rPr>
                <w:rFonts w:ascii="宋体"/>
              </w:rPr>
            </w:pPr>
          </w:p>
        </w:tc>
        <w:tc>
          <w:tcPr>
            <w:tcW w:w="4870" w:type="pct"/>
            <w:shd w:val="clear" w:color="auto" w:fill="auto"/>
            <w:vAlign w:val="bottom"/>
          </w:tcPr>
          <w:p w14:paraId="5A1AF2D2" w14:textId="77777777" w:rsidR="00960BB8" w:rsidRDefault="00960BB8">
            <w:pPr>
              <w:rPr>
                <w:rFonts w:ascii="宋体"/>
              </w:rPr>
            </w:pPr>
          </w:p>
        </w:tc>
        <w:tc>
          <w:tcPr>
            <w:tcW w:w="5" w:type="pct"/>
            <w:shd w:val="clear" w:color="auto" w:fill="auto"/>
            <w:vAlign w:val="bottom"/>
          </w:tcPr>
          <w:p w14:paraId="5A1AF2D3" w14:textId="77777777" w:rsidR="00960BB8" w:rsidRDefault="00960BB8">
            <w:pPr>
              <w:rPr>
                <w:rFonts w:ascii="宋体"/>
              </w:rPr>
            </w:pPr>
          </w:p>
        </w:tc>
        <w:tc>
          <w:tcPr>
            <w:tcW w:w="5" w:type="pct"/>
            <w:shd w:val="clear" w:color="auto" w:fill="auto"/>
            <w:vAlign w:val="bottom"/>
          </w:tcPr>
          <w:p w14:paraId="5A1AF2D4" w14:textId="77777777" w:rsidR="00960BB8" w:rsidRDefault="00960BB8">
            <w:pPr>
              <w:rPr>
                <w:rFonts w:ascii="宋体"/>
              </w:rPr>
            </w:pPr>
          </w:p>
        </w:tc>
        <w:tc>
          <w:tcPr>
            <w:tcW w:w="64" w:type="pct"/>
            <w:shd w:val="clear" w:color="auto" w:fill="auto"/>
            <w:vAlign w:val="bottom"/>
          </w:tcPr>
          <w:p w14:paraId="5A1AF2D5" w14:textId="77777777" w:rsidR="00960BB8" w:rsidRDefault="00960BB8">
            <w:pPr>
              <w:rPr>
                <w:rFonts w:ascii="宋体"/>
              </w:rPr>
            </w:pPr>
          </w:p>
        </w:tc>
        <w:tc>
          <w:tcPr>
            <w:tcW w:w="5" w:type="pct"/>
            <w:shd w:val="clear" w:color="auto" w:fill="auto"/>
            <w:vAlign w:val="bottom"/>
          </w:tcPr>
          <w:p w14:paraId="5A1AF2D6" w14:textId="77777777" w:rsidR="00960BB8" w:rsidRDefault="00960BB8">
            <w:pPr>
              <w:rPr>
                <w:rFonts w:ascii="宋体"/>
              </w:rPr>
            </w:pPr>
          </w:p>
        </w:tc>
      </w:tr>
      <w:tr w:rsidR="00960BB8" w14:paraId="5A1AF2DA" w14:textId="77777777">
        <w:tc>
          <w:tcPr>
            <w:tcW w:w="0" w:type="auto"/>
            <w:gridSpan w:val="3"/>
            <w:shd w:val="clear" w:color="auto" w:fill="004A86"/>
            <w:tcMar>
              <w:top w:w="40" w:type="dxa"/>
              <w:left w:w="20" w:type="dxa"/>
              <w:bottom w:w="40" w:type="dxa"/>
              <w:right w:w="20" w:type="dxa"/>
            </w:tcMar>
            <w:vAlign w:val="center"/>
          </w:tcPr>
          <w:p w14:paraId="5A1AF2D8" w14:textId="77777777" w:rsidR="00960BB8" w:rsidRDefault="00C06650">
            <w:pPr>
              <w:textAlignment w:val="center"/>
            </w:pPr>
            <w:r>
              <w:rPr>
                <w:rFonts w:ascii="Arial" w:eastAsia="宋体" w:hAnsi="Arial" w:cs="Arial"/>
                <w:color w:val="FFFFFF"/>
                <w:sz w:val="36"/>
                <w:szCs w:val="36"/>
              </w:rPr>
              <w:t>A Year in Review</w:t>
            </w:r>
          </w:p>
        </w:tc>
        <w:tc>
          <w:tcPr>
            <w:tcW w:w="0" w:type="auto"/>
            <w:gridSpan w:val="3"/>
            <w:shd w:val="clear" w:color="auto" w:fill="auto"/>
            <w:tcMar>
              <w:top w:w="0" w:type="dxa"/>
              <w:left w:w="20" w:type="dxa"/>
              <w:bottom w:w="0" w:type="dxa"/>
              <w:right w:w="20" w:type="dxa"/>
            </w:tcMar>
            <w:vAlign w:val="bottom"/>
          </w:tcPr>
          <w:p w14:paraId="5A1AF2D9" w14:textId="77777777" w:rsidR="00960BB8" w:rsidRDefault="00960BB8">
            <w:pPr>
              <w:rPr>
                <w:rFonts w:ascii="宋体"/>
              </w:rPr>
            </w:pPr>
          </w:p>
        </w:tc>
      </w:tr>
      <w:tr w:rsidR="00960BB8" w14:paraId="5A1AF2DD" w14:textId="77777777">
        <w:trPr>
          <w:trHeight w:val="60"/>
        </w:trPr>
        <w:tc>
          <w:tcPr>
            <w:tcW w:w="0" w:type="auto"/>
            <w:gridSpan w:val="3"/>
            <w:shd w:val="clear" w:color="auto" w:fill="auto"/>
            <w:tcMar>
              <w:top w:w="0" w:type="dxa"/>
              <w:left w:w="20" w:type="dxa"/>
              <w:bottom w:w="0" w:type="dxa"/>
              <w:right w:w="20" w:type="dxa"/>
            </w:tcMar>
            <w:vAlign w:val="bottom"/>
          </w:tcPr>
          <w:p w14:paraId="5A1AF2DB"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AF2DC" w14:textId="77777777" w:rsidR="00960BB8" w:rsidRDefault="00960BB8">
            <w:pPr>
              <w:rPr>
                <w:rFonts w:ascii="宋体"/>
              </w:rPr>
            </w:pPr>
          </w:p>
        </w:tc>
      </w:tr>
    </w:tbl>
    <w:p w14:paraId="5A1AF2DE" w14:textId="77777777" w:rsidR="00960BB8" w:rsidRDefault="00960BB8">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57"/>
        <w:gridCol w:w="10794"/>
        <w:gridCol w:w="57"/>
        <w:gridCol w:w="36"/>
        <w:gridCol w:w="36"/>
      </w:tblGrid>
      <w:tr w:rsidR="00960BB8" w14:paraId="5A1AF2E4" w14:textId="77777777">
        <w:tc>
          <w:tcPr>
            <w:tcW w:w="20" w:type="dxa"/>
            <w:shd w:val="clear" w:color="auto" w:fill="auto"/>
            <w:vAlign w:val="bottom"/>
          </w:tcPr>
          <w:p w14:paraId="5A1AF2DF" w14:textId="77777777" w:rsidR="00960BB8" w:rsidRDefault="00960BB8">
            <w:pPr>
              <w:rPr>
                <w:rFonts w:ascii="宋体"/>
              </w:rPr>
            </w:pPr>
          </w:p>
        </w:tc>
        <w:tc>
          <w:tcPr>
            <w:tcW w:w="10940" w:type="dxa"/>
            <w:shd w:val="clear" w:color="auto" w:fill="auto"/>
            <w:vAlign w:val="bottom"/>
          </w:tcPr>
          <w:p w14:paraId="5A1AF2E0" w14:textId="77777777" w:rsidR="00960BB8" w:rsidRDefault="00960BB8">
            <w:pPr>
              <w:rPr>
                <w:rFonts w:ascii="宋体"/>
              </w:rPr>
            </w:pPr>
          </w:p>
        </w:tc>
        <w:tc>
          <w:tcPr>
            <w:tcW w:w="20" w:type="dxa"/>
            <w:shd w:val="clear" w:color="auto" w:fill="auto"/>
            <w:vAlign w:val="bottom"/>
          </w:tcPr>
          <w:p w14:paraId="5A1AF2E1" w14:textId="77777777" w:rsidR="00960BB8" w:rsidRDefault="00960BB8">
            <w:pPr>
              <w:rPr>
                <w:rFonts w:ascii="宋体"/>
              </w:rPr>
            </w:pPr>
          </w:p>
        </w:tc>
        <w:tc>
          <w:tcPr>
            <w:tcW w:w="0" w:type="auto"/>
            <w:shd w:val="clear" w:color="auto" w:fill="auto"/>
            <w:vAlign w:val="bottom"/>
          </w:tcPr>
          <w:p w14:paraId="5A1AF2E2" w14:textId="77777777" w:rsidR="00960BB8" w:rsidRDefault="00960BB8">
            <w:pPr>
              <w:rPr>
                <w:rFonts w:ascii="宋体"/>
                <w:vanish/>
              </w:rPr>
            </w:pPr>
          </w:p>
        </w:tc>
        <w:tc>
          <w:tcPr>
            <w:tcW w:w="0" w:type="auto"/>
            <w:shd w:val="clear" w:color="auto" w:fill="auto"/>
            <w:vAlign w:val="bottom"/>
          </w:tcPr>
          <w:p w14:paraId="5A1AF2E3" w14:textId="77777777" w:rsidR="00960BB8" w:rsidRDefault="00960BB8">
            <w:pPr>
              <w:rPr>
                <w:rFonts w:ascii="宋体"/>
                <w:vanish/>
              </w:rPr>
            </w:pPr>
          </w:p>
        </w:tc>
      </w:tr>
      <w:tr w:rsidR="00960BB8" w14:paraId="5A1AF2E8" w14:textId="77777777">
        <w:trPr>
          <w:trHeight w:val="2020"/>
        </w:trPr>
        <w:tc>
          <w:tcPr>
            <w:tcW w:w="0" w:type="auto"/>
            <w:gridSpan w:val="3"/>
            <w:shd w:val="clear" w:color="auto" w:fill="auto"/>
            <w:tcMar>
              <w:top w:w="40" w:type="dxa"/>
              <w:left w:w="20" w:type="dxa"/>
              <w:bottom w:w="40" w:type="dxa"/>
              <w:right w:w="20" w:type="dxa"/>
            </w:tcMar>
          </w:tcPr>
          <w:p w14:paraId="5A1AF2E5" w14:textId="77777777" w:rsidR="00960BB8" w:rsidRDefault="00C06650">
            <w:pPr>
              <w:spacing w:after="180"/>
              <w:textAlignment w:val="top"/>
            </w:pPr>
            <w:r>
              <w:rPr>
                <w:rFonts w:ascii="Arial" w:eastAsia="宋体" w:hAnsi="Arial" w:cs="Arial"/>
                <w:color w:val="262626"/>
                <w:sz w:val="18"/>
                <w:szCs w:val="18"/>
              </w:rPr>
              <w:t>2022 revenue was $63.1 billion, down $16.0 billion, or 20%, from 2021 as CCG revenue decreased 23%, DCAI revenue decreased 15%, and NEX revenue increased 11%. 2022 results were impacted by an uncertain macroeconomic environment—with slowing consumer demand</w:t>
            </w:r>
            <w:r>
              <w:rPr>
                <w:rFonts w:ascii="Arial" w:eastAsia="宋体" w:hAnsi="Arial" w:cs="Arial"/>
                <w:color w:val="262626"/>
                <w:sz w:val="18"/>
                <w:szCs w:val="18"/>
              </w:rPr>
              <w:t>, persistent inflation, and higher interest rates—that we believe impacts our target markets and creates a high level of uncertainty with our customers. CCG revenue was down on lower notebook and desktop volume in the consumer and education market segments</w:t>
            </w:r>
            <w:r>
              <w:rPr>
                <w:rFonts w:ascii="Arial" w:eastAsia="宋体" w:hAnsi="Arial" w:cs="Arial"/>
                <w:color w:val="262626"/>
                <w:sz w:val="18"/>
                <w:szCs w:val="18"/>
              </w:rPr>
              <w:t>, while notebook and desktop ASPs were higher due to a resulting change in product mix. DCAI server volume decreased, led by enterprise customers, and due to customers tempering purchases to reduce existing inventories in a softening data center market. Se</w:t>
            </w:r>
            <w:r>
              <w:rPr>
                <w:rFonts w:ascii="Arial" w:eastAsia="宋体" w:hAnsi="Arial" w:cs="Arial"/>
                <w:color w:val="262626"/>
                <w:sz w:val="18"/>
                <w:szCs w:val="18"/>
              </w:rPr>
              <w:t>rver ASPs decreased due to customer and product mix. NEX revenue increased primarily due to Ethernet ASPs and increased demand for 5G products, partially offset by lower demand for Network Xeon. We invested $17.5 billion in R&amp;D, made capital investments of</w:t>
            </w:r>
            <w:r>
              <w:rPr>
                <w:rFonts w:ascii="Arial" w:eastAsia="宋体" w:hAnsi="Arial" w:cs="Arial"/>
                <w:color w:val="262626"/>
                <w:sz w:val="18"/>
                <w:szCs w:val="18"/>
              </w:rPr>
              <w:t xml:space="preserve"> $24.8 billion, and generated $15.4 billion in cash from operations and $(4.1) billion of adjusted free cash flow.</w:t>
            </w:r>
          </w:p>
        </w:tc>
        <w:tc>
          <w:tcPr>
            <w:tcW w:w="0" w:type="auto"/>
            <w:shd w:val="clear" w:color="auto" w:fill="auto"/>
            <w:vAlign w:val="bottom"/>
          </w:tcPr>
          <w:p w14:paraId="5A1AF2E6" w14:textId="77777777" w:rsidR="00960BB8" w:rsidRDefault="00960BB8">
            <w:pPr>
              <w:rPr>
                <w:rFonts w:ascii="宋体"/>
                <w:vanish/>
              </w:rPr>
            </w:pPr>
          </w:p>
        </w:tc>
        <w:tc>
          <w:tcPr>
            <w:tcW w:w="0" w:type="auto"/>
            <w:shd w:val="clear" w:color="auto" w:fill="auto"/>
            <w:vAlign w:val="bottom"/>
          </w:tcPr>
          <w:p w14:paraId="5A1AF2E7" w14:textId="77777777" w:rsidR="00960BB8" w:rsidRDefault="00960BB8">
            <w:pPr>
              <w:rPr>
                <w:rFonts w:ascii="宋体"/>
                <w:vanish/>
              </w:rPr>
            </w:pPr>
          </w:p>
        </w:tc>
      </w:tr>
    </w:tbl>
    <w:p w14:paraId="5A1AF2E9" w14:textId="77777777" w:rsidR="00960BB8" w:rsidRDefault="00960BB8">
      <w:pPr>
        <w:rPr>
          <w:vanish/>
        </w:rPr>
      </w:pPr>
    </w:p>
    <w:tbl>
      <w:tblPr>
        <w:tblW w:w="10965" w:type="dxa"/>
        <w:tblCellMar>
          <w:top w:w="15" w:type="dxa"/>
          <w:left w:w="15" w:type="dxa"/>
          <w:bottom w:w="15" w:type="dxa"/>
          <w:right w:w="15" w:type="dxa"/>
        </w:tblCellMar>
        <w:tblLook w:val="04A0" w:firstRow="1" w:lastRow="0" w:firstColumn="1" w:lastColumn="0" w:noHBand="0" w:noVBand="1"/>
      </w:tblPr>
      <w:tblGrid>
        <w:gridCol w:w="36"/>
        <w:gridCol w:w="2588"/>
        <w:gridCol w:w="36"/>
        <w:gridCol w:w="36"/>
        <w:gridCol w:w="36"/>
        <w:gridCol w:w="36"/>
        <w:gridCol w:w="36"/>
        <w:gridCol w:w="2588"/>
        <w:gridCol w:w="36"/>
        <w:gridCol w:w="36"/>
        <w:gridCol w:w="36"/>
        <w:gridCol w:w="36"/>
        <w:gridCol w:w="36"/>
        <w:gridCol w:w="2592"/>
        <w:gridCol w:w="36"/>
        <w:gridCol w:w="36"/>
        <w:gridCol w:w="36"/>
        <w:gridCol w:w="36"/>
        <w:gridCol w:w="36"/>
        <w:gridCol w:w="2585"/>
        <w:gridCol w:w="36"/>
      </w:tblGrid>
      <w:tr w:rsidR="00960BB8" w14:paraId="5A1AF2FF" w14:textId="77777777">
        <w:tc>
          <w:tcPr>
            <w:tcW w:w="20" w:type="dxa"/>
            <w:shd w:val="clear" w:color="auto" w:fill="auto"/>
            <w:vAlign w:val="bottom"/>
          </w:tcPr>
          <w:p w14:paraId="5A1AF2EA" w14:textId="77777777" w:rsidR="00960BB8" w:rsidRDefault="00960BB8">
            <w:pPr>
              <w:rPr>
                <w:rFonts w:ascii="宋体"/>
              </w:rPr>
            </w:pPr>
          </w:p>
        </w:tc>
        <w:tc>
          <w:tcPr>
            <w:tcW w:w="2645" w:type="dxa"/>
            <w:shd w:val="clear" w:color="auto" w:fill="auto"/>
            <w:vAlign w:val="bottom"/>
          </w:tcPr>
          <w:p w14:paraId="5A1AF2EB" w14:textId="77777777" w:rsidR="00960BB8" w:rsidRDefault="00960BB8">
            <w:pPr>
              <w:rPr>
                <w:rFonts w:ascii="宋体"/>
              </w:rPr>
            </w:pPr>
          </w:p>
        </w:tc>
        <w:tc>
          <w:tcPr>
            <w:tcW w:w="20" w:type="dxa"/>
            <w:shd w:val="clear" w:color="auto" w:fill="auto"/>
            <w:vAlign w:val="bottom"/>
          </w:tcPr>
          <w:p w14:paraId="5A1AF2EC" w14:textId="77777777" w:rsidR="00960BB8" w:rsidRDefault="00960BB8">
            <w:pPr>
              <w:rPr>
                <w:rFonts w:ascii="宋体"/>
              </w:rPr>
            </w:pPr>
          </w:p>
        </w:tc>
        <w:tc>
          <w:tcPr>
            <w:tcW w:w="20" w:type="dxa"/>
            <w:shd w:val="clear" w:color="auto" w:fill="auto"/>
            <w:vAlign w:val="bottom"/>
          </w:tcPr>
          <w:p w14:paraId="5A1AF2ED" w14:textId="77777777" w:rsidR="00960BB8" w:rsidRDefault="00960BB8">
            <w:pPr>
              <w:rPr>
                <w:rFonts w:ascii="宋体"/>
              </w:rPr>
            </w:pPr>
          </w:p>
        </w:tc>
        <w:tc>
          <w:tcPr>
            <w:tcW w:w="35" w:type="dxa"/>
            <w:shd w:val="clear" w:color="auto" w:fill="auto"/>
            <w:vAlign w:val="bottom"/>
          </w:tcPr>
          <w:p w14:paraId="5A1AF2EE" w14:textId="77777777" w:rsidR="00960BB8" w:rsidRDefault="00960BB8">
            <w:pPr>
              <w:rPr>
                <w:rFonts w:ascii="宋体"/>
              </w:rPr>
            </w:pPr>
          </w:p>
        </w:tc>
        <w:tc>
          <w:tcPr>
            <w:tcW w:w="20" w:type="dxa"/>
            <w:shd w:val="clear" w:color="auto" w:fill="auto"/>
            <w:vAlign w:val="bottom"/>
          </w:tcPr>
          <w:p w14:paraId="5A1AF2EF" w14:textId="77777777" w:rsidR="00960BB8" w:rsidRDefault="00960BB8">
            <w:pPr>
              <w:rPr>
                <w:rFonts w:ascii="宋体"/>
              </w:rPr>
            </w:pPr>
          </w:p>
        </w:tc>
        <w:tc>
          <w:tcPr>
            <w:tcW w:w="20" w:type="dxa"/>
            <w:shd w:val="clear" w:color="auto" w:fill="auto"/>
            <w:vAlign w:val="bottom"/>
          </w:tcPr>
          <w:p w14:paraId="5A1AF2F0" w14:textId="77777777" w:rsidR="00960BB8" w:rsidRDefault="00960BB8">
            <w:pPr>
              <w:rPr>
                <w:rFonts w:ascii="宋体"/>
              </w:rPr>
            </w:pPr>
          </w:p>
        </w:tc>
        <w:tc>
          <w:tcPr>
            <w:tcW w:w="2645" w:type="dxa"/>
            <w:shd w:val="clear" w:color="auto" w:fill="auto"/>
            <w:vAlign w:val="bottom"/>
          </w:tcPr>
          <w:p w14:paraId="5A1AF2F1" w14:textId="77777777" w:rsidR="00960BB8" w:rsidRDefault="00960BB8">
            <w:pPr>
              <w:rPr>
                <w:rFonts w:ascii="宋体"/>
              </w:rPr>
            </w:pPr>
          </w:p>
        </w:tc>
        <w:tc>
          <w:tcPr>
            <w:tcW w:w="20" w:type="dxa"/>
            <w:shd w:val="clear" w:color="auto" w:fill="auto"/>
            <w:vAlign w:val="bottom"/>
          </w:tcPr>
          <w:p w14:paraId="5A1AF2F2" w14:textId="77777777" w:rsidR="00960BB8" w:rsidRDefault="00960BB8">
            <w:pPr>
              <w:rPr>
                <w:rFonts w:ascii="宋体"/>
              </w:rPr>
            </w:pPr>
          </w:p>
        </w:tc>
        <w:tc>
          <w:tcPr>
            <w:tcW w:w="20" w:type="dxa"/>
            <w:shd w:val="clear" w:color="auto" w:fill="auto"/>
            <w:vAlign w:val="bottom"/>
          </w:tcPr>
          <w:p w14:paraId="5A1AF2F3" w14:textId="77777777" w:rsidR="00960BB8" w:rsidRDefault="00960BB8">
            <w:pPr>
              <w:rPr>
                <w:rFonts w:ascii="宋体"/>
              </w:rPr>
            </w:pPr>
          </w:p>
        </w:tc>
        <w:tc>
          <w:tcPr>
            <w:tcW w:w="35" w:type="dxa"/>
            <w:shd w:val="clear" w:color="auto" w:fill="auto"/>
            <w:vAlign w:val="bottom"/>
          </w:tcPr>
          <w:p w14:paraId="5A1AF2F4" w14:textId="77777777" w:rsidR="00960BB8" w:rsidRDefault="00960BB8">
            <w:pPr>
              <w:rPr>
                <w:rFonts w:ascii="宋体"/>
              </w:rPr>
            </w:pPr>
          </w:p>
        </w:tc>
        <w:tc>
          <w:tcPr>
            <w:tcW w:w="20" w:type="dxa"/>
            <w:shd w:val="clear" w:color="auto" w:fill="auto"/>
            <w:vAlign w:val="bottom"/>
          </w:tcPr>
          <w:p w14:paraId="5A1AF2F5" w14:textId="77777777" w:rsidR="00960BB8" w:rsidRDefault="00960BB8">
            <w:pPr>
              <w:rPr>
                <w:rFonts w:ascii="宋体"/>
              </w:rPr>
            </w:pPr>
          </w:p>
        </w:tc>
        <w:tc>
          <w:tcPr>
            <w:tcW w:w="20" w:type="dxa"/>
            <w:shd w:val="clear" w:color="auto" w:fill="auto"/>
            <w:vAlign w:val="bottom"/>
          </w:tcPr>
          <w:p w14:paraId="5A1AF2F6" w14:textId="77777777" w:rsidR="00960BB8" w:rsidRDefault="00960BB8">
            <w:pPr>
              <w:rPr>
                <w:rFonts w:ascii="宋体"/>
              </w:rPr>
            </w:pPr>
          </w:p>
        </w:tc>
        <w:tc>
          <w:tcPr>
            <w:tcW w:w="2645" w:type="dxa"/>
            <w:shd w:val="clear" w:color="auto" w:fill="auto"/>
            <w:vAlign w:val="bottom"/>
          </w:tcPr>
          <w:p w14:paraId="5A1AF2F7" w14:textId="77777777" w:rsidR="00960BB8" w:rsidRDefault="00960BB8">
            <w:pPr>
              <w:rPr>
                <w:rFonts w:ascii="宋体"/>
              </w:rPr>
            </w:pPr>
          </w:p>
        </w:tc>
        <w:tc>
          <w:tcPr>
            <w:tcW w:w="20" w:type="dxa"/>
            <w:shd w:val="clear" w:color="auto" w:fill="auto"/>
            <w:vAlign w:val="bottom"/>
          </w:tcPr>
          <w:p w14:paraId="5A1AF2F8" w14:textId="77777777" w:rsidR="00960BB8" w:rsidRDefault="00960BB8">
            <w:pPr>
              <w:rPr>
                <w:rFonts w:ascii="宋体"/>
              </w:rPr>
            </w:pPr>
          </w:p>
        </w:tc>
        <w:tc>
          <w:tcPr>
            <w:tcW w:w="20" w:type="dxa"/>
            <w:shd w:val="clear" w:color="auto" w:fill="auto"/>
            <w:vAlign w:val="bottom"/>
          </w:tcPr>
          <w:p w14:paraId="5A1AF2F9" w14:textId="77777777" w:rsidR="00960BB8" w:rsidRDefault="00960BB8">
            <w:pPr>
              <w:rPr>
                <w:rFonts w:ascii="宋体"/>
              </w:rPr>
            </w:pPr>
          </w:p>
        </w:tc>
        <w:tc>
          <w:tcPr>
            <w:tcW w:w="35" w:type="dxa"/>
            <w:shd w:val="clear" w:color="auto" w:fill="auto"/>
            <w:vAlign w:val="bottom"/>
          </w:tcPr>
          <w:p w14:paraId="5A1AF2FA" w14:textId="77777777" w:rsidR="00960BB8" w:rsidRDefault="00960BB8">
            <w:pPr>
              <w:rPr>
                <w:rFonts w:ascii="宋体"/>
              </w:rPr>
            </w:pPr>
          </w:p>
        </w:tc>
        <w:tc>
          <w:tcPr>
            <w:tcW w:w="20" w:type="dxa"/>
            <w:shd w:val="clear" w:color="auto" w:fill="auto"/>
            <w:vAlign w:val="bottom"/>
          </w:tcPr>
          <w:p w14:paraId="5A1AF2FB" w14:textId="77777777" w:rsidR="00960BB8" w:rsidRDefault="00960BB8">
            <w:pPr>
              <w:rPr>
                <w:rFonts w:ascii="宋体"/>
              </w:rPr>
            </w:pPr>
          </w:p>
        </w:tc>
        <w:tc>
          <w:tcPr>
            <w:tcW w:w="20" w:type="dxa"/>
            <w:shd w:val="clear" w:color="auto" w:fill="auto"/>
            <w:vAlign w:val="bottom"/>
          </w:tcPr>
          <w:p w14:paraId="5A1AF2FC" w14:textId="77777777" w:rsidR="00960BB8" w:rsidRDefault="00960BB8">
            <w:pPr>
              <w:rPr>
                <w:rFonts w:ascii="宋体"/>
              </w:rPr>
            </w:pPr>
          </w:p>
        </w:tc>
        <w:tc>
          <w:tcPr>
            <w:tcW w:w="2645" w:type="dxa"/>
            <w:shd w:val="clear" w:color="auto" w:fill="auto"/>
            <w:vAlign w:val="bottom"/>
          </w:tcPr>
          <w:p w14:paraId="5A1AF2FD" w14:textId="77777777" w:rsidR="00960BB8" w:rsidRDefault="00960BB8">
            <w:pPr>
              <w:rPr>
                <w:rFonts w:ascii="宋体"/>
              </w:rPr>
            </w:pPr>
          </w:p>
        </w:tc>
        <w:tc>
          <w:tcPr>
            <w:tcW w:w="20" w:type="dxa"/>
            <w:shd w:val="clear" w:color="auto" w:fill="auto"/>
            <w:vAlign w:val="bottom"/>
          </w:tcPr>
          <w:p w14:paraId="5A1AF2FE" w14:textId="77777777" w:rsidR="00960BB8" w:rsidRDefault="00960BB8">
            <w:pPr>
              <w:rPr>
                <w:rFonts w:ascii="宋体"/>
              </w:rPr>
            </w:pPr>
          </w:p>
        </w:tc>
      </w:tr>
      <w:tr w:rsidR="00960BB8" w14:paraId="5A1AF307" w14:textId="77777777">
        <w:trPr>
          <w:trHeight w:val="280"/>
        </w:trPr>
        <w:tc>
          <w:tcPr>
            <w:tcW w:w="0" w:type="auto"/>
            <w:gridSpan w:val="3"/>
            <w:shd w:val="clear" w:color="auto" w:fill="004A86"/>
            <w:tcMar>
              <w:top w:w="40" w:type="dxa"/>
              <w:left w:w="20" w:type="dxa"/>
              <w:bottom w:w="40" w:type="dxa"/>
              <w:right w:w="20" w:type="dxa"/>
            </w:tcMar>
            <w:vAlign w:val="bottom"/>
          </w:tcPr>
          <w:p w14:paraId="5A1AF300" w14:textId="77777777" w:rsidR="00960BB8" w:rsidRDefault="00C06650">
            <w:pPr>
              <w:textAlignment w:val="bottom"/>
            </w:pPr>
            <w:r>
              <w:rPr>
                <w:rFonts w:ascii="Arial" w:eastAsia="宋体" w:hAnsi="Arial" w:cs="Arial"/>
                <w:color w:val="FFFFFF"/>
                <w:sz w:val="18"/>
                <w:szCs w:val="18"/>
              </w:rPr>
              <w:t>Revenue</w:t>
            </w:r>
          </w:p>
        </w:tc>
        <w:tc>
          <w:tcPr>
            <w:tcW w:w="0" w:type="auto"/>
            <w:gridSpan w:val="3"/>
            <w:shd w:val="clear" w:color="auto" w:fill="auto"/>
            <w:tcMar>
              <w:top w:w="0" w:type="dxa"/>
              <w:left w:w="20" w:type="dxa"/>
              <w:bottom w:w="0" w:type="dxa"/>
              <w:right w:w="20" w:type="dxa"/>
            </w:tcMar>
            <w:vAlign w:val="bottom"/>
          </w:tcPr>
          <w:p w14:paraId="5A1AF301" w14:textId="77777777" w:rsidR="00960BB8" w:rsidRDefault="00960BB8">
            <w:pPr>
              <w:rPr>
                <w:rFonts w:ascii="宋体"/>
              </w:rPr>
            </w:pPr>
          </w:p>
        </w:tc>
        <w:tc>
          <w:tcPr>
            <w:tcW w:w="0" w:type="auto"/>
            <w:gridSpan w:val="3"/>
            <w:shd w:val="clear" w:color="auto" w:fill="0068B5"/>
            <w:tcMar>
              <w:top w:w="40" w:type="dxa"/>
              <w:left w:w="20" w:type="dxa"/>
              <w:bottom w:w="40" w:type="dxa"/>
              <w:right w:w="20" w:type="dxa"/>
            </w:tcMar>
            <w:vAlign w:val="bottom"/>
          </w:tcPr>
          <w:p w14:paraId="5A1AF302" w14:textId="77777777" w:rsidR="00960BB8" w:rsidRDefault="00C06650">
            <w:pPr>
              <w:textAlignment w:val="bottom"/>
            </w:pPr>
            <w:r>
              <w:rPr>
                <w:rFonts w:ascii="Arial" w:eastAsia="宋体" w:hAnsi="Arial" w:cs="Arial"/>
                <w:color w:val="FFFFFF"/>
                <w:sz w:val="18"/>
                <w:szCs w:val="18"/>
              </w:rPr>
              <w:t>Gross Margin</w:t>
            </w:r>
          </w:p>
        </w:tc>
        <w:tc>
          <w:tcPr>
            <w:tcW w:w="0" w:type="auto"/>
            <w:gridSpan w:val="3"/>
            <w:shd w:val="clear" w:color="auto" w:fill="auto"/>
            <w:tcMar>
              <w:top w:w="0" w:type="dxa"/>
              <w:left w:w="20" w:type="dxa"/>
              <w:bottom w:w="0" w:type="dxa"/>
              <w:right w:w="20" w:type="dxa"/>
            </w:tcMar>
            <w:vAlign w:val="bottom"/>
          </w:tcPr>
          <w:p w14:paraId="5A1AF303" w14:textId="77777777" w:rsidR="00960BB8" w:rsidRDefault="00960BB8">
            <w:pPr>
              <w:rPr>
                <w:rFonts w:ascii="宋体"/>
              </w:rPr>
            </w:pPr>
          </w:p>
        </w:tc>
        <w:tc>
          <w:tcPr>
            <w:tcW w:w="0" w:type="auto"/>
            <w:gridSpan w:val="3"/>
            <w:shd w:val="clear" w:color="auto" w:fill="00A3F6"/>
            <w:tcMar>
              <w:top w:w="40" w:type="dxa"/>
              <w:left w:w="20" w:type="dxa"/>
              <w:bottom w:w="40" w:type="dxa"/>
              <w:right w:w="20" w:type="dxa"/>
            </w:tcMar>
            <w:vAlign w:val="bottom"/>
          </w:tcPr>
          <w:p w14:paraId="5A1AF304" w14:textId="77777777" w:rsidR="00960BB8" w:rsidRDefault="00C06650">
            <w:pPr>
              <w:textAlignment w:val="bottom"/>
            </w:pPr>
            <w:r>
              <w:rPr>
                <w:rFonts w:ascii="Arial" w:eastAsia="宋体" w:hAnsi="Arial" w:cs="Arial"/>
                <w:color w:val="FFFFFF"/>
                <w:sz w:val="18"/>
                <w:szCs w:val="18"/>
              </w:rPr>
              <w:t>Diluted EPS Attributable to Intel</w:t>
            </w:r>
          </w:p>
        </w:tc>
        <w:tc>
          <w:tcPr>
            <w:tcW w:w="0" w:type="auto"/>
            <w:gridSpan w:val="3"/>
            <w:shd w:val="clear" w:color="auto" w:fill="auto"/>
            <w:tcMar>
              <w:top w:w="0" w:type="dxa"/>
              <w:left w:w="20" w:type="dxa"/>
              <w:bottom w:w="0" w:type="dxa"/>
              <w:right w:w="20" w:type="dxa"/>
            </w:tcMar>
            <w:vAlign w:val="bottom"/>
          </w:tcPr>
          <w:p w14:paraId="5A1AF305" w14:textId="77777777" w:rsidR="00960BB8" w:rsidRDefault="00960BB8">
            <w:pPr>
              <w:rPr>
                <w:rFonts w:ascii="宋体"/>
              </w:rPr>
            </w:pPr>
          </w:p>
        </w:tc>
        <w:tc>
          <w:tcPr>
            <w:tcW w:w="0" w:type="auto"/>
            <w:gridSpan w:val="3"/>
            <w:shd w:val="clear" w:color="auto" w:fill="AEAEAE"/>
            <w:tcMar>
              <w:top w:w="40" w:type="dxa"/>
              <w:left w:w="20" w:type="dxa"/>
              <w:bottom w:w="40" w:type="dxa"/>
              <w:right w:w="20" w:type="dxa"/>
            </w:tcMar>
            <w:vAlign w:val="bottom"/>
          </w:tcPr>
          <w:p w14:paraId="5A1AF306" w14:textId="77777777" w:rsidR="00960BB8" w:rsidRDefault="00C06650">
            <w:pPr>
              <w:textAlignment w:val="bottom"/>
            </w:pPr>
            <w:r>
              <w:rPr>
                <w:rFonts w:ascii="Arial" w:eastAsia="宋体" w:hAnsi="Arial" w:cs="Arial"/>
                <w:color w:val="FFFFFF"/>
                <w:sz w:val="18"/>
                <w:szCs w:val="18"/>
              </w:rPr>
              <w:t>Cash Flows</w:t>
            </w:r>
          </w:p>
        </w:tc>
      </w:tr>
      <w:tr w:rsidR="00960BB8" w14:paraId="5A1AF310" w14:textId="77777777">
        <w:trPr>
          <w:trHeight w:val="400"/>
        </w:trPr>
        <w:tc>
          <w:tcPr>
            <w:tcW w:w="0" w:type="auto"/>
            <w:gridSpan w:val="3"/>
            <w:shd w:val="clear" w:color="auto" w:fill="auto"/>
            <w:tcMar>
              <w:top w:w="40" w:type="dxa"/>
              <w:left w:w="20" w:type="dxa"/>
              <w:bottom w:w="40" w:type="dxa"/>
              <w:right w:w="20" w:type="dxa"/>
            </w:tcMar>
            <w:vAlign w:val="center"/>
          </w:tcPr>
          <w:p w14:paraId="5A1AF308" w14:textId="77777777" w:rsidR="00960BB8" w:rsidRDefault="00C06650">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 xml:space="preserve">GAAP $B </w:t>
            </w:r>
            <w:r>
              <w:rPr>
                <w:rFonts w:ascii="Arial" w:eastAsia="宋体" w:hAnsi="Arial" w:cs="Arial"/>
                <w:color w:val="00A3F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Non-GAAP $B</w:t>
            </w:r>
          </w:p>
        </w:tc>
        <w:tc>
          <w:tcPr>
            <w:tcW w:w="0" w:type="auto"/>
            <w:gridSpan w:val="3"/>
            <w:shd w:val="clear" w:color="auto" w:fill="auto"/>
            <w:tcMar>
              <w:top w:w="0" w:type="dxa"/>
              <w:left w:w="20" w:type="dxa"/>
              <w:bottom w:w="0" w:type="dxa"/>
              <w:right w:w="20" w:type="dxa"/>
            </w:tcMar>
            <w:vAlign w:val="bottom"/>
          </w:tcPr>
          <w:p w14:paraId="5A1AF30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30A" w14:textId="77777777" w:rsidR="00960BB8" w:rsidRDefault="00C06650">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GAAP</w:t>
            </w:r>
            <w:r>
              <w:rPr>
                <w:rFonts w:ascii="Arial" w:eastAsia="宋体" w:hAnsi="Arial" w:cs="Arial"/>
                <w:color w:val="262626"/>
                <w:sz w:val="18"/>
                <w:szCs w:val="18"/>
              </w:rPr>
              <w:t xml:space="preserve"> </w:t>
            </w: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Non-GAAP</w:t>
            </w:r>
          </w:p>
        </w:tc>
        <w:tc>
          <w:tcPr>
            <w:tcW w:w="0" w:type="auto"/>
            <w:gridSpan w:val="3"/>
            <w:shd w:val="clear" w:color="auto" w:fill="auto"/>
            <w:tcMar>
              <w:top w:w="0" w:type="dxa"/>
              <w:left w:w="20" w:type="dxa"/>
              <w:bottom w:w="0" w:type="dxa"/>
              <w:right w:w="20" w:type="dxa"/>
            </w:tcMar>
            <w:vAlign w:val="bottom"/>
          </w:tcPr>
          <w:p w14:paraId="5A1AF30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30C" w14:textId="77777777" w:rsidR="00960BB8" w:rsidRDefault="00C06650">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GAAP</w:t>
            </w:r>
            <w:r>
              <w:rPr>
                <w:rFonts w:ascii="Arial" w:eastAsia="宋体" w:hAnsi="Arial" w:cs="Arial"/>
                <w:color w:val="262626"/>
                <w:sz w:val="18"/>
                <w:szCs w:val="18"/>
              </w:rPr>
              <w:t xml:space="preserve"> </w:t>
            </w:r>
            <w:r>
              <w:rPr>
                <w:rFonts w:ascii="Arial" w:eastAsia="宋体" w:hAnsi="Arial" w:cs="Arial"/>
                <w:color w:val="00A3F6"/>
                <w:sz w:val="18"/>
                <w:szCs w:val="18"/>
              </w:rPr>
              <w:t xml:space="preserve">■ </w:t>
            </w:r>
            <w:r>
              <w:rPr>
                <w:rFonts w:ascii="Arial" w:eastAsia="宋体" w:hAnsi="Arial" w:cs="Arial"/>
                <w:color w:val="262626"/>
                <w:sz w:val="16"/>
                <w:szCs w:val="16"/>
              </w:rPr>
              <w:t>Non-GAAP</w:t>
            </w:r>
          </w:p>
        </w:tc>
        <w:tc>
          <w:tcPr>
            <w:tcW w:w="0" w:type="auto"/>
            <w:gridSpan w:val="3"/>
            <w:shd w:val="clear" w:color="auto" w:fill="auto"/>
            <w:tcMar>
              <w:top w:w="0" w:type="dxa"/>
              <w:left w:w="20" w:type="dxa"/>
              <w:bottom w:w="0" w:type="dxa"/>
              <w:right w:w="20" w:type="dxa"/>
            </w:tcMar>
            <w:vAlign w:val="bottom"/>
          </w:tcPr>
          <w:p w14:paraId="5A1AF30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30E" w14:textId="77777777" w:rsidR="00960BB8" w:rsidRDefault="00C06650">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Operating Cash Flow $B</w:t>
            </w:r>
          </w:p>
          <w:p w14:paraId="5A1AF30F" w14:textId="77777777" w:rsidR="00960BB8" w:rsidRDefault="00C06650">
            <w:pPr>
              <w:textAlignment w:val="center"/>
            </w:pP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Adjusted</w:t>
            </w:r>
            <w:r>
              <w:rPr>
                <w:rFonts w:ascii="Arial" w:eastAsia="宋体" w:hAnsi="Arial" w:cs="Arial"/>
                <w:color w:val="003C71"/>
                <w:sz w:val="18"/>
                <w:szCs w:val="18"/>
              </w:rPr>
              <w:t xml:space="preserve"> </w:t>
            </w:r>
            <w:r>
              <w:rPr>
                <w:rFonts w:ascii="Arial" w:eastAsia="宋体" w:hAnsi="Arial" w:cs="Arial"/>
                <w:color w:val="262626"/>
                <w:sz w:val="16"/>
                <w:szCs w:val="16"/>
              </w:rPr>
              <w:t>Free Cash Flow</w:t>
            </w:r>
            <w:r>
              <w:rPr>
                <w:rFonts w:ascii="Arial" w:eastAsia="宋体" w:hAnsi="Arial" w:cs="Arial"/>
                <w:color w:val="000000"/>
                <w:sz w:val="10"/>
                <w:szCs w:val="10"/>
              </w:rPr>
              <w:t>1</w:t>
            </w:r>
            <w:r>
              <w:rPr>
                <w:rFonts w:ascii="Arial" w:eastAsia="宋体" w:hAnsi="Arial" w:cs="Arial"/>
                <w:color w:val="262626"/>
                <w:sz w:val="16"/>
                <w:szCs w:val="16"/>
              </w:rPr>
              <w:t xml:space="preserve"> $B</w:t>
            </w:r>
          </w:p>
        </w:tc>
      </w:tr>
    </w:tbl>
    <w:p w14:paraId="5A1AF311"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25" wp14:editId="5A1B4326">
            <wp:extent cx="304800" cy="304800"/>
            <wp:effectExtent l="0" t="0" r="0" b="0"/>
            <wp:docPr id="131" name="图片 4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5"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Viewer_files/intc-20221231</w:instrText>
      </w:r>
      <w:r>
        <w:rPr>
          <w:rFonts w:ascii="宋体" w:eastAsia="宋体" w:hAnsi="宋体" w:cs="宋体"/>
        </w:rPr>
        <w:instrText xml:space="preserve">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27" wp14:editId="5A1B4328">
            <wp:extent cx="304800" cy="304800"/>
            <wp:effectExtent l="0" t="0" r="0" b="0"/>
            <wp:docPr id="146" name="图片 4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46"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29" wp14:editId="5A1B432A">
            <wp:extent cx="304800" cy="304800"/>
            <wp:effectExtent l="0" t="0" r="0" b="0"/>
            <wp:docPr id="147" name="图片 4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7"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w:instrText>
      </w:r>
      <w:r>
        <w:rPr>
          <w:rFonts w:ascii="宋体" w:eastAsia="宋体" w:hAnsi="宋体" w:cs="宋体"/>
        </w:rPr>
        <w:instrText xml:space="preserve"> XBRL Viewer_files/intc-20221231_g8.jpg"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2B" wp14:editId="5A1B432C">
            <wp:extent cx="304800" cy="304800"/>
            <wp:effectExtent l="0" t="0" r="0" b="0"/>
            <wp:docPr id="65" name="图片 4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8"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44"/>
        <w:gridCol w:w="1389"/>
        <w:gridCol w:w="44"/>
        <w:gridCol w:w="44"/>
        <w:gridCol w:w="398"/>
        <w:gridCol w:w="44"/>
        <w:gridCol w:w="36"/>
        <w:gridCol w:w="36"/>
        <w:gridCol w:w="36"/>
        <w:gridCol w:w="46"/>
        <w:gridCol w:w="1340"/>
        <w:gridCol w:w="45"/>
        <w:gridCol w:w="38"/>
        <w:gridCol w:w="38"/>
        <w:gridCol w:w="38"/>
        <w:gridCol w:w="45"/>
        <w:gridCol w:w="1340"/>
        <w:gridCol w:w="45"/>
        <w:gridCol w:w="36"/>
        <w:gridCol w:w="36"/>
        <w:gridCol w:w="36"/>
        <w:gridCol w:w="46"/>
        <w:gridCol w:w="1246"/>
        <w:gridCol w:w="46"/>
        <w:gridCol w:w="38"/>
        <w:gridCol w:w="38"/>
        <w:gridCol w:w="38"/>
        <w:gridCol w:w="46"/>
        <w:gridCol w:w="1265"/>
        <w:gridCol w:w="46"/>
        <w:gridCol w:w="36"/>
        <w:gridCol w:w="36"/>
        <w:gridCol w:w="36"/>
        <w:gridCol w:w="41"/>
        <w:gridCol w:w="1284"/>
        <w:gridCol w:w="41"/>
        <w:gridCol w:w="36"/>
        <w:gridCol w:w="36"/>
        <w:gridCol w:w="36"/>
        <w:gridCol w:w="42"/>
        <w:gridCol w:w="1351"/>
        <w:gridCol w:w="42"/>
      </w:tblGrid>
      <w:tr w:rsidR="00960BB8" w14:paraId="5A1AF33C" w14:textId="77777777">
        <w:tc>
          <w:tcPr>
            <w:tcW w:w="20" w:type="dxa"/>
            <w:shd w:val="clear" w:color="auto" w:fill="auto"/>
            <w:vAlign w:val="bottom"/>
          </w:tcPr>
          <w:p w14:paraId="5A1AF312" w14:textId="77777777" w:rsidR="00960BB8" w:rsidRDefault="00960BB8">
            <w:pPr>
              <w:rPr>
                <w:rFonts w:ascii="宋体"/>
              </w:rPr>
            </w:pPr>
          </w:p>
        </w:tc>
        <w:tc>
          <w:tcPr>
            <w:tcW w:w="1295" w:type="dxa"/>
            <w:shd w:val="clear" w:color="auto" w:fill="auto"/>
            <w:vAlign w:val="bottom"/>
          </w:tcPr>
          <w:p w14:paraId="5A1AF313" w14:textId="77777777" w:rsidR="00960BB8" w:rsidRDefault="00960BB8">
            <w:pPr>
              <w:rPr>
                <w:rFonts w:ascii="宋体"/>
              </w:rPr>
            </w:pPr>
          </w:p>
        </w:tc>
        <w:tc>
          <w:tcPr>
            <w:tcW w:w="20" w:type="dxa"/>
            <w:shd w:val="clear" w:color="auto" w:fill="auto"/>
            <w:vAlign w:val="bottom"/>
          </w:tcPr>
          <w:p w14:paraId="5A1AF314" w14:textId="77777777" w:rsidR="00960BB8" w:rsidRDefault="00960BB8">
            <w:pPr>
              <w:rPr>
                <w:rFonts w:ascii="宋体"/>
              </w:rPr>
            </w:pPr>
          </w:p>
        </w:tc>
        <w:tc>
          <w:tcPr>
            <w:tcW w:w="20" w:type="dxa"/>
            <w:shd w:val="clear" w:color="auto" w:fill="auto"/>
            <w:vAlign w:val="bottom"/>
          </w:tcPr>
          <w:p w14:paraId="5A1AF315" w14:textId="77777777" w:rsidR="00960BB8" w:rsidRDefault="00960BB8">
            <w:pPr>
              <w:rPr>
                <w:rFonts w:ascii="宋体"/>
              </w:rPr>
            </w:pPr>
          </w:p>
        </w:tc>
        <w:tc>
          <w:tcPr>
            <w:tcW w:w="1325" w:type="dxa"/>
            <w:shd w:val="clear" w:color="auto" w:fill="auto"/>
            <w:vAlign w:val="bottom"/>
          </w:tcPr>
          <w:p w14:paraId="5A1AF316" w14:textId="77777777" w:rsidR="00960BB8" w:rsidRDefault="00960BB8">
            <w:pPr>
              <w:rPr>
                <w:rFonts w:ascii="宋体"/>
              </w:rPr>
            </w:pPr>
          </w:p>
        </w:tc>
        <w:tc>
          <w:tcPr>
            <w:tcW w:w="20" w:type="dxa"/>
            <w:shd w:val="clear" w:color="auto" w:fill="auto"/>
            <w:vAlign w:val="bottom"/>
          </w:tcPr>
          <w:p w14:paraId="5A1AF317" w14:textId="77777777" w:rsidR="00960BB8" w:rsidRDefault="00960BB8">
            <w:pPr>
              <w:rPr>
                <w:rFonts w:ascii="宋体"/>
              </w:rPr>
            </w:pPr>
          </w:p>
        </w:tc>
        <w:tc>
          <w:tcPr>
            <w:tcW w:w="20" w:type="dxa"/>
            <w:shd w:val="clear" w:color="auto" w:fill="auto"/>
            <w:vAlign w:val="bottom"/>
          </w:tcPr>
          <w:p w14:paraId="5A1AF318" w14:textId="77777777" w:rsidR="00960BB8" w:rsidRDefault="00960BB8">
            <w:pPr>
              <w:rPr>
                <w:rFonts w:ascii="宋体"/>
              </w:rPr>
            </w:pPr>
          </w:p>
        </w:tc>
        <w:tc>
          <w:tcPr>
            <w:tcW w:w="35" w:type="dxa"/>
            <w:shd w:val="clear" w:color="auto" w:fill="auto"/>
            <w:vAlign w:val="bottom"/>
          </w:tcPr>
          <w:p w14:paraId="5A1AF319" w14:textId="77777777" w:rsidR="00960BB8" w:rsidRDefault="00960BB8">
            <w:pPr>
              <w:rPr>
                <w:rFonts w:ascii="宋体"/>
              </w:rPr>
            </w:pPr>
          </w:p>
        </w:tc>
        <w:tc>
          <w:tcPr>
            <w:tcW w:w="20" w:type="dxa"/>
            <w:shd w:val="clear" w:color="auto" w:fill="auto"/>
            <w:vAlign w:val="bottom"/>
          </w:tcPr>
          <w:p w14:paraId="5A1AF31A" w14:textId="77777777" w:rsidR="00960BB8" w:rsidRDefault="00960BB8">
            <w:pPr>
              <w:rPr>
                <w:rFonts w:ascii="宋体"/>
              </w:rPr>
            </w:pPr>
          </w:p>
        </w:tc>
        <w:tc>
          <w:tcPr>
            <w:tcW w:w="20" w:type="dxa"/>
            <w:shd w:val="clear" w:color="auto" w:fill="auto"/>
            <w:vAlign w:val="bottom"/>
          </w:tcPr>
          <w:p w14:paraId="5A1AF31B" w14:textId="77777777" w:rsidR="00960BB8" w:rsidRDefault="00960BB8">
            <w:pPr>
              <w:rPr>
                <w:rFonts w:ascii="宋体"/>
              </w:rPr>
            </w:pPr>
          </w:p>
        </w:tc>
        <w:tc>
          <w:tcPr>
            <w:tcW w:w="1265" w:type="dxa"/>
            <w:shd w:val="clear" w:color="auto" w:fill="auto"/>
            <w:vAlign w:val="bottom"/>
          </w:tcPr>
          <w:p w14:paraId="5A1AF31C" w14:textId="77777777" w:rsidR="00960BB8" w:rsidRDefault="00960BB8">
            <w:pPr>
              <w:rPr>
                <w:rFonts w:ascii="宋体"/>
              </w:rPr>
            </w:pPr>
          </w:p>
        </w:tc>
        <w:tc>
          <w:tcPr>
            <w:tcW w:w="20" w:type="dxa"/>
            <w:shd w:val="clear" w:color="auto" w:fill="auto"/>
            <w:vAlign w:val="bottom"/>
          </w:tcPr>
          <w:p w14:paraId="5A1AF31D" w14:textId="77777777" w:rsidR="00960BB8" w:rsidRDefault="00960BB8">
            <w:pPr>
              <w:rPr>
                <w:rFonts w:ascii="宋体"/>
              </w:rPr>
            </w:pPr>
          </w:p>
        </w:tc>
        <w:tc>
          <w:tcPr>
            <w:tcW w:w="20" w:type="dxa"/>
            <w:shd w:val="clear" w:color="auto" w:fill="auto"/>
            <w:vAlign w:val="bottom"/>
          </w:tcPr>
          <w:p w14:paraId="5A1AF31E" w14:textId="77777777" w:rsidR="00960BB8" w:rsidRDefault="00960BB8">
            <w:pPr>
              <w:rPr>
                <w:rFonts w:ascii="宋体"/>
              </w:rPr>
            </w:pPr>
          </w:p>
        </w:tc>
        <w:tc>
          <w:tcPr>
            <w:tcW w:w="35" w:type="dxa"/>
            <w:shd w:val="clear" w:color="auto" w:fill="auto"/>
            <w:vAlign w:val="bottom"/>
          </w:tcPr>
          <w:p w14:paraId="5A1AF31F" w14:textId="77777777" w:rsidR="00960BB8" w:rsidRDefault="00960BB8">
            <w:pPr>
              <w:rPr>
                <w:rFonts w:ascii="宋体"/>
              </w:rPr>
            </w:pPr>
          </w:p>
        </w:tc>
        <w:tc>
          <w:tcPr>
            <w:tcW w:w="20" w:type="dxa"/>
            <w:shd w:val="clear" w:color="auto" w:fill="auto"/>
            <w:vAlign w:val="bottom"/>
          </w:tcPr>
          <w:p w14:paraId="5A1AF320" w14:textId="77777777" w:rsidR="00960BB8" w:rsidRDefault="00960BB8">
            <w:pPr>
              <w:rPr>
                <w:rFonts w:ascii="宋体"/>
              </w:rPr>
            </w:pPr>
          </w:p>
        </w:tc>
        <w:tc>
          <w:tcPr>
            <w:tcW w:w="20" w:type="dxa"/>
            <w:shd w:val="clear" w:color="auto" w:fill="auto"/>
            <w:vAlign w:val="bottom"/>
          </w:tcPr>
          <w:p w14:paraId="5A1AF321" w14:textId="77777777" w:rsidR="00960BB8" w:rsidRDefault="00960BB8">
            <w:pPr>
              <w:rPr>
                <w:rFonts w:ascii="宋体"/>
              </w:rPr>
            </w:pPr>
          </w:p>
        </w:tc>
        <w:tc>
          <w:tcPr>
            <w:tcW w:w="1265" w:type="dxa"/>
            <w:shd w:val="clear" w:color="auto" w:fill="auto"/>
            <w:vAlign w:val="bottom"/>
          </w:tcPr>
          <w:p w14:paraId="5A1AF322" w14:textId="77777777" w:rsidR="00960BB8" w:rsidRDefault="00960BB8">
            <w:pPr>
              <w:rPr>
                <w:rFonts w:ascii="宋体"/>
              </w:rPr>
            </w:pPr>
          </w:p>
        </w:tc>
        <w:tc>
          <w:tcPr>
            <w:tcW w:w="20" w:type="dxa"/>
            <w:shd w:val="clear" w:color="auto" w:fill="auto"/>
            <w:vAlign w:val="bottom"/>
          </w:tcPr>
          <w:p w14:paraId="5A1AF323" w14:textId="77777777" w:rsidR="00960BB8" w:rsidRDefault="00960BB8">
            <w:pPr>
              <w:rPr>
                <w:rFonts w:ascii="宋体"/>
              </w:rPr>
            </w:pPr>
          </w:p>
        </w:tc>
        <w:tc>
          <w:tcPr>
            <w:tcW w:w="20" w:type="dxa"/>
            <w:shd w:val="clear" w:color="auto" w:fill="auto"/>
            <w:vAlign w:val="bottom"/>
          </w:tcPr>
          <w:p w14:paraId="5A1AF324" w14:textId="77777777" w:rsidR="00960BB8" w:rsidRDefault="00960BB8">
            <w:pPr>
              <w:rPr>
                <w:rFonts w:ascii="宋体"/>
              </w:rPr>
            </w:pPr>
          </w:p>
        </w:tc>
        <w:tc>
          <w:tcPr>
            <w:tcW w:w="35" w:type="dxa"/>
            <w:shd w:val="clear" w:color="auto" w:fill="auto"/>
            <w:vAlign w:val="bottom"/>
          </w:tcPr>
          <w:p w14:paraId="5A1AF325" w14:textId="77777777" w:rsidR="00960BB8" w:rsidRDefault="00960BB8">
            <w:pPr>
              <w:rPr>
                <w:rFonts w:ascii="宋体"/>
              </w:rPr>
            </w:pPr>
          </w:p>
        </w:tc>
        <w:tc>
          <w:tcPr>
            <w:tcW w:w="20" w:type="dxa"/>
            <w:shd w:val="clear" w:color="auto" w:fill="auto"/>
            <w:vAlign w:val="bottom"/>
          </w:tcPr>
          <w:p w14:paraId="5A1AF326" w14:textId="77777777" w:rsidR="00960BB8" w:rsidRDefault="00960BB8">
            <w:pPr>
              <w:rPr>
                <w:rFonts w:ascii="宋体"/>
              </w:rPr>
            </w:pPr>
          </w:p>
        </w:tc>
        <w:tc>
          <w:tcPr>
            <w:tcW w:w="20" w:type="dxa"/>
            <w:shd w:val="clear" w:color="auto" w:fill="auto"/>
            <w:vAlign w:val="bottom"/>
          </w:tcPr>
          <w:p w14:paraId="5A1AF327" w14:textId="77777777" w:rsidR="00960BB8" w:rsidRDefault="00960BB8">
            <w:pPr>
              <w:rPr>
                <w:rFonts w:ascii="宋体"/>
              </w:rPr>
            </w:pPr>
          </w:p>
        </w:tc>
        <w:tc>
          <w:tcPr>
            <w:tcW w:w="1265" w:type="dxa"/>
            <w:shd w:val="clear" w:color="auto" w:fill="auto"/>
            <w:vAlign w:val="bottom"/>
          </w:tcPr>
          <w:p w14:paraId="5A1AF328" w14:textId="77777777" w:rsidR="00960BB8" w:rsidRDefault="00960BB8">
            <w:pPr>
              <w:rPr>
                <w:rFonts w:ascii="宋体"/>
              </w:rPr>
            </w:pPr>
          </w:p>
        </w:tc>
        <w:tc>
          <w:tcPr>
            <w:tcW w:w="20" w:type="dxa"/>
            <w:shd w:val="clear" w:color="auto" w:fill="auto"/>
            <w:vAlign w:val="bottom"/>
          </w:tcPr>
          <w:p w14:paraId="5A1AF329" w14:textId="77777777" w:rsidR="00960BB8" w:rsidRDefault="00960BB8">
            <w:pPr>
              <w:rPr>
                <w:rFonts w:ascii="宋体"/>
              </w:rPr>
            </w:pPr>
          </w:p>
        </w:tc>
        <w:tc>
          <w:tcPr>
            <w:tcW w:w="20" w:type="dxa"/>
            <w:shd w:val="clear" w:color="auto" w:fill="auto"/>
            <w:vAlign w:val="bottom"/>
          </w:tcPr>
          <w:p w14:paraId="5A1AF32A" w14:textId="77777777" w:rsidR="00960BB8" w:rsidRDefault="00960BB8">
            <w:pPr>
              <w:rPr>
                <w:rFonts w:ascii="宋体"/>
              </w:rPr>
            </w:pPr>
          </w:p>
        </w:tc>
        <w:tc>
          <w:tcPr>
            <w:tcW w:w="35" w:type="dxa"/>
            <w:shd w:val="clear" w:color="auto" w:fill="auto"/>
            <w:vAlign w:val="bottom"/>
          </w:tcPr>
          <w:p w14:paraId="5A1AF32B" w14:textId="77777777" w:rsidR="00960BB8" w:rsidRDefault="00960BB8">
            <w:pPr>
              <w:rPr>
                <w:rFonts w:ascii="宋体"/>
              </w:rPr>
            </w:pPr>
          </w:p>
        </w:tc>
        <w:tc>
          <w:tcPr>
            <w:tcW w:w="20" w:type="dxa"/>
            <w:shd w:val="clear" w:color="auto" w:fill="auto"/>
            <w:vAlign w:val="bottom"/>
          </w:tcPr>
          <w:p w14:paraId="5A1AF32C" w14:textId="77777777" w:rsidR="00960BB8" w:rsidRDefault="00960BB8">
            <w:pPr>
              <w:rPr>
                <w:rFonts w:ascii="宋体"/>
              </w:rPr>
            </w:pPr>
          </w:p>
        </w:tc>
        <w:tc>
          <w:tcPr>
            <w:tcW w:w="20" w:type="dxa"/>
            <w:shd w:val="clear" w:color="auto" w:fill="auto"/>
            <w:vAlign w:val="bottom"/>
          </w:tcPr>
          <w:p w14:paraId="5A1AF32D" w14:textId="77777777" w:rsidR="00960BB8" w:rsidRDefault="00960BB8">
            <w:pPr>
              <w:rPr>
                <w:rFonts w:ascii="宋体"/>
              </w:rPr>
            </w:pPr>
          </w:p>
        </w:tc>
        <w:tc>
          <w:tcPr>
            <w:tcW w:w="1265" w:type="dxa"/>
            <w:shd w:val="clear" w:color="auto" w:fill="auto"/>
            <w:vAlign w:val="bottom"/>
          </w:tcPr>
          <w:p w14:paraId="5A1AF32E" w14:textId="77777777" w:rsidR="00960BB8" w:rsidRDefault="00960BB8">
            <w:pPr>
              <w:rPr>
                <w:rFonts w:ascii="宋体"/>
              </w:rPr>
            </w:pPr>
          </w:p>
        </w:tc>
        <w:tc>
          <w:tcPr>
            <w:tcW w:w="20" w:type="dxa"/>
            <w:shd w:val="clear" w:color="auto" w:fill="auto"/>
            <w:vAlign w:val="bottom"/>
          </w:tcPr>
          <w:p w14:paraId="5A1AF32F" w14:textId="77777777" w:rsidR="00960BB8" w:rsidRDefault="00960BB8">
            <w:pPr>
              <w:rPr>
                <w:rFonts w:ascii="宋体"/>
              </w:rPr>
            </w:pPr>
          </w:p>
        </w:tc>
        <w:tc>
          <w:tcPr>
            <w:tcW w:w="20" w:type="dxa"/>
            <w:shd w:val="clear" w:color="auto" w:fill="auto"/>
            <w:vAlign w:val="bottom"/>
          </w:tcPr>
          <w:p w14:paraId="5A1AF330" w14:textId="77777777" w:rsidR="00960BB8" w:rsidRDefault="00960BB8">
            <w:pPr>
              <w:rPr>
                <w:rFonts w:ascii="宋体"/>
              </w:rPr>
            </w:pPr>
          </w:p>
        </w:tc>
        <w:tc>
          <w:tcPr>
            <w:tcW w:w="35" w:type="dxa"/>
            <w:shd w:val="clear" w:color="auto" w:fill="auto"/>
            <w:vAlign w:val="bottom"/>
          </w:tcPr>
          <w:p w14:paraId="5A1AF331" w14:textId="77777777" w:rsidR="00960BB8" w:rsidRDefault="00960BB8">
            <w:pPr>
              <w:rPr>
                <w:rFonts w:ascii="宋体"/>
              </w:rPr>
            </w:pPr>
          </w:p>
        </w:tc>
        <w:tc>
          <w:tcPr>
            <w:tcW w:w="20" w:type="dxa"/>
            <w:shd w:val="clear" w:color="auto" w:fill="auto"/>
            <w:vAlign w:val="bottom"/>
          </w:tcPr>
          <w:p w14:paraId="5A1AF332" w14:textId="77777777" w:rsidR="00960BB8" w:rsidRDefault="00960BB8">
            <w:pPr>
              <w:rPr>
                <w:rFonts w:ascii="宋体"/>
              </w:rPr>
            </w:pPr>
          </w:p>
        </w:tc>
        <w:tc>
          <w:tcPr>
            <w:tcW w:w="20" w:type="dxa"/>
            <w:shd w:val="clear" w:color="auto" w:fill="auto"/>
            <w:vAlign w:val="bottom"/>
          </w:tcPr>
          <w:p w14:paraId="5A1AF333" w14:textId="77777777" w:rsidR="00960BB8" w:rsidRDefault="00960BB8">
            <w:pPr>
              <w:rPr>
                <w:rFonts w:ascii="宋体"/>
              </w:rPr>
            </w:pPr>
          </w:p>
        </w:tc>
        <w:tc>
          <w:tcPr>
            <w:tcW w:w="1265" w:type="dxa"/>
            <w:shd w:val="clear" w:color="auto" w:fill="auto"/>
            <w:vAlign w:val="bottom"/>
          </w:tcPr>
          <w:p w14:paraId="5A1AF334" w14:textId="77777777" w:rsidR="00960BB8" w:rsidRDefault="00960BB8">
            <w:pPr>
              <w:rPr>
                <w:rFonts w:ascii="宋体"/>
              </w:rPr>
            </w:pPr>
          </w:p>
        </w:tc>
        <w:tc>
          <w:tcPr>
            <w:tcW w:w="20" w:type="dxa"/>
            <w:shd w:val="clear" w:color="auto" w:fill="auto"/>
            <w:vAlign w:val="bottom"/>
          </w:tcPr>
          <w:p w14:paraId="5A1AF335" w14:textId="77777777" w:rsidR="00960BB8" w:rsidRDefault="00960BB8">
            <w:pPr>
              <w:rPr>
                <w:rFonts w:ascii="宋体"/>
              </w:rPr>
            </w:pPr>
          </w:p>
        </w:tc>
        <w:tc>
          <w:tcPr>
            <w:tcW w:w="20" w:type="dxa"/>
            <w:shd w:val="clear" w:color="auto" w:fill="auto"/>
            <w:vAlign w:val="bottom"/>
          </w:tcPr>
          <w:p w14:paraId="5A1AF336" w14:textId="77777777" w:rsidR="00960BB8" w:rsidRDefault="00960BB8">
            <w:pPr>
              <w:rPr>
                <w:rFonts w:ascii="宋体"/>
              </w:rPr>
            </w:pPr>
          </w:p>
        </w:tc>
        <w:tc>
          <w:tcPr>
            <w:tcW w:w="35" w:type="dxa"/>
            <w:shd w:val="clear" w:color="auto" w:fill="auto"/>
            <w:vAlign w:val="bottom"/>
          </w:tcPr>
          <w:p w14:paraId="5A1AF337" w14:textId="77777777" w:rsidR="00960BB8" w:rsidRDefault="00960BB8">
            <w:pPr>
              <w:rPr>
                <w:rFonts w:ascii="宋体"/>
              </w:rPr>
            </w:pPr>
          </w:p>
        </w:tc>
        <w:tc>
          <w:tcPr>
            <w:tcW w:w="20" w:type="dxa"/>
            <w:shd w:val="clear" w:color="auto" w:fill="auto"/>
            <w:vAlign w:val="bottom"/>
          </w:tcPr>
          <w:p w14:paraId="5A1AF338" w14:textId="77777777" w:rsidR="00960BB8" w:rsidRDefault="00960BB8">
            <w:pPr>
              <w:rPr>
                <w:rFonts w:ascii="宋体"/>
              </w:rPr>
            </w:pPr>
          </w:p>
        </w:tc>
        <w:tc>
          <w:tcPr>
            <w:tcW w:w="20" w:type="dxa"/>
            <w:shd w:val="clear" w:color="auto" w:fill="auto"/>
            <w:vAlign w:val="bottom"/>
          </w:tcPr>
          <w:p w14:paraId="5A1AF339" w14:textId="77777777" w:rsidR="00960BB8" w:rsidRDefault="00960BB8">
            <w:pPr>
              <w:rPr>
                <w:rFonts w:ascii="宋体"/>
              </w:rPr>
            </w:pPr>
          </w:p>
        </w:tc>
        <w:tc>
          <w:tcPr>
            <w:tcW w:w="1265" w:type="dxa"/>
            <w:shd w:val="clear" w:color="auto" w:fill="auto"/>
            <w:vAlign w:val="bottom"/>
          </w:tcPr>
          <w:p w14:paraId="5A1AF33A" w14:textId="77777777" w:rsidR="00960BB8" w:rsidRDefault="00960BB8">
            <w:pPr>
              <w:rPr>
                <w:rFonts w:ascii="宋体"/>
              </w:rPr>
            </w:pPr>
          </w:p>
        </w:tc>
        <w:tc>
          <w:tcPr>
            <w:tcW w:w="20" w:type="dxa"/>
            <w:shd w:val="clear" w:color="auto" w:fill="auto"/>
            <w:vAlign w:val="bottom"/>
          </w:tcPr>
          <w:p w14:paraId="5A1AF33B" w14:textId="77777777" w:rsidR="00960BB8" w:rsidRDefault="00960BB8">
            <w:pPr>
              <w:rPr>
                <w:rFonts w:ascii="宋体"/>
              </w:rPr>
            </w:pPr>
          </w:p>
        </w:tc>
      </w:tr>
      <w:tr w:rsidR="00960BB8" w14:paraId="5A1AF344" w14:textId="77777777">
        <w:trPr>
          <w:trHeight w:val="100"/>
        </w:trPr>
        <w:tc>
          <w:tcPr>
            <w:tcW w:w="0" w:type="auto"/>
            <w:gridSpan w:val="6"/>
            <w:shd w:val="clear" w:color="auto" w:fill="004A86"/>
            <w:tcMar>
              <w:top w:w="0" w:type="dxa"/>
              <w:left w:w="20" w:type="dxa"/>
              <w:bottom w:w="0" w:type="dxa"/>
              <w:right w:w="20" w:type="dxa"/>
            </w:tcMar>
            <w:vAlign w:val="bottom"/>
          </w:tcPr>
          <w:p w14:paraId="5A1AF33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33E" w14:textId="77777777" w:rsidR="00960BB8" w:rsidRDefault="00960BB8">
            <w:pPr>
              <w:rPr>
                <w:rFonts w:ascii="宋体"/>
              </w:rPr>
            </w:pPr>
          </w:p>
        </w:tc>
        <w:tc>
          <w:tcPr>
            <w:tcW w:w="0" w:type="auto"/>
            <w:gridSpan w:val="9"/>
            <w:shd w:val="clear" w:color="auto" w:fill="0068B5"/>
            <w:tcMar>
              <w:top w:w="0" w:type="dxa"/>
              <w:left w:w="20" w:type="dxa"/>
              <w:bottom w:w="0" w:type="dxa"/>
              <w:right w:w="20" w:type="dxa"/>
            </w:tcMar>
            <w:vAlign w:val="bottom"/>
          </w:tcPr>
          <w:p w14:paraId="5A1AF33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340" w14:textId="77777777" w:rsidR="00960BB8" w:rsidRDefault="00960BB8">
            <w:pPr>
              <w:rPr>
                <w:rFonts w:ascii="宋体"/>
              </w:rPr>
            </w:pPr>
          </w:p>
        </w:tc>
        <w:tc>
          <w:tcPr>
            <w:tcW w:w="0" w:type="auto"/>
            <w:gridSpan w:val="9"/>
            <w:shd w:val="clear" w:color="auto" w:fill="00A3F6"/>
            <w:tcMar>
              <w:top w:w="0" w:type="dxa"/>
              <w:left w:w="20" w:type="dxa"/>
              <w:bottom w:w="0" w:type="dxa"/>
              <w:right w:w="20" w:type="dxa"/>
            </w:tcMar>
            <w:vAlign w:val="bottom"/>
          </w:tcPr>
          <w:p w14:paraId="5A1AF34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342" w14:textId="77777777" w:rsidR="00960BB8" w:rsidRDefault="00960BB8">
            <w:pPr>
              <w:rPr>
                <w:rFonts w:ascii="宋体"/>
              </w:rPr>
            </w:pPr>
          </w:p>
        </w:tc>
        <w:tc>
          <w:tcPr>
            <w:tcW w:w="0" w:type="auto"/>
            <w:gridSpan w:val="9"/>
            <w:shd w:val="clear" w:color="auto" w:fill="AEAEAE"/>
            <w:tcMar>
              <w:top w:w="0" w:type="dxa"/>
              <w:left w:w="20" w:type="dxa"/>
              <w:bottom w:w="0" w:type="dxa"/>
              <w:right w:w="20" w:type="dxa"/>
            </w:tcMar>
            <w:vAlign w:val="bottom"/>
          </w:tcPr>
          <w:p w14:paraId="5A1AF343" w14:textId="77777777" w:rsidR="00960BB8" w:rsidRDefault="00960BB8">
            <w:pPr>
              <w:rPr>
                <w:rFonts w:ascii="宋体"/>
              </w:rPr>
            </w:pPr>
          </w:p>
        </w:tc>
      </w:tr>
      <w:tr w:rsidR="00960BB8" w14:paraId="5A1AF353" w14:textId="77777777">
        <w:trPr>
          <w:trHeight w:val="180"/>
        </w:trPr>
        <w:tc>
          <w:tcPr>
            <w:tcW w:w="0" w:type="auto"/>
            <w:gridSpan w:val="3"/>
            <w:vMerge w:val="restart"/>
            <w:shd w:val="clear" w:color="auto" w:fill="auto"/>
            <w:tcMar>
              <w:top w:w="40" w:type="dxa"/>
              <w:left w:w="20" w:type="dxa"/>
              <w:bottom w:w="40" w:type="dxa"/>
              <w:right w:w="20" w:type="dxa"/>
            </w:tcMar>
          </w:tcPr>
          <w:p w14:paraId="5A1AF345" w14:textId="77777777" w:rsidR="00960BB8" w:rsidRDefault="00C06650">
            <w:pPr>
              <w:textAlignment w:val="top"/>
            </w:pPr>
            <w:r>
              <w:rPr>
                <w:rFonts w:ascii="Arial" w:eastAsia="宋体" w:hAnsi="Arial" w:cs="Arial"/>
                <w:color w:val="004A86"/>
                <w:sz w:val="36"/>
                <w:szCs w:val="36"/>
              </w:rPr>
              <w:t>$63.1B</w:t>
            </w:r>
          </w:p>
        </w:tc>
        <w:tc>
          <w:tcPr>
            <w:tcW w:w="0" w:type="auto"/>
            <w:gridSpan w:val="3"/>
            <w:vMerge w:val="restart"/>
            <w:shd w:val="clear" w:color="auto" w:fill="auto"/>
            <w:tcMar>
              <w:top w:w="0" w:type="dxa"/>
              <w:left w:w="20" w:type="dxa"/>
              <w:bottom w:w="0" w:type="dxa"/>
              <w:right w:w="20" w:type="dxa"/>
            </w:tcMar>
            <w:vAlign w:val="bottom"/>
          </w:tcPr>
          <w:p w14:paraId="5A1AF34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347" w14:textId="77777777" w:rsidR="00960BB8" w:rsidRDefault="00960BB8">
            <w:pPr>
              <w:rPr>
                <w:rFonts w:ascii="宋体"/>
              </w:rPr>
            </w:pPr>
          </w:p>
        </w:tc>
        <w:tc>
          <w:tcPr>
            <w:tcW w:w="0" w:type="auto"/>
            <w:gridSpan w:val="3"/>
            <w:vMerge w:val="restart"/>
            <w:shd w:val="clear" w:color="auto" w:fill="auto"/>
            <w:tcMar>
              <w:top w:w="40" w:type="dxa"/>
              <w:left w:w="20" w:type="dxa"/>
              <w:bottom w:w="40" w:type="dxa"/>
              <w:right w:w="20" w:type="dxa"/>
            </w:tcMar>
          </w:tcPr>
          <w:p w14:paraId="5A1AF348" w14:textId="77777777" w:rsidR="00960BB8" w:rsidRDefault="00C06650">
            <w:pPr>
              <w:textAlignment w:val="top"/>
            </w:pPr>
            <w:r>
              <w:rPr>
                <w:rFonts w:ascii="Arial" w:eastAsia="宋体" w:hAnsi="Arial" w:cs="Arial"/>
                <w:color w:val="004A86"/>
                <w:sz w:val="36"/>
                <w:szCs w:val="36"/>
              </w:rPr>
              <w:t>42.6%</w:t>
            </w:r>
          </w:p>
        </w:tc>
        <w:tc>
          <w:tcPr>
            <w:tcW w:w="0" w:type="auto"/>
            <w:gridSpan w:val="3"/>
            <w:vMerge w:val="restart"/>
            <w:shd w:val="clear" w:color="auto" w:fill="auto"/>
            <w:tcMar>
              <w:top w:w="0" w:type="dxa"/>
              <w:left w:w="20" w:type="dxa"/>
              <w:bottom w:w="0" w:type="dxa"/>
              <w:right w:w="20" w:type="dxa"/>
            </w:tcMar>
            <w:vAlign w:val="bottom"/>
          </w:tcPr>
          <w:p w14:paraId="5A1AF349" w14:textId="77777777" w:rsidR="00960BB8" w:rsidRDefault="00960BB8">
            <w:pPr>
              <w:rPr>
                <w:rFonts w:ascii="宋体"/>
              </w:rPr>
            </w:pPr>
          </w:p>
        </w:tc>
        <w:tc>
          <w:tcPr>
            <w:tcW w:w="0" w:type="auto"/>
            <w:gridSpan w:val="3"/>
            <w:vMerge w:val="restart"/>
            <w:shd w:val="clear" w:color="auto" w:fill="auto"/>
            <w:tcMar>
              <w:top w:w="40" w:type="dxa"/>
              <w:left w:w="20" w:type="dxa"/>
              <w:bottom w:w="40" w:type="dxa"/>
              <w:right w:w="20" w:type="dxa"/>
            </w:tcMar>
          </w:tcPr>
          <w:p w14:paraId="5A1AF34A" w14:textId="77777777" w:rsidR="00960BB8" w:rsidRDefault="00C06650">
            <w:pPr>
              <w:textAlignment w:val="top"/>
            </w:pPr>
            <w:r>
              <w:rPr>
                <w:rFonts w:ascii="Arial" w:eastAsia="宋体" w:hAnsi="Arial" w:cs="Arial"/>
                <w:color w:val="0068B5"/>
                <w:sz w:val="36"/>
                <w:szCs w:val="36"/>
              </w:rPr>
              <w:t>47.3%</w:t>
            </w:r>
          </w:p>
        </w:tc>
        <w:tc>
          <w:tcPr>
            <w:tcW w:w="0" w:type="auto"/>
            <w:gridSpan w:val="3"/>
            <w:shd w:val="clear" w:color="auto" w:fill="auto"/>
            <w:tcMar>
              <w:top w:w="0" w:type="dxa"/>
              <w:left w:w="20" w:type="dxa"/>
              <w:bottom w:w="0" w:type="dxa"/>
              <w:right w:w="20" w:type="dxa"/>
            </w:tcMar>
            <w:vAlign w:val="bottom"/>
          </w:tcPr>
          <w:p w14:paraId="5A1AF34B" w14:textId="77777777" w:rsidR="00960BB8" w:rsidRDefault="00960BB8">
            <w:pPr>
              <w:rPr>
                <w:rFonts w:ascii="宋体"/>
              </w:rPr>
            </w:pPr>
          </w:p>
        </w:tc>
        <w:tc>
          <w:tcPr>
            <w:tcW w:w="0" w:type="auto"/>
            <w:gridSpan w:val="3"/>
            <w:vMerge w:val="restart"/>
            <w:shd w:val="clear" w:color="auto" w:fill="auto"/>
            <w:tcMar>
              <w:top w:w="40" w:type="dxa"/>
              <w:left w:w="20" w:type="dxa"/>
              <w:bottom w:w="40" w:type="dxa"/>
              <w:right w:w="20" w:type="dxa"/>
            </w:tcMar>
          </w:tcPr>
          <w:p w14:paraId="5A1AF34C" w14:textId="77777777" w:rsidR="00960BB8" w:rsidRDefault="00C06650">
            <w:pPr>
              <w:textAlignment w:val="top"/>
            </w:pPr>
            <w:r>
              <w:rPr>
                <w:rFonts w:ascii="Arial" w:eastAsia="宋体" w:hAnsi="Arial" w:cs="Arial"/>
                <w:color w:val="004A86"/>
                <w:sz w:val="36"/>
                <w:szCs w:val="36"/>
              </w:rPr>
              <w:t>$1.94</w:t>
            </w:r>
          </w:p>
        </w:tc>
        <w:tc>
          <w:tcPr>
            <w:tcW w:w="0" w:type="auto"/>
            <w:gridSpan w:val="3"/>
            <w:shd w:val="clear" w:color="auto" w:fill="auto"/>
            <w:tcMar>
              <w:top w:w="0" w:type="dxa"/>
              <w:left w:w="20" w:type="dxa"/>
              <w:bottom w:w="0" w:type="dxa"/>
              <w:right w:w="20" w:type="dxa"/>
            </w:tcMar>
            <w:vAlign w:val="bottom"/>
          </w:tcPr>
          <w:p w14:paraId="5A1AF34D" w14:textId="77777777" w:rsidR="00960BB8" w:rsidRDefault="00960BB8">
            <w:pPr>
              <w:rPr>
                <w:rFonts w:ascii="宋体"/>
              </w:rPr>
            </w:pPr>
          </w:p>
        </w:tc>
        <w:tc>
          <w:tcPr>
            <w:tcW w:w="0" w:type="auto"/>
            <w:gridSpan w:val="3"/>
            <w:vMerge w:val="restart"/>
            <w:shd w:val="clear" w:color="auto" w:fill="auto"/>
            <w:tcMar>
              <w:top w:w="40" w:type="dxa"/>
              <w:left w:w="20" w:type="dxa"/>
              <w:bottom w:w="40" w:type="dxa"/>
              <w:right w:w="20" w:type="dxa"/>
            </w:tcMar>
          </w:tcPr>
          <w:p w14:paraId="5A1AF34E" w14:textId="77777777" w:rsidR="00960BB8" w:rsidRDefault="00C06650">
            <w:pPr>
              <w:textAlignment w:val="top"/>
            </w:pPr>
            <w:r>
              <w:rPr>
                <w:rFonts w:ascii="Arial" w:eastAsia="宋体" w:hAnsi="Arial" w:cs="Arial"/>
                <w:color w:val="0068B5"/>
                <w:sz w:val="36"/>
                <w:szCs w:val="36"/>
              </w:rPr>
              <w:t>$1.84</w:t>
            </w:r>
          </w:p>
        </w:tc>
        <w:tc>
          <w:tcPr>
            <w:tcW w:w="0" w:type="auto"/>
            <w:gridSpan w:val="3"/>
            <w:shd w:val="clear" w:color="auto" w:fill="auto"/>
            <w:tcMar>
              <w:top w:w="0" w:type="dxa"/>
              <w:left w:w="20" w:type="dxa"/>
              <w:bottom w:w="0" w:type="dxa"/>
              <w:right w:w="20" w:type="dxa"/>
            </w:tcMar>
            <w:vAlign w:val="bottom"/>
          </w:tcPr>
          <w:p w14:paraId="5A1AF34F" w14:textId="77777777" w:rsidR="00960BB8" w:rsidRDefault="00960BB8">
            <w:pPr>
              <w:rPr>
                <w:rFonts w:ascii="宋体"/>
              </w:rPr>
            </w:pPr>
          </w:p>
        </w:tc>
        <w:tc>
          <w:tcPr>
            <w:tcW w:w="0" w:type="auto"/>
            <w:gridSpan w:val="3"/>
            <w:vMerge w:val="restart"/>
            <w:shd w:val="clear" w:color="auto" w:fill="auto"/>
            <w:tcMar>
              <w:top w:w="40" w:type="dxa"/>
              <w:left w:w="20" w:type="dxa"/>
              <w:bottom w:w="40" w:type="dxa"/>
              <w:right w:w="20" w:type="dxa"/>
            </w:tcMar>
          </w:tcPr>
          <w:p w14:paraId="5A1AF350" w14:textId="77777777" w:rsidR="00960BB8" w:rsidRDefault="00C06650">
            <w:pPr>
              <w:textAlignment w:val="top"/>
            </w:pPr>
            <w:r>
              <w:rPr>
                <w:rFonts w:ascii="Arial" w:eastAsia="宋体" w:hAnsi="Arial" w:cs="Arial"/>
                <w:color w:val="004A86"/>
                <w:sz w:val="36"/>
                <w:szCs w:val="36"/>
              </w:rPr>
              <w:t>$15.4B</w:t>
            </w:r>
          </w:p>
        </w:tc>
        <w:tc>
          <w:tcPr>
            <w:tcW w:w="0" w:type="auto"/>
            <w:gridSpan w:val="3"/>
            <w:vMerge w:val="restart"/>
            <w:shd w:val="clear" w:color="auto" w:fill="auto"/>
            <w:tcMar>
              <w:top w:w="0" w:type="dxa"/>
              <w:left w:w="20" w:type="dxa"/>
              <w:bottom w:w="0" w:type="dxa"/>
              <w:right w:w="20" w:type="dxa"/>
            </w:tcMar>
            <w:vAlign w:val="bottom"/>
          </w:tcPr>
          <w:p w14:paraId="5A1AF351" w14:textId="77777777" w:rsidR="00960BB8" w:rsidRDefault="00960BB8">
            <w:pPr>
              <w:rPr>
                <w:rFonts w:ascii="宋体"/>
              </w:rPr>
            </w:pPr>
          </w:p>
        </w:tc>
        <w:tc>
          <w:tcPr>
            <w:tcW w:w="0" w:type="auto"/>
            <w:gridSpan w:val="3"/>
            <w:vMerge w:val="restart"/>
            <w:shd w:val="clear" w:color="auto" w:fill="auto"/>
            <w:tcMar>
              <w:top w:w="40" w:type="dxa"/>
              <w:left w:w="20" w:type="dxa"/>
              <w:bottom w:w="40" w:type="dxa"/>
              <w:right w:w="20" w:type="dxa"/>
            </w:tcMar>
          </w:tcPr>
          <w:p w14:paraId="5A1AF352" w14:textId="77777777" w:rsidR="00960BB8" w:rsidRDefault="00C06650">
            <w:pPr>
              <w:textAlignment w:val="top"/>
            </w:pPr>
            <w:r>
              <w:rPr>
                <w:rFonts w:ascii="Arial" w:eastAsia="宋体" w:hAnsi="Arial" w:cs="Arial"/>
                <w:color w:val="0068B5"/>
                <w:sz w:val="36"/>
                <w:szCs w:val="36"/>
              </w:rPr>
              <w:t>$(4.1)B</w:t>
            </w:r>
          </w:p>
        </w:tc>
      </w:tr>
      <w:tr w:rsidR="00960BB8" w14:paraId="5A1AF362" w14:textId="77777777">
        <w:trPr>
          <w:trHeight w:val="220"/>
        </w:trPr>
        <w:tc>
          <w:tcPr>
            <w:tcW w:w="0" w:type="auto"/>
            <w:gridSpan w:val="3"/>
            <w:vMerge/>
            <w:shd w:val="clear" w:color="auto" w:fill="auto"/>
            <w:tcMar>
              <w:top w:w="40" w:type="dxa"/>
              <w:left w:w="20" w:type="dxa"/>
              <w:bottom w:w="40" w:type="dxa"/>
              <w:right w:w="20" w:type="dxa"/>
            </w:tcMar>
          </w:tcPr>
          <w:p w14:paraId="5A1AF354" w14:textId="77777777" w:rsidR="00960BB8" w:rsidRDefault="00960BB8">
            <w:pPr>
              <w:rPr>
                <w:rFonts w:ascii="宋体"/>
              </w:rPr>
            </w:pPr>
          </w:p>
        </w:tc>
        <w:tc>
          <w:tcPr>
            <w:tcW w:w="0" w:type="auto"/>
            <w:gridSpan w:val="3"/>
            <w:vMerge/>
            <w:shd w:val="clear" w:color="auto" w:fill="auto"/>
            <w:tcMar>
              <w:top w:w="0" w:type="dxa"/>
              <w:left w:w="20" w:type="dxa"/>
              <w:bottom w:w="0" w:type="dxa"/>
              <w:right w:w="20" w:type="dxa"/>
            </w:tcMar>
            <w:vAlign w:val="bottom"/>
          </w:tcPr>
          <w:p w14:paraId="5A1AF35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356" w14:textId="77777777" w:rsidR="00960BB8" w:rsidRDefault="00960BB8">
            <w:pPr>
              <w:rPr>
                <w:rFonts w:ascii="宋体"/>
              </w:rPr>
            </w:pPr>
          </w:p>
        </w:tc>
        <w:tc>
          <w:tcPr>
            <w:tcW w:w="0" w:type="auto"/>
            <w:gridSpan w:val="3"/>
            <w:vMerge/>
            <w:shd w:val="clear" w:color="auto" w:fill="auto"/>
            <w:tcMar>
              <w:top w:w="40" w:type="dxa"/>
              <w:left w:w="20" w:type="dxa"/>
              <w:bottom w:w="40" w:type="dxa"/>
              <w:right w:w="20" w:type="dxa"/>
            </w:tcMar>
          </w:tcPr>
          <w:p w14:paraId="5A1AF357" w14:textId="77777777" w:rsidR="00960BB8" w:rsidRDefault="00960BB8">
            <w:pPr>
              <w:rPr>
                <w:rFonts w:ascii="宋体"/>
              </w:rPr>
            </w:pPr>
          </w:p>
        </w:tc>
        <w:tc>
          <w:tcPr>
            <w:tcW w:w="0" w:type="auto"/>
            <w:gridSpan w:val="3"/>
            <w:vMerge/>
            <w:shd w:val="clear" w:color="auto" w:fill="auto"/>
            <w:tcMar>
              <w:top w:w="0" w:type="dxa"/>
              <w:left w:w="20" w:type="dxa"/>
              <w:bottom w:w="0" w:type="dxa"/>
              <w:right w:w="20" w:type="dxa"/>
            </w:tcMar>
            <w:vAlign w:val="bottom"/>
          </w:tcPr>
          <w:p w14:paraId="5A1AF358" w14:textId="77777777" w:rsidR="00960BB8" w:rsidRDefault="00960BB8">
            <w:pPr>
              <w:rPr>
                <w:rFonts w:ascii="宋体"/>
              </w:rPr>
            </w:pPr>
          </w:p>
        </w:tc>
        <w:tc>
          <w:tcPr>
            <w:tcW w:w="0" w:type="auto"/>
            <w:gridSpan w:val="3"/>
            <w:vMerge/>
            <w:shd w:val="clear" w:color="auto" w:fill="auto"/>
            <w:tcMar>
              <w:top w:w="40" w:type="dxa"/>
              <w:left w:w="20" w:type="dxa"/>
              <w:bottom w:w="40" w:type="dxa"/>
              <w:right w:w="20" w:type="dxa"/>
            </w:tcMar>
          </w:tcPr>
          <w:p w14:paraId="5A1AF35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35A" w14:textId="77777777" w:rsidR="00960BB8" w:rsidRDefault="00960BB8">
            <w:pPr>
              <w:rPr>
                <w:rFonts w:ascii="宋体"/>
              </w:rPr>
            </w:pPr>
          </w:p>
        </w:tc>
        <w:tc>
          <w:tcPr>
            <w:tcW w:w="0" w:type="auto"/>
            <w:gridSpan w:val="3"/>
            <w:vMerge/>
            <w:shd w:val="clear" w:color="auto" w:fill="auto"/>
            <w:tcMar>
              <w:top w:w="40" w:type="dxa"/>
              <w:left w:w="20" w:type="dxa"/>
              <w:bottom w:w="40" w:type="dxa"/>
              <w:right w:w="20" w:type="dxa"/>
            </w:tcMar>
          </w:tcPr>
          <w:p w14:paraId="5A1AF35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35C" w14:textId="77777777" w:rsidR="00960BB8" w:rsidRDefault="00960BB8">
            <w:pPr>
              <w:rPr>
                <w:rFonts w:ascii="宋体"/>
              </w:rPr>
            </w:pPr>
          </w:p>
        </w:tc>
        <w:tc>
          <w:tcPr>
            <w:tcW w:w="0" w:type="auto"/>
            <w:gridSpan w:val="3"/>
            <w:vMerge/>
            <w:shd w:val="clear" w:color="auto" w:fill="auto"/>
            <w:tcMar>
              <w:top w:w="40" w:type="dxa"/>
              <w:left w:w="20" w:type="dxa"/>
              <w:bottom w:w="40" w:type="dxa"/>
              <w:right w:w="20" w:type="dxa"/>
            </w:tcMar>
          </w:tcPr>
          <w:p w14:paraId="5A1AF35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35E" w14:textId="77777777" w:rsidR="00960BB8" w:rsidRDefault="00960BB8">
            <w:pPr>
              <w:rPr>
                <w:rFonts w:ascii="宋体"/>
              </w:rPr>
            </w:pPr>
          </w:p>
        </w:tc>
        <w:tc>
          <w:tcPr>
            <w:tcW w:w="0" w:type="auto"/>
            <w:gridSpan w:val="3"/>
            <w:vMerge/>
            <w:shd w:val="clear" w:color="auto" w:fill="auto"/>
            <w:tcMar>
              <w:top w:w="40" w:type="dxa"/>
              <w:left w:w="20" w:type="dxa"/>
              <w:bottom w:w="40" w:type="dxa"/>
              <w:right w:w="20" w:type="dxa"/>
            </w:tcMar>
          </w:tcPr>
          <w:p w14:paraId="5A1AF35F" w14:textId="77777777" w:rsidR="00960BB8" w:rsidRDefault="00960BB8">
            <w:pPr>
              <w:rPr>
                <w:rFonts w:ascii="宋体"/>
              </w:rPr>
            </w:pPr>
          </w:p>
        </w:tc>
        <w:tc>
          <w:tcPr>
            <w:tcW w:w="0" w:type="auto"/>
            <w:gridSpan w:val="3"/>
            <w:vMerge/>
            <w:shd w:val="clear" w:color="auto" w:fill="auto"/>
            <w:tcMar>
              <w:top w:w="0" w:type="dxa"/>
              <w:left w:w="20" w:type="dxa"/>
              <w:bottom w:w="0" w:type="dxa"/>
              <w:right w:w="20" w:type="dxa"/>
            </w:tcMar>
            <w:vAlign w:val="bottom"/>
          </w:tcPr>
          <w:p w14:paraId="5A1AF360" w14:textId="77777777" w:rsidR="00960BB8" w:rsidRDefault="00960BB8">
            <w:pPr>
              <w:rPr>
                <w:rFonts w:ascii="宋体"/>
              </w:rPr>
            </w:pPr>
          </w:p>
        </w:tc>
        <w:tc>
          <w:tcPr>
            <w:tcW w:w="0" w:type="auto"/>
            <w:gridSpan w:val="3"/>
            <w:vMerge/>
            <w:shd w:val="clear" w:color="auto" w:fill="auto"/>
            <w:tcMar>
              <w:top w:w="40" w:type="dxa"/>
              <w:left w:w="20" w:type="dxa"/>
              <w:bottom w:w="40" w:type="dxa"/>
              <w:right w:w="20" w:type="dxa"/>
            </w:tcMar>
          </w:tcPr>
          <w:p w14:paraId="5A1AF361" w14:textId="77777777" w:rsidR="00960BB8" w:rsidRDefault="00960BB8">
            <w:pPr>
              <w:rPr>
                <w:rFonts w:ascii="宋体"/>
              </w:rPr>
            </w:pPr>
          </w:p>
        </w:tc>
      </w:tr>
      <w:tr w:rsidR="00960BB8" w14:paraId="5A1AF371" w14:textId="77777777">
        <w:trPr>
          <w:trHeight w:val="220"/>
        </w:trPr>
        <w:tc>
          <w:tcPr>
            <w:tcW w:w="0" w:type="auto"/>
            <w:gridSpan w:val="3"/>
            <w:shd w:val="clear" w:color="auto" w:fill="auto"/>
            <w:tcMar>
              <w:top w:w="40" w:type="dxa"/>
              <w:left w:w="20" w:type="dxa"/>
              <w:bottom w:w="40" w:type="dxa"/>
              <w:right w:w="20" w:type="dxa"/>
            </w:tcMar>
            <w:vAlign w:val="bottom"/>
          </w:tcPr>
          <w:p w14:paraId="5A1AF363" w14:textId="77777777" w:rsidR="00960BB8" w:rsidRDefault="00C06650">
            <w:pPr>
              <w:textAlignment w:val="bottom"/>
            </w:pPr>
            <w:r>
              <w:rPr>
                <w:rFonts w:ascii="Arial" w:eastAsia="宋体" w:hAnsi="Arial" w:cs="Arial"/>
                <w:color w:val="004A86"/>
                <w:sz w:val="18"/>
                <w:szCs w:val="18"/>
              </w:rPr>
              <w:t>GAAP</w:t>
            </w:r>
          </w:p>
        </w:tc>
        <w:tc>
          <w:tcPr>
            <w:tcW w:w="0" w:type="auto"/>
            <w:gridSpan w:val="3"/>
            <w:tcBorders>
              <w:bottom w:val="single" w:sz="4" w:space="0" w:color="004A86"/>
            </w:tcBorders>
            <w:shd w:val="clear" w:color="auto" w:fill="auto"/>
            <w:tcMar>
              <w:top w:w="0" w:type="dxa"/>
              <w:left w:w="20" w:type="dxa"/>
              <w:bottom w:w="0" w:type="dxa"/>
              <w:right w:w="20" w:type="dxa"/>
            </w:tcMar>
            <w:vAlign w:val="bottom"/>
          </w:tcPr>
          <w:p w14:paraId="5A1AF36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36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366" w14:textId="77777777" w:rsidR="00960BB8" w:rsidRDefault="00C06650">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5A1AF36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368" w14:textId="77777777" w:rsidR="00960BB8" w:rsidRDefault="00C06650">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5A1AF36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36A" w14:textId="77777777" w:rsidR="00960BB8" w:rsidRDefault="00C06650">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5A1AF36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36C" w14:textId="77777777" w:rsidR="00960BB8" w:rsidRDefault="00C06650">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5A1AF36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36E" w14:textId="77777777" w:rsidR="00960BB8" w:rsidRDefault="00C06650">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5A1AF36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370" w14:textId="77777777" w:rsidR="00960BB8" w:rsidRDefault="00C06650">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r>
      <w:tr w:rsidR="00960BB8" w14:paraId="5A1AF37F" w14:textId="77777777">
        <w:trPr>
          <w:trHeight w:val="940"/>
        </w:trPr>
        <w:tc>
          <w:tcPr>
            <w:tcW w:w="0" w:type="auto"/>
            <w:gridSpan w:val="6"/>
            <w:tcBorders>
              <w:top w:val="single" w:sz="4" w:space="0" w:color="004A86"/>
            </w:tcBorders>
            <w:shd w:val="clear" w:color="auto" w:fill="FFFFFF"/>
            <w:tcMar>
              <w:top w:w="40" w:type="dxa"/>
              <w:left w:w="20" w:type="dxa"/>
              <w:bottom w:w="40" w:type="dxa"/>
              <w:right w:w="20" w:type="dxa"/>
            </w:tcMar>
          </w:tcPr>
          <w:p w14:paraId="5A1AF372" w14:textId="77777777" w:rsidR="00960BB8" w:rsidRDefault="00C06650">
            <w:pPr>
              <w:textAlignment w:val="top"/>
            </w:pPr>
            <w:r>
              <w:rPr>
                <w:rFonts w:ascii="Arial" w:eastAsia="宋体" w:hAnsi="Arial" w:cs="Arial"/>
                <w:color w:val="262626"/>
                <w:sz w:val="18"/>
                <w:szCs w:val="18"/>
              </w:rPr>
              <w:t>Revenue down 16% from 2021 non-GAAP revenue</w:t>
            </w:r>
          </w:p>
        </w:tc>
        <w:tc>
          <w:tcPr>
            <w:tcW w:w="0" w:type="auto"/>
            <w:gridSpan w:val="3"/>
            <w:shd w:val="clear" w:color="auto" w:fill="FFFFFF"/>
            <w:tcMar>
              <w:top w:w="0" w:type="dxa"/>
              <w:left w:w="20" w:type="dxa"/>
              <w:bottom w:w="0" w:type="dxa"/>
              <w:right w:w="20" w:type="dxa"/>
            </w:tcMar>
            <w:vAlign w:val="bottom"/>
          </w:tcPr>
          <w:p w14:paraId="5A1AF373" w14:textId="77777777" w:rsidR="00960BB8" w:rsidRDefault="00960BB8">
            <w:pPr>
              <w:rPr>
                <w:rFonts w:ascii="宋体"/>
              </w:rPr>
            </w:pPr>
          </w:p>
        </w:tc>
        <w:tc>
          <w:tcPr>
            <w:tcW w:w="0" w:type="auto"/>
            <w:gridSpan w:val="3"/>
            <w:tcBorders>
              <w:top w:val="single" w:sz="4" w:space="0" w:color="0068B5"/>
            </w:tcBorders>
            <w:shd w:val="clear" w:color="auto" w:fill="FFFFFF"/>
            <w:tcMar>
              <w:top w:w="40" w:type="dxa"/>
              <w:left w:w="20" w:type="dxa"/>
              <w:bottom w:w="40" w:type="dxa"/>
              <w:right w:w="20" w:type="dxa"/>
            </w:tcMar>
          </w:tcPr>
          <w:p w14:paraId="5A1AF374" w14:textId="77777777" w:rsidR="00960BB8" w:rsidRDefault="00C06650">
            <w:pPr>
              <w:textAlignment w:val="top"/>
            </w:pPr>
            <w:r>
              <w:rPr>
                <w:rFonts w:ascii="Arial" w:eastAsia="宋体" w:hAnsi="Arial" w:cs="Arial"/>
                <w:color w:val="262626"/>
                <w:sz w:val="18"/>
                <w:szCs w:val="18"/>
              </w:rPr>
              <w:t>Gross margin down 12.8 ppts from 2021</w:t>
            </w:r>
          </w:p>
        </w:tc>
        <w:tc>
          <w:tcPr>
            <w:tcW w:w="0" w:type="auto"/>
            <w:gridSpan w:val="3"/>
            <w:shd w:val="clear" w:color="auto" w:fill="FFFFFF"/>
            <w:tcMar>
              <w:top w:w="0" w:type="dxa"/>
              <w:left w:w="20" w:type="dxa"/>
              <w:bottom w:w="0" w:type="dxa"/>
              <w:right w:w="20" w:type="dxa"/>
            </w:tcMar>
            <w:vAlign w:val="bottom"/>
          </w:tcPr>
          <w:p w14:paraId="5A1AF375" w14:textId="77777777" w:rsidR="00960BB8" w:rsidRDefault="00960BB8">
            <w:pPr>
              <w:rPr>
                <w:rFonts w:ascii="宋体"/>
              </w:rPr>
            </w:pPr>
          </w:p>
        </w:tc>
        <w:tc>
          <w:tcPr>
            <w:tcW w:w="0" w:type="auto"/>
            <w:gridSpan w:val="3"/>
            <w:tcBorders>
              <w:top w:val="single" w:sz="4" w:space="0" w:color="0068B5"/>
            </w:tcBorders>
            <w:shd w:val="clear" w:color="auto" w:fill="FFFFFF"/>
            <w:tcMar>
              <w:top w:w="40" w:type="dxa"/>
              <w:left w:w="20" w:type="dxa"/>
              <w:bottom w:w="40" w:type="dxa"/>
              <w:right w:w="20" w:type="dxa"/>
            </w:tcMar>
          </w:tcPr>
          <w:p w14:paraId="5A1AF376" w14:textId="77777777" w:rsidR="00960BB8" w:rsidRDefault="00C06650">
            <w:pPr>
              <w:textAlignment w:val="top"/>
            </w:pPr>
            <w:r>
              <w:rPr>
                <w:rFonts w:ascii="Arial" w:eastAsia="宋体" w:hAnsi="Arial" w:cs="Arial"/>
                <w:color w:val="262626"/>
                <w:sz w:val="18"/>
                <w:szCs w:val="18"/>
              </w:rPr>
              <w:t>Gross margin down 10.8 ppts from 2021</w:t>
            </w:r>
          </w:p>
        </w:tc>
        <w:tc>
          <w:tcPr>
            <w:tcW w:w="0" w:type="auto"/>
            <w:gridSpan w:val="3"/>
            <w:shd w:val="clear" w:color="auto" w:fill="FFFFFF"/>
            <w:tcMar>
              <w:top w:w="0" w:type="dxa"/>
              <w:left w:w="20" w:type="dxa"/>
              <w:bottom w:w="0" w:type="dxa"/>
              <w:right w:w="20" w:type="dxa"/>
            </w:tcMar>
            <w:vAlign w:val="bottom"/>
          </w:tcPr>
          <w:p w14:paraId="5A1AF377" w14:textId="77777777" w:rsidR="00960BB8" w:rsidRDefault="00960BB8">
            <w:pPr>
              <w:rPr>
                <w:rFonts w:ascii="宋体"/>
              </w:rPr>
            </w:pPr>
          </w:p>
        </w:tc>
        <w:tc>
          <w:tcPr>
            <w:tcW w:w="0" w:type="auto"/>
            <w:gridSpan w:val="3"/>
            <w:tcBorders>
              <w:top w:val="single" w:sz="4" w:space="0" w:color="00A3F6"/>
            </w:tcBorders>
            <w:shd w:val="clear" w:color="auto" w:fill="FFFFFF"/>
            <w:tcMar>
              <w:top w:w="40" w:type="dxa"/>
              <w:left w:w="20" w:type="dxa"/>
              <w:bottom w:w="40" w:type="dxa"/>
              <w:right w:w="20" w:type="dxa"/>
            </w:tcMar>
          </w:tcPr>
          <w:p w14:paraId="5A1AF378" w14:textId="77777777" w:rsidR="00960BB8" w:rsidRDefault="00C06650">
            <w:pPr>
              <w:textAlignment w:val="top"/>
            </w:pPr>
            <w:r>
              <w:rPr>
                <w:rFonts w:ascii="Arial" w:eastAsia="宋体" w:hAnsi="Arial" w:cs="Arial"/>
                <w:color w:val="262626"/>
                <w:sz w:val="18"/>
                <w:szCs w:val="18"/>
              </w:rPr>
              <w:t xml:space="preserve">Diluted EPS down $2.92 or 60% from 2021 </w:t>
            </w:r>
          </w:p>
        </w:tc>
        <w:tc>
          <w:tcPr>
            <w:tcW w:w="0" w:type="auto"/>
            <w:gridSpan w:val="3"/>
            <w:shd w:val="clear" w:color="auto" w:fill="FFFFFF"/>
            <w:tcMar>
              <w:top w:w="0" w:type="dxa"/>
              <w:left w:w="20" w:type="dxa"/>
              <w:bottom w:w="0" w:type="dxa"/>
              <w:right w:w="20" w:type="dxa"/>
            </w:tcMar>
            <w:vAlign w:val="bottom"/>
          </w:tcPr>
          <w:p w14:paraId="5A1AF379" w14:textId="77777777" w:rsidR="00960BB8" w:rsidRDefault="00960BB8">
            <w:pPr>
              <w:rPr>
                <w:rFonts w:ascii="宋体"/>
              </w:rPr>
            </w:pPr>
          </w:p>
        </w:tc>
        <w:tc>
          <w:tcPr>
            <w:tcW w:w="0" w:type="auto"/>
            <w:gridSpan w:val="3"/>
            <w:tcBorders>
              <w:top w:val="single" w:sz="4" w:space="0" w:color="00A3F6"/>
            </w:tcBorders>
            <w:shd w:val="clear" w:color="auto" w:fill="FFFFFF"/>
            <w:tcMar>
              <w:top w:w="40" w:type="dxa"/>
              <w:left w:w="20" w:type="dxa"/>
              <w:bottom w:w="40" w:type="dxa"/>
              <w:right w:w="20" w:type="dxa"/>
            </w:tcMar>
          </w:tcPr>
          <w:p w14:paraId="5A1AF37A" w14:textId="77777777" w:rsidR="00960BB8" w:rsidRDefault="00C06650">
            <w:pPr>
              <w:textAlignment w:val="top"/>
            </w:pPr>
            <w:r>
              <w:rPr>
                <w:rFonts w:ascii="Arial" w:eastAsia="宋体" w:hAnsi="Arial" w:cs="Arial"/>
                <w:color w:val="262626"/>
                <w:sz w:val="18"/>
                <w:szCs w:val="18"/>
              </w:rPr>
              <w:t>Diluted EPS down $3.46 or 65% from 2021</w:t>
            </w:r>
          </w:p>
        </w:tc>
        <w:tc>
          <w:tcPr>
            <w:tcW w:w="0" w:type="auto"/>
            <w:gridSpan w:val="3"/>
            <w:shd w:val="clear" w:color="auto" w:fill="FFFFFF"/>
            <w:tcMar>
              <w:top w:w="0" w:type="dxa"/>
              <w:left w:w="20" w:type="dxa"/>
              <w:bottom w:w="0" w:type="dxa"/>
              <w:right w:w="20" w:type="dxa"/>
            </w:tcMar>
            <w:vAlign w:val="bottom"/>
          </w:tcPr>
          <w:p w14:paraId="5A1AF37B" w14:textId="77777777" w:rsidR="00960BB8" w:rsidRDefault="00960BB8">
            <w:pPr>
              <w:rPr>
                <w:rFonts w:ascii="宋体"/>
              </w:rPr>
            </w:pPr>
          </w:p>
        </w:tc>
        <w:tc>
          <w:tcPr>
            <w:tcW w:w="0" w:type="auto"/>
            <w:gridSpan w:val="3"/>
            <w:tcBorders>
              <w:top w:val="single" w:sz="4" w:space="0" w:color="AEAEAE"/>
            </w:tcBorders>
            <w:shd w:val="clear" w:color="auto" w:fill="FFFFFF"/>
            <w:tcMar>
              <w:top w:w="40" w:type="dxa"/>
              <w:left w:w="20" w:type="dxa"/>
              <w:bottom w:w="40" w:type="dxa"/>
              <w:right w:w="20" w:type="dxa"/>
            </w:tcMar>
          </w:tcPr>
          <w:p w14:paraId="5A1AF37C" w14:textId="77777777" w:rsidR="00960BB8" w:rsidRDefault="00C06650">
            <w:pPr>
              <w:textAlignment w:val="top"/>
            </w:pPr>
            <w:r>
              <w:rPr>
                <w:rFonts w:ascii="Arial" w:eastAsia="宋体" w:hAnsi="Arial" w:cs="Arial"/>
                <w:color w:val="262626"/>
                <w:sz w:val="18"/>
                <w:szCs w:val="18"/>
              </w:rPr>
              <w:t xml:space="preserve">Operating cash flow down </w:t>
            </w:r>
            <w:r>
              <w:rPr>
                <w:rFonts w:ascii="Arial" w:eastAsia="宋体" w:hAnsi="Arial" w:cs="Arial"/>
                <w:color w:val="262626"/>
                <w:sz w:val="18"/>
                <w:szCs w:val="18"/>
              </w:rPr>
              <w:t>$14B or 48%</w:t>
            </w:r>
          </w:p>
        </w:tc>
        <w:tc>
          <w:tcPr>
            <w:tcW w:w="0" w:type="auto"/>
            <w:gridSpan w:val="3"/>
            <w:shd w:val="clear" w:color="auto" w:fill="FFFFFF"/>
            <w:tcMar>
              <w:top w:w="0" w:type="dxa"/>
              <w:left w:w="20" w:type="dxa"/>
              <w:bottom w:w="0" w:type="dxa"/>
              <w:right w:w="20" w:type="dxa"/>
            </w:tcMar>
            <w:vAlign w:val="bottom"/>
          </w:tcPr>
          <w:p w14:paraId="5A1AF37D" w14:textId="77777777" w:rsidR="00960BB8" w:rsidRDefault="00960BB8">
            <w:pPr>
              <w:rPr>
                <w:rFonts w:ascii="宋体"/>
              </w:rPr>
            </w:pPr>
          </w:p>
        </w:tc>
        <w:tc>
          <w:tcPr>
            <w:tcW w:w="0" w:type="auto"/>
            <w:gridSpan w:val="3"/>
            <w:tcBorders>
              <w:top w:val="single" w:sz="4" w:space="0" w:color="AEAEAE"/>
            </w:tcBorders>
            <w:shd w:val="clear" w:color="auto" w:fill="FFFFFF"/>
            <w:tcMar>
              <w:top w:w="40" w:type="dxa"/>
              <w:left w:w="20" w:type="dxa"/>
              <w:bottom w:w="40" w:type="dxa"/>
              <w:right w:w="20" w:type="dxa"/>
            </w:tcMar>
          </w:tcPr>
          <w:p w14:paraId="5A1AF37E" w14:textId="77777777" w:rsidR="00960BB8" w:rsidRDefault="00C06650">
            <w:pPr>
              <w:textAlignment w:val="top"/>
            </w:pPr>
            <w:r>
              <w:rPr>
                <w:rFonts w:ascii="Arial" w:eastAsia="宋体" w:hAnsi="Arial" w:cs="Arial"/>
                <w:color w:val="262626"/>
                <w:sz w:val="18"/>
                <w:szCs w:val="18"/>
              </w:rPr>
              <w:t>Adjusted free cash flow down $15B or 137%</w:t>
            </w:r>
          </w:p>
        </w:tc>
      </w:tr>
      <w:tr w:rsidR="00960BB8" w14:paraId="5A1AF390" w14:textId="77777777">
        <w:trPr>
          <w:hidden/>
        </w:trPr>
        <w:tc>
          <w:tcPr>
            <w:tcW w:w="0" w:type="auto"/>
            <w:gridSpan w:val="3"/>
            <w:shd w:val="clear" w:color="auto" w:fill="auto"/>
            <w:vAlign w:val="bottom"/>
          </w:tcPr>
          <w:p w14:paraId="5A1AF380" w14:textId="77777777" w:rsidR="00960BB8" w:rsidRDefault="00960BB8">
            <w:pPr>
              <w:rPr>
                <w:rFonts w:ascii="宋体"/>
                <w:vanish/>
              </w:rPr>
            </w:pPr>
          </w:p>
        </w:tc>
        <w:tc>
          <w:tcPr>
            <w:tcW w:w="0" w:type="auto"/>
            <w:gridSpan w:val="3"/>
            <w:shd w:val="clear" w:color="auto" w:fill="auto"/>
            <w:vAlign w:val="bottom"/>
          </w:tcPr>
          <w:p w14:paraId="5A1AF381" w14:textId="77777777" w:rsidR="00960BB8" w:rsidRDefault="00960BB8">
            <w:pPr>
              <w:rPr>
                <w:rFonts w:ascii="宋体"/>
                <w:vanish/>
              </w:rPr>
            </w:pPr>
          </w:p>
        </w:tc>
        <w:tc>
          <w:tcPr>
            <w:tcW w:w="0" w:type="auto"/>
            <w:gridSpan w:val="3"/>
            <w:shd w:val="clear" w:color="auto" w:fill="auto"/>
            <w:vAlign w:val="bottom"/>
          </w:tcPr>
          <w:p w14:paraId="5A1AF382" w14:textId="77777777" w:rsidR="00960BB8" w:rsidRDefault="00960BB8">
            <w:pPr>
              <w:rPr>
                <w:rFonts w:ascii="宋体"/>
                <w:vanish/>
              </w:rPr>
            </w:pPr>
          </w:p>
        </w:tc>
        <w:tc>
          <w:tcPr>
            <w:tcW w:w="0" w:type="auto"/>
            <w:gridSpan w:val="3"/>
            <w:shd w:val="clear" w:color="auto" w:fill="auto"/>
            <w:vAlign w:val="bottom"/>
          </w:tcPr>
          <w:p w14:paraId="5A1AF383" w14:textId="77777777" w:rsidR="00960BB8" w:rsidRDefault="00960BB8">
            <w:pPr>
              <w:rPr>
                <w:rFonts w:ascii="宋体"/>
                <w:vanish/>
              </w:rPr>
            </w:pPr>
          </w:p>
        </w:tc>
        <w:tc>
          <w:tcPr>
            <w:tcW w:w="0" w:type="auto"/>
            <w:gridSpan w:val="3"/>
            <w:shd w:val="clear" w:color="auto" w:fill="auto"/>
            <w:vAlign w:val="bottom"/>
          </w:tcPr>
          <w:p w14:paraId="5A1AF384" w14:textId="77777777" w:rsidR="00960BB8" w:rsidRDefault="00960BB8">
            <w:pPr>
              <w:rPr>
                <w:rFonts w:ascii="宋体"/>
                <w:vanish/>
              </w:rPr>
            </w:pPr>
          </w:p>
        </w:tc>
        <w:tc>
          <w:tcPr>
            <w:tcW w:w="0" w:type="auto"/>
            <w:gridSpan w:val="3"/>
            <w:shd w:val="clear" w:color="auto" w:fill="auto"/>
            <w:vAlign w:val="bottom"/>
          </w:tcPr>
          <w:p w14:paraId="5A1AF385" w14:textId="77777777" w:rsidR="00960BB8" w:rsidRDefault="00960BB8">
            <w:pPr>
              <w:rPr>
                <w:rFonts w:ascii="宋体"/>
                <w:vanish/>
              </w:rPr>
            </w:pPr>
          </w:p>
        </w:tc>
        <w:tc>
          <w:tcPr>
            <w:tcW w:w="0" w:type="auto"/>
            <w:gridSpan w:val="3"/>
            <w:shd w:val="clear" w:color="auto" w:fill="auto"/>
            <w:vAlign w:val="bottom"/>
          </w:tcPr>
          <w:p w14:paraId="5A1AF386" w14:textId="77777777" w:rsidR="00960BB8" w:rsidRDefault="00960BB8">
            <w:pPr>
              <w:rPr>
                <w:rFonts w:ascii="宋体"/>
                <w:vanish/>
              </w:rPr>
            </w:pPr>
          </w:p>
        </w:tc>
        <w:tc>
          <w:tcPr>
            <w:tcW w:w="0" w:type="auto"/>
            <w:gridSpan w:val="3"/>
            <w:shd w:val="clear" w:color="auto" w:fill="auto"/>
            <w:vAlign w:val="bottom"/>
          </w:tcPr>
          <w:p w14:paraId="5A1AF387" w14:textId="77777777" w:rsidR="00960BB8" w:rsidRDefault="00960BB8">
            <w:pPr>
              <w:rPr>
                <w:rFonts w:ascii="宋体"/>
                <w:vanish/>
              </w:rPr>
            </w:pPr>
          </w:p>
        </w:tc>
        <w:tc>
          <w:tcPr>
            <w:tcW w:w="0" w:type="auto"/>
            <w:gridSpan w:val="3"/>
            <w:shd w:val="clear" w:color="auto" w:fill="auto"/>
            <w:vAlign w:val="bottom"/>
          </w:tcPr>
          <w:p w14:paraId="5A1AF388" w14:textId="77777777" w:rsidR="00960BB8" w:rsidRDefault="00960BB8">
            <w:pPr>
              <w:rPr>
                <w:rFonts w:ascii="宋体"/>
                <w:vanish/>
              </w:rPr>
            </w:pPr>
          </w:p>
        </w:tc>
        <w:tc>
          <w:tcPr>
            <w:tcW w:w="0" w:type="auto"/>
            <w:gridSpan w:val="3"/>
            <w:shd w:val="clear" w:color="auto" w:fill="auto"/>
            <w:vAlign w:val="bottom"/>
          </w:tcPr>
          <w:p w14:paraId="5A1AF389" w14:textId="77777777" w:rsidR="00960BB8" w:rsidRDefault="00960BB8">
            <w:pPr>
              <w:rPr>
                <w:rFonts w:ascii="宋体"/>
                <w:vanish/>
              </w:rPr>
            </w:pPr>
          </w:p>
        </w:tc>
        <w:tc>
          <w:tcPr>
            <w:tcW w:w="0" w:type="auto"/>
            <w:gridSpan w:val="3"/>
            <w:shd w:val="clear" w:color="auto" w:fill="auto"/>
            <w:vAlign w:val="bottom"/>
          </w:tcPr>
          <w:p w14:paraId="5A1AF38A" w14:textId="77777777" w:rsidR="00960BB8" w:rsidRDefault="00960BB8">
            <w:pPr>
              <w:rPr>
                <w:rFonts w:ascii="宋体"/>
                <w:vanish/>
              </w:rPr>
            </w:pPr>
          </w:p>
        </w:tc>
        <w:tc>
          <w:tcPr>
            <w:tcW w:w="0" w:type="auto"/>
            <w:gridSpan w:val="3"/>
            <w:shd w:val="clear" w:color="auto" w:fill="auto"/>
            <w:vAlign w:val="bottom"/>
          </w:tcPr>
          <w:p w14:paraId="5A1AF38B" w14:textId="77777777" w:rsidR="00960BB8" w:rsidRDefault="00960BB8">
            <w:pPr>
              <w:rPr>
                <w:rFonts w:ascii="宋体"/>
                <w:vanish/>
              </w:rPr>
            </w:pPr>
          </w:p>
        </w:tc>
        <w:tc>
          <w:tcPr>
            <w:tcW w:w="0" w:type="auto"/>
            <w:gridSpan w:val="3"/>
            <w:shd w:val="clear" w:color="auto" w:fill="auto"/>
            <w:vAlign w:val="bottom"/>
          </w:tcPr>
          <w:p w14:paraId="5A1AF38C" w14:textId="77777777" w:rsidR="00960BB8" w:rsidRDefault="00960BB8">
            <w:pPr>
              <w:rPr>
                <w:rFonts w:ascii="宋体"/>
                <w:vanish/>
              </w:rPr>
            </w:pPr>
          </w:p>
        </w:tc>
        <w:tc>
          <w:tcPr>
            <w:tcW w:w="0" w:type="auto"/>
            <w:shd w:val="clear" w:color="auto" w:fill="auto"/>
            <w:vAlign w:val="bottom"/>
          </w:tcPr>
          <w:p w14:paraId="5A1AF38D" w14:textId="77777777" w:rsidR="00960BB8" w:rsidRDefault="00960BB8">
            <w:pPr>
              <w:rPr>
                <w:rFonts w:ascii="宋体"/>
              </w:rPr>
            </w:pPr>
          </w:p>
        </w:tc>
        <w:tc>
          <w:tcPr>
            <w:tcW w:w="0" w:type="auto"/>
            <w:shd w:val="clear" w:color="auto" w:fill="auto"/>
            <w:vAlign w:val="bottom"/>
          </w:tcPr>
          <w:p w14:paraId="5A1AF38E" w14:textId="77777777" w:rsidR="00960BB8" w:rsidRDefault="00960BB8">
            <w:pPr>
              <w:rPr>
                <w:rFonts w:ascii="宋体"/>
              </w:rPr>
            </w:pPr>
          </w:p>
        </w:tc>
        <w:tc>
          <w:tcPr>
            <w:tcW w:w="0" w:type="auto"/>
            <w:shd w:val="clear" w:color="auto" w:fill="auto"/>
            <w:vAlign w:val="bottom"/>
          </w:tcPr>
          <w:p w14:paraId="5A1AF38F" w14:textId="77777777" w:rsidR="00960BB8" w:rsidRDefault="00960BB8">
            <w:pPr>
              <w:rPr>
                <w:rFonts w:ascii="宋体"/>
              </w:rPr>
            </w:pPr>
          </w:p>
        </w:tc>
      </w:tr>
      <w:tr w:rsidR="00960BB8" w14:paraId="5A1AF398" w14:textId="77777777">
        <w:trPr>
          <w:trHeight w:val="1560"/>
        </w:trPr>
        <w:tc>
          <w:tcPr>
            <w:tcW w:w="0" w:type="auto"/>
            <w:gridSpan w:val="6"/>
            <w:shd w:val="clear" w:color="auto" w:fill="auto"/>
            <w:tcMar>
              <w:top w:w="40" w:type="dxa"/>
              <w:left w:w="20" w:type="dxa"/>
              <w:bottom w:w="40" w:type="dxa"/>
              <w:right w:w="20" w:type="dxa"/>
            </w:tcMar>
          </w:tcPr>
          <w:p w14:paraId="5A1AF391" w14:textId="77777777" w:rsidR="00960BB8" w:rsidRDefault="00C06650">
            <w:pPr>
              <w:textAlignment w:val="top"/>
            </w:pPr>
            <w:r>
              <w:rPr>
                <w:rFonts w:ascii="Arial" w:eastAsia="宋体" w:hAnsi="Arial" w:cs="Arial"/>
                <w:color w:val="262626"/>
                <w:sz w:val="18"/>
                <w:szCs w:val="18"/>
              </w:rPr>
              <w:t xml:space="preserve">Lower revenue in CCG and DCAI, higher revenue in NEX, and lack of NAND revenue compared to 2021 due to the </w:t>
            </w:r>
            <w:r>
              <w:rPr>
                <w:rFonts w:ascii="Arial" w:eastAsia="宋体" w:hAnsi="Arial" w:cs="Arial"/>
                <w:color w:val="262626"/>
                <w:sz w:val="18"/>
                <w:szCs w:val="18"/>
              </w:rPr>
              <w:t>divestiture in Q1 2022.</w:t>
            </w:r>
          </w:p>
        </w:tc>
        <w:tc>
          <w:tcPr>
            <w:tcW w:w="0" w:type="auto"/>
            <w:gridSpan w:val="3"/>
            <w:shd w:val="clear" w:color="auto" w:fill="auto"/>
            <w:tcMar>
              <w:top w:w="0" w:type="dxa"/>
              <w:left w:w="20" w:type="dxa"/>
              <w:bottom w:w="0" w:type="dxa"/>
              <w:right w:w="20" w:type="dxa"/>
            </w:tcMar>
            <w:vAlign w:val="bottom"/>
          </w:tcPr>
          <w:p w14:paraId="5A1AF392"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tcPr>
          <w:p w14:paraId="5A1AF393" w14:textId="77777777" w:rsidR="00960BB8" w:rsidRDefault="00C06650">
            <w:pPr>
              <w:textAlignment w:val="top"/>
            </w:pPr>
            <w:r>
              <w:rPr>
                <w:rFonts w:ascii="Arial" w:eastAsia="宋体" w:hAnsi="Arial" w:cs="Arial"/>
                <w:color w:val="262626"/>
                <w:sz w:val="18"/>
                <w:szCs w:val="18"/>
              </w:rPr>
              <w:t>Lower gross margin from lower revenue, higher unit cost, lack of NAND gross margin, higher period charges from the ramp of Intel 4, and higher inventory reserves.</w:t>
            </w:r>
          </w:p>
        </w:tc>
        <w:tc>
          <w:tcPr>
            <w:tcW w:w="0" w:type="auto"/>
            <w:gridSpan w:val="3"/>
            <w:shd w:val="clear" w:color="auto" w:fill="auto"/>
            <w:tcMar>
              <w:top w:w="0" w:type="dxa"/>
              <w:left w:w="20" w:type="dxa"/>
              <w:bottom w:w="0" w:type="dxa"/>
              <w:right w:w="20" w:type="dxa"/>
            </w:tcMar>
            <w:vAlign w:val="bottom"/>
          </w:tcPr>
          <w:p w14:paraId="5A1AF394"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tcPr>
          <w:p w14:paraId="5A1AF395" w14:textId="77777777" w:rsidR="00960BB8" w:rsidRDefault="00C06650">
            <w:pPr>
              <w:textAlignment w:val="top"/>
            </w:pPr>
            <w:r>
              <w:rPr>
                <w:rFonts w:ascii="Arial" w:eastAsia="宋体" w:hAnsi="Arial" w:cs="Arial"/>
                <w:color w:val="262626"/>
                <w:sz w:val="18"/>
                <w:szCs w:val="18"/>
              </w:rPr>
              <w:t>Lower EPS from lower gross margin, higher operating expenses from a</w:t>
            </w:r>
            <w:r>
              <w:rPr>
                <w:rFonts w:ascii="Arial" w:eastAsia="宋体" w:hAnsi="Arial" w:cs="Arial"/>
                <w:color w:val="262626"/>
                <w:sz w:val="18"/>
                <w:szCs w:val="18"/>
              </w:rPr>
              <w:t xml:space="preserve">dditional investment in R&amp;D, partially offset by higher gains on equity investments and a tax benefit. </w:t>
            </w:r>
          </w:p>
        </w:tc>
        <w:tc>
          <w:tcPr>
            <w:tcW w:w="0" w:type="auto"/>
            <w:gridSpan w:val="3"/>
            <w:shd w:val="clear" w:color="auto" w:fill="auto"/>
            <w:tcMar>
              <w:top w:w="0" w:type="dxa"/>
              <w:left w:w="20" w:type="dxa"/>
              <w:bottom w:w="0" w:type="dxa"/>
              <w:right w:w="20" w:type="dxa"/>
            </w:tcMar>
            <w:vAlign w:val="bottom"/>
          </w:tcPr>
          <w:p w14:paraId="5A1AF396"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tcPr>
          <w:p w14:paraId="5A1AF397" w14:textId="77777777" w:rsidR="00960BB8" w:rsidRDefault="00C06650">
            <w:pPr>
              <w:textAlignment w:val="top"/>
            </w:pPr>
            <w:r>
              <w:rPr>
                <w:rFonts w:ascii="Arial" w:eastAsia="宋体" w:hAnsi="Arial" w:cs="Arial"/>
                <w:color w:val="262626"/>
                <w:sz w:val="18"/>
                <w:szCs w:val="18"/>
              </w:rPr>
              <w:t>Lower operating cash flow driven by lower operating income; partially offset by favorable working capital</w:t>
            </w:r>
            <w:r>
              <w:rPr>
                <w:rFonts w:ascii="Arial" w:eastAsia="宋体" w:hAnsi="Arial" w:cs="Arial"/>
                <w:color w:val="262626"/>
                <w:sz w:val="18"/>
                <w:szCs w:val="18"/>
              </w:rPr>
              <w:br/>
              <w:t>changes.</w:t>
            </w:r>
          </w:p>
        </w:tc>
      </w:tr>
    </w:tbl>
    <w:p w14:paraId="5A1AF399" w14:textId="77777777" w:rsidR="00960BB8" w:rsidRDefault="00C06650">
      <w:pPr>
        <w:spacing w:after="120"/>
      </w:pPr>
      <w:r>
        <w:rPr>
          <w:rFonts w:ascii="Arial" w:eastAsia="宋体" w:hAnsi="Arial" w:cs="Arial"/>
          <w:color w:val="0068B5"/>
          <w:sz w:val="20"/>
          <w:szCs w:val="20"/>
        </w:rPr>
        <w:t xml:space="preserve">Managing to our long-term </w:t>
      </w:r>
      <w:r>
        <w:rPr>
          <w:rFonts w:ascii="Arial" w:eastAsia="宋体" w:hAnsi="Arial" w:cs="Arial"/>
          <w:color w:val="0068B5"/>
          <w:sz w:val="20"/>
          <w:szCs w:val="20"/>
        </w:rPr>
        <w:t>financial model</w:t>
      </w:r>
    </w:p>
    <w:p w14:paraId="5A1AF39A" w14:textId="77777777" w:rsidR="00960BB8" w:rsidRDefault="00C06650">
      <w:pPr>
        <w:spacing w:after="180"/>
      </w:pPr>
      <w:r>
        <w:rPr>
          <w:rFonts w:ascii="Arial" w:eastAsia="宋体" w:hAnsi="Arial" w:cs="Arial"/>
          <w:color w:val="262626"/>
          <w:sz w:val="18"/>
          <w:szCs w:val="18"/>
        </w:rPr>
        <w:t>Our 2022 results were impacted by an uncertain macroeconomic environment arising from inflation, the war in Ukraine, and COVID-19 shutdowns in our supply chain in China, and though we expect this uncertainty and a challenging market environ</w:t>
      </w:r>
      <w:r>
        <w:rPr>
          <w:rFonts w:ascii="Arial" w:eastAsia="宋体" w:hAnsi="Arial" w:cs="Arial"/>
          <w:color w:val="262626"/>
          <w:sz w:val="18"/>
          <w:szCs w:val="18"/>
        </w:rPr>
        <w:t>ment to extend well into 2023, we remain committed to the strategy and long-term financial model communicated at our Investor Meeting 2022 as included in our Form 8-K dated February 17, 2022. To achieve our long-term financial model, we believe it is imper</w:t>
      </w:r>
      <w:r>
        <w:rPr>
          <w:rFonts w:ascii="Arial" w:eastAsia="宋体" w:hAnsi="Arial" w:cs="Arial"/>
          <w:color w:val="262626"/>
          <w:sz w:val="18"/>
          <w:szCs w:val="18"/>
        </w:rPr>
        <w:t>ative that we drive to world-class product cost and operational efficiency. In the short term, we intend to continue to implement certain cost-cutting measures and improve our product execution. We further expect to manage to the investment phase operating</w:t>
      </w:r>
      <w:r>
        <w:rPr>
          <w:rFonts w:ascii="Arial" w:eastAsia="宋体" w:hAnsi="Arial" w:cs="Arial"/>
          <w:color w:val="262626"/>
          <w:sz w:val="18"/>
          <w:szCs w:val="18"/>
        </w:rPr>
        <w:t xml:space="preserve"> expenses and net capital intensity guardrails established at our Investor Meeting 2022 and to drive back to a gross margin range of 51% to 53%, once economic conditions improve and revenue growth returns. Longer term, we plan to execute multiple initiativ</w:t>
      </w:r>
      <w:r>
        <w:rPr>
          <w:rFonts w:ascii="Arial" w:eastAsia="宋体" w:hAnsi="Arial" w:cs="Arial"/>
          <w:color w:val="262626"/>
          <w:sz w:val="18"/>
          <w:szCs w:val="18"/>
        </w:rPr>
        <w:t>es designed to optimize the business, thus creating efficiencies and continued structural cost savings. This includes implementing an internal foundry model, making portfolio cuts, right sizing our support organizations, creating more stringent cost contro</w:t>
      </w:r>
      <w:r>
        <w:rPr>
          <w:rFonts w:ascii="Arial" w:eastAsia="宋体" w:hAnsi="Arial" w:cs="Arial"/>
          <w:color w:val="262626"/>
          <w:sz w:val="18"/>
          <w:szCs w:val="18"/>
        </w:rPr>
        <w:t>ls across our spending, and improving sales and marketing efficiency. Though we aggressively adjusted capital investments in 2022 to respond to changing business conditions, we still made significant investments in support of our IDM 2.0 strategy during th</w:t>
      </w:r>
      <w:r>
        <w:rPr>
          <w:rFonts w:ascii="Arial" w:eastAsia="宋体" w:hAnsi="Arial" w:cs="Arial"/>
          <w:color w:val="262626"/>
          <w:sz w:val="18"/>
          <w:szCs w:val="18"/>
        </w:rPr>
        <w:t xml:space="preserve">e year. We expect our capital expenditures will continue to be higher than historical levels for the next several years as we execute towards our goal of delivering five technology nodes in four years. We also introduced our IDM 2.0 Acceleration Office to </w:t>
      </w:r>
      <w:r>
        <w:rPr>
          <w:rFonts w:ascii="Arial" w:eastAsia="宋体" w:hAnsi="Arial" w:cs="Arial"/>
          <w:color w:val="262626"/>
          <w:sz w:val="18"/>
          <w:szCs w:val="18"/>
        </w:rPr>
        <w:t xml:space="preserve">transition our operations to an internal foundry model that is designed to deliver consistent processes, systems, and guardrails among our business units, and design and manufacturing teams, which we expect will allow us to improve structural efficiencies </w:t>
      </w:r>
      <w:r>
        <w:rPr>
          <w:rFonts w:ascii="Arial" w:eastAsia="宋体" w:hAnsi="Arial" w:cs="Arial"/>
          <w:color w:val="262626"/>
          <w:sz w:val="18"/>
          <w:szCs w:val="18"/>
        </w:rPr>
        <w:t>by driving accountability and costs back to decision makers within the company.</w:t>
      </w:r>
    </w:p>
    <w:p w14:paraId="5A1AF39B" w14:textId="77777777" w:rsidR="00960BB8" w:rsidRDefault="00960BB8">
      <w:pPr>
        <w:ind w:hanging="180"/>
      </w:pPr>
    </w:p>
    <w:p w14:paraId="5A1AF39C" w14:textId="77777777" w:rsidR="00960BB8" w:rsidRDefault="00960BB8">
      <w:pPr>
        <w:ind w:hanging="180"/>
      </w:pPr>
    </w:p>
    <w:p w14:paraId="5A1AF39D" w14:textId="77777777" w:rsidR="00960BB8" w:rsidRDefault="00960BB8">
      <w:pPr>
        <w:ind w:hanging="180"/>
      </w:pPr>
    </w:p>
    <w:p w14:paraId="5A1AF39E" w14:textId="77777777" w:rsidR="00960BB8" w:rsidRDefault="00960BB8">
      <w:pPr>
        <w:ind w:hanging="180"/>
      </w:pPr>
    </w:p>
    <w:p w14:paraId="5A1AF39F" w14:textId="77777777" w:rsidR="00960BB8" w:rsidRDefault="00C06650">
      <w:pPr>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See "Non-GAAP Financial Measures" within MD&amp;A.</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3A9" w14:textId="77777777">
        <w:tc>
          <w:tcPr>
            <w:tcW w:w="50" w:type="pct"/>
            <w:shd w:val="clear" w:color="auto" w:fill="auto"/>
            <w:vAlign w:val="bottom"/>
          </w:tcPr>
          <w:p w14:paraId="5A1AF3A0" w14:textId="77777777" w:rsidR="00960BB8" w:rsidRDefault="00960BB8">
            <w:pPr>
              <w:rPr>
                <w:rFonts w:ascii="宋体"/>
              </w:rPr>
            </w:pPr>
          </w:p>
        </w:tc>
        <w:tc>
          <w:tcPr>
            <w:tcW w:w="283" w:type="pct"/>
            <w:shd w:val="clear" w:color="auto" w:fill="auto"/>
            <w:vAlign w:val="bottom"/>
          </w:tcPr>
          <w:p w14:paraId="5A1AF3A1" w14:textId="77777777" w:rsidR="00960BB8" w:rsidRDefault="00960BB8">
            <w:pPr>
              <w:rPr>
                <w:rFonts w:ascii="宋体"/>
              </w:rPr>
            </w:pPr>
          </w:p>
        </w:tc>
        <w:tc>
          <w:tcPr>
            <w:tcW w:w="5" w:type="pct"/>
            <w:shd w:val="clear" w:color="auto" w:fill="auto"/>
            <w:vAlign w:val="bottom"/>
          </w:tcPr>
          <w:p w14:paraId="5A1AF3A2" w14:textId="77777777" w:rsidR="00960BB8" w:rsidRDefault="00960BB8">
            <w:pPr>
              <w:rPr>
                <w:rFonts w:ascii="宋体"/>
              </w:rPr>
            </w:pPr>
          </w:p>
        </w:tc>
        <w:tc>
          <w:tcPr>
            <w:tcW w:w="50" w:type="pct"/>
            <w:shd w:val="clear" w:color="auto" w:fill="auto"/>
            <w:vAlign w:val="bottom"/>
          </w:tcPr>
          <w:p w14:paraId="5A1AF3A3" w14:textId="77777777" w:rsidR="00960BB8" w:rsidRDefault="00960BB8">
            <w:pPr>
              <w:rPr>
                <w:rFonts w:ascii="宋体"/>
              </w:rPr>
            </w:pPr>
          </w:p>
        </w:tc>
        <w:tc>
          <w:tcPr>
            <w:tcW w:w="2656" w:type="pct"/>
            <w:shd w:val="clear" w:color="auto" w:fill="auto"/>
            <w:vAlign w:val="bottom"/>
          </w:tcPr>
          <w:p w14:paraId="5A1AF3A4" w14:textId="77777777" w:rsidR="00960BB8" w:rsidRDefault="00960BB8">
            <w:pPr>
              <w:rPr>
                <w:rFonts w:ascii="宋体"/>
              </w:rPr>
            </w:pPr>
          </w:p>
        </w:tc>
        <w:tc>
          <w:tcPr>
            <w:tcW w:w="5" w:type="pct"/>
            <w:shd w:val="clear" w:color="auto" w:fill="auto"/>
            <w:vAlign w:val="bottom"/>
          </w:tcPr>
          <w:p w14:paraId="5A1AF3A5" w14:textId="77777777" w:rsidR="00960BB8" w:rsidRDefault="00960BB8">
            <w:pPr>
              <w:rPr>
                <w:rFonts w:ascii="宋体"/>
              </w:rPr>
            </w:pPr>
          </w:p>
        </w:tc>
        <w:tc>
          <w:tcPr>
            <w:tcW w:w="50" w:type="pct"/>
            <w:shd w:val="clear" w:color="auto" w:fill="auto"/>
            <w:vAlign w:val="bottom"/>
          </w:tcPr>
          <w:p w14:paraId="5A1AF3A6" w14:textId="77777777" w:rsidR="00960BB8" w:rsidRDefault="00960BB8">
            <w:pPr>
              <w:rPr>
                <w:rFonts w:ascii="宋体"/>
              </w:rPr>
            </w:pPr>
          </w:p>
        </w:tc>
        <w:tc>
          <w:tcPr>
            <w:tcW w:w="1894" w:type="pct"/>
            <w:shd w:val="clear" w:color="auto" w:fill="auto"/>
            <w:vAlign w:val="bottom"/>
          </w:tcPr>
          <w:p w14:paraId="5A1AF3A7" w14:textId="77777777" w:rsidR="00960BB8" w:rsidRDefault="00960BB8">
            <w:pPr>
              <w:rPr>
                <w:rFonts w:ascii="宋体"/>
              </w:rPr>
            </w:pPr>
          </w:p>
        </w:tc>
        <w:tc>
          <w:tcPr>
            <w:tcW w:w="5" w:type="pct"/>
            <w:shd w:val="clear" w:color="auto" w:fill="auto"/>
            <w:vAlign w:val="bottom"/>
          </w:tcPr>
          <w:p w14:paraId="5A1AF3A8" w14:textId="77777777" w:rsidR="00960BB8" w:rsidRDefault="00960BB8">
            <w:pPr>
              <w:rPr>
                <w:rFonts w:ascii="宋体"/>
              </w:rPr>
            </w:pPr>
          </w:p>
        </w:tc>
      </w:tr>
      <w:tr w:rsidR="00960BB8" w14:paraId="5A1AF3A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3AA"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2D" wp14:editId="5A1B432E">
                  <wp:extent cx="304800" cy="304800"/>
                  <wp:effectExtent l="0" t="0" r="0" b="0"/>
                  <wp:docPr id="110" name="图片 4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3AB"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3AC" w14:textId="77777777" w:rsidR="00960BB8" w:rsidRDefault="00C06650">
            <w:pPr>
              <w:jc w:val="right"/>
              <w:textAlignment w:val="center"/>
            </w:pPr>
            <w:r>
              <w:rPr>
                <w:rFonts w:ascii="Arial" w:eastAsia="宋体" w:hAnsi="Arial" w:cs="Arial"/>
                <w:color w:val="262626"/>
                <w:sz w:val="16"/>
                <w:szCs w:val="16"/>
              </w:rPr>
              <w:t>5</w:t>
            </w:r>
          </w:p>
        </w:tc>
      </w:tr>
    </w:tbl>
    <w:p w14:paraId="5A1AF3AE" w14:textId="77777777" w:rsidR="00960BB8" w:rsidRDefault="00C06650">
      <w:r>
        <w:pict w14:anchorId="5A1B432F">
          <v:rect id="_x0000_i1031" style="width:415.3pt;height:1.5pt" o:hralign="center" o:hrstd="t" o:hr="t" fillcolor="#a0a0a0" stroked="f"/>
        </w:pict>
      </w:r>
    </w:p>
    <w:p w14:paraId="5A1AF3AF" w14:textId="77777777" w:rsidR="00960BB8" w:rsidRDefault="00C06650">
      <w:pPr>
        <w:spacing w:after="180"/>
        <w:jc w:val="right"/>
      </w:pPr>
      <w:hyperlink r:id="rId34" w:anchor="i8aaa7b4dbd2e419ca0f5c30af85a11aa_16" w:history="1">
        <w:r>
          <w:rPr>
            <w:rStyle w:val="a5"/>
            <w:rFonts w:ascii="Arial" w:eastAsia="宋体" w:hAnsi="Arial" w:cs="Arial"/>
            <w:sz w:val="18"/>
            <w:szCs w:val="18"/>
          </w:rPr>
          <w:t>Table of Contents</w:t>
        </w:r>
      </w:hyperlink>
    </w:p>
    <w:p w14:paraId="5A1AF3B0" w14:textId="77777777" w:rsidR="00960BB8" w:rsidRDefault="00C06650">
      <w:pPr>
        <w:spacing w:after="120"/>
      </w:pPr>
      <w:r>
        <w:rPr>
          <w:rFonts w:ascii="Arial" w:eastAsia="宋体" w:hAnsi="Arial" w:cs="Arial"/>
          <w:color w:val="0068B5"/>
          <w:sz w:val="20"/>
          <w:szCs w:val="20"/>
        </w:rPr>
        <w:t>Delivering leadership products</w:t>
      </w:r>
    </w:p>
    <w:p w14:paraId="5A1AF3B1" w14:textId="77777777" w:rsidR="00960BB8" w:rsidRDefault="00C06650">
      <w:pPr>
        <w:spacing w:after="180"/>
      </w:pPr>
      <w:r>
        <w:rPr>
          <w:rFonts w:ascii="Arial" w:eastAsia="宋体" w:hAnsi="Arial" w:cs="Arial"/>
          <w:color w:val="262626"/>
          <w:sz w:val="18"/>
          <w:szCs w:val="18"/>
        </w:rPr>
        <w:t>We seek to develop and offer leading products that wi</w:t>
      </w:r>
      <w:r>
        <w:rPr>
          <w:rFonts w:ascii="Arial" w:eastAsia="宋体" w:hAnsi="Arial" w:cs="Arial"/>
          <w:color w:val="262626"/>
          <w:sz w:val="18"/>
          <w:szCs w:val="18"/>
        </w:rPr>
        <w:t xml:space="preserve">ll help enable a future in which every human can have more computing power and quicker access to data. We remain committed to our goal of delivering five technology nodes in four years. This year, we achieved several key milestones on our product roadmap, </w:t>
      </w:r>
      <w:r>
        <w:rPr>
          <w:rFonts w:ascii="Arial" w:eastAsia="宋体" w:hAnsi="Arial" w:cs="Arial"/>
          <w:color w:val="262626"/>
          <w:sz w:val="18"/>
          <w:szCs w:val="18"/>
        </w:rPr>
        <w:t xml:space="preserve">including: </w:t>
      </w:r>
    </w:p>
    <w:p w14:paraId="5A1AF3B2"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launched the 12th Gen Intel</w:t>
      </w:r>
      <w:r>
        <w:rPr>
          <w:rFonts w:ascii="Arial" w:eastAsia="宋体" w:hAnsi="Arial" w:cs="Arial"/>
          <w:color w:val="262626"/>
          <w:sz w:val="11"/>
          <w:szCs w:val="11"/>
        </w:rPr>
        <w:t>®</w:t>
      </w:r>
      <w:r>
        <w:rPr>
          <w:rFonts w:ascii="Arial" w:eastAsia="宋体" w:hAnsi="Arial" w:cs="Arial"/>
          <w:color w:val="262626"/>
          <w:sz w:val="18"/>
          <w:szCs w:val="18"/>
        </w:rPr>
        <w:t xml:space="preserve"> Core™ HX processors—the final products in our Alder Lake family, which utilize desktop-caliber silicon in a mobile package to deliver high levels of performance for professional workflows. </w:t>
      </w:r>
    </w:p>
    <w:p w14:paraId="5A1AF3B3"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introduced the In</w:t>
      </w:r>
      <w:r>
        <w:rPr>
          <w:rFonts w:ascii="Arial" w:eastAsia="宋体" w:hAnsi="Arial" w:cs="Arial"/>
          <w:color w:val="262626"/>
          <w:sz w:val="18"/>
          <w:szCs w:val="18"/>
        </w:rPr>
        <w:t>tel</w:t>
      </w:r>
      <w:r>
        <w:rPr>
          <w:rFonts w:ascii="Arial" w:eastAsia="宋体" w:hAnsi="Arial" w:cs="Arial"/>
          <w:color w:val="262626"/>
          <w:sz w:val="11"/>
          <w:szCs w:val="11"/>
        </w:rPr>
        <w:t>®</w:t>
      </w:r>
      <w:r>
        <w:rPr>
          <w:rFonts w:ascii="Arial" w:eastAsia="宋体" w:hAnsi="Arial" w:cs="Arial"/>
          <w:color w:val="262626"/>
          <w:sz w:val="18"/>
          <w:szCs w:val="18"/>
        </w:rPr>
        <w:t xml:space="preserve"> Data Center GPU Flex Series for the intelligent visual cloud and revealed the 13th Gen Intel</w:t>
      </w:r>
      <w:r>
        <w:rPr>
          <w:rFonts w:ascii="Arial" w:eastAsia="宋体" w:hAnsi="Arial" w:cs="Arial"/>
          <w:color w:val="262626"/>
          <w:sz w:val="11"/>
          <w:szCs w:val="11"/>
        </w:rPr>
        <w:t>®</w:t>
      </w:r>
      <w:r>
        <w:rPr>
          <w:rFonts w:ascii="Arial" w:eastAsia="宋体" w:hAnsi="Arial" w:cs="Arial"/>
          <w:color w:val="262626"/>
          <w:sz w:val="18"/>
          <w:szCs w:val="18"/>
        </w:rPr>
        <w:t xml:space="preserve"> Core™ processor family with six new unlocked desktop processors for leading gaming, streaming, and recording experiences.</w:t>
      </w:r>
    </w:p>
    <w:p w14:paraId="5A1AF3B4"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launched the newest Intel</w:t>
      </w:r>
      <w:r>
        <w:rPr>
          <w:rFonts w:ascii="Arial" w:eastAsia="宋体" w:hAnsi="Arial" w:cs="Arial"/>
          <w:color w:val="262626"/>
          <w:sz w:val="11"/>
          <w:szCs w:val="11"/>
        </w:rPr>
        <w:t>®</w:t>
      </w:r>
      <w:r>
        <w:rPr>
          <w:rFonts w:ascii="Arial" w:eastAsia="宋体" w:hAnsi="Arial" w:cs="Arial"/>
          <w:color w:val="262626"/>
          <w:sz w:val="18"/>
          <w:szCs w:val="18"/>
        </w:rPr>
        <w:t xml:space="preserve"> Xeon</w:t>
      </w:r>
      <w:r>
        <w:rPr>
          <w:rFonts w:ascii="Arial" w:eastAsia="宋体" w:hAnsi="Arial" w:cs="Arial"/>
          <w:color w:val="262626"/>
          <w:sz w:val="11"/>
          <w:szCs w:val="11"/>
        </w:rPr>
        <w:t>®</w:t>
      </w:r>
      <w:r>
        <w:rPr>
          <w:rFonts w:ascii="Arial" w:eastAsia="宋体" w:hAnsi="Arial" w:cs="Arial"/>
          <w:color w:val="262626"/>
          <w:sz w:val="18"/>
          <w:szCs w:val="18"/>
        </w:rPr>
        <w:t xml:space="preserve"> D processors and Intel</w:t>
      </w:r>
      <w:r>
        <w:rPr>
          <w:rFonts w:ascii="Arial" w:eastAsia="宋体" w:hAnsi="Arial" w:cs="Arial"/>
          <w:color w:val="262626"/>
          <w:sz w:val="11"/>
          <w:szCs w:val="11"/>
        </w:rPr>
        <w:t>®</w:t>
      </w:r>
      <w:r>
        <w:rPr>
          <w:rFonts w:ascii="Arial" w:eastAsia="宋体" w:hAnsi="Arial" w:cs="Arial"/>
          <w:color w:val="262626"/>
          <w:sz w:val="18"/>
          <w:szCs w:val="18"/>
        </w:rPr>
        <w:t xml:space="preserve"> Arc™ A-series GPUs (also known as Alchemist), and began shipping Mount Evans, a 200G ASIC IPU, as well as the first Intel</w:t>
      </w:r>
      <w:r>
        <w:rPr>
          <w:rFonts w:ascii="Arial" w:eastAsia="宋体" w:hAnsi="Arial" w:cs="Arial"/>
          <w:color w:val="262626"/>
          <w:sz w:val="11"/>
          <w:szCs w:val="11"/>
        </w:rPr>
        <w:t>®</w:t>
      </w:r>
      <w:r>
        <w:rPr>
          <w:rFonts w:ascii="Arial" w:eastAsia="宋体" w:hAnsi="Arial" w:cs="Arial"/>
          <w:color w:val="262626"/>
          <w:sz w:val="18"/>
          <w:szCs w:val="18"/>
        </w:rPr>
        <w:t xml:space="preserve"> Blockscale™ ASIC. </w:t>
      </w:r>
    </w:p>
    <w:p w14:paraId="5A1AF3B5"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We began high-volume manufacturing of Sapphire Rapids, Raptor Lake, and Ponte Vecchio in 2022, with shipments be</w:t>
      </w:r>
      <w:r>
        <w:rPr>
          <w:rFonts w:ascii="Arial" w:eastAsia="宋体" w:hAnsi="Arial" w:cs="Arial"/>
          <w:color w:val="262626"/>
          <w:sz w:val="18"/>
          <w:szCs w:val="18"/>
        </w:rPr>
        <w:t>ginning in Q4 2022.</w:t>
      </w:r>
    </w:p>
    <w:p w14:paraId="5A1AF3B6" w14:textId="77777777" w:rsidR="00960BB8" w:rsidRDefault="00C06650">
      <w:pPr>
        <w:spacing w:after="180"/>
      </w:pPr>
      <w:r>
        <w:rPr>
          <w:rFonts w:ascii="Arial" w:eastAsia="宋体" w:hAnsi="Arial" w:cs="Arial"/>
          <w:color w:val="0068B5"/>
          <w:sz w:val="20"/>
          <w:szCs w:val="20"/>
        </w:rPr>
        <w:t>Investing in at-scale manufacturing</w:t>
      </w:r>
    </w:p>
    <w:p w14:paraId="5A1AF3B7" w14:textId="77777777" w:rsidR="00960BB8" w:rsidRDefault="00C06650">
      <w:pPr>
        <w:spacing w:after="180"/>
      </w:pPr>
      <w:r>
        <w:rPr>
          <w:rFonts w:ascii="Arial" w:eastAsia="宋体" w:hAnsi="Arial" w:cs="Arial"/>
          <w:color w:val="262626"/>
          <w:sz w:val="18"/>
          <w:szCs w:val="18"/>
        </w:rPr>
        <w:t>To help accelerate our IDM 2.0 strategy, we are investing in manufacturing capacity around the world. We broke ground on two new leading-edge chip factories in Ohio, initially announcing plans to inve</w:t>
      </w:r>
      <w:r>
        <w:rPr>
          <w:rFonts w:ascii="Arial" w:eastAsia="宋体" w:hAnsi="Arial" w:cs="Arial"/>
          <w:color w:val="262626"/>
          <w:sz w:val="18"/>
          <w:szCs w:val="18"/>
        </w:rPr>
        <w:t>st more than $20.0 billion to establish the first advanced semiconductor campus in the “Silicon Heartland”. We also announced our plans to invest up to €80.0 billion in the European Union over the next decade across the semiconductor value chain—from R&amp;D t</w:t>
      </w:r>
      <w:r>
        <w:rPr>
          <w:rFonts w:ascii="Arial" w:eastAsia="宋体" w:hAnsi="Arial" w:cs="Arial"/>
          <w:color w:val="262626"/>
          <w:sz w:val="18"/>
          <w:szCs w:val="18"/>
        </w:rPr>
        <w:t>o manufacturing to state-of-the-art packaging technologies. These include a plan to invest up to an initial €17.0 billion to build a leading-edge semiconductor fab mega-site in Germany; to create a new R&amp;D and design hub in France; and to invest in R&amp;D, ma</w:t>
      </w:r>
      <w:r>
        <w:rPr>
          <w:rFonts w:ascii="Arial" w:eastAsia="宋体" w:hAnsi="Arial" w:cs="Arial"/>
          <w:color w:val="262626"/>
          <w:sz w:val="18"/>
          <w:szCs w:val="18"/>
        </w:rPr>
        <w:t>nufacturing, and foundry services in Ireland, Italy, Poland, and Spain.</w:t>
      </w:r>
    </w:p>
    <w:p w14:paraId="5A1AF3B8" w14:textId="77777777" w:rsidR="00960BB8" w:rsidRDefault="00C06650">
      <w:pPr>
        <w:spacing w:after="180"/>
      </w:pPr>
      <w:r>
        <w:rPr>
          <w:rFonts w:ascii="Arial" w:eastAsia="宋体" w:hAnsi="Arial" w:cs="Arial"/>
          <w:color w:val="333333"/>
          <w:sz w:val="18"/>
          <w:szCs w:val="18"/>
        </w:rPr>
        <w:t>To create further financial flexibility while we accelerate our strategy, w</w:t>
      </w:r>
      <w:r>
        <w:rPr>
          <w:rFonts w:ascii="Arial" w:eastAsia="宋体" w:hAnsi="Arial" w:cs="Arial"/>
          <w:color w:val="262626"/>
          <w:sz w:val="18"/>
          <w:szCs w:val="18"/>
        </w:rPr>
        <w:t>e announced SCIP, a program that introduces a new funding model to the capital-intensive semiconductor indust</w:t>
      </w:r>
      <w:r>
        <w:rPr>
          <w:rFonts w:ascii="Arial" w:eastAsia="宋体" w:hAnsi="Arial" w:cs="Arial"/>
          <w:color w:val="262626"/>
          <w:sz w:val="18"/>
          <w:szCs w:val="18"/>
        </w:rPr>
        <w:t xml:space="preserve">ry. As part of this program, we closed a definitive agreement with Brookfield Asset Management (Brookfield), creating an equity partnership whereby we and Brookfield own 51% and 49%, respectively, of the newly formed entity, Arizona Fab LLC (Arizona Fab). </w:t>
      </w:r>
      <w:r>
        <w:rPr>
          <w:rFonts w:ascii="Arial" w:eastAsia="宋体" w:hAnsi="Arial" w:cs="Arial"/>
          <w:color w:val="262626"/>
          <w:sz w:val="18"/>
          <w:szCs w:val="18"/>
        </w:rPr>
        <w:t>We expect Arizona Fab will invest up to $30.0 billion in expanded manufacturing infrastructure at our Ocotillo campus in Chandler, Arizona.</w:t>
      </w:r>
    </w:p>
    <w:p w14:paraId="5A1AF3B9" w14:textId="77777777" w:rsidR="00960BB8" w:rsidRDefault="00C06650">
      <w:pPr>
        <w:spacing w:after="180"/>
      </w:pPr>
      <w:r>
        <w:rPr>
          <w:rFonts w:ascii="Arial" w:eastAsia="宋体" w:hAnsi="Arial" w:cs="Arial"/>
          <w:color w:val="262626"/>
          <w:sz w:val="18"/>
          <w:szCs w:val="18"/>
        </w:rPr>
        <w:t>We also look to acquisitions to supplement and strengthen our capital. In Q1 2022,</w:t>
      </w:r>
      <w:r>
        <w:rPr>
          <w:rFonts w:ascii="Arial" w:eastAsia="宋体" w:hAnsi="Arial" w:cs="Arial"/>
          <w:color w:val="333333"/>
          <w:sz w:val="18"/>
          <w:szCs w:val="18"/>
        </w:rPr>
        <w:t xml:space="preserve"> w</w:t>
      </w:r>
      <w:r>
        <w:rPr>
          <w:rFonts w:ascii="Arial" w:eastAsia="宋体" w:hAnsi="Arial" w:cs="Arial"/>
          <w:color w:val="262626"/>
          <w:sz w:val="18"/>
          <w:szCs w:val="18"/>
        </w:rPr>
        <w:t>e entered into a definitive agre</w:t>
      </w:r>
      <w:r>
        <w:rPr>
          <w:rFonts w:ascii="Arial" w:eastAsia="宋体" w:hAnsi="Arial" w:cs="Arial"/>
          <w:color w:val="262626"/>
          <w:sz w:val="18"/>
          <w:szCs w:val="18"/>
        </w:rPr>
        <w:t>ement to acquire Tower Semiconductor Ltd. (Tower) in a cash-for-stock transaction. Tower is a leading foundry for analog semiconductor solutions. The acquisition is expected to advance our IDM 2.0 strategy by accelerating our global end-to-end foundry busi</w:t>
      </w:r>
      <w:r>
        <w:rPr>
          <w:rFonts w:ascii="Arial" w:eastAsia="宋体" w:hAnsi="Arial" w:cs="Arial"/>
          <w:color w:val="262626"/>
          <w:sz w:val="18"/>
          <w:szCs w:val="18"/>
        </w:rPr>
        <w:t xml:space="preserve">ness. </w:t>
      </w:r>
      <w:r>
        <w:rPr>
          <w:rFonts w:ascii="Arial" w:eastAsia="宋体" w:hAnsi="Arial" w:cs="Arial"/>
          <w:color w:val="333333"/>
          <w:sz w:val="18"/>
          <w:szCs w:val="18"/>
        </w:rPr>
        <w:t>While we continue to work to close within the first quarter of 2023, the transaction may close in the first half of 2023, subject to certain regulatory approvals and customary closing conditions.</w:t>
      </w:r>
    </w:p>
    <w:p w14:paraId="5A1AF3BA" w14:textId="77777777" w:rsidR="00960BB8" w:rsidRDefault="00C06650">
      <w:pPr>
        <w:spacing w:after="120"/>
      </w:pPr>
      <w:r>
        <w:rPr>
          <w:rFonts w:ascii="Arial" w:eastAsia="宋体" w:hAnsi="Arial" w:cs="Arial"/>
          <w:color w:val="0068B5"/>
          <w:sz w:val="20"/>
          <w:szCs w:val="20"/>
        </w:rPr>
        <w:t>Strengthening focus on the core business</w:t>
      </w:r>
    </w:p>
    <w:p w14:paraId="5A1AF3BB" w14:textId="77777777" w:rsidR="00960BB8" w:rsidRDefault="00C06650">
      <w:pPr>
        <w:spacing w:after="180"/>
      </w:pPr>
      <w:r>
        <w:rPr>
          <w:rFonts w:ascii="Arial" w:eastAsia="宋体" w:hAnsi="Arial" w:cs="Arial"/>
          <w:color w:val="262626"/>
          <w:sz w:val="18"/>
          <w:szCs w:val="18"/>
        </w:rPr>
        <w:t>We reorganize</w:t>
      </w:r>
      <w:r>
        <w:rPr>
          <w:rFonts w:ascii="Arial" w:eastAsia="宋体" w:hAnsi="Arial" w:cs="Arial"/>
          <w:color w:val="262626"/>
          <w:sz w:val="18"/>
          <w:szCs w:val="18"/>
        </w:rPr>
        <w:t xml:space="preserve">d our business units in a way that is designed to accelerate the execution and innovation of our company by allowing us to capture long-term growth in both large traditional markets and high-growth emerging markets, while providing increased transparency, </w:t>
      </w:r>
      <w:r>
        <w:rPr>
          <w:rFonts w:ascii="Arial" w:eastAsia="宋体" w:hAnsi="Arial" w:cs="Arial"/>
          <w:color w:val="262626"/>
          <w:sz w:val="18"/>
          <w:szCs w:val="18"/>
        </w:rPr>
        <w:t>focus, and accountability.</w:t>
      </w:r>
    </w:p>
    <w:p w14:paraId="5A1AF3BC" w14:textId="77777777" w:rsidR="00960BB8" w:rsidRDefault="00C06650">
      <w:pPr>
        <w:spacing w:after="180"/>
      </w:pPr>
      <w:r>
        <w:rPr>
          <w:rFonts w:ascii="Arial" w:eastAsia="宋体" w:hAnsi="Arial" w:cs="Arial"/>
          <w:color w:val="262626"/>
          <w:sz w:val="18"/>
          <w:szCs w:val="18"/>
        </w:rPr>
        <w:t xml:space="preserve">We announced the implementation of cost-cutting measures, including a slower pace of hiring and restructuring actions, designed to reduce operating expenditures and manage the business toward our long-term financial </w:t>
      </w:r>
      <w:r>
        <w:rPr>
          <w:rFonts w:ascii="Arial" w:eastAsia="宋体" w:hAnsi="Arial" w:cs="Arial"/>
          <w:color w:val="262626"/>
          <w:sz w:val="18"/>
          <w:szCs w:val="18"/>
        </w:rPr>
        <w:t>strategy.</w:t>
      </w:r>
    </w:p>
    <w:p w14:paraId="5A1AF3BD" w14:textId="77777777" w:rsidR="00960BB8" w:rsidRDefault="00C06650">
      <w:pPr>
        <w:spacing w:after="180"/>
      </w:pPr>
      <w:r>
        <w:rPr>
          <w:rFonts w:ascii="Arial" w:eastAsia="宋体" w:hAnsi="Arial" w:cs="Arial"/>
          <w:color w:val="262626"/>
          <w:sz w:val="18"/>
          <w:szCs w:val="18"/>
        </w:rPr>
        <w:t>We completed the IPO of Mobileye, building on Mobileye’s revenue growth and record of innovation and unlocking value for Intel stockholders.</w:t>
      </w:r>
    </w:p>
    <w:p w14:paraId="5A1AF3BE" w14:textId="77777777" w:rsidR="00960BB8" w:rsidRDefault="00C06650">
      <w:pPr>
        <w:spacing w:after="120"/>
      </w:pPr>
      <w:r>
        <w:rPr>
          <w:rFonts w:ascii="Arial" w:eastAsia="宋体" w:hAnsi="Arial" w:cs="Arial"/>
          <w:color w:val="0068B5"/>
          <w:sz w:val="20"/>
          <w:szCs w:val="20"/>
        </w:rPr>
        <w:t>Committing to positive global impact</w:t>
      </w:r>
    </w:p>
    <w:p w14:paraId="5A1AF3BF" w14:textId="77777777" w:rsidR="00960BB8" w:rsidRDefault="00C06650">
      <w:pPr>
        <w:spacing w:after="180"/>
      </w:pPr>
      <w:r>
        <w:rPr>
          <w:rFonts w:ascii="Arial" w:eastAsia="宋体" w:hAnsi="Arial" w:cs="Arial"/>
          <w:color w:val="262626"/>
          <w:sz w:val="18"/>
          <w:szCs w:val="18"/>
        </w:rPr>
        <w:t>In April 2022, we announced our commitment to achieve net-zero green</w:t>
      </w:r>
      <w:r>
        <w:rPr>
          <w:rFonts w:ascii="Arial" w:eastAsia="宋体" w:hAnsi="Arial" w:cs="Arial"/>
          <w:color w:val="262626"/>
          <w:sz w:val="18"/>
          <w:szCs w:val="18"/>
        </w:rPr>
        <w:t xml:space="preserve">house gas emissions across our global operations (Scope 1 and 2) by 2040 and to increase the energy efficiency and lower the carbon footprint of our products and platforms.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3C9" w14:textId="77777777">
        <w:tc>
          <w:tcPr>
            <w:tcW w:w="50" w:type="pct"/>
            <w:shd w:val="clear" w:color="auto" w:fill="auto"/>
            <w:vAlign w:val="bottom"/>
          </w:tcPr>
          <w:p w14:paraId="5A1AF3C0" w14:textId="77777777" w:rsidR="00960BB8" w:rsidRDefault="00960BB8">
            <w:pPr>
              <w:rPr>
                <w:rFonts w:ascii="宋体"/>
              </w:rPr>
            </w:pPr>
          </w:p>
        </w:tc>
        <w:tc>
          <w:tcPr>
            <w:tcW w:w="283" w:type="pct"/>
            <w:shd w:val="clear" w:color="auto" w:fill="auto"/>
            <w:vAlign w:val="bottom"/>
          </w:tcPr>
          <w:p w14:paraId="5A1AF3C1" w14:textId="77777777" w:rsidR="00960BB8" w:rsidRDefault="00960BB8">
            <w:pPr>
              <w:rPr>
                <w:rFonts w:ascii="宋体"/>
              </w:rPr>
            </w:pPr>
          </w:p>
        </w:tc>
        <w:tc>
          <w:tcPr>
            <w:tcW w:w="5" w:type="pct"/>
            <w:shd w:val="clear" w:color="auto" w:fill="auto"/>
            <w:vAlign w:val="bottom"/>
          </w:tcPr>
          <w:p w14:paraId="5A1AF3C2" w14:textId="77777777" w:rsidR="00960BB8" w:rsidRDefault="00960BB8">
            <w:pPr>
              <w:rPr>
                <w:rFonts w:ascii="宋体"/>
              </w:rPr>
            </w:pPr>
          </w:p>
        </w:tc>
        <w:tc>
          <w:tcPr>
            <w:tcW w:w="50" w:type="pct"/>
            <w:shd w:val="clear" w:color="auto" w:fill="auto"/>
            <w:vAlign w:val="bottom"/>
          </w:tcPr>
          <w:p w14:paraId="5A1AF3C3" w14:textId="77777777" w:rsidR="00960BB8" w:rsidRDefault="00960BB8">
            <w:pPr>
              <w:rPr>
                <w:rFonts w:ascii="宋体"/>
              </w:rPr>
            </w:pPr>
          </w:p>
        </w:tc>
        <w:tc>
          <w:tcPr>
            <w:tcW w:w="2656" w:type="pct"/>
            <w:shd w:val="clear" w:color="auto" w:fill="auto"/>
            <w:vAlign w:val="bottom"/>
          </w:tcPr>
          <w:p w14:paraId="5A1AF3C4" w14:textId="77777777" w:rsidR="00960BB8" w:rsidRDefault="00960BB8">
            <w:pPr>
              <w:rPr>
                <w:rFonts w:ascii="宋体"/>
              </w:rPr>
            </w:pPr>
          </w:p>
        </w:tc>
        <w:tc>
          <w:tcPr>
            <w:tcW w:w="5" w:type="pct"/>
            <w:shd w:val="clear" w:color="auto" w:fill="auto"/>
            <w:vAlign w:val="bottom"/>
          </w:tcPr>
          <w:p w14:paraId="5A1AF3C5" w14:textId="77777777" w:rsidR="00960BB8" w:rsidRDefault="00960BB8">
            <w:pPr>
              <w:rPr>
                <w:rFonts w:ascii="宋体"/>
              </w:rPr>
            </w:pPr>
          </w:p>
        </w:tc>
        <w:tc>
          <w:tcPr>
            <w:tcW w:w="50" w:type="pct"/>
            <w:shd w:val="clear" w:color="auto" w:fill="auto"/>
            <w:vAlign w:val="bottom"/>
          </w:tcPr>
          <w:p w14:paraId="5A1AF3C6" w14:textId="77777777" w:rsidR="00960BB8" w:rsidRDefault="00960BB8">
            <w:pPr>
              <w:rPr>
                <w:rFonts w:ascii="宋体"/>
              </w:rPr>
            </w:pPr>
          </w:p>
        </w:tc>
        <w:tc>
          <w:tcPr>
            <w:tcW w:w="1894" w:type="pct"/>
            <w:shd w:val="clear" w:color="auto" w:fill="auto"/>
            <w:vAlign w:val="bottom"/>
          </w:tcPr>
          <w:p w14:paraId="5A1AF3C7" w14:textId="77777777" w:rsidR="00960BB8" w:rsidRDefault="00960BB8">
            <w:pPr>
              <w:rPr>
                <w:rFonts w:ascii="宋体"/>
              </w:rPr>
            </w:pPr>
          </w:p>
        </w:tc>
        <w:tc>
          <w:tcPr>
            <w:tcW w:w="5" w:type="pct"/>
            <w:shd w:val="clear" w:color="auto" w:fill="auto"/>
            <w:vAlign w:val="bottom"/>
          </w:tcPr>
          <w:p w14:paraId="5A1AF3C8" w14:textId="77777777" w:rsidR="00960BB8" w:rsidRDefault="00960BB8">
            <w:pPr>
              <w:rPr>
                <w:rFonts w:ascii="宋体"/>
              </w:rPr>
            </w:pPr>
          </w:p>
        </w:tc>
      </w:tr>
      <w:tr w:rsidR="00960BB8" w14:paraId="5A1AF3C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3CA"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30" wp14:editId="5A1B4331">
                  <wp:extent cx="304800" cy="304800"/>
                  <wp:effectExtent l="0" t="0" r="0" b="0"/>
                  <wp:docPr id="70" name="图片 5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3CB"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3CC" w14:textId="77777777" w:rsidR="00960BB8" w:rsidRDefault="00C06650">
            <w:pPr>
              <w:jc w:val="right"/>
              <w:textAlignment w:val="center"/>
            </w:pPr>
            <w:r>
              <w:rPr>
                <w:rFonts w:ascii="Arial" w:eastAsia="宋体" w:hAnsi="Arial" w:cs="Arial"/>
                <w:color w:val="262626"/>
                <w:sz w:val="16"/>
                <w:szCs w:val="16"/>
              </w:rPr>
              <w:t>6</w:t>
            </w:r>
          </w:p>
        </w:tc>
      </w:tr>
    </w:tbl>
    <w:p w14:paraId="5A1AF3CE" w14:textId="77777777" w:rsidR="00960BB8" w:rsidRDefault="00C06650">
      <w:r>
        <w:pict w14:anchorId="5A1B4332">
          <v:rect id="_x0000_i1032" style="width:415.3pt;height:1.5pt" o:hralign="center" o:hrstd="t" o:hr="t" fillcolor="#a0a0a0" stroked="f"/>
        </w:pict>
      </w:r>
    </w:p>
    <w:p w14:paraId="5A1AF3CF" w14:textId="77777777" w:rsidR="00960BB8" w:rsidRDefault="00C06650">
      <w:pPr>
        <w:spacing w:after="180"/>
        <w:jc w:val="right"/>
      </w:pPr>
      <w:hyperlink r:id="rId35" w:anchor="i8aaa7b4dbd2e419ca0f5c30af85a11aa_16" w:history="1">
        <w:r>
          <w:rPr>
            <w:rStyle w:val="a5"/>
            <w:rFonts w:ascii="Arial" w:eastAsia="宋体" w:hAnsi="Arial" w:cs="Arial"/>
            <w:sz w:val="18"/>
            <w:szCs w:val="18"/>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AF3D6" w14:textId="77777777">
        <w:tc>
          <w:tcPr>
            <w:tcW w:w="50" w:type="pct"/>
            <w:shd w:val="clear" w:color="auto" w:fill="auto"/>
            <w:vAlign w:val="bottom"/>
          </w:tcPr>
          <w:p w14:paraId="5A1AF3D0" w14:textId="77777777" w:rsidR="00960BB8" w:rsidRDefault="00960BB8">
            <w:pPr>
              <w:rPr>
                <w:rFonts w:ascii="宋体"/>
              </w:rPr>
            </w:pPr>
          </w:p>
        </w:tc>
        <w:tc>
          <w:tcPr>
            <w:tcW w:w="4870" w:type="pct"/>
            <w:shd w:val="clear" w:color="auto" w:fill="auto"/>
            <w:vAlign w:val="bottom"/>
          </w:tcPr>
          <w:p w14:paraId="5A1AF3D1" w14:textId="77777777" w:rsidR="00960BB8" w:rsidRDefault="00960BB8">
            <w:pPr>
              <w:rPr>
                <w:rFonts w:ascii="宋体"/>
              </w:rPr>
            </w:pPr>
          </w:p>
        </w:tc>
        <w:tc>
          <w:tcPr>
            <w:tcW w:w="5" w:type="pct"/>
            <w:shd w:val="clear" w:color="auto" w:fill="auto"/>
            <w:vAlign w:val="bottom"/>
          </w:tcPr>
          <w:p w14:paraId="5A1AF3D2" w14:textId="77777777" w:rsidR="00960BB8" w:rsidRDefault="00960BB8">
            <w:pPr>
              <w:rPr>
                <w:rFonts w:ascii="宋体"/>
              </w:rPr>
            </w:pPr>
          </w:p>
        </w:tc>
        <w:tc>
          <w:tcPr>
            <w:tcW w:w="5" w:type="pct"/>
            <w:shd w:val="clear" w:color="auto" w:fill="auto"/>
            <w:vAlign w:val="bottom"/>
          </w:tcPr>
          <w:p w14:paraId="5A1AF3D3" w14:textId="77777777" w:rsidR="00960BB8" w:rsidRDefault="00960BB8">
            <w:pPr>
              <w:rPr>
                <w:rFonts w:ascii="宋体"/>
              </w:rPr>
            </w:pPr>
          </w:p>
        </w:tc>
        <w:tc>
          <w:tcPr>
            <w:tcW w:w="64" w:type="pct"/>
            <w:shd w:val="clear" w:color="auto" w:fill="auto"/>
            <w:vAlign w:val="bottom"/>
          </w:tcPr>
          <w:p w14:paraId="5A1AF3D4" w14:textId="77777777" w:rsidR="00960BB8" w:rsidRDefault="00960BB8">
            <w:pPr>
              <w:rPr>
                <w:rFonts w:ascii="宋体"/>
              </w:rPr>
            </w:pPr>
          </w:p>
        </w:tc>
        <w:tc>
          <w:tcPr>
            <w:tcW w:w="5" w:type="pct"/>
            <w:shd w:val="clear" w:color="auto" w:fill="auto"/>
            <w:vAlign w:val="bottom"/>
          </w:tcPr>
          <w:p w14:paraId="5A1AF3D5" w14:textId="77777777" w:rsidR="00960BB8" w:rsidRDefault="00960BB8">
            <w:pPr>
              <w:rPr>
                <w:rFonts w:ascii="宋体"/>
              </w:rPr>
            </w:pPr>
          </w:p>
        </w:tc>
      </w:tr>
      <w:tr w:rsidR="00960BB8" w14:paraId="5A1AF3D9" w14:textId="77777777">
        <w:tc>
          <w:tcPr>
            <w:tcW w:w="0" w:type="auto"/>
            <w:gridSpan w:val="3"/>
            <w:shd w:val="clear" w:color="auto" w:fill="004A86"/>
            <w:tcMar>
              <w:top w:w="40" w:type="dxa"/>
              <w:left w:w="20" w:type="dxa"/>
              <w:bottom w:w="40" w:type="dxa"/>
              <w:right w:w="20" w:type="dxa"/>
            </w:tcMar>
            <w:vAlign w:val="center"/>
          </w:tcPr>
          <w:p w14:paraId="5A1AF3D7" w14:textId="77777777" w:rsidR="00960BB8" w:rsidRDefault="00C06650">
            <w:pPr>
              <w:textAlignment w:val="center"/>
            </w:pPr>
            <w:r>
              <w:rPr>
                <w:rFonts w:ascii="Arial" w:eastAsia="宋体" w:hAnsi="Arial" w:cs="Arial"/>
                <w:color w:val="FFFFFF"/>
                <w:sz w:val="36"/>
                <w:szCs w:val="36"/>
              </w:rPr>
              <w:t>Our Strategy</w:t>
            </w:r>
          </w:p>
        </w:tc>
        <w:tc>
          <w:tcPr>
            <w:tcW w:w="0" w:type="auto"/>
            <w:gridSpan w:val="3"/>
            <w:shd w:val="clear" w:color="auto" w:fill="auto"/>
            <w:tcMar>
              <w:top w:w="0" w:type="dxa"/>
              <w:left w:w="20" w:type="dxa"/>
              <w:bottom w:w="0" w:type="dxa"/>
              <w:right w:w="20" w:type="dxa"/>
            </w:tcMar>
            <w:vAlign w:val="bottom"/>
          </w:tcPr>
          <w:p w14:paraId="5A1AF3D8" w14:textId="77777777" w:rsidR="00960BB8" w:rsidRDefault="00960BB8">
            <w:pPr>
              <w:rPr>
                <w:rFonts w:ascii="宋体"/>
              </w:rPr>
            </w:pPr>
          </w:p>
        </w:tc>
      </w:tr>
      <w:tr w:rsidR="00960BB8" w14:paraId="5A1AF3DC" w14:textId="77777777">
        <w:trPr>
          <w:trHeight w:val="160"/>
        </w:trPr>
        <w:tc>
          <w:tcPr>
            <w:tcW w:w="0" w:type="auto"/>
            <w:gridSpan w:val="3"/>
            <w:shd w:val="clear" w:color="auto" w:fill="auto"/>
            <w:tcMar>
              <w:top w:w="0" w:type="dxa"/>
              <w:left w:w="20" w:type="dxa"/>
              <w:bottom w:w="0" w:type="dxa"/>
              <w:right w:w="20" w:type="dxa"/>
            </w:tcMar>
            <w:vAlign w:val="bottom"/>
          </w:tcPr>
          <w:p w14:paraId="5A1AF3DA"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AF3DB" w14:textId="77777777" w:rsidR="00960BB8" w:rsidRDefault="00960BB8">
            <w:pPr>
              <w:rPr>
                <w:rFonts w:ascii="宋体"/>
              </w:rPr>
            </w:pPr>
          </w:p>
        </w:tc>
      </w:tr>
    </w:tbl>
    <w:p w14:paraId="5A1AF3DD" w14:textId="77777777" w:rsidR="00960BB8" w:rsidRDefault="00C06650">
      <w:pPr>
        <w:spacing w:after="180"/>
      </w:pPr>
      <w:r>
        <w:rPr>
          <w:rFonts w:ascii="Arial" w:eastAsia="宋体" w:hAnsi="Arial" w:cs="Arial"/>
          <w:color w:val="262626"/>
          <w:sz w:val="18"/>
          <w:szCs w:val="18"/>
        </w:rPr>
        <w:t xml:space="preserve">The entire world is becoming digital as </w:t>
      </w:r>
      <w:r>
        <w:rPr>
          <w:rFonts w:ascii="Arial" w:eastAsia="宋体" w:hAnsi="Arial" w:cs="Arial"/>
          <w:color w:val="262626"/>
          <w:sz w:val="18"/>
          <w:szCs w:val="18"/>
        </w:rPr>
        <w:t>technology is increasingly central to every aspect of human existence. As we look ahead to the next decade, we expect to see continued movement to digital for everything—the way we work, learn, connect, develop, and operate. Semiconductors are the underlyi</w:t>
      </w:r>
      <w:r>
        <w:rPr>
          <w:rFonts w:ascii="Arial" w:eastAsia="宋体" w:hAnsi="Arial" w:cs="Arial"/>
          <w:color w:val="262626"/>
          <w:sz w:val="18"/>
          <w:szCs w:val="18"/>
        </w:rPr>
        <w:t>ng technology powering the digitization of everything, and this is being accelerated by five superpowers: ubiquitous compute, pervasive connectivity, cloud-to-edge infrastructure, AI, and sensing. Together these superpowers combine to amplify, and reinforc</w:t>
      </w:r>
      <w:r>
        <w:rPr>
          <w:rFonts w:ascii="Arial" w:eastAsia="宋体" w:hAnsi="Arial" w:cs="Arial"/>
          <w:color w:val="262626"/>
          <w:sz w:val="18"/>
          <w:szCs w:val="18"/>
        </w:rPr>
        <w:t>e each other, and will exponentially increase the world’s need for computing by packing even more processing capability onto ever-smaller microchips. We intend to lead the industry by harnessing these superpowers for our customers’ growth and our own.</w:t>
      </w:r>
    </w:p>
    <w:p w14:paraId="5A1AF3DE" w14:textId="77777777" w:rsidR="00960BB8" w:rsidRDefault="00C06650">
      <w:pPr>
        <w:spacing w:after="180"/>
      </w:pPr>
      <w:r>
        <w:rPr>
          <w:rFonts w:ascii="Arial" w:eastAsia="宋体" w:hAnsi="Arial" w:cs="Arial"/>
          <w:color w:val="262626"/>
          <w:sz w:val="18"/>
          <w:szCs w:val="18"/>
        </w:rPr>
        <w:t>We a</w:t>
      </w:r>
      <w:r>
        <w:rPr>
          <w:rFonts w:ascii="Arial" w:eastAsia="宋体" w:hAnsi="Arial" w:cs="Arial"/>
          <w:color w:val="262626"/>
          <w:sz w:val="18"/>
          <w:szCs w:val="18"/>
        </w:rPr>
        <w:t>re uniquely positioned with the depth and breadth of our software, silicon and platforms, and packaging and process technology with at-scale manufacturing. With these strengths and the tailwinds of the superpowers driving digital disruption, our strategy t</w:t>
      </w:r>
      <w:r>
        <w:rPr>
          <w:rFonts w:ascii="Arial" w:eastAsia="宋体" w:hAnsi="Arial" w:cs="Arial"/>
          <w:color w:val="262626"/>
          <w:sz w:val="18"/>
          <w:szCs w:val="18"/>
        </w:rPr>
        <w:t xml:space="preserve">o win is focused on four key themes: product leadership, open platforms, manufacturing at scale, and our people. </w:t>
      </w:r>
    </w:p>
    <w:p w14:paraId="5A1AF3DF" w14:textId="77777777" w:rsidR="00960BB8" w:rsidRDefault="00C06650">
      <w:pPr>
        <w:spacing w:after="180"/>
      </w:pPr>
      <w:r>
        <w:rPr>
          <w:rFonts w:ascii="Arial" w:eastAsia="宋体" w:hAnsi="Arial" w:cs="Arial"/>
          <w:color w:val="0068B5"/>
        </w:rPr>
        <w:t>Our Priorities</w:t>
      </w:r>
    </w:p>
    <w:p w14:paraId="5A1AF3E0"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Viewer_files/intc-20221231_g9.jpg" \* MER</w:instrText>
      </w:r>
      <w:r>
        <w:rPr>
          <w:rFonts w:ascii="宋体" w:eastAsia="宋体" w:hAnsi="宋体" w:cs="宋体"/>
        </w:rPr>
        <w:instrText xml:space="preserve">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33" wp14:editId="5A1B4334">
            <wp:extent cx="304800" cy="304800"/>
            <wp:effectExtent l="0" t="0" r="0" b="0"/>
            <wp:docPr id="69" name="图片 5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3"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3E1"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3E5" w14:textId="77777777">
        <w:tc>
          <w:tcPr>
            <w:tcW w:w="50" w:type="pct"/>
            <w:shd w:val="clear" w:color="auto" w:fill="auto"/>
            <w:vAlign w:val="bottom"/>
          </w:tcPr>
          <w:p w14:paraId="5A1AF3E2" w14:textId="77777777" w:rsidR="00960BB8" w:rsidRDefault="00960BB8">
            <w:pPr>
              <w:rPr>
                <w:rFonts w:ascii="宋体"/>
              </w:rPr>
            </w:pPr>
          </w:p>
        </w:tc>
        <w:tc>
          <w:tcPr>
            <w:tcW w:w="4945" w:type="pct"/>
            <w:shd w:val="clear" w:color="auto" w:fill="auto"/>
            <w:vAlign w:val="bottom"/>
          </w:tcPr>
          <w:p w14:paraId="5A1AF3E3" w14:textId="77777777" w:rsidR="00960BB8" w:rsidRDefault="00960BB8">
            <w:pPr>
              <w:rPr>
                <w:rFonts w:ascii="宋体"/>
              </w:rPr>
            </w:pPr>
          </w:p>
        </w:tc>
        <w:tc>
          <w:tcPr>
            <w:tcW w:w="5" w:type="pct"/>
            <w:shd w:val="clear" w:color="auto" w:fill="auto"/>
            <w:vAlign w:val="bottom"/>
          </w:tcPr>
          <w:p w14:paraId="5A1AF3E4" w14:textId="77777777" w:rsidR="00960BB8" w:rsidRDefault="00960BB8">
            <w:pPr>
              <w:rPr>
                <w:rFonts w:ascii="宋体"/>
              </w:rPr>
            </w:pPr>
          </w:p>
        </w:tc>
      </w:tr>
      <w:tr w:rsidR="00960BB8" w14:paraId="5A1AF3E7" w14:textId="77777777">
        <w:trPr>
          <w:hidden/>
        </w:trPr>
        <w:tc>
          <w:tcPr>
            <w:tcW w:w="0" w:type="auto"/>
            <w:gridSpan w:val="3"/>
            <w:shd w:val="clear" w:color="auto" w:fill="auto"/>
            <w:vAlign w:val="bottom"/>
          </w:tcPr>
          <w:p w14:paraId="5A1AF3E6" w14:textId="77777777" w:rsidR="00960BB8" w:rsidRDefault="00960BB8">
            <w:pPr>
              <w:rPr>
                <w:rFonts w:ascii="宋体"/>
                <w:vanish/>
              </w:rPr>
            </w:pPr>
          </w:p>
        </w:tc>
      </w:tr>
      <w:tr w:rsidR="00960BB8" w14:paraId="5A1AF3E9"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3E8" w14:textId="77777777" w:rsidR="00960BB8" w:rsidRDefault="00C06650">
            <w:pPr>
              <w:textAlignment w:val="bottom"/>
            </w:pPr>
            <w:r>
              <w:rPr>
                <w:rFonts w:ascii="Arial" w:eastAsia="宋体" w:hAnsi="Arial" w:cs="Arial"/>
                <w:color w:val="0068B5"/>
                <w:sz w:val="20"/>
                <w:szCs w:val="20"/>
              </w:rPr>
              <w:t>Product Leadership</w:t>
            </w:r>
          </w:p>
        </w:tc>
      </w:tr>
    </w:tbl>
    <w:p w14:paraId="5A1AF3EA" w14:textId="77777777" w:rsidR="00960BB8" w:rsidRDefault="00C06650">
      <w:pPr>
        <w:spacing w:after="180"/>
      </w:pPr>
      <w:r>
        <w:rPr>
          <w:rFonts w:ascii="Arial" w:eastAsia="宋体" w:hAnsi="Arial" w:cs="Arial"/>
          <w:color w:val="0068B5"/>
          <w:sz w:val="18"/>
          <w:szCs w:val="18"/>
        </w:rPr>
        <w:t xml:space="preserve">Lead and democratize compute with Intel x86 and xPU. </w:t>
      </w:r>
      <w:r>
        <w:rPr>
          <w:rFonts w:ascii="Arial" w:eastAsia="宋体" w:hAnsi="Arial" w:cs="Arial"/>
          <w:color w:val="262626"/>
          <w:sz w:val="18"/>
          <w:szCs w:val="18"/>
        </w:rPr>
        <w:t xml:space="preserve">Our product offerings provide end-to-end solutions, scaling from edge computing to 5G networks, the cloud, and the emerging fields of AI and </w:t>
      </w:r>
      <w:r>
        <w:rPr>
          <w:rFonts w:ascii="Arial" w:eastAsia="宋体" w:hAnsi="Arial" w:cs="Arial"/>
          <w:color w:val="262626"/>
          <w:sz w:val="18"/>
          <w:szCs w:val="18"/>
        </w:rPr>
        <w:t>autonomous driving, to serve an increasingly smart and connected world.</w:t>
      </w:r>
    </w:p>
    <w:p w14:paraId="5A1AF3EB" w14:textId="77777777" w:rsidR="00960BB8" w:rsidRDefault="00C06650">
      <w:pPr>
        <w:spacing w:after="180"/>
      </w:pPr>
      <w:r>
        <w:rPr>
          <w:rFonts w:ascii="Arial" w:eastAsia="宋体" w:hAnsi="Arial" w:cs="Arial"/>
          <w:color w:val="262626"/>
          <w:sz w:val="18"/>
          <w:szCs w:val="18"/>
        </w:rPr>
        <w:t>At our core is the x86 computing ecosystem, which supports an extensive and deep universe of software applications, with billions of lines of code written and optimized for x86 CPUs. W</w:t>
      </w:r>
      <w:r>
        <w:rPr>
          <w:rFonts w:ascii="Arial" w:eastAsia="宋体" w:hAnsi="Arial" w:cs="Arial"/>
          <w:color w:val="262626"/>
          <w:sz w:val="18"/>
          <w:szCs w:val="18"/>
        </w:rPr>
        <w:t>e continue to advance this ecosystem with x86 microarchitectures focused on performance, which push the limits of low latency and single-threaded application performance, and microarchitectures focused on efficiency, which are designed for computing throug</w:t>
      </w:r>
      <w:r>
        <w:rPr>
          <w:rFonts w:ascii="Arial" w:eastAsia="宋体" w:hAnsi="Arial" w:cs="Arial"/>
          <w:color w:val="262626"/>
          <w:sz w:val="18"/>
          <w:szCs w:val="18"/>
        </w:rPr>
        <w:t>hput efficiency to enable scalable multithreaded performance. Our innovative new 13th Gen client processors (Raptor Lake) combine both performance cores and efficient cores in a performance hybrid architecture that can direct workloads to the right core de</w:t>
      </w:r>
      <w:r>
        <w:rPr>
          <w:rFonts w:ascii="Arial" w:eastAsia="宋体" w:hAnsi="Arial" w:cs="Arial"/>
          <w:color w:val="262626"/>
          <w:sz w:val="18"/>
          <w:szCs w:val="18"/>
        </w:rPr>
        <w:t>pending on whether they require higher performance or power efficiency. We can also combine these architectural advances with our innovations in process and packaging technology, as in our next-generation Intel Xeon data center CPU (Sapphire Rapids), which</w:t>
      </w:r>
      <w:r>
        <w:rPr>
          <w:rFonts w:ascii="Arial" w:eastAsia="宋体" w:hAnsi="Arial" w:cs="Arial"/>
          <w:color w:val="262626"/>
          <w:sz w:val="18"/>
          <w:szCs w:val="18"/>
        </w:rPr>
        <w:t xml:space="preserve"> utilizes performance cores on multiple compute tiles connected through our EMIB packaging technology in a scalable design, rather than being built on a monolithic silicon die. </w:t>
      </w:r>
    </w:p>
    <w:p w14:paraId="5A1AF3EC" w14:textId="77777777" w:rsidR="00960BB8" w:rsidRDefault="00C06650">
      <w:pPr>
        <w:spacing w:after="180"/>
      </w:pPr>
      <w:r>
        <w:rPr>
          <w:rFonts w:ascii="Arial" w:eastAsia="宋体" w:hAnsi="Arial" w:cs="Arial"/>
          <w:color w:val="262626"/>
          <w:sz w:val="18"/>
          <w:szCs w:val="18"/>
        </w:rPr>
        <w:t>Beyond the CPU, we are delivering a growing family of xPU products, which enco</w:t>
      </w:r>
      <w:r>
        <w:rPr>
          <w:rFonts w:ascii="Arial" w:eastAsia="宋体" w:hAnsi="Arial" w:cs="Arial"/>
          <w:color w:val="262626"/>
          <w:sz w:val="18"/>
          <w:szCs w:val="18"/>
        </w:rPr>
        <w:t>mpass client and data center GPUs, IPUs, FPGAs, and other accelerators. The xPU approach recognizes that different workloads benefit from different computing architectures, and our broad portfolio helps meet our customers' increasingly diverse computing ne</w:t>
      </w:r>
      <w:r>
        <w:rPr>
          <w:rFonts w:ascii="Arial" w:eastAsia="宋体" w:hAnsi="Arial" w:cs="Arial"/>
          <w:color w:val="262626"/>
          <w:sz w:val="18"/>
          <w:szCs w:val="18"/>
        </w:rPr>
        <w:t>eds. As part of our strategy, we seek to develop and offer leading products across each of these architectural categories. Our vision is that our products will help enable a future in which every human can have one petaflop of computing power and one petab</w:t>
      </w:r>
      <w:r>
        <w:rPr>
          <w:rFonts w:ascii="Arial" w:eastAsia="宋体" w:hAnsi="Arial" w:cs="Arial"/>
          <w:color w:val="262626"/>
          <w:sz w:val="18"/>
          <w:szCs w:val="18"/>
        </w:rPr>
        <w:t>yte of data less than one millisecond away.</w:t>
      </w:r>
    </w:p>
    <w:p w14:paraId="5A1AF3ED" w14:textId="77777777" w:rsidR="00960BB8" w:rsidRDefault="00960BB8"/>
    <w:p w14:paraId="5A1AF3EE" w14:textId="77777777" w:rsidR="00960BB8" w:rsidRDefault="00960BB8"/>
    <w:p w14:paraId="5A1AF3EF" w14:textId="77777777" w:rsidR="00960BB8" w:rsidRDefault="00960BB8"/>
    <w:p w14:paraId="5A1AF3F0" w14:textId="77777777" w:rsidR="00960BB8" w:rsidRDefault="00960BB8"/>
    <w:p w14:paraId="5A1AF3F1"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3FB" w14:textId="77777777">
        <w:tc>
          <w:tcPr>
            <w:tcW w:w="50" w:type="pct"/>
            <w:shd w:val="clear" w:color="auto" w:fill="auto"/>
            <w:vAlign w:val="bottom"/>
          </w:tcPr>
          <w:p w14:paraId="5A1AF3F2" w14:textId="77777777" w:rsidR="00960BB8" w:rsidRDefault="00960BB8">
            <w:pPr>
              <w:rPr>
                <w:rFonts w:ascii="宋体"/>
              </w:rPr>
            </w:pPr>
          </w:p>
        </w:tc>
        <w:tc>
          <w:tcPr>
            <w:tcW w:w="283" w:type="pct"/>
            <w:shd w:val="clear" w:color="auto" w:fill="auto"/>
            <w:vAlign w:val="bottom"/>
          </w:tcPr>
          <w:p w14:paraId="5A1AF3F3" w14:textId="77777777" w:rsidR="00960BB8" w:rsidRDefault="00960BB8">
            <w:pPr>
              <w:rPr>
                <w:rFonts w:ascii="宋体"/>
              </w:rPr>
            </w:pPr>
          </w:p>
        </w:tc>
        <w:tc>
          <w:tcPr>
            <w:tcW w:w="5" w:type="pct"/>
            <w:shd w:val="clear" w:color="auto" w:fill="auto"/>
            <w:vAlign w:val="bottom"/>
          </w:tcPr>
          <w:p w14:paraId="5A1AF3F4" w14:textId="77777777" w:rsidR="00960BB8" w:rsidRDefault="00960BB8">
            <w:pPr>
              <w:rPr>
                <w:rFonts w:ascii="宋体"/>
              </w:rPr>
            </w:pPr>
          </w:p>
        </w:tc>
        <w:tc>
          <w:tcPr>
            <w:tcW w:w="50" w:type="pct"/>
            <w:shd w:val="clear" w:color="auto" w:fill="auto"/>
            <w:vAlign w:val="bottom"/>
          </w:tcPr>
          <w:p w14:paraId="5A1AF3F5" w14:textId="77777777" w:rsidR="00960BB8" w:rsidRDefault="00960BB8">
            <w:pPr>
              <w:rPr>
                <w:rFonts w:ascii="宋体"/>
              </w:rPr>
            </w:pPr>
          </w:p>
        </w:tc>
        <w:tc>
          <w:tcPr>
            <w:tcW w:w="2656" w:type="pct"/>
            <w:shd w:val="clear" w:color="auto" w:fill="auto"/>
            <w:vAlign w:val="bottom"/>
          </w:tcPr>
          <w:p w14:paraId="5A1AF3F6" w14:textId="77777777" w:rsidR="00960BB8" w:rsidRDefault="00960BB8">
            <w:pPr>
              <w:rPr>
                <w:rFonts w:ascii="宋体"/>
              </w:rPr>
            </w:pPr>
          </w:p>
        </w:tc>
        <w:tc>
          <w:tcPr>
            <w:tcW w:w="5" w:type="pct"/>
            <w:shd w:val="clear" w:color="auto" w:fill="auto"/>
            <w:vAlign w:val="bottom"/>
          </w:tcPr>
          <w:p w14:paraId="5A1AF3F7" w14:textId="77777777" w:rsidR="00960BB8" w:rsidRDefault="00960BB8">
            <w:pPr>
              <w:rPr>
                <w:rFonts w:ascii="宋体"/>
              </w:rPr>
            </w:pPr>
          </w:p>
        </w:tc>
        <w:tc>
          <w:tcPr>
            <w:tcW w:w="50" w:type="pct"/>
            <w:shd w:val="clear" w:color="auto" w:fill="auto"/>
            <w:vAlign w:val="bottom"/>
          </w:tcPr>
          <w:p w14:paraId="5A1AF3F8" w14:textId="77777777" w:rsidR="00960BB8" w:rsidRDefault="00960BB8">
            <w:pPr>
              <w:rPr>
                <w:rFonts w:ascii="宋体"/>
              </w:rPr>
            </w:pPr>
          </w:p>
        </w:tc>
        <w:tc>
          <w:tcPr>
            <w:tcW w:w="1894" w:type="pct"/>
            <w:shd w:val="clear" w:color="auto" w:fill="auto"/>
            <w:vAlign w:val="bottom"/>
          </w:tcPr>
          <w:p w14:paraId="5A1AF3F9" w14:textId="77777777" w:rsidR="00960BB8" w:rsidRDefault="00960BB8">
            <w:pPr>
              <w:rPr>
                <w:rFonts w:ascii="宋体"/>
              </w:rPr>
            </w:pPr>
          </w:p>
        </w:tc>
        <w:tc>
          <w:tcPr>
            <w:tcW w:w="5" w:type="pct"/>
            <w:shd w:val="clear" w:color="auto" w:fill="auto"/>
            <w:vAlign w:val="bottom"/>
          </w:tcPr>
          <w:p w14:paraId="5A1AF3FA" w14:textId="77777777" w:rsidR="00960BB8" w:rsidRDefault="00960BB8">
            <w:pPr>
              <w:rPr>
                <w:rFonts w:ascii="宋体"/>
              </w:rPr>
            </w:pPr>
          </w:p>
        </w:tc>
      </w:tr>
      <w:tr w:rsidR="00960BB8" w14:paraId="5A1AF3F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3FC"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35" wp14:editId="5A1B4336">
                  <wp:extent cx="304800" cy="304800"/>
                  <wp:effectExtent l="0" t="0" r="0" b="0"/>
                  <wp:docPr id="103" name="图片 5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3FD"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3FE" w14:textId="77777777" w:rsidR="00960BB8" w:rsidRDefault="00C06650">
            <w:pPr>
              <w:jc w:val="right"/>
              <w:textAlignment w:val="center"/>
            </w:pPr>
            <w:r>
              <w:rPr>
                <w:rFonts w:ascii="Arial" w:eastAsia="宋体" w:hAnsi="Arial" w:cs="Arial"/>
                <w:color w:val="262626"/>
                <w:sz w:val="16"/>
                <w:szCs w:val="16"/>
              </w:rPr>
              <w:t>7</w:t>
            </w:r>
          </w:p>
        </w:tc>
      </w:tr>
    </w:tbl>
    <w:p w14:paraId="5A1AF400" w14:textId="77777777" w:rsidR="00960BB8" w:rsidRDefault="00C06650">
      <w:r>
        <w:pict w14:anchorId="5A1B4337">
          <v:rect id="_x0000_i1033" style="width:415.3pt;height:1.5pt" o:hralign="center" o:hrstd="t" o:hr="t" fillcolor="#a0a0a0" stroked="f"/>
        </w:pict>
      </w:r>
    </w:p>
    <w:p w14:paraId="5A1AF401" w14:textId="77777777" w:rsidR="00960BB8" w:rsidRDefault="00C06650">
      <w:pPr>
        <w:spacing w:after="180"/>
        <w:jc w:val="right"/>
      </w:pPr>
      <w:hyperlink r:id="rId36" w:anchor="i8aaa7b4dbd2e419ca0f5c30af85a11aa_16" w:history="1">
        <w:r>
          <w:rPr>
            <w:rStyle w:val="a5"/>
            <w:rFonts w:ascii="Arial" w:eastAsia="宋体" w:hAnsi="Arial" w:cs="Arial"/>
            <w:sz w:val="18"/>
            <w:szCs w:val="18"/>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405" w14:textId="77777777">
        <w:tc>
          <w:tcPr>
            <w:tcW w:w="50" w:type="pct"/>
            <w:shd w:val="clear" w:color="auto" w:fill="auto"/>
            <w:vAlign w:val="bottom"/>
          </w:tcPr>
          <w:p w14:paraId="5A1AF402" w14:textId="77777777" w:rsidR="00960BB8" w:rsidRDefault="00960BB8">
            <w:pPr>
              <w:rPr>
                <w:rFonts w:ascii="宋体"/>
              </w:rPr>
            </w:pPr>
          </w:p>
        </w:tc>
        <w:tc>
          <w:tcPr>
            <w:tcW w:w="4945" w:type="pct"/>
            <w:shd w:val="clear" w:color="auto" w:fill="auto"/>
            <w:vAlign w:val="bottom"/>
          </w:tcPr>
          <w:p w14:paraId="5A1AF403" w14:textId="77777777" w:rsidR="00960BB8" w:rsidRDefault="00960BB8">
            <w:pPr>
              <w:rPr>
                <w:rFonts w:ascii="宋体"/>
              </w:rPr>
            </w:pPr>
          </w:p>
        </w:tc>
        <w:tc>
          <w:tcPr>
            <w:tcW w:w="5" w:type="pct"/>
            <w:shd w:val="clear" w:color="auto" w:fill="auto"/>
            <w:vAlign w:val="bottom"/>
          </w:tcPr>
          <w:p w14:paraId="5A1AF404" w14:textId="77777777" w:rsidR="00960BB8" w:rsidRDefault="00960BB8">
            <w:pPr>
              <w:rPr>
                <w:rFonts w:ascii="宋体"/>
              </w:rPr>
            </w:pPr>
          </w:p>
        </w:tc>
      </w:tr>
      <w:tr w:rsidR="00960BB8" w14:paraId="5A1AF407"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406" w14:textId="77777777" w:rsidR="00960BB8" w:rsidRDefault="00C06650">
            <w:pPr>
              <w:textAlignment w:val="bottom"/>
            </w:pPr>
            <w:r>
              <w:rPr>
                <w:rFonts w:ascii="Arial" w:eastAsia="宋体" w:hAnsi="Arial" w:cs="Arial"/>
                <w:color w:val="0068B5"/>
                <w:sz w:val="20"/>
                <w:szCs w:val="20"/>
              </w:rPr>
              <w:t>Open Platforms</w:t>
            </w:r>
          </w:p>
        </w:tc>
      </w:tr>
    </w:tbl>
    <w:p w14:paraId="5A1AF408" w14:textId="77777777" w:rsidR="00960BB8" w:rsidRDefault="00C06650">
      <w:pPr>
        <w:spacing w:after="180"/>
      </w:pPr>
      <w:r>
        <w:rPr>
          <w:rFonts w:ascii="Arial" w:eastAsia="宋体" w:hAnsi="Arial" w:cs="Arial"/>
          <w:color w:val="0068B5"/>
          <w:sz w:val="18"/>
          <w:szCs w:val="18"/>
        </w:rPr>
        <w:t xml:space="preserve">We aim to deliver open software and hardware platforms with </w:t>
      </w:r>
      <w:r>
        <w:rPr>
          <w:rFonts w:ascii="Arial" w:eastAsia="宋体" w:hAnsi="Arial" w:cs="Arial"/>
          <w:color w:val="0068B5"/>
          <w:sz w:val="18"/>
          <w:szCs w:val="18"/>
        </w:rPr>
        <w:t>industry-defining standards</w:t>
      </w:r>
      <w:r>
        <w:rPr>
          <w:rFonts w:ascii="Arial" w:eastAsia="宋体" w:hAnsi="Arial" w:cs="Arial"/>
          <w:color w:val="262626"/>
          <w:sz w:val="18"/>
          <w:szCs w:val="18"/>
        </w:rPr>
        <w:t>. Around the globe, companies are building their networks, systems, and solutions on open standards-based platforms. Intel has helped set the stage for this movement, with our historic contributions in developing standards such a</w:t>
      </w:r>
      <w:r>
        <w:rPr>
          <w:rFonts w:ascii="Arial" w:eastAsia="宋体" w:hAnsi="Arial" w:cs="Arial"/>
          <w:color w:val="262626"/>
          <w:sz w:val="18"/>
          <w:szCs w:val="18"/>
        </w:rPr>
        <w:t xml:space="preserve">s CXL, Thunderbolt™, and PCI Express* (PCIe*). We also contributed to the design, build, and validation of open-source products in the industry such as Linux*, Android*, and others. The world's developers constantly innovate and expand the capabilities of </w:t>
      </w:r>
      <w:r>
        <w:rPr>
          <w:rFonts w:ascii="Arial" w:eastAsia="宋体" w:hAnsi="Arial" w:cs="Arial"/>
          <w:color w:val="262626"/>
          <w:sz w:val="18"/>
          <w:szCs w:val="18"/>
        </w:rPr>
        <w:t>these open platforms while increasing their stability, reliability, and security. In addition, microservices have enabled the development of flexible, loosely coupled services that are connected via application programming interfaces to create end-to-end p</w:t>
      </w:r>
      <w:r>
        <w:rPr>
          <w:rFonts w:ascii="Arial" w:eastAsia="宋体" w:hAnsi="Arial" w:cs="Arial"/>
          <w:color w:val="262626"/>
          <w:sz w:val="18"/>
          <w:szCs w:val="18"/>
        </w:rPr>
        <w:t>rocesses. We use industry collaboration, co-engineering, and open-source contributions to accelerate software innovation. Through our oneAPI initiative, developers use a unified language across CPUs, GPUs, and FPGAs to cut down on development time and to e</w:t>
      </w:r>
      <w:r>
        <w:rPr>
          <w:rFonts w:ascii="Arial" w:eastAsia="宋体" w:hAnsi="Arial" w:cs="Arial"/>
          <w:color w:val="262626"/>
          <w:sz w:val="18"/>
          <w:szCs w:val="18"/>
        </w:rPr>
        <w:t>nhance productivity. We also deliver a steady stream of open-source code and optimizations for projects across virtually every platform and usage model. We are committed to co-engineering and jointly designing, building, and validating new products with so</w:t>
      </w:r>
      <w:r>
        <w:rPr>
          <w:rFonts w:ascii="Arial" w:eastAsia="宋体" w:hAnsi="Arial" w:cs="Arial"/>
          <w:color w:val="262626"/>
          <w:sz w:val="18"/>
          <w:szCs w:val="18"/>
        </w:rPr>
        <w:t xml:space="preserve">ftware industry leaders to accelerate mutual technology advancements and help new software and hardware work better together. Our commitment extends to developers through our developer-first approach based on openness, choice, and trust. </w:t>
      </w:r>
    </w:p>
    <w:p w14:paraId="5A1AF409" w14:textId="77777777" w:rsidR="00960BB8" w:rsidRDefault="00C06650">
      <w:pPr>
        <w:spacing w:after="180"/>
      </w:pPr>
      <w:r>
        <w:rPr>
          <w:rFonts w:ascii="Arial" w:eastAsia="宋体" w:hAnsi="Arial" w:cs="Arial"/>
          <w:color w:val="262626"/>
          <w:sz w:val="18"/>
          <w:szCs w:val="18"/>
        </w:rPr>
        <w:t>Ultimately, we be</w:t>
      </w:r>
      <w:r>
        <w:rPr>
          <w:rFonts w:ascii="Arial" w:eastAsia="宋体" w:hAnsi="Arial" w:cs="Arial"/>
          <w:color w:val="262626"/>
          <w:sz w:val="18"/>
          <w:szCs w:val="18"/>
        </w:rPr>
        <w:t>lieve our pivot to a software-defined, silicon-enhanced strategy will enable us to realize value at all layers of the stack. This should allow us to continue to monetize foundational and ecosystem enabling software through hardware sales, limited licensing</w:t>
      </w:r>
      <w:r>
        <w:rPr>
          <w:rFonts w:ascii="Arial" w:eastAsia="宋体" w:hAnsi="Arial" w:cs="Arial"/>
          <w:color w:val="262626"/>
          <w:sz w:val="18"/>
          <w:szCs w:val="18"/>
        </w:rPr>
        <w:t>, and customer-enabling service offerings. Additionally, we intend to expand our software portfolio by developing and monetizing software solutions, services, and platforms with SaaS, software subscriptions, and other business models. We expect to focus on</w:t>
      </w:r>
      <w:r>
        <w:rPr>
          <w:rFonts w:ascii="Arial" w:eastAsia="宋体" w:hAnsi="Arial" w:cs="Arial"/>
          <w:color w:val="262626"/>
          <w:sz w:val="18"/>
          <w:szCs w:val="18"/>
        </w:rPr>
        <w:t xml:space="preserve"> applied AI, trust and security, and cloud performance for our SaaS and subscription-based software and we plan to launch our first security SaaS product, Project Amber (an independent attestation service), in 2023.</w:t>
      </w:r>
    </w:p>
    <w:tbl>
      <w:tblPr>
        <w:tblW w:w="5000" w:type="pct"/>
        <w:tblCellMar>
          <w:top w:w="15" w:type="dxa"/>
          <w:left w:w="15" w:type="dxa"/>
          <w:bottom w:w="15" w:type="dxa"/>
          <w:right w:w="15" w:type="dxa"/>
        </w:tblCellMar>
        <w:tblLook w:val="04A0" w:firstRow="1" w:lastRow="0" w:firstColumn="1" w:lastColumn="0" w:noHBand="0" w:noVBand="1"/>
      </w:tblPr>
      <w:tblGrid>
        <w:gridCol w:w="69"/>
        <w:gridCol w:w="8159"/>
        <w:gridCol w:w="36"/>
        <w:gridCol w:w="36"/>
        <w:gridCol w:w="36"/>
      </w:tblGrid>
      <w:tr w:rsidR="00960BB8" w14:paraId="5A1AF40F" w14:textId="77777777">
        <w:tc>
          <w:tcPr>
            <w:tcW w:w="50" w:type="pct"/>
            <w:shd w:val="clear" w:color="auto" w:fill="auto"/>
            <w:vAlign w:val="bottom"/>
          </w:tcPr>
          <w:p w14:paraId="5A1AF40A" w14:textId="77777777" w:rsidR="00960BB8" w:rsidRDefault="00960BB8">
            <w:pPr>
              <w:rPr>
                <w:rFonts w:ascii="宋体"/>
              </w:rPr>
            </w:pPr>
          </w:p>
        </w:tc>
        <w:tc>
          <w:tcPr>
            <w:tcW w:w="4945" w:type="pct"/>
            <w:shd w:val="clear" w:color="auto" w:fill="auto"/>
            <w:vAlign w:val="bottom"/>
          </w:tcPr>
          <w:p w14:paraId="5A1AF40B" w14:textId="77777777" w:rsidR="00960BB8" w:rsidRDefault="00960BB8">
            <w:pPr>
              <w:rPr>
                <w:rFonts w:ascii="宋体"/>
              </w:rPr>
            </w:pPr>
          </w:p>
        </w:tc>
        <w:tc>
          <w:tcPr>
            <w:tcW w:w="5" w:type="pct"/>
            <w:shd w:val="clear" w:color="auto" w:fill="auto"/>
            <w:vAlign w:val="bottom"/>
          </w:tcPr>
          <w:p w14:paraId="5A1AF40C" w14:textId="77777777" w:rsidR="00960BB8" w:rsidRDefault="00960BB8">
            <w:pPr>
              <w:rPr>
                <w:rFonts w:ascii="宋体"/>
              </w:rPr>
            </w:pPr>
          </w:p>
        </w:tc>
        <w:tc>
          <w:tcPr>
            <w:tcW w:w="0" w:type="auto"/>
            <w:shd w:val="clear" w:color="auto" w:fill="auto"/>
            <w:vAlign w:val="bottom"/>
          </w:tcPr>
          <w:p w14:paraId="5A1AF40D" w14:textId="77777777" w:rsidR="00960BB8" w:rsidRDefault="00960BB8">
            <w:pPr>
              <w:rPr>
                <w:rFonts w:ascii="宋体"/>
                <w:vanish/>
              </w:rPr>
            </w:pPr>
          </w:p>
        </w:tc>
        <w:tc>
          <w:tcPr>
            <w:tcW w:w="0" w:type="auto"/>
            <w:shd w:val="clear" w:color="auto" w:fill="auto"/>
            <w:vAlign w:val="bottom"/>
          </w:tcPr>
          <w:p w14:paraId="5A1AF40E" w14:textId="77777777" w:rsidR="00960BB8" w:rsidRDefault="00960BB8">
            <w:pPr>
              <w:rPr>
                <w:rFonts w:ascii="宋体"/>
                <w:vanish/>
              </w:rPr>
            </w:pPr>
          </w:p>
        </w:tc>
      </w:tr>
      <w:tr w:rsidR="00960BB8" w14:paraId="5A1AF413"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410" w14:textId="77777777" w:rsidR="00960BB8" w:rsidRDefault="00C06650">
            <w:pPr>
              <w:textAlignment w:val="bottom"/>
            </w:pPr>
            <w:r>
              <w:rPr>
                <w:rFonts w:ascii="Arial" w:eastAsia="宋体" w:hAnsi="Arial" w:cs="Arial"/>
                <w:color w:val="0068B5"/>
                <w:sz w:val="20"/>
                <w:szCs w:val="20"/>
              </w:rPr>
              <w:t xml:space="preserve">Manufacturing at Scale </w:t>
            </w:r>
          </w:p>
        </w:tc>
        <w:tc>
          <w:tcPr>
            <w:tcW w:w="0" w:type="auto"/>
            <w:shd w:val="clear" w:color="auto" w:fill="auto"/>
            <w:vAlign w:val="bottom"/>
          </w:tcPr>
          <w:p w14:paraId="5A1AF411" w14:textId="77777777" w:rsidR="00960BB8" w:rsidRDefault="00960BB8">
            <w:pPr>
              <w:rPr>
                <w:rFonts w:ascii="宋体"/>
                <w:vanish/>
              </w:rPr>
            </w:pPr>
          </w:p>
        </w:tc>
        <w:tc>
          <w:tcPr>
            <w:tcW w:w="0" w:type="auto"/>
            <w:shd w:val="clear" w:color="auto" w:fill="auto"/>
            <w:vAlign w:val="bottom"/>
          </w:tcPr>
          <w:p w14:paraId="5A1AF412" w14:textId="77777777" w:rsidR="00960BB8" w:rsidRDefault="00960BB8">
            <w:pPr>
              <w:rPr>
                <w:rFonts w:ascii="宋体"/>
                <w:vanish/>
              </w:rPr>
            </w:pPr>
          </w:p>
        </w:tc>
      </w:tr>
    </w:tbl>
    <w:p w14:paraId="5A1AF414" w14:textId="77777777" w:rsidR="00960BB8" w:rsidRDefault="00C06650">
      <w:pPr>
        <w:spacing w:after="180"/>
      </w:pPr>
      <w:r>
        <w:rPr>
          <w:rFonts w:ascii="Arial" w:eastAsia="宋体" w:hAnsi="Arial" w:cs="Arial"/>
          <w:color w:val="0068B5"/>
          <w:sz w:val="18"/>
          <w:szCs w:val="18"/>
        </w:rPr>
        <w:t>IDM 2.0, the next evolution and expansion of our IDM model, is a differentiated strategy that combines three capabilities:</w:t>
      </w:r>
    </w:p>
    <w:p w14:paraId="5A1AF415" w14:textId="77777777" w:rsidR="00960BB8" w:rsidRDefault="00C06650">
      <w:pPr>
        <w:spacing w:after="180"/>
      </w:pPr>
      <w:r>
        <w:rPr>
          <w:rFonts w:ascii="Arial" w:eastAsia="宋体" w:hAnsi="Arial" w:cs="Arial"/>
          <w:color w:val="0068B5"/>
          <w:sz w:val="18"/>
          <w:szCs w:val="18"/>
        </w:rPr>
        <w:t>Internal factory network.</w:t>
      </w:r>
      <w:r>
        <w:rPr>
          <w:rFonts w:ascii="Arial" w:eastAsia="宋体" w:hAnsi="Arial" w:cs="Arial"/>
          <w:color w:val="262626"/>
          <w:sz w:val="18"/>
          <w:szCs w:val="18"/>
        </w:rPr>
        <w:t> Our global, internal factory network has been foundational to our success, enabl</w:t>
      </w:r>
      <w:r>
        <w:rPr>
          <w:rFonts w:ascii="Arial" w:eastAsia="宋体" w:hAnsi="Arial" w:cs="Arial"/>
          <w:color w:val="262626"/>
          <w:sz w:val="18"/>
          <w:szCs w:val="18"/>
        </w:rPr>
        <w:t>ing product optimization, improved economics, and supply resilience. We intend to remain a leading developer of process technology and a major manufacturer of semiconductors and will continue to build the majority of our products in our factories.</w:t>
      </w:r>
    </w:p>
    <w:p w14:paraId="5A1AF416" w14:textId="77777777" w:rsidR="00960BB8" w:rsidRDefault="00C06650">
      <w:pPr>
        <w:spacing w:after="180"/>
      </w:pPr>
      <w:r>
        <w:rPr>
          <w:rFonts w:ascii="Arial" w:eastAsia="宋体" w:hAnsi="Arial" w:cs="Arial"/>
          <w:color w:val="0068B5"/>
          <w:sz w:val="18"/>
          <w:szCs w:val="18"/>
        </w:rPr>
        <w:t>Strategi</w:t>
      </w:r>
      <w:r>
        <w:rPr>
          <w:rFonts w:ascii="Arial" w:eastAsia="宋体" w:hAnsi="Arial" w:cs="Arial"/>
          <w:color w:val="0068B5"/>
          <w:sz w:val="18"/>
          <w:szCs w:val="18"/>
        </w:rPr>
        <w:t>c use of foundry capacity.</w:t>
      </w:r>
      <w:r>
        <w:rPr>
          <w:rFonts w:ascii="Arial" w:eastAsia="宋体" w:hAnsi="Arial" w:cs="Arial"/>
          <w:color w:val="262626"/>
          <w:sz w:val="18"/>
          <w:szCs w:val="18"/>
        </w:rPr>
        <w:t xml:space="preserve"> We expect to expand our use of third-party foundry manufacturing capacity, which will provide us with increased flexibility and scale to optimize our product roadmaps for cost, performance, schedule, and supply. Our use of foundr</w:t>
      </w:r>
      <w:r>
        <w:rPr>
          <w:rFonts w:ascii="Arial" w:eastAsia="宋体" w:hAnsi="Arial" w:cs="Arial"/>
          <w:color w:val="262626"/>
          <w:sz w:val="18"/>
          <w:szCs w:val="18"/>
        </w:rPr>
        <w:t xml:space="preserve">y capacity will include manufacturing for a range of modular tiles on advanced process technologies. </w:t>
      </w:r>
    </w:p>
    <w:p w14:paraId="5A1AF417" w14:textId="77777777" w:rsidR="00960BB8" w:rsidRDefault="00C06650">
      <w:pPr>
        <w:spacing w:after="180"/>
      </w:pPr>
      <w:r>
        <w:rPr>
          <w:rFonts w:ascii="Arial" w:eastAsia="宋体" w:hAnsi="Arial" w:cs="Arial"/>
          <w:color w:val="0068B5"/>
          <w:sz w:val="18"/>
          <w:szCs w:val="18"/>
        </w:rPr>
        <w:t>System foundry.</w:t>
      </w:r>
      <w:r>
        <w:rPr>
          <w:rFonts w:ascii="Arial" w:eastAsia="宋体" w:hAnsi="Arial" w:cs="Arial"/>
          <w:b/>
          <w:bCs/>
          <w:color w:val="262626"/>
          <w:sz w:val="18"/>
          <w:szCs w:val="18"/>
        </w:rPr>
        <w:t xml:space="preserve"> </w:t>
      </w:r>
      <w:r>
        <w:rPr>
          <w:rFonts w:ascii="Arial" w:eastAsia="宋体" w:hAnsi="Arial" w:cs="Arial"/>
          <w:color w:val="262626"/>
          <w:sz w:val="18"/>
          <w:szCs w:val="18"/>
        </w:rPr>
        <w:t xml:space="preserve">We are building a world-class foundry business to meet the growing long-term global demand for semiconductors. We plan to </w:t>
      </w:r>
      <w:r>
        <w:rPr>
          <w:rFonts w:ascii="Arial" w:eastAsia="宋体" w:hAnsi="Arial" w:cs="Arial"/>
          <w:color w:val="262626"/>
          <w:sz w:val="18"/>
          <w:szCs w:val="18"/>
        </w:rPr>
        <w:t xml:space="preserve">differentiate our foundry offerings from those of others through a combination of leading-edge packaging and process technology, committed capacity in the US and Europe available for customers globally, and a world-class IP portfolio that will include x86 </w:t>
      </w:r>
      <w:r>
        <w:rPr>
          <w:rFonts w:ascii="Arial" w:eastAsia="宋体" w:hAnsi="Arial" w:cs="Arial"/>
          <w:color w:val="262626"/>
          <w:sz w:val="18"/>
          <w:szCs w:val="18"/>
        </w:rPr>
        <w:t>cores, as well as other ecosystem IP. The current foundry model enabled explosion of ecosystem innovation at the wafer level. We believe this established model has historically served the industry well, but a new mindset is needed in our new era of chipmak</w:t>
      </w:r>
      <w:r>
        <w:rPr>
          <w:rFonts w:ascii="Arial" w:eastAsia="宋体" w:hAnsi="Arial" w:cs="Arial"/>
          <w:color w:val="262626"/>
          <w:sz w:val="18"/>
          <w:szCs w:val="18"/>
        </w:rPr>
        <w:t>ing. As innovation evolves, we see the rack has collapsed into a system and the system has collapsed into an advanced package. We are building out a system foundry that has four components: wafer fabrication, packaging, chiplet standard, and software.</w:t>
      </w:r>
    </w:p>
    <w:p w14:paraId="5A1AF418" w14:textId="77777777" w:rsidR="00960BB8" w:rsidRDefault="00C06650">
      <w:pPr>
        <w:spacing w:after="180"/>
      </w:pPr>
      <w:r>
        <w:rPr>
          <w:rFonts w:ascii="Arial" w:eastAsia="宋体" w:hAnsi="Arial" w:cs="Arial"/>
          <w:color w:val="262626"/>
          <w:sz w:val="18"/>
          <w:szCs w:val="18"/>
        </w:rPr>
        <w:t xml:space="preserve">The </w:t>
      </w:r>
      <w:r>
        <w:rPr>
          <w:rFonts w:ascii="Arial" w:eastAsia="宋体" w:hAnsi="Arial" w:cs="Arial"/>
          <w:color w:val="262626"/>
          <w:sz w:val="18"/>
          <w:szCs w:val="18"/>
        </w:rPr>
        <w:t>system foundry involves engaging with customers at multiple levels, from basic wafer manufacturing to helping define and implement their desired system architecture. We intend to build our customers' silicon designs and deliver full end-to-end customizable</w:t>
      </w:r>
      <w:r>
        <w:rPr>
          <w:rFonts w:ascii="Arial" w:eastAsia="宋体" w:hAnsi="Arial" w:cs="Arial"/>
          <w:color w:val="262626"/>
          <w:sz w:val="18"/>
          <w:szCs w:val="18"/>
        </w:rPr>
        <w:t xml:space="preserve"> products built with our advanced packaging technology. </w:t>
      </w:r>
    </w:p>
    <w:p w14:paraId="5A1AF419" w14:textId="77777777" w:rsidR="00960BB8" w:rsidRDefault="00C06650">
      <w:pPr>
        <w:spacing w:after="180"/>
      </w:pPr>
      <w:r>
        <w:rPr>
          <w:rFonts w:ascii="Arial" w:eastAsia="宋体" w:hAnsi="Arial" w:cs="Arial"/>
          <w:color w:val="262626"/>
          <w:sz w:val="18"/>
          <w:szCs w:val="18"/>
        </w:rPr>
        <w:t>We believe our IDM 2.0 strategy enables us to deliver leading process technology and products to meet growing long-term demand using internal and external capacity, while leveraging our core strength</w:t>
      </w:r>
      <w:r>
        <w:rPr>
          <w:rFonts w:ascii="Arial" w:eastAsia="宋体" w:hAnsi="Arial" w:cs="Arial"/>
          <w:color w:val="262626"/>
          <w:sz w:val="18"/>
          <w:szCs w:val="18"/>
        </w:rPr>
        <w:t>s to provide foundry services to others and providing superior capacity, supply resilience, and an advantageous cost structure.</w:t>
      </w:r>
    </w:p>
    <w:tbl>
      <w:tblPr>
        <w:tblW w:w="5000" w:type="pct"/>
        <w:tblCellMar>
          <w:top w:w="15" w:type="dxa"/>
          <w:left w:w="15" w:type="dxa"/>
          <w:bottom w:w="15" w:type="dxa"/>
          <w:right w:w="15" w:type="dxa"/>
        </w:tblCellMar>
        <w:tblLook w:val="04A0" w:firstRow="1" w:lastRow="0" w:firstColumn="1" w:lastColumn="0" w:noHBand="0" w:noVBand="1"/>
      </w:tblPr>
      <w:tblGrid>
        <w:gridCol w:w="69"/>
        <w:gridCol w:w="8159"/>
        <w:gridCol w:w="36"/>
        <w:gridCol w:w="36"/>
        <w:gridCol w:w="36"/>
      </w:tblGrid>
      <w:tr w:rsidR="00960BB8" w14:paraId="5A1AF41F" w14:textId="77777777">
        <w:tc>
          <w:tcPr>
            <w:tcW w:w="50" w:type="pct"/>
            <w:shd w:val="clear" w:color="auto" w:fill="auto"/>
            <w:vAlign w:val="bottom"/>
          </w:tcPr>
          <w:p w14:paraId="5A1AF41A" w14:textId="77777777" w:rsidR="00960BB8" w:rsidRDefault="00960BB8">
            <w:pPr>
              <w:rPr>
                <w:rFonts w:ascii="宋体"/>
              </w:rPr>
            </w:pPr>
          </w:p>
        </w:tc>
        <w:tc>
          <w:tcPr>
            <w:tcW w:w="4945" w:type="pct"/>
            <w:shd w:val="clear" w:color="auto" w:fill="auto"/>
            <w:vAlign w:val="bottom"/>
          </w:tcPr>
          <w:p w14:paraId="5A1AF41B" w14:textId="77777777" w:rsidR="00960BB8" w:rsidRDefault="00960BB8">
            <w:pPr>
              <w:rPr>
                <w:rFonts w:ascii="宋体"/>
              </w:rPr>
            </w:pPr>
          </w:p>
        </w:tc>
        <w:tc>
          <w:tcPr>
            <w:tcW w:w="5" w:type="pct"/>
            <w:shd w:val="clear" w:color="auto" w:fill="auto"/>
            <w:vAlign w:val="bottom"/>
          </w:tcPr>
          <w:p w14:paraId="5A1AF41C" w14:textId="77777777" w:rsidR="00960BB8" w:rsidRDefault="00960BB8">
            <w:pPr>
              <w:rPr>
                <w:rFonts w:ascii="宋体"/>
              </w:rPr>
            </w:pPr>
          </w:p>
        </w:tc>
        <w:tc>
          <w:tcPr>
            <w:tcW w:w="0" w:type="auto"/>
            <w:shd w:val="clear" w:color="auto" w:fill="auto"/>
            <w:vAlign w:val="bottom"/>
          </w:tcPr>
          <w:p w14:paraId="5A1AF41D" w14:textId="77777777" w:rsidR="00960BB8" w:rsidRDefault="00960BB8">
            <w:pPr>
              <w:rPr>
                <w:rFonts w:ascii="宋体"/>
                <w:vanish/>
              </w:rPr>
            </w:pPr>
          </w:p>
        </w:tc>
        <w:tc>
          <w:tcPr>
            <w:tcW w:w="0" w:type="auto"/>
            <w:shd w:val="clear" w:color="auto" w:fill="auto"/>
            <w:vAlign w:val="bottom"/>
          </w:tcPr>
          <w:p w14:paraId="5A1AF41E" w14:textId="77777777" w:rsidR="00960BB8" w:rsidRDefault="00960BB8">
            <w:pPr>
              <w:rPr>
                <w:rFonts w:ascii="宋体"/>
                <w:vanish/>
              </w:rPr>
            </w:pPr>
          </w:p>
        </w:tc>
      </w:tr>
      <w:tr w:rsidR="00960BB8" w14:paraId="5A1AF423"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420" w14:textId="77777777" w:rsidR="00960BB8" w:rsidRDefault="00C06650">
            <w:pPr>
              <w:textAlignment w:val="bottom"/>
            </w:pPr>
            <w:r>
              <w:rPr>
                <w:rFonts w:ascii="Arial" w:eastAsia="宋体" w:hAnsi="Arial" w:cs="Arial"/>
                <w:color w:val="0068B5"/>
                <w:sz w:val="20"/>
                <w:szCs w:val="20"/>
              </w:rPr>
              <w:t>Our People</w:t>
            </w:r>
          </w:p>
        </w:tc>
        <w:tc>
          <w:tcPr>
            <w:tcW w:w="0" w:type="auto"/>
            <w:shd w:val="clear" w:color="auto" w:fill="auto"/>
            <w:vAlign w:val="bottom"/>
          </w:tcPr>
          <w:p w14:paraId="5A1AF421" w14:textId="77777777" w:rsidR="00960BB8" w:rsidRDefault="00960BB8">
            <w:pPr>
              <w:rPr>
                <w:rFonts w:ascii="宋体"/>
                <w:vanish/>
              </w:rPr>
            </w:pPr>
          </w:p>
        </w:tc>
        <w:tc>
          <w:tcPr>
            <w:tcW w:w="0" w:type="auto"/>
            <w:shd w:val="clear" w:color="auto" w:fill="auto"/>
            <w:vAlign w:val="bottom"/>
          </w:tcPr>
          <w:p w14:paraId="5A1AF422" w14:textId="77777777" w:rsidR="00960BB8" w:rsidRDefault="00960BB8">
            <w:pPr>
              <w:rPr>
                <w:rFonts w:ascii="宋体"/>
                <w:vanish/>
              </w:rPr>
            </w:pPr>
          </w:p>
        </w:tc>
      </w:tr>
    </w:tbl>
    <w:p w14:paraId="5A1AF424" w14:textId="77777777" w:rsidR="00960BB8" w:rsidRDefault="00C06650">
      <w:pPr>
        <w:spacing w:after="180"/>
      </w:pPr>
      <w:r>
        <w:rPr>
          <w:rFonts w:ascii="Arial" w:eastAsia="宋体" w:hAnsi="Arial" w:cs="Arial"/>
          <w:color w:val="0068B5"/>
          <w:sz w:val="18"/>
          <w:szCs w:val="18"/>
        </w:rPr>
        <w:t xml:space="preserve">Our world-class talent is at the heart of everything we do. Together we strive to have a positive effect on business, society, and the planet. </w:t>
      </w:r>
      <w:r>
        <w:rPr>
          <w:rFonts w:ascii="Arial" w:eastAsia="宋体" w:hAnsi="Arial" w:cs="Arial"/>
          <w:color w:val="262626"/>
          <w:sz w:val="18"/>
          <w:szCs w:val="18"/>
        </w:rPr>
        <w:t>Delivering on our strategy and growth ambitions requires attracting, developing, and retaining top talent from ac</w:t>
      </w:r>
      <w:r>
        <w:rPr>
          <w:rFonts w:ascii="Arial" w:eastAsia="宋体" w:hAnsi="Arial" w:cs="Arial"/>
          <w:color w:val="262626"/>
          <w:sz w:val="18"/>
          <w:szCs w:val="18"/>
        </w:rPr>
        <w:t xml:space="preserve">ross the world. Our people build our technology, unlock new business opportunities, and work with our partners and customers to create global impact. </w:t>
      </w:r>
    </w:p>
    <w:p w14:paraId="5A1AF425" w14:textId="77777777" w:rsidR="00960BB8" w:rsidRDefault="00C06650">
      <w:pPr>
        <w:spacing w:after="180"/>
      </w:pPr>
      <w:r>
        <w:rPr>
          <w:rFonts w:ascii="Arial" w:eastAsia="宋体" w:hAnsi="Arial" w:cs="Arial"/>
          <w:color w:val="262626"/>
          <w:sz w:val="18"/>
          <w:szCs w:val="18"/>
        </w:rPr>
        <w:t>Fostering a culture of empowerment, inclusion, and accountability is also core to our strategy. We are co</w:t>
      </w:r>
      <w:r>
        <w:rPr>
          <w:rFonts w:ascii="Arial" w:eastAsia="宋体" w:hAnsi="Arial" w:cs="Arial"/>
          <w:color w:val="262626"/>
          <w:sz w:val="18"/>
          <w:szCs w:val="18"/>
        </w:rPr>
        <w:t>mmitted to creating an inclusive workplace where the world’s best engineers and technologists can fulfill their dreams and create technology that improves the life of every person on the planet.</w:t>
      </w:r>
    </w:p>
    <w:p w14:paraId="5A1AF426" w14:textId="77777777" w:rsidR="00960BB8" w:rsidRDefault="00C06650">
      <w:pPr>
        <w:spacing w:after="180"/>
      </w:pPr>
      <w:r>
        <w:rPr>
          <w:rFonts w:ascii="Arial" w:eastAsia="宋体" w:hAnsi="Arial" w:cs="Arial"/>
          <w:color w:val="0068B5"/>
        </w:rPr>
        <w:t>Growth Imperative</w:t>
      </w:r>
    </w:p>
    <w:p w14:paraId="5A1AF427" w14:textId="77777777" w:rsidR="00960BB8" w:rsidRDefault="00C06650">
      <w:pPr>
        <w:spacing w:after="180"/>
      </w:pPr>
      <w:r>
        <w:rPr>
          <w:rFonts w:ascii="Arial" w:eastAsia="宋体" w:hAnsi="Arial" w:cs="Arial"/>
          <w:color w:val="262626"/>
          <w:sz w:val="18"/>
          <w:szCs w:val="18"/>
        </w:rPr>
        <w:t>We are investing to position the company for accelerated long-term growth, focusing on both our core businesses and our growth businesses. In our client and server businesses, our strategy is to invest to strengthen the competitiveness of our product roadm</w:t>
      </w:r>
      <w:r>
        <w:rPr>
          <w:rFonts w:ascii="Arial" w:eastAsia="宋体" w:hAnsi="Arial" w:cs="Arial"/>
          <w:color w:val="262626"/>
          <w:sz w:val="18"/>
          <w:szCs w:val="18"/>
        </w:rPr>
        <w:t xml:space="preserve">ap and to explore new opportunities. We believe we have significant opportunities to grow and gain share in graphics; mobility, including autonomous driving; networking and edge; and foundry services.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431" w14:textId="77777777">
        <w:tc>
          <w:tcPr>
            <w:tcW w:w="50" w:type="pct"/>
            <w:shd w:val="clear" w:color="auto" w:fill="auto"/>
            <w:vAlign w:val="bottom"/>
          </w:tcPr>
          <w:p w14:paraId="5A1AF428" w14:textId="77777777" w:rsidR="00960BB8" w:rsidRDefault="00960BB8">
            <w:pPr>
              <w:rPr>
                <w:rFonts w:ascii="宋体"/>
              </w:rPr>
            </w:pPr>
          </w:p>
        </w:tc>
        <w:tc>
          <w:tcPr>
            <w:tcW w:w="283" w:type="pct"/>
            <w:shd w:val="clear" w:color="auto" w:fill="auto"/>
            <w:vAlign w:val="bottom"/>
          </w:tcPr>
          <w:p w14:paraId="5A1AF429" w14:textId="77777777" w:rsidR="00960BB8" w:rsidRDefault="00960BB8">
            <w:pPr>
              <w:rPr>
                <w:rFonts w:ascii="宋体"/>
              </w:rPr>
            </w:pPr>
          </w:p>
        </w:tc>
        <w:tc>
          <w:tcPr>
            <w:tcW w:w="5" w:type="pct"/>
            <w:shd w:val="clear" w:color="auto" w:fill="auto"/>
            <w:vAlign w:val="bottom"/>
          </w:tcPr>
          <w:p w14:paraId="5A1AF42A" w14:textId="77777777" w:rsidR="00960BB8" w:rsidRDefault="00960BB8">
            <w:pPr>
              <w:rPr>
                <w:rFonts w:ascii="宋体"/>
              </w:rPr>
            </w:pPr>
          </w:p>
        </w:tc>
        <w:tc>
          <w:tcPr>
            <w:tcW w:w="50" w:type="pct"/>
            <w:shd w:val="clear" w:color="auto" w:fill="auto"/>
            <w:vAlign w:val="bottom"/>
          </w:tcPr>
          <w:p w14:paraId="5A1AF42B" w14:textId="77777777" w:rsidR="00960BB8" w:rsidRDefault="00960BB8">
            <w:pPr>
              <w:rPr>
                <w:rFonts w:ascii="宋体"/>
              </w:rPr>
            </w:pPr>
          </w:p>
        </w:tc>
        <w:tc>
          <w:tcPr>
            <w:tcW w:w="2656" w:type="pct"/>
            <w:shd w:val="clear" w:color="auto" w:fill="auto"/>
            <w:vAlign w:val="bottom"/>
          </w:tcPr>
          <w:p w14:paraId="5A1AF42C" w14:textId="77777777" w:rsidR="00960BB8" w:rsidRDefault="00960BB8">
            <w:pPr>
              <w:rPr>
                <w:rFonts w:ascii="宋体"/>
              </w:rPr>
            </w:pPr>
          </w:p>
        </w:tc>
        <w:tc>
          <w:tcPr>
            <w:tcW w:w="5" w:type="pct"/>
            <w:shd w:val="clear" w:color="auto" w:fill="auto"/>
            <w:vAlign w:val="bottom"/>
          </w:tcPr>
          <w:p w14:paraId="5A1AF42D" w14:textId="77777777" w:rsidR="00960BB8" w:rsidRDefault="00960BB8">
            <w:pPr>
              <w:rPr>
                <w:rFonts w:ascii="宋体"/>
              </w:rPr>
            </w:pPr>
          </w:p>
        </w:tc>
        <w:tc>
          <w:tcPr>
            <w:tcW w:w="50" w:type="pct"/>
            <w:shd w:val="clear" w:color="auto" w:fill="auto"/>
            <w:vAlign w:val="bottom"/>
          </w:tcPr>
          <w:p w14:paraId="5A1AF42E" w14:textId="77777777" w:rsidR="00960BB8" w:rsidRDefault="00960BB8">
            <w:pPr>
              <w:rPr>
                <w:rFonts w:ascii="宋体"/>
              </w:rPr>
            </w:pPr>
          </w:p>
        </w:tc>
        <w:tc>
          <w:tcPr>
            <w:tcW w:w="1894" w:type="pct"/>
            <w:shd w:val="clear" w:color="auto" w:fill="auto"/>
            <w:vAlign w:val="bottom"/>
          </w:tcPr>
          <w:p w14:paraId="5A1AF42F" w14:textId="77777777" w:rsidR="00960BB8" w:rsidRDefault="00960BB8">
            <w:pPr>
              <w:rPr>
                <w:rFonts w:ascii="宋体"/>
              </w:rPr>
            </w:pPr>
          </w:p>
        </w:tc>
        <w:tc>
          <w:tcPr>
            <w:tcW w:w="5" w:type="pct"/>
            <w:shd w:val="clear" w:color="auto" w:fill="auto"/>
            <w:vAlign w:val="bottom"/>
          </w:tcPr>
          <w:p w14:paraId="5A1AF430" w14:textId="77777777" w:rsidR="00960BB8" w:rsidRDefault="00960BB8">
            <w:pPr>
              <w:rPr>
                <w:rFonts w:ascii="宋体"/>
              </w:rPr>
            </w:pPr>
          </w:p>
        </w:tc>
      </w:tr>
      <w:tr w:rsidR="00960BB8" w14:paraId="5A1AF43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432"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38" wp14:editId="5A1B4339">
                  <wp:extent cx="304800" cy="304800"/>
                  <wp:effectExtent l="0" t="0" r="0" b="0"/>
                  <wp:docPr id="152" name="图片 5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5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433"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434" w14:textId="77777777" w:rsidR="00960BB8" w:rsidRDefault="00C06650">
            <w:pPr>
              <w:jc w:val="right"/>
              <w:textAlignment w:val="center"/>
            </w:pPr>
            <w:r>
              <w:rPr>
                <w:rFonts w:ascii="Arial" w:eastAsia="宋体" w:hAnsi="Arial" w:cs="Arial"/>
                <w:color w:val="262626"/>
                <w:sz w:val="16"/>
                <w:szCs w:val="16"/>
              </w:rPr>
              <w:t>8</w:t>
            </w:r>
          </w:p>
        </w:tc>
      </w:tr>
    </w:tbl>
    <w:p w14:paraId="5A1AF436" w14:textId="77777777" w:rsidR="00960BB8" w:rsidRDefault="00C06650">
      <w:r>
        <w:pict w14:anchorId="5A1B433A">
          <v:rect id="_x0000_i1034" style="width:415.3pt;height:1.5pt" o:hralign="center" o:hrstd="t" o:hr="t" fillcolor="#a0a0a0" stroked="f"/>
        </w:pict>
      </w:r>
    </w:p>
    <w:p w14:paraId="5A1AF437" w14:textId="77777777" w:rsidR="00960BB8" w:rsidRDefault="00C06650">
      <w:pPr>
        <w:spacing w:after="180"/>
        <w:jc w:val="right"/>
      </w:pPr>
      <w:hyperlink r:id="rId37" w:anchor="i8aaa7b4dbd2e419ca0f5c30af85a11aa_16" w:history="1">
        <w:r>
          <w:rPr>
            <w:rStyle w:val="a5"/>
            <w:rFonts w:ascii="Arial" w:eastAsia="宋体" w:hAnsi="Arial" w:cs="Arial"/>
            <w:sz w:val="18"/>
            <w:szCs w:val="18"/>
          </w:rPr>
          <w:t>Table of Contents</w:t>
        </w:r>
      </w:hyperlink>
    </w:p>
    <w:p w14:paraId="5A1AF438" w14:textId="77777777" w:rsidR="00960BB8" w:rsidRDefault="00C06650">
      <w:pPr>
        <w:spacing w:after="180"/>
      </w:pPr>
      <w:r>
        <w:rPr>
          <w:rFonts w:ascii="Arial" w:eastAsia="宋体" w:hAnsi="Arial" w:cs="Arial"/>
          <w:color w:val="0068B5"/>
        </w:rPr>
        <w:t>Focus on Innovation and Execution</w:t>
      </w:r>
    </w:p>
    <w:p w14:paraId="5A1AF439" w14:textId="77777777" w:rsidR="00960BB8" w:rsidRDefault="00C06650">
      <w:pPr>
        <w:spacing w:after="180"/>
      </w:pPr>
      <w:r>
        <w:rPr>
          <w:rFonts w:ascii="Arial" w:eastAsia="宋体" w:hAnsi="Arial" w:cs="Arial"/>
          <w:color w:val="262626"/>
          <w:sz w:val="18"/>
          <w:szCs w:val="18"/>
        </w:rPr>
        <w:t>We are focused on executing our product and proces</w:t>
      </w:r>
      <w:r>
        <w:rPr>
          <w:rFonts w:ascii="Arial" w:eastAsia="宋体" w:hAnsi="Arial" w:cs="Arial"/>
          <w:color w:val="262626"/>
          <w:sz w:val="18"/>
          <w:szCs w:val="18"/>
        </w:rPr>
        <w:t>s roadmap and accelerating our cadence of innovation. We have set a detailed process and packaging technology roadmap and announced key architectural innovations to further our goal of delivering leadership products in every area in which we compete. We ar</w:t>
      </w:r>
      <w:r>
        <w:rPr>
          <w:rFonts w:ascii="Arial" w:eastAsia="宋体" w:hAnsi="Arial" w:cs="Arial"/>
          <w:color w:val="262626"/>
          <w:sz w:val="18"/>
          <w:szCs w:val="18"/>
        </w:rPr>
        <w:t xml:space="preserve">e returning our culture to its roots in innovation and execution, drawing on principles established by our former CEO Andy Grove that emphasize discipline and accountability. This includes re-establishing OKRs throughout the organization to drive a common </w:t>
      </w:r>
      <w:r>
        <w:rPr>
          <w:rFonts w:ascii="Arial" w:eastAsia="宋体" w:hAnsi="Arial" w:cs="Arial"/>
          <w:color w:val="262626"/>
          <w:sz w:val="18"/>
          <w:szCs w:val="18"/>
        </w:rPr>
        <w:t>purpose.</w:t>
      </w:r>
    </w:p>
    <w:p w14:paraId="5A1AF43A" w14:textId="77777777" w:rsidR="00960BB8" w:rsidRDefault="00C06650">
      <w:pPr>
        <w:spacing w:after="180"/>
      </w:pPr>
      <w:r>
        <w:rPr>
          <w:rFonts w:ascii="Arial" w:eastAsia="宋体" w:hAnsi="Arial" w:cs="Arial"/>
          <w:color w:val="262626"/>
          <w:sz w:val="18"/>
          <w:szCs w:val="18"/>
        </w:rPr>
        <w:t>To help us execute toward our IDM 2.0 strategy, we are leveraging our Smart Capital approach. This approach is designed to enable us to adjust quickly to opportunities in the market, while managing our margin structure and capital spending. The ke</w:t>
      </w:r>
      <w:r>
        <w:rPr>
          <w:rFonts w:ascii="Arial" w:eastAsia="宋体" w:hAnsi="Arial" w:cs="Arial"/>
          <w:color w:val="262626"/>
          <w:sz w:val="18"/>
          <w:szCs w:val="18"/>
        </w:rPr>
        <w:t>y elements of Smart Capital include:</w:t>
      </w:r>
    </w:p>
    <w:p w14:paraId="5A1AF43B"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0068B5"/>
          <w:sz w:val="18"/>
          <w:szCs w:val="18"/>
        </w:rPr>
        <w:t xml:space="preserve">Smart capacity investments. </w:t>
      </w:r>
      <w:r>
        <w:rPr>
          <w:rFonts w:ascii="Arial" w:eastAsia="宋体" w:hAnsi="Arial" w:cs="Arial"/>
          <w:color w:val="262626"/>
          <w:sz w:val="18"/>
          <w:szCs w:val="18"/>
        </w:rPr>
        <w:t xml:space="preserve">We are aggressively building out manufacturing shell space, which gives us flexibility in how and when we bring additional capacity online based on milestone triggers such as product readiness, market conditions, and customer commitments. </w:t>
      </w:r>
    </w:p>
    <w:p w14:paraId="5A1AF43C"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0068B5"/>
          <w:sz w:val="18"/>
          <w:szCs w:val="18"/>
        </w:rPr>
        <w:t>Government ince</w:t>
      </w:r>
      <w:r>
        <w:rPr>
          <w:rFonts w:ascii="Arial" w:eastAsia="宋体" w:hAnsi="Arial" w:cs="Arial"/>
          <w:color w:val="0068B5"/>
          <w:sz w:val="18"/>
          <w:szCs w:val="18"/>
        </w:rPr>
        <w:t>ntives.</w:t>
      </w:r>
      <w:r>
        <w:rPr>
          <w:rFonts w:ascii="Arial" w:eastAsia="宋体" w:hAnsi="Arial" w:cs="Arial"/>
          <w:color w:val="262626"/>
          <w:sz w:val="18"/>
          <w:szCs w:val="18"/>
        </w:rPr>
        <w:t xml:space="preserve"> We are continuing to work with governments in the US and Europe to advance incentives for domestic manufacturing capacity for leading-edge semiconductors. </w:t>
      </w:r>
    </w:p>
    <w:p w14:paraId="5A1AF43D"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0068B5"/>
          <w:sz w:val="18"/>
          <w:szCs w:val="18"/>
        </w:rPr>
        <w:t>SCIP.</w:t>
      </w:r>
      <w:r>
        <w:rPr>
          <w:rFonts w:ascii="Arial" w:eastAsia="宋体" w:hAnsi="Arial" w:cs="Arial"/>
          <w:color w:val="262626"/>
          <w:sz w:val="18"/>
          <w:szCs w:val="18"/>
        </w:rPr>
        <w:t xml:space="preserve"> We are accessing strategically aligned capital to increase our flexibility and help e</w:t>
      </w:r>
      <w:r>
        <w:rPr>
          <w:rFonts w:ascii="Arial" w:eastAsia="宋体" w:hAnsi="Arial" w:cs="Arial"/>
          <w:color w:val="262626"/>
          <w:sz w:val="18"/>
          <w:szCs w:val="18"/>
        </w:rPr>
        <w:t>fficiently accelerate and scale manufacturing build-outs. This type of co-investment also demonstrates how private capital is unlocked and becomes a force multiplier for government incentives for semiconductor manufacturing expansion.</w:t>
      </w:r>
    </w:p>
    <w:p w14:paraId="5A1AF43E"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0068B5"/>
          <w:sz w:val="18"/>
          <w:szCs w:val="18"/>
        </w:rPr>
        <w:t>Customer commitments</w:t>
      </w:r>
      <w:r>
        <w:rPr>
          <w:rFonts w:ascii="Arial" w:eastAsia="宋体" w:hAnsi="Arial" w:cs="Arial"/>
          <w:color w:val="0068B5"/>
          <w:sz w:val="18"/>
          <w:szCs w:val="18"/>
        </w:rPr>
        <w:t>.</w:t>
      </w:r>
      <w:r>
        <w:rPr>
          <w:rFonts w:ascii="Arial" w:eastAsia="宋体" w:hAnsi="Arial" w:cs="Arial"/>
          <w:color w:val="262626"/>
          <w:sz w:val="18"/>
          <w:szCs w:val="18"/>
        </w:rPr>
        <w:t xml:space="preserve"> IFS is working closely with potential customers and exploring their willingness to make advance payments to secure capacity. This provides us with the advantage of committed volume, de-risking investments while providing capacity corridors for our foundr</w:t>
      </w:r>
      <w:r>
        <w:rPr>
          <w:rFonts w:ascii="Arial" w:eastAsia="宋体" w:hAnsi="Arial" w:cs="Arial"/>
          <w:color w:val="262626"/>
          <w:sz w:val="18"/>
          <w:szCs w:val="18"/>
        </w:rPr>
        <w:t>y customers.</w:t>
      </w:r>
    </w:p>
    <w:p w14:paraId="5A1AF43F"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0068B5"/>
          <w:sz w:val="18"/>
          <w:szCs w:val="18"/>
        </w:rPr>
        <w:t>External foundries.</w:t>
      </w:r>
      <w:r>
        <w:rPr>
          <w:rFonts w:ascii="Arial" w:eastAsia="宋体" w:hAnsi="Arial" w:cs="Arial"/>
          <w:color w:val="262626"/>
          <w:sz w:val="18"/>
          <w:szCs w:val="18"/>
        </w:rPr>
        <w:t xml:space="preserve"> We intend to continue our use of external foundries where their unique capabilities support our leadership products. </w:t>
      </w:r>
    </w:p>
    <w:p w14:paraId="5A1AF440"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44A" w14:textId="77777777">
        <w:tc>
          <w:tcPr>
            <w:tcW w:w="50" w:type="pct"/>
            <w:shd w:val="clear" w:color="auto" w:fill="auto"/>
            <w:vAlign w:val="bottom"/>
          </w:tcPr>
          <w:p w14:paraId="5A1AF441" w14:textId="77777777" w:rsidR="00960BB8" w:rsidRDefault="00960BB8">
            <w:pPr>
              <w:rPr>
                <w:rFonts w:ascii="宋体"/>
              </w:rPr>
            </w:pPr>
          </w:p>
        </w:tc>
        <w:tc>
          <w:tcPr>
            <w:tcW w:w="283" w:type="pct"/>
            <w:shd w:val="clear" w:color="auto" w:fill="auto"/>
            <w:vAlign w:val="bottom"/>
          </w:tcPr>
          <w:p w14:paraId="5A1AF442" w14:textId="77777777" w:rsidR="00960BB8" w:rsidRDefault="00960BB8">
            <w:pPr>
              <w:rPr>
                <w:rFonts w:ascii="宋体"/>
              </w:rPr>
            </w:pPr>
          </w:p>
        </w:tc>
        <w:tc>
          <w:tcPr>
            <w:tcW w:w="5" w:type="pct"/>
            <w:shd w:val="clear" w:color="auto" w:fill="auto"/>
            <w:vAlign w:val="bottom"/>
          </w:tcPr>
          <w:p w14:paraId="5A1AF443" w14:textId="77777777" w:rsidR="00960BB8" w:rsidRDefault="00960BB8">
            <w:pPr>
              <w:rPr>
                <w:rFonts w:ascii="宋体"/>
              </w:rPr>
            </w:pPr>
          </w:p>
        </w:tc>
        <w:tc>
          <w:tcPr>
            <w:tcW w:w="50" w:type="pct"/>
            <w:shd w:val="clear" w:color="auto" w:fill="auto"/>
            <w:vAlign w:val="bottom"/>
          </w:tcPr>
          <w:p w14:paraId="5A1AF444" w14:textId="77777777" w:rsidR="00960BB8" w:rsidRDefault="00960BB8">
            <w:pPr>
              <w:rPr>
                <w:rFonts w:ascii="宋体"/>
              </w:rPr>
            </w:pPr>
          </w:p>
        </w:tc>
        <w:tc>
          <w:tcPr>
            <w:tcW w:w="2656" w:type="pct"/>
            <w:shd w:val="clear" w:color="auto" w:fill="auto"/>
            <w:vAlign w:val="bottom"/>
          </w:tcPr>
          <w:p w14:paraId="5A1AF445" w14:textId="77777777" w:rsidR="00960BB8" w:rsidRDefault="00960BB8">
            <w:pPr>
              <w:rPr>
                <w:rFonts w:ascii="宋体"/>
              </w:rPr>
            </w:pPr>
          </w:p>
        </w:tc>
        <w:tc>
          <w:tcPr>
            <w:tcW w:w="5" w:type="pct"/>
            <w:shd w:val="clear" w:color="auto" w:fill="auto"/>
            <w:vAlign w:val="bottom"/>
          </w:tcPr>
          <w:p w14:paraId="5A1AF446" w14:textId="77777777" w:rsidR="00960BB8" w:rsidRDefault="00960BB8">
            <w:pPr>
              <w:rPr>
                <w:rFonts w:ascii="宋体"/>
              </w:rPr>
            </w:pPr>
          </w:p>
        </w:tc>
        <w:tc>
          <w:tcPr>
            <w:tcW w:w="50" w:type="pct"/>
            <w:shd w:val="clear" w:color="auto" w:fill="auto"/>
            <w:vAlign w:val="bottom"/>
          </w:tcPr>
          <w:p w14:paraId="5A1AF447" w14:textId="77777777" w:rsidR="00960BB8" w:rsidRDefault="00960BB8">
            <w:pPr>
              <w:rPr>
                <w:rFonts w:ascii="宋体"/>
              </w:rPr>
            </w:pPr>
          </w:p>
        </w:tc>
        <w:tc>
          <w:tcPr>
            <w:tcW w:w="1894" w:type="pct"/>
            <w:shd w:val="clear" w:color="auto" w:fill="auto"/>
            <w:vAlign w:val="bottom"/>
          </w:tcPr>
          <w:p w14:paraId="5A1AF448" w14:textId="77777777" w:rsidR="00960BB8" w:rsidRDefault="00960BB8">
            <w:pPr>
              <w:rPr>
                <w:rFonts w:ascii="宋体"/>
              </w:rPr>
            </w:pPr>
          </w:p>
        </w:tc>
        <w:tc>
          <w:tcPr>
            <w:tcW w:w="5" w:type="pct"/>
            <w:shd w:val="clear" w:color="auto" w:fill="auto"/>
            <w:vAlign w:val="bottom"/>
          </w:tcPr>
          <w:p w14:paraId="5A1AF449" w14:textId="77777777" w:rsidR="00960BB8" w:rsidRDefault="00960BB8">
            <w:pPr>
              <w:rPr>
                <w:rFonts w:ascii="宋体"/>
              </w:rPr>
            </w:pPr>
          </w:p>
        </w:tc>
      </w:tr>
      <w:tr w:rsidR="00960BB8" w14:paraId="5A1AF44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44B"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3B" wp14:editId="5A1B433C">
                  <wp:extent cx="304800" cy="304800"/>
                  <wp:effectExtent l="0" t="0" r="0" b="0"/>
                  <wp:docPr id="150" name="图片 5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8"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44C"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44D" w14:textId="77777777" w:rsidR="00960BB8" w:rsidRDefault="00C06650">
            <w:pPr>
              <w:jc w:val="right"/>
              <w:textAlignment w:val="center"/>
            </w:pPr>
            <w:r>
              <w:rPr>
                <w:rFonts w:ascii="Arial" w:eastAsia="宋体" w:hAnsi="Arial" w:cs="Arial"/>
                <w:color w:val="262626"/>
                <w:sz w:val="16"/>
                <w:szCs w:val="16"/>
              </w:rPr>
              <w:t>9</w:t>
            </w:r>
          </w:p>
        </w:tc>
      </w:tr>
    </w:tbl>
    <w:p w14:paraId="5A1AF44F" w14:textId="77777777" w:rsidR="00960BB8" w:rsidRDefault="00C06650">
      <w:r>
        <w:pict w14:anchorId="5A1B433D">
          <v:rect id="_x0000_i1035" style="width:415.3pt;height:1.5pt" o:hralign="center" o:hrstd="t" o:hr="t" fillcolor="#a0a0a0" stroked="f"/>
        </w:pict>
      </w:r>
    </w:p>
    <w:p w14:paraId="5A1AF450" w14:textId="77777777" w:rsidR="00960BB8" w:rsidRDefault="00C06650">
      <w:pPr>
        <w:spacing w:after="180"/>
        <w:jc w:val="right"/>
      </w:pPr>
      <w:hyperlink r:id="rId38" w:anchor="i8aaa7b4dbd2e419ca0f5c30af85a11aa_16" w:history="1">
        <w:r>
          <w:rPr>
            <w:rStyle w:val="a5"/>
            <w:rFonts w:ascii="Arial" w:eastAsia="宋体" w:hAnsi="Arial" w:cs="Arial"/>
            <w:sz w:val="18"/>
            <w:szCs w:val="18"/>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8092"/>
        <w:gridCol w:w="36"/>
        <w:gridCol w:w="36"/>
        <w:gridCol w:w="81"/>
        <w:gridCol w:w="36"/>
      </w:tblGrid>
      <w:tr w:rsidR="00960BB8" w14:paraId="5A1AF457" w14:textId="77777777">
        <w:trPr>
          <w:jc w:val="center"/>
        </w:trPr>
        <w:tc>
          <w:tcPr>
            <w:tcW w:w="50" w:type="pct"/>
            <w:shd w:val="clear" w:color="auto" w:fill="auto"/>
            <w:vAlign w:val="bottom"/>
          </w:tcPr>
          <w:p w14:paraId="5A1AF451" w14:textId="77777777" w:rsidR="00960BB8" w:rsidRDefault="00960BB8">
            <w:pPr>
              <w:rPr>
                <w:rFonts w:ascii="宋体"/>
              </w:rPr>
            </w:pPr>
          </w:p>
        </w:tc>
        <w:tc>
          <w:tcPr>
            <w:tcW w:w="4869" w:type="pct"/>
            <w:shd w:val="clear" w:color="auto" w:fill="auto"/>
            <w:vAlign w:val="bottom"/>
          </w:tcPr>
          <w:p w14:paraId="5A1AF452" w14:textId="77777777" w:rsidR="00960BB8" w:rsidRDefault="00960BB8">
            <w:pPr>
              <w:rPr>
                <w:rFonts w:ascii="宋体"/>
              </w:rPr>
            </w:pPr>
          </w:p>
        </w:tc>
        <w:tc>
          <w:tcPr>
            <w:tcW w:w="5" w:type="pct"/>
            <w:shd w:val="clear" w:color="auto" w:fill="auto"/>
            <w:vAlign w:val="bottom"/>
          </w:tcPr>
          <w:p w14:paraId="5A1AF453" w14:textId="77777777" w:rsidR="00960BB8" w:rsidRDefault="00960BB8">
            <w:pPr>
              <w:rPr>
                <w:rFonts w:ascii="宋体"/>
              </w:rPr>
            </w:pPr>
          </w:p>
        </w:tc>
        <w:tc>
          <w:tcPr>
            <w:tcW w:w="5" w:type="pct"/>
            <w:shd w:val="clear" w:color="auto" w:fill="auto"/>
            <w:vAlign w:val="bottom"/>
          </w:tcPr>
          <w:p w14:paraId="5A1AF454" w14:textId="77777777" w:rsidR="00960BB8" w:rsidRDefault="00960BB8">
            <w:pPr>
              <w:rPr>
                <w:rFonts w:ascii="宋体"/>
              </w:rPr>
            </w:pPr>
          </w:p>
        </w:tc>
        <w:tc>
          <w:tcPr>
            <w:tcW w:w="65" w:type="pct"/>
            <w:shd w:val="clear" w:color="auto" w:fill="auto"/>
            <w:vAlign w:val="bottom"/>
          </w:tcPr>
          <w:p w14:paraId="5A1AF455" w14:textId="77777777" w:rsidR="00960BB8" w:rsidRDefault="00960BB8">
            <w:pPr>
              <w:rPr>
                <w:rFonts w:ascii="宋体"/>
              </w:rPr>
            </w:pPr>
          </w:p>
        </w:tc>
        <w:tc>
          <w:tcPr>
            <w:tcW w:w="5" w:type="pct"/>
            <w:shd w:val="clear" w:color="auto" w:fill="auto"/>
            <w:vAlign w:val="bottom"/>
          </w:tcPr>
          <w:p w14:paraId="5A1AF456" w14:textId="77777777" w:rsidR="00960BB8" w:rsidRDefault="00960BB8">
            <w:pPr>
              <w:rPr>
                <w:rFonts w:ascii="宋体"/>
              </w:rPr>
            </w:pPr>
          </w:p>
        </w:tc>
      </w:tr>
      <w:tr w:rsidR="00960BB8" w14:paraId="5A1AF45A" w14:textId="77777777">
        <w:trPr>
          <w:jc w:val="center"/>
        </w:trPr>
        <w:tc>
          <w:tcPr>
            <w:tcW w:w="0" w:type="auto"/>
            <w:gridSpan w:val="3"/>
            <w:shd w:val="clear" w:color="auto" w:fill="004A86"/>
            <w:tcMar>
              <w:top w:w="40" w:type="dxa"/>
              <w:left w:w="20" w:type="dxa"/>
              <w:bottom w:w="40" w:type="dxa"/>
              <w:right w:w="20" w:type="dxa"/>
            </w:tcMar>
            <w:vAlign w:val="bottom"/>
          </w:tcPr>
          <w:p w14:paraId="5A1AF458" w14:textId="77777777" w:rsidR="00960BB8" w:rsidRDefault="00C06650">
            <w:pPr>
              <w:textAlignment w:val="bottom"/>
            </w:pPr>
            <w:r>
              <w:rPr>
                <w:rFonts w:ascii="Arial" w:eastAsia="宋体" w:hAnsi="Arial" w:cs="Arial"/>
                <w:color w:val="FFFFFF"/>
                <w:sz w:val="36"/>
                <w:szCs w:val="36"/>
              </w:rPr>
              <w:t>Our Capital</w:t>
            </w:r>
          </w:p>
        </w:tc>
        <w:tc>
          <w:tcPr>
            <w:tcW w:w="0" w:type="auto"/>
            <w:gridSpan w:val="3"/>
            <w:shd w:val="clear" w:color="auto" w:fill="auto"/>
            <w:tcMar>
              <w:top w:w="0" w:type="dxa"/>
              <w:left w:w="20" w:type="dxa"/>
              <w:bottom w:w="0" w:type="dxa"/>
              <w:right w:w="20" w:type="dxa"/>
            </w:tcMar>
            <w:vAlign w:val="bottom"/>
          </w:tcPr>
          <w:p w14:paraId="5A1AF459" w14:textId="77777777" w:rsidR="00960BB8" w:rsidRDefault="00960BB8">
            <w:pPr>
              <w:rPr>
                <w:rFonts w:ascii="宋体"/>
              </w:rPr>
            </w:pPr>
          </w:p>
        </w:tc>
      </w:tr>
      <w:tr w:rsidR="00960BB8" w14:paraId="5A1AF45D" w14:textId="77777777">
        <w:trPr>
          <w:trHeight w:val="160"/>
          <w:jc w:val="center"/>
        </w:trPr>
        <w:tc>
          <w:tcPr>
            <w:tcW w:w="0" w:type="auto"/>
            <w:gridSpan w:val="3"/>
            <w:shd w:val="clear" w:color="auto" w:fill="auto"/>
            <w:tcMar>
              <w:top w:w="0" w:type="dxa"/>
              <w:left w:w="20" w:type="dxa"/>
              <w:bottom w:w="0" w:type="dxa"/>
              <w:right w:w="20" w:type="dxa"/>
            </w:tcMar>
            <w:vAlign w:val="bottom"/>
          </w:tcPr>
          <w:p w14:paraId="5A1AF45B"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AF45C" w14:textId="77777777" w:rsidR="00960BB8" w:rsidRDefault="00960BB8">
            <w:pPr>
              <w:rPr>
                <w:rFonts w:ascii="宋体"/>
              </w:rPr>
            </w:pPr>
          </w:p>
        </w:tc>
      </w:tr>
    </w:tbl>
    <w:p w14:paraId="5A1AF45E" w14:textId="77777777" w:rsidR="00960BB8" w:rsidRDefault="00C06650">
      <w:pPr>
        <w:spacing w:after="180"/>
      </w:pPr>
      <w:r>
        <w:rPr>
          <w:rFonts w:ascii="Arial" w:eastAsia="宋体" w:hAnsi="Arial" w:cs="Arial"/>
          <w:color w:val="262626"/>
          <w:sz w:val="18"/>
          <w:szCs w:val="18"/>
        </w:rPr>
        <w:t xml:space="preserve">We deploy various forms of capital to execute our strategy in a way that seeks to reflect our corporate values, help our customers succeed, and create value for our stakeholders. </w:t>
      </w:r>
    </w:p>
    <w:tbl>
      <w:tblPr>
        <w:tblW w:w="4993" w:type="pct"/>
        <w:tblCellMar>
          <w:top w:w="15" w:type="dxa"/>
          <w:left w:w="15" w:type="dxa"/>
          <w:bottom w:w="15" w:type="dxa"/>
          <w:right w:w="15" w:type="dxa"/>
        </w:tblCellMar>
        <w:tblLook w:val="04A0" w:firstRow="1" w:lastRow="0" w:firstColumn="1" w:lastColumn="0" w:noHBand="0" w:noVBand="1"/>
      </w:tblPr>
      <w:tblGrid>
        <w:gridCol w:w="65"/>
        <w:gridCol w:w="718"/>
        <w:gridCol w:w="36"/>
        <w:gridCol w:w="934"/>
        <w:gridCol w:w="654"/>
        <w:gridCol w:w="52"/>
        <w:gridCol w:w="2869"/>
        <w:gridCol w:w="37"/>
        <w:gridCol w:w="53"/>
        <w:gridCol w:w="2869"/>
        <w:gridCol w:w="37"/>
      </w:tblGrid>
      <w:tr w:rsidR="00960BB8" w14:paraId="5A1AF46A" w14:textId="77777777">
        <w:tc>
          <w:tcPr>
            <w:tcW w:w="50" w:type="pct"/>
            <w:shd w:val="clear" w:color="auto" w:fill="auto"/>
            <w:vAlign w:val="bottom"/>
          </w:tcPr>
          <w:p w14:paraId="5A1AF45F" w14:textId="77777777" w:rsidR="00960BB8" w:rsidRDefault="00960BB8">
            <w:pPr>
              <w:rPr>
                <w:rFonts w:ascii="宋体"/>
              </w:rPr>
            </w:pPr>
          </w:p>
        </w:tc>
        <w:tc>
          <w:tcPr>
            <w:tcW w:w="553" w:type="pct"/>
            <w:shd w:val="clear" w:color="auto" w:fill="auto"/>
            <w:vAlign w:val="bottom"/>
          </w:tcPr>
          <w:p w14:paraId="5A1AF460" w14:textId="77777777" w:rsidR="00960BB8" w:rsidRDefault="00960BB8">
            <w:pPr>
              <w:rPr>
                <w:rFonts w:ascii="宋体"/>
              </w:rPr>
            </w:pPr>
          </w:p>
        </w:tc>
        <w:tc>
          <w:tcPr>
            <w:tcW w:w="5" w:type="pct"/>
            <w:shd w:val="clear" w:color="auto" w:fill="auto"/>
            <w:vAlign w:val="bottom"/>
          </w:tcPr>
          <w:p w14:paraId="5A1AF461" w14:textId="77777777" w:rsidR="00960BB8" w:rsidRDefault="00960BB8">
            <w:pPr>
              <w:rPr>
                <w:rFonts w:ascii="宋体"/>
              </w:rPr>
            </w:pPr>
          </w:p>
        </w:tc>
        <w:tc>
          <w:tcPr>
            <w:tcW w:w="0" w:type="auto"/>
            <w:shd w:val="clear" w:color="auto" w:fill="auto"/>
            <w:vAlign w:val="bottom"/>
          </w:tcPr>
          <w:p w14:paraId="5A1AF462" w14:textId="77777777" w:rsidR="00960BB8" w:rsidRDefault="00960BB8">
            <w:pPr>
              <w:rPr>
                <w:rFonts w:ascii="宋体"/>
                <w:vanish/>
              </w:rPr>
            </w:pPr>
          </w:p>
        </w:tc>
        <w:tc>
          <w:tcPr>
            <w:tcW w:w="0" w:type="auto"/>
            <w:shd w:val="clear" w:color="auto" w:fill="auto"/>
            <w:vAlign w:val="bottom"/>
          </w:tcPr>
          <w:p w14:paraId="5A1AF463" w14:textId="77777777" w:rsidR="00960BB8" w:rsidRDefault="00960BB8">
            <w:pPr>
              <w:rPr>
                <w:rFonts w:ascii="宋体"/>
                <w:vanish/>
              </w:rPr>
            </w:pPr>
          </w:p>
        </w:tc>
        <w:tc>
          <w:tcPr>
            <w:tcW w:w="50" w:type="pct"/>
            <w:shd w:val="clear" w:color="auto" w:fill="auto"/>
            <w:vAlign w:val="bottom"/>
          </w:tcPr>
          <w:p w14:paraId="5A1AF464" w14:textId="77777777" w:rsidR="00960BB8" w:rsidRDefault="00960BB8">
            <w:pPr>
              <w:rPr>
                <w:rFonts w:ascii="宋体"/>
              </w:rPr>
            </w:pPr>
          </w:p>
        </w:tc>
        <w:tc>
          <w:tcPr>
            <w:tcW w:w="2140" w:type="pct"/>
            <w:shd w:val="clear" w:color="auto" w:fill="auto"/>
            <w:vAlign w:val="bottom"/>
          </w:tcPr>
          <w:p w14:paraId="5A1AF465" w14:textId="77777777" w:rsidR="00960BB8" w:rsidRDefault="00960BB8">
            <w:pPr>
              <w:rPr>
                <w:rFonts w:ascii="宋体"/>
              </w:rPr>
            </w:pPr>
          </w:p>
        </w:tc>
        <w:tc>
          <w:tcPr>
            <w:tcW w:w="5" w:type="pct"/>
            <w:shd w:val="clear" w:color="auto" w:fill="auto"/>
            <w:vAlign w:val="bottom"/>
          </w:tcPr>
          <w:p w14:paraId="5A1AF466" w14:textId="77777777" w:rsidR="00960BB8" w:rsidRDefault="00960BB8">
            <w:pPr>
              <w:rPr>
                <w:rFonts w:ascii="宋体"/>
              </w:rPr>
            </w:pPr>
          </w:p>
        </w:tc>
        <w:tc>
          <w:tcPr>
            <w:tcW w:w="50" w:type="pct"/>
            <w:shd w:val="clear" w:color="auto" w:fill="auto"/>
            <w:vAlign w:val="bottom"/>
          </w:tcPr>
          <w:p w14:paraId="5A1AF467" w14:textId="77777777" w:rsidR="00960BB8" w:rsidRDefault="00960BB8">
            <w:pPr>
              <w:rPr>
                <w:rFonts w:ascii="宋体"/>
              </w:rPr>
            </w:pPr>
          </w:p>
        </w:tc>
        <w:tc>
          <w:tcPr>
            <w:tcW w:w="2140" w:type="pct"/>
            <w:shd w:val="clear" w:color="auto" w:fill="auto"/>
            <w:vAlign w:val="bottom"/>
          </w:tcPr>
          <w:p w14:paraId="5A1AF468" w14:textId="77777777" w:rsidR="00960BB8" w:rsidRDefault="00960BB8">
            <w:pPr>
              <w:rPr>
                <w:rFonts w:ascii="宋体"/>
              </w:rPr>
            </w:pPr>
          </w:p>
        </w:tc>
        <w:tc>
          <w:tcPr>
            <w:tcW w:w="5" w:type="pct"/>
            <w:shd w:val="clear" w:color="auto" w:fill="auto"/>
            <w:vAlign w:val="bottom"/>
          </w:tcPr>
          <w:p w14:paraId="5A1AF469" w14:textId="77777777" w:rsidR="00960BB8" w:rsidRDefault="00960BB8">
            <w:pPr>
              <w:rPr>
                <w:rFonts w:ascii="宋体"/>
              </w:rPr>
            </w:pPr>
          </w:p>
        </w:tc>
      </w:tr>
      <w:tr w:rsidR="00960BB8" w14:paraId="5A1AF470" w14:textId="77777777">
        <w:trPr>
          <w:hidden/>
        </w:trPr>
        <w:tc>
          <w:tcPr>
            <w:tcW w:w="0" w:type="auto"/>
            <w:gridSpan w:val="3"/>
            <w:shd w:val="clear" w:color="auto" w:fill="auto"/>
            <w:vAlign w:val="bottom"/>
          </w:tcPr>
          <w:p w14:paraId="5A1AF46B" w14:textId="77777777" w:rsidR="00960BB8" w:rsidRDefault="00960BB8">
            <w:pPr>
              <w:rPr>
                <w:rFonts w:ascii="宋体"/>
                <w:vanish/>
              </w:rPr>
            </w:pPr>
          </w:p>
        </w:tc>
        <w:tc>
          <w:tcPr>
            <w:tcW w:w="0" w:type="auto"/>
            <w:shd w:val="clear" w:color="auto" w:fill="auto"/>
            <w:vAlign w:val="bottom"/>
          </w:tcPr>
          <w:p w14:paraId="5A1AF46C" w14:textId="77777777" w:rsidR="00960BB8" w:rsidRDefault="00960BB8">
            <w:pPr>
              <w:rPr>
                <w:rFonts w:ascii="宋体"/>
                <w:vanish/>
              </w:rPr>
            </w:pPr>
          </w:p>
        </w:tc>
        <w:tc>
          <w:tcPr>
            <w:tcW w:w="0" w:type="auto"/>
            <w:shd w:val="clear" w:color="auto" w:fill="auto"/>
            <w:vAlign w:val="bottom"/>
          </w:tcPr>
          <w:p w14:paraId="5A1AF46D" w14:textId="77777777" w:rsidR="00960BB8" w:rsidRDefault="00960BB8">
            <w:pPr>
              <w:rPr>
                <w:rFonts w:ascii="宋体"/>
                <w:vanish/>
              </w:rPr>
            </w:pPr>
          </w:p>
        </w:tc>
        <w:tc>
          <w:tcPr>
            <w:tcW w:w="0" w:type="auto"/>
            <w:gridSpan w:val="3"/>
            <w:shd w:val="clear" w:color="auto" w:fill="auto"/>
            <w:vAlign w:val="bottom"/>
          </w:tcPr>
          <w:p w14:paraId="5A1AF46E" w14:textId="77777777" w:rsidR="00960BB8" w:rsidRDefault="00960BB8">
            <w:pPr>
              <w:rPr>
                <w:rFonts w:ascii="宋体"/>
                <w:vanish/>
              </w:rPr>
            </w:pPr>
          </w:p>
        </w:tc>
        <w:tc>
          <w:tcPr>
            <w:tcW w:w="0" w:type="auto"/>
            <w:gridSpan w:val="3"/>
            <w:shd w:val="clear" w:color="auto" w:fill="auto"/>
            <w:vAlign w:val="bottom"/>
          </w:tcPr>
          <w:p w14:paraId="5A1AF46F" w14:textId="77777777" w:rsidR="00960BB8" w:rsidRDefault="00960BB8">
            <w:pPr>
              <w:rPr>
                <w:rFonts w:ascii="宋体"/>
                <w:vanish/>
              </w:rPr>
            </w:pPr>
          </w:p>
        </w:tc>
      </w:tr>
      <w:tr w:rsidR="00960BB8" w14:paraId="5A1AF47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AF471" w14:textId="77777777" w:rsidR="00960BB8" w:rsidRDefault="00C06650">
            <w:pPr>
              <w:textAlignment w:val="bottom"/>
            </w:pPr>
            <w:r>
              <w:rPr>
                <w:rFonts w:ascii="Arial" w:eastAsia="宋体" w:hAnsi="Arial" w:cs="Arial"/>
                <w:color w:val="0068B5"/>
              </w:rPr>
              <w:t>Capital</w:t>
            </w:r>
          </w:p>
        </w:tc>
        <w:tc>
          <w:tcPr>
            <w:tcW w:w="0" w:type="auto"/>
            <w:tcBorders>
              <w:top w:val="single" w:sz="8" w:space="0" w:color="0068B5"/>
            </w:tcBorders>
            <w:shd w:val="clear" w:color="auto" w:fill="auto"/>
            <w:tcMar>
              <w:top w:w="40" w:type="dxa"/>
              <w:left w:w="20" w:type="dxa"/>
              <w:bottom w:w="40" w:type="dxa"/>
              <w:right w:w="20" w:type="dxa"/>
            </w:tcMar>
            <w:vAlign w:val="bottom"/>
          </w:tcPr>
          <w:p w14:paraId="5A1AF472" w14:textId="77777777" w:rsidR="00960BB8" w:rsidRDefault="00C06650">
            <w:pPr>
              <w:textAlignment w:val="bottom"/>
            </w:pPr>
            <w:r>
              <w:rPr>
                <w:rFonts w:ascii="Arial" w:eastAsia="宋体" w:hAnsi="Arial" w:cs="Arial"/>
                <w:color w:val="0068B5"/>
              </w:rPr>
              <w:t>Strategy</w:t>
            </w:r>
          </w:p>
        </w:tc>
        <w:tc>
          <w:tcPr>
            <w:tcW w:w="0" w:type="auto"/>
            <w:tcBorders>
              <w:top w:val="single" w:sz="8" w:space="0" w:color="0068B5"/>
            </w:tcBorders>
            <w:shd w:val="clear" w:color="auto" w:fill="auto"/>
            <w:tcMar>
              <w:top w:w="40" w:type="dxa"/>
              <w:left w:w="20" w:type="dxa"/>
              <w:bottom w:w="40" w:type="dxa"/>
              <w:right w:w="20" w:type="dxa"/>
            </w:tcMar>
            <w:vAlign w:val="bottom"/>
          </w:tcPr>
          <w:p w14:paraId="5A1AF473" w14:textId="77777777" w:rsidR="00960BB8" w:rsidRDefault="00C06650">
            <w:pPr>
              <w:textAlignment w:val="bottom"/>
            </w:pPr>
            <w:r>
              <w:rPr>
                <w:rFonts w:ascii="Arial" w:eastAsia="宋体" w:hAnsi="Arial" w:cs="Arial"/>
                <w:color w:val="0068B5"/>
              </w:rPr>
              <w:t>Value</w:t>
            </w:r>
          </w:p>
        </w:tc>
        <w:tc>
          <w:tcPr>
            <w:tcW w:w="0" w:type="auto"/>
            <w:shd w:val="clear" w:color="auto" w:fill="auto"/>
            <w:vAlign w:val="bottom"/>
          </w:tcPr>
          <w:p w14:paraId="5A1AF474" w14:textId="77777777" w:rsidR="00960BB8" w:rsidRDefault="00960BB8">
            <w:pPr>
              <w:rPr>
                <w:rFonts w:ascii="宋体"/>
              </w:rPr>
            </w:pPr>
          </w:p>
        </w:tc>
        <w:tc>
          <w:tcPr>
            <w:tcW w:w="0" w:type="auto"/>
            <w:shd w:val="clear" w:color="auto" w:fill="auto"/>
            <w:vAlign w:val="bottom"/>
          </w:tcPr>
          <w:p w14:paraId="5A1AF475" w14:textId="77777777" w:rsidR="00960BB8" w:rsidRDefault="00960BB8">
            <w:pPr>
              <w:rPr>
                <w:rFonts w:ascii="宋体"/>
              </w:rPr>
            </w:pPr>
          </w:p>
        </w:tc>
        <w:tc>
          <w:tcPr>
            <w:tcW w:w="0" w:type="auto"/>
            <w:shd w:val="clear" w:color="auto" w:fill="auto"/>
            <w:vAlign w:val="bottom"/>
          </w:tcPr>
          <w:p w14:paraId="5A1AF476" w14:textId="77777777" w:rsidR="00960BB8" w:rsidRDefault="00960BB8">
            <w:pPr>
              <w:rPr>
                <w:rFonts w:ascii="宋体"/>
              </w:rPr>
            </w:pPr>
          </w:p>
        </w:tc>
        <w:tc>
          <w:tcPr>
            <w:tcW w:w="0" w:type="auto"/>
            <w:shd w:val="clear" w:color="auto" w:fill="auto"/>
            <w:vAlign w:val="bottom"/>
          </w:tcPr>
          <w:p w14:paraId="5A1AF477" w14:textId="77777777" w:rsidR="00960BB8" w:rsidRDefault="00960BB8">
            <w:pPr>
              <w:rPr>
                <w:rFonts w:ascii="宋体"/>
              </w:rPr>
            </w:pPr>
          </w:p>
        </w:tc>
        <w:tc>
          <w:tcPr>
            <w:tcW w:w="0" w:type="auto"/>
            <w:shd w:val="clear" w:color="auto" w:fill="auto"/>
            <w:vAlign w:val="bottom"/>
          </w:tcPr>
          <w:p w14:paraId="5A1AF478" w14:textId="77777777" w:rsidR="00960BB8" w:rsidRDefault="00960BB8">
            <w:pPr>
              <w:rPr>
                <w:rFonts w:ascii="宋体"/>
              </w:rPr>
            </w:pPr>
          </w:p>
        </w:tc>
        <w:tc>
          <w:tcPr>
            <w:tcW w:w="0" w:type="auto"/>
            <w:shd w:val="clear" w:color="auto" w:fill="auto"/>
            <w:vAlign w:val="bottom"/>
          </w:tcPr>
          <w:p w14:paraId="5A1AF479" w14:textId="77777777" w:rsidR="00960BB8" w:rsidRDefault="00960BB8">
            <w:pPr>
              <w:rPr>
                <w:rFonts w:ascii="宋体"/>
              </w:rPr>
            </w:pPr>
          </w:p>
        </w:tc>
      </w:tr>
      <w:tr w:rsidR="00960BB8" w14:paraId="5A1AF480" w14:textId="77777777">
        <w:trPr>
          <w:hidden/>
        </w:trPr>
        <w:tc>
          <w:tcPr>
            <w:tcW w:w="0" w:type="auto"/>
            <w:gridSpan w:val="3"/>
            <w:shd w:val="clear" w:color="auto" w:fill="auto"/>
            <w:vAlign w:val="bottom"/>
          </w:tcPr>
          <w:p w14:paraId="5A1AF47B" w14:textId="77777777" w:rsidR="00960BB8" w:rsidRDefault="00960BB8">
            <w:pPr>
              <w:rPr>
                <w:rFonts w:ascii="宋体"/>
                <w:vanish/>
              </w:rPr>
            </w:pPr>
          </w:p>
        </w:tc>
        <w:tc>
          <w:tcPr>
            <w:tcW w:w="0" w:type="auto"/>
            <w:shd w:val="clear" w:color="auto" w:fill="auto"/>
            <w:vAlign w:val="bottom"/>
          </w:tcPr>
          <w:p w14:paraId="5A1AF47C" w14:textId="77777777" w:rsidR="00960BB8" w:rsidRDefault="00960BB8">
            <w:pPr>
              <w:rPr>
                <w:rFonts w:ascii="宋体"/>
                <w:vanish/>
              </w:rPr>
            </w:pPr>
          </w:p>
        </w:tc>
        <w:tc>
          <w:tcPr>
            <w:tcW w:w="0" w:type="auto"/>
            <w:shd w:val="clear" w:color="auto" w:fill="auto"/>
            <w:vAlign w:val="bottom"/>
          </w:tcPr>
          <w:p w14:paraId="5A1AF47D" w14:textId="77777777" w:rsidR="00960BB8" w:rsidRDefault="00960BB8">
            <w:pPr>
              <w:rPr>
                <w:rFonts w:ascii="宋体"/>
                <w:vanish/>
              </w:rPr>
            </w:pPr>
          </w:p>
        </w:tc>
        <w:tc>
          <w:tcPr>
            <w:tcW w:w="0" w:type="auto"/>
            <w:gridSpan w:val="3"/>
            <w:shd w:val="clear" w:color="auto" w:fill="auto"/>
            <w:vAlign w:val="bottom"/>
          </w:tcPr>
          <w:p w14:paraId="5A1AF47E" w14:textId="77777777" w:rsidR="00960BB8" w:rsidRDefault="00960BB8">
            <w:pPr>
              <w:rPr>
                <w:rFonts w:ascii="宋体"/>
                <w:vanish/>
              </w:rPr>
            </w:pPr>
          </w:p>
        </w:tc>
        <w:tc>
          <w:tcPr>
            <w:tcW w:w="0" w:type="auto"/>
            <w:gridSpan w:val="3"/>
            <w:shd w:val="clear" w:color="auto" w:fill="auto"/>
            <w:vAlign w:val="bottom"/>
          </w:tcPr>
          <w:p w14:paraId="5A1AF47F" w14:textId="77777777" w:rsidR="00960BB8" w:rsidRDefault="00960BB8">
            <w:pPr>
              <w:rPr>
                <w:rFonts w:ascii="宋体"/>
                <w:vanish/>
              </w:rPr>
            </w:pPr>
          </w:p>
        </w:tc>
      </w:tr>
      <w:tr w:rsidR="00960BB8" w14:paraId="5A1AF488"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5A1AF481" w14:textId="77777777" w:rsidR="00960BB8" w:rsidRDefault="00C06650">
            <w:pPr>
              <w:textAlignment w:val="center"/>
            </w:pPr>
            <w:r>
              <w:rPr>
                <w:rFonts w:ascii="Arial" w:eastAsia="宋体" w:hAnsi="Arial" w:cs="Arial"/>
                <w:color w:val="0068B5"/>
                <w:sz w:val="18"/>
                <w:szCs w:val="18"/>
              </w:rPr>
              <w:t>Financial</w:t>
            </w:r>
          </w:p>
        </w:tc>
        <w:tc>
          <w:tcPr>
            <w:tcW w:w="0" w:type="auto"/>
            <w:shd w:val="clear" w:color="auto" w:fill="auto"/>
            <w:vAlign w:val="bottom"/>
          </w:tcPr>
          <w:p w14:paraId="5A1AF482" w14:textId="77777777" w:rsidR="00960BB8" w:rsidRDefault="00960BB8">
            <w:pPr>
              <w:rPr>
                <w:rFonts w:ascii="宋体"/>
              </w:rPr>
            </w:pPr>
          </w:p>
        </w:tc>
        <w:tc>
          <w:tcPr>
            <w:tcW w:w="0" w:type="auto"/>
            <w:shd w:val="clear" w:color="auto" w:fill="auto"/>
            <w:vAlign w:val="bottom"/>
          </w:tcPr>
          <w:p w14:paraId="5A1AF483" w14:textId="77777777" w:rsidR="00960BB8" w:rsidRDefault="00960BB8">
            <w:pPr>
              <w:rPr>
                <w:rFonts w:ascii="宋体"/>
              </w:rPr>
            </w:pPr>
          </w:p>
        </w:tc>
        <w:tc>
          <w:tcPr>
            <w:tcW w:w="0" w:type="auto"/>
            <w:shd w:val="clear" w:color="auto" w:fill="auto"/>
            <w:vAlign w:val="bottom"/>
          </w:tcPr>
          <w:p w14:paraId="5A1AF484" w14:textId="77777777" w:rsidR="00960BB8" w:rsidRDefault="00960BB8">
            <w:pPr>
              <w:rPr>
                <w:rFonts w:ascii="宋体"/>
              </w:rPr>
            </w:pPr>
          </w:p>
        </w:tc>
        <w:tc>
          <w:tcPr>
            <w:tcW w:w="0" w:type="auto"/>
            <w:shd w:val="clear" w:color="auto" w:fill="auto"/>
            <w:vAlign w:val="bottom"/>
          </w:tcPr>
          <w:p w14:paraId="5A1AF485" w14:textId="77777777" w:rsidR="00960BB8" w:rsidRDefault="00960BB8">
            <w:pPr>
              <w:rPr>
                <w:rFonts w:ascii="宋体"/>
              </w:rPr>
            </w:pPr>
          </w:p>
        </w:tc>
        <w:tc>
          <w:tcPr>
            <w:tcW w:w="0" w:type="auto"/>
            <w:shd w:val="clear" w:color="auto" w:fill="auto"/>
            <w:vAlign w:val="bottom"/>
          </w:tcPr>
          <w:p w14:paraId="5A1AF486" w14:textId="77777777" w:rsidR="00960BB8" w:rsidRDefault="00960BB8">
            <w:pPr>
              <w:rPr>
                <w:rFonts w:ascii="宋体"/>
              </w:rPr>
            </w:pPr>
          </w:p>
        </w:tc>
        <w:tc>
          <w:tcPr>
            <w:tcW w:w="0" w:type="auto"/>
            <w:shd w:val="clear" w:color="auto" w:fill="auto"/>
            <w:vAlign w:val="bottom"/>
          </w:tcPr>
          <w:p w14:paraId="5A1AF487" w14:textId="77777777" w:rsidR="00960BB8" w:rsidRDefault="00960BB8">
            <w:pPr>
              <w:rPr>
                <w:rFonts w:ascii="宋体"/>
              </w:rPr>
            </w:pPr>
          </w:p>
        </w:tc>
      </w:tr>
      <w:tr w:rsidR="00960BB8" w14:paraId="5A1AF48E" w14:textId="77777777">
        <w:tc>
          <w:tcPr>
            <w:tcW w:w="0" w:type="auto"/>
            <w:gridSpan w:val="3"/>
            <w:shd w:val="clear" w:color="auto" w:fill="auto"/>
            <w:tcMar>
              <w:top w:w="0" w:type="dxa"/>
              <w:left w:w="20" w:type="dxa"/>
              <w:bottom w:w="0" w:type="dxa"/>
              <w:right w:w="20" w:type="dxa"/>
            </w:tcMar>
            <w:vAlign w:val="bottom"/>
          </w:tcPr>
          <w:p w14:paraId="5A1AF489"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3E" wp14:editId="5A1B433F">
                  <wp:extent cx="304800" cy="304800"/>
                  <wp:effectExtent l="0" t="0" r="0" b="0"/>
                  <wp:docPr id="68" name="图片 6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0"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5A1AF48A" w14:textId="77777777" w:rsidR="00960BB8" w:rsidRDefault="00960BB8">
            <w:pPr>
              <w:rPr>
                <w:rFonts w:ascii="宋体"/>
                <w:vanish/>
              </w:rPr>
            </w:pPr>
          </w:p>
        </w:tc>
        <w:tc>
          <w:tcPr>
            <w:tcW w:w="0" w:type="auto"/>
            <w:shd w:val="clear" w:color="auto" w:fill="auto"/>
            <w:vAlign w:val="bottom"/>
          </w:tcPr>
          <w:p w14:paraId="5A1AF48B"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center"/>
          </w:tcPr>
          <w:p w14:paraId="5A1AF48C" w14:textId="77777777" w:rsidR="00960BB8" w:rsidRDefault="00C06650">
            <w:pPr>
              <w:textAlignment w:val="center"/>
            </w:pPr>
            <w:r>
              <w:rPr>
                <w:rFonts w:ascii="Arial" w:eastAsia="宋体" w:hAnsi="Arial" w:cs="Arial"/>
                <w:color w:val="262626"/>
                <w:sz w:val="18"/>
                <w:szCs w:val="18"/>
              </w:rPr>
              <w:t xml:space="preserve">Leverage financial capital to invest in ourselves and drive our strategy, provide returns to </w:t>
            </w:r>
            <w:r>
              <w:rPr>
                <w:rFonts w:ascii="Arial" w:eastAsia="宋体" w:hAnsi="Arial" w:cs="Arial"/>
                <w:color w:val="262626"/>
                <w:sz w:val="18"/>
                <w:szCs w:val="18"/>
              </w:rPr>
              <w:t>stockholders and supplement and strengthen our capabilities through acquisitions.</w:t>
            </w:r>
          </w:p>
        </w:tc>
        <w:tc>
          <w:tcPr>
            <w:tcW w:w="0" w:type="auto"/>
            <w:gridSpan w:val="3"/>
            <w:shd w:val="clear" w:color="auto" w:fill="auto"/>
            <w:tcMar>
              <w:top w:w="40" w:type="dxa"/>
              <w:left w:w="20" w:type="dxa"/>
              <w:bottom w:w="40" w:type="dxa"/>
              <w:right w:w="20" w:type="dxa"/>
            </w:tcMar>
            <w:vAlign w:val="center"/>
          </w:tcPr>
          <w:p w14:paraId="5A1AF48D" w14:textId="77777777" w:rsidR="00960BB8" w:rsidRDefault="00C06650">
            <w:pPr>
              <w:spacing w:after="180"/>
              <w:textAlignment w:val="center"/>
            </w:pPr>
            <w:r>
              <w:rPr>
                <w:rFonts w:ascii="Arial" w:eastAsia="宋体" w:hAnsi="Arial" w:cs="Arial"/>
                <w:color w:val="262626"/>
                <w:sz w:val="18"/>
                <w:szCs w:val="18"/>
              </w:rPr>
              <w:t>We strategically invest financial capital to create long-term value and provide returns to our stockholders.</w:t>
            </w:r>
          </w:p>
        </w:tc>
      </w:tr>
      <w:tr w:rsidR="00960BB8" w14:paraId="5A1AF494" w14:textId="77777777">
        <w:trPr>
          <w:hidden/>
        </w:trPr>
        <w:tc>
          <w:tcPr>
            <w:tcW w:w="0" w:type="auto"/>
            <w:gridSpan w:val="3"/>
            <w:shd w:val="clear" w:color="auto" w:fill="auto"/>
            <w:vAlign w:val="bottom"/>
          </w:tcPr>
          <w:p w14:paraId="5A1AF48F" w14:textId="77777777" w:rsidR="00960BB8" w:rsidRDefault="00960BB8">
            <w:pPr>
              <w:rPr>
                <w:rFonts w:ascii="宋体"/>
                <w:vanish/>
              </w:rPr>
            </w:pPr>
          </w:p>
        </w:tc>
        <w:tc>
          <w:tcPr>
            <w:tcW w:w="0" w:type="auto"/>
            <w:shd w:val="clear" w:color="auto" w:fill="auto"/>
            <w:vAlign w:val="bottom"/>
          </w:tcPr>
          <w:p w14:paraId="5A1AF490" w14:textId="77777777" w:rsidR="00960BB8" w:rsidRDefault="00960BB8">
            <w:pPr>
              <w:rPr>
                <w:rFonts w:ascii="宋体"/>
                <w:vanish/>
              </w:rPr>
            </w:pPr>
          </w:p>
        </w:tc>
        <w:tc>
          <w:tcPr>
            <w:tcW w:w="0" w:type="auto"/>
            <w:shd w:val="clear" w:color="auto" w:fill="auto"/>
            <w:vAlign w:val="bottom"/>
          </w:tcPr>
          <w:p w14:paraId="5A1AF491" w14:textId="77777777" w:rsidR="00960BB8" w:rsidRDefault="00960BB8">
            <w:pPr>
              <w:rPr>
                <w:rFonts w:ascii="宋体"/>
                <w:vanish/>
              </w:rPr>
            </w:pPr>
          </w:p>
        </w:tc>
        <w:tc>
          <w:tcPr>
            <w:tcW w:w="0" w:type="auto"/>
            <w:gridSpan w:val="3"/>
            <w:shd w:val="clear" w:color="auto" w:fill="auto"/>
            <w:vAlign w:val="bottom"/>
          </w:tcPr>
          <w:p w14:paraId="5A1AF492" w14:textId="77777777" w:rsidR="00960BB8" w:rsidRDefault="00960BB8">
            <w:pPr>
              <w:rPr>
                <w:rFonts w:ascii="宋体"/>
                <w:vanish/>
              </w:rPr>
            </w:pPr>
          </w:p>
        </w:tc>
        <w:tc>
          <w:tcPr>
            <w:tcW w:w="0" w:type="auto"/>
            <w:gridSpan w:val="3"/>
            <w:shd w:val="clear" w:color="auto" w:fill="auto"/>
            <w:vAlign w:val="bottom"/>
          </w:tcPr>
          <w:p w14:paraId="5A1AF493" w14:textId="77777777" w:rsidR="00960BB8" w:rsidRDefault="00960BB8">
            <w:pPr>
              <w:rPr>
                <w:rFonts w:ascii="宋体"/>
                <w:vanish/>
              </w:rPr>
            </w:pPr>
          </w:p>
        </w:tc>
      </w:tr>
      <w:tr w:rsidR="00960BB8" w14:paraId="5A1AF49A" w14:textId="77777777">
        <w:trPr>
          <w:hidden/>
        </w:trPr>
        <w:tc>
          <w:tcPr>
            <w:tcW w:w="0" w:type="auto"/>
            <w:gridSpan w:val="3"/>
            <w:shd w:val="clear" w:color="auto" w:fill="auto"/>
            <w:vAlign w:val="bottom"/>
          </w:tcPr>
          <w:p w14:paraId="5A1AF495" w14:textId="77777777" w:rsidR="00960BB8" w:rsidRDefault="00960BB8">
            <w:pPr>
              <w:rPr>
                <w:rFonts w:ascii="宋体"/>
                <w:vanish/>
              </w:rPr>
            </w:pPr>
          </w:p>
        </w:tc>
        <w:tc>
          <w:tcPr>
            <w:tcW w:w="0" w:type="auto"/>
            <w:shd w:val="clear" w:color="auto" w:fill="auto"/>
            <w:vAlign w:val="bottom"/>
          </w:tcPr>
          <w:p w14:paraId="5A1AF496" w14:textId="77777777" w:rsidR="00960BB8" w:rsidRDefault="00960BB8">
            <w:pPr>
              <w:rPr>
                <w:rFonts w:ascii="宋体"/>
                <w:vanish/>
              </w:rPr>
            </w:pPr>
          </w:p>
        </w:tc>
        <w:tc>
          <w:tcPr>
            <w:tcW w:w="0" w:type="auto"/>
            <w:shd w:val="clear" w:color="auto" w:fill="auto"/>
            <w:vAlign w:val="bottom"/>
          </w:tcPr>
          <w:p w14:paraId="5A1AF497" w14:textId="77777777" w:rsidR="00960BB8" w:rsidRDefault="00960BB8">
            <w:pPr>
              <w:rPr>
                <w:rFonts w:ascii="宋体"/>
                <w:vanish/>
              </w:rPr>
            </w:pPr>
          </w:p>
        </w:tc>
        <w:tc>
          <w:tcPr>
            <w:tcW w:w="0" w:type="auto"/>
            <w:gridSpan w:val="3"/>
            <w:shd w:val="clear" w:color="auto" w:fill="auto"/>
            <w:vAlign w:val="bottom"/>
          </w:tcPr>
          <w:p w14:paraId="5A1AF498" w14:textId="77777777" w:rsidR="00960BB8" w:rsidRDefault="00960BB8">
            <w:pPr>
              <w:rPr>
                <w:rFonts w:ascii="宋体"/>
                <w:vanish/>
              </w:rPr>
            </w:pPr>
          </w:p>
        </w:tc>
        <w:tc>
          <w:tcPr>
            <w:tcW w:w="0" w:type="auto"/>
            <w:gridSpan w:val="3"/>
            <w:shd w:val="clear" w:color="auto" w:fill="auto"/>
            <w:vAlign w:val="bottom"/>
          </w:tcPr>
          <w:p w14:paraId="5A1AF499" w14:textId="77777777" w:rsidR="00960BB8" w:rsidRDefault="00960BB8">
            <w:pPr>
              <w:rPr>
                <w:rFonts w:ascii="宋体"/>
                <w:vanish/>
              </w:rPr>
            </w:pPr>
          </w:p>
        </w:tc>
      </w:tr>
      <w:tr w:rsidR="00960BB8" w14:paraId="5A1AF4A2"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5A1AF49B" w14:textId="77777777" w:rsidR="00960BB8" w:rsidRDefault="00C06650">
            <w:pPr>
              <w:textAlignment w:val="center"/>
            </w:pPr>
            <w:r>
              <w:rPr>
                <w:rFonts w:ascii="Arial" w:eastAsia="宋体" w:hAnsi="Arial" w:cs="Arial"/>
                <w:color w:val="0068B5"/>
                <w:sz w:val="18"/>
                <w:szCs w:val="18"/>
              </w:rPr>
              <w:t>Intellectual</w:t>
            </w:r>
          </w:p>
        </w:tc>
        <w:tc>
          <w:tcPr>
            <w:tcW w:w="0" w:type="auto"/>
            <w:shd w:val="clear" w:color="auto" w:fill="auto"/>
            <w:vAlign w:val="bottom"/>
          </w:tcPr>
          <w:p w14:paraId="5A1AF49C" w14:textId="77777777" w:rsidR="00960BB8" w:rsidRDefault="00960BB8">
            <w:pPr>
              <w:rPr>
                <w:rFonts w:ascii="宋体"/>
              </w:rPr>
            </w:pPr>
          </w:p>
        </w:tc>
        <w:tc>
          <w:tcPr>
            <w:tcW w:w="0" w:type="auto"/>
            <w:shd w:val="clear" w:color="auto" w:fill="auto"/>
            <w:vAlign w:val="bottom"/>
          </w:tcPr>
          <w:p w14:paraId="5A1AF49D" w14:textId="77777777" w:rsidR="00960BB8" w:rsidRDefault="00960BB8">
            <w:pPr>
              <w:rPr>
                <w:rFonts w:ascii="宋体"/>
              </w:rPr>
            </w:pPr>
          </w:p>
        </w:tc>
        <w:tc>
          <w:tcPr>
            <w:tcW w:w="0" w:type="auto"/>
            <w:shd w:val="clear" w:color="auto" w:fill="auto"/>
            <w:vAlign w:val="bottom"/>
          </w:tcPr>
          <w:p w14:paraId="5A1AF49E" w14:textId="77777777" w:rsidR="00960BB8" w:rsidRDefault="00960BB8">
            <w:pPr>
              <w:rPr>
                <w:rFonts w:ascii="宋体"/>
              </w:rPr>
            </w:pPr>
          </w:p>
        </w:tc>
        <w:tc>
          <w:tcPr>
            <w:tcW w:w="0" w:type="auto"/>
            <w:shd w:val="clear" w:color="auto" w:fill="auto"/>
            <w:vAlign w:val="bottom"/>
          </w:tcPr>
          <w:p w14:paraId="5A1AF49F" w14:textId="77777777" w:rsidR="00960BB8" w:rsidRDefault="00960BB8">
            <w:pPr>
              <w:rPr>
                <w:rFonts w:ascii="宋体"/>
              </w:rPr>
            </w:pPr>
          </w:p>
        </w:tc>
        <w:tc>
          <w:tcPr>
            <w:tcW w:w="0" w:type="auto"/>
            <w:shd w:val="clear" w:color="auto" w:fill="auto"/>
            <w:vAlign w:val="bottom"/>
          </w:tcPr>
          <w:p w14:paraId="5A1AF4A0" w14:textId="77777777" w:rsidR="00960BB8" w:rsidRDefault="00960BB8">
            <w:pPr>
              <w:rPr>
                <w:rFonts w:ascii="宋体"/>
              </w:rPr>
            </w:pPr>
          </w:p>
        </w:tc>
        <w:tc>
          <w:tcPr>
            <w:tcW w:w="0" w:type="auto"/>
            <w:shd w:val="clear" w:color="auto" w:fill="auto"/>
            <w:vAlign w:val="bottom"/>
          </w:tcPr>
          <w:p w14:paraId="5A1AF4A1" w14:textId="77777777" w:rsidR="00960BB8" w:rsidRDefault="00960BB8">
            <w:pPr>
              <w:rPr>
                <w:rFonts w:ascii="宋体"/>
              </w:rPr>
            </w:pPr>
          </w:p>
        </w:tc>
      </w:tr>
      <w:tr w:rsidR="00960BB8" w14:paraId="5A1AF4A8" w14:textId="77777777">
        <w:tc>
          <w:tcPr>
            <w:tcW w:w="0" w:type="auto"/>
            <w:gridSpan w:val="3"/>
            <w:shd w:val="clear" w:color="auto" w:fill="auto"/>
            <w:tcMar>
              <w:top w:w="0" w:type="dxa"/>
              <w:left w:w="20" w:type="dxa"/>
              <w:bottom w:w="0" w:type="dxa"/>
              <w:right w:w="20" w:type="dxa"/>
            </w:tcMar>
            <w:vAlign w:val="bottom"/>
          </w:tcPr>
          <w:p w14:paraId="5A1AF4A3"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40" wp14:editId="5A1B4341">
                  <wp:extent cx="304800" cy="304800"/>
                  <wp:effectExtent l="0" t="0" r="0" b="0"/>
                  <wp:docPr id="125" name="图片 6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61" descr="IMG_27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5A1AF4A4" w14:textId="77777777" w:rsidR="00960BB8" w:rsidRDefault="00960BB8">
            <w:pPr>
              <w:rPr>
                <w:rFonts w:ascii="宋体"/>
                <w:vanish/>
              </w:rPr>
            </w:pPr>
          </w:p>
        </w:tc>
        <w:tc>
          <w:tcPr>
            <w:tcW w:w="0" w:type="auto"/>
            <w:shd w:val="clear" w:color="auto" w:fill="auto"/>
            <w:vAlign w:val="bottom"/>
          </w:tcPr>
          <w:p w14:paraId="5A1AF4A5"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center"/>
          </w:tcPr>
          <w:p w14:paraId="5A1AF4A6" w14:textId="77777777" w:rsidR="00960BB8" w:rsidRDefault="00C06650">
            <w:pPr>
              <w:textAlignment w:val="center"/>
            </w:pPr>
            <w:r>
              <w:rPr>
                <w:rFonts w:ascii="Arial" w:eastAsia="宋体" w:hAnsi="Arial" w:cs="Arial"/>
                <w:color w:val="262626"/>
                <w:sz w:val="18"/>
                <w:szCs w:val="18"/>
              </w:rPr>
              <w:t xml:space="preserve">Invest significantly in R&amp;D and IP to enable us to deliver </w:t>
            </w:r>
            <w:r>
              <w:rPr>
                <w:rFonts w:ascii="Arial" w:eastAsia="宋体" w:hAnsi="Arial" w:cs="Arial"/>
                <w:color w:val="262626"/>
                <w:sz w:val="18"/>
                <w:szCs w:val="18"/>
              </w:rPr>
              <w:br/>
              <w:t>on our accelerated process technology roadmap, i</w:t>
            </w:r>
            <w:r>
              <w:rPr>
                <w:rFonts w:ascii="Arial" w:eastAsia="宋体" w:hAnsi="Arial" w:cs="Arial"/>
                <w:color w:val="262626"/>
                <w:sz w:val="18"/>
                <w:szCs w:val="18"/>
              </w:rPr>
              <w:t>ntroduce leading x86 and xPU products, and develop new businesses and capabilities.</w:t>
            </w:r>
          </w:p>
        </w:tc>
        <w:tc>
          <w:tcPr>
            <w:tcW w:w="0" w:type="auto"/>
            <w:gridSpan w:val="3"/>
            <w:shd w:val="clear" w:color="auto" w:fill="auto"/>
            <w:tcMar>
              <w:top w:w="40" w:type="dxa"/>
              <w:left w:w="20" w:type="dxa"/>
              <w:bottom w:w="40" w:type="dxa"/>
              <w:right w:w="20" w:type="dxa"/>
            </w:tcMar>
            <w:vAlign w:val="center"/>
          </w:tcPr>
          <w:p w14:paraId="5A1AF4A7" w14:textId="77777777" w:rsidR="00960BB8" w:rsidRDefault="00C06650">
            <w:pPr>
              <w:spacing w:after="180"/>
              <w:textAlignment w:val="center"/>
            </w:pPr>
            <w:r>
              <w:rPr>
                <w:rFonts w:ascii="Arial" w:eastAsia="宋体" w:hAnsi="Arial" w:cs="Arial"/>
                <w:color w:val="262626"/>
                <w:sz w:val="18"/>
                <w:szCs w:val="18"/>
              </w:rPr>
              <w:t>We develop IP to enable next-generation products, create synergies across our businesses, expand into new markets, and establish and support our brands.</w:t>
            </w:r>
          </w:p>
        </w:tc>
      </w:tr>
      <w:tr w:rsidR="00960BB8" w14:paraId="5A1AF4AE" w14:textId="77777777">
        <w:trPr>
          <w:hidden/>
        </w:trPr>
        <w:tc>
          <w:tcPr>
            <w:tcW w:w="0" w:type="auto"/>
            <w:gridSpan w:val="3"/>
            <w:shd w:val="clear" w:color="auto" w:fill="auto"/>
            <w:vAlign w:val="bottom"/>
          </w:tcPr>
          <w:p w14:paraId="5A1AF4A9" w14:textId="77777777" w:rsidR="00960BB8" w:rsidRDefault="00960BB8">
            <w:pPr>
              <w:rPr>
                <w:rFonts w:ascii="宋体"/>
                <w:vanish/>
              </w:rPr>
            </w:pPr>
          </w:p>
        </w:tc>
        <w:tc>
          <w:tcPr>
            <w:tcW w:w="0" w:type="auto"/>
            <w:shd w:val="clear" w:color="auto" w:fill="auto"/>
            <w:vAlign w:val="bottom"/>
          </w:tcPr>
          <w:p w14:paraId="5A1AF4AA" w14:textId="77777777" w:rsidR="00960BB8" w:rsidRDefault="00960BB8">
            <w:pPr>
              <w:rPr>
                <w:rFonts w:ascii="宋体"/>
                <w:vanish/>
              </w:rPr>
            </w:pPr>
          </w:p>
        </w:tc>
        <w:tc>
          <w:tcPr>
            <w:tcW w:w="0" w:type="auto"/>
            <w:shd w:val="clear" w:color="auto" w:fill="auto"/>
            <w:vAlign w:val="bottom"/>
          </w:tcPr>
          <w:p w14:paraId="5A1AF4AB" w14:textId="77777777" w:rsidR="00960BB8" w:rsidRDefault="00960BB8">
            <w:pPr>
              <w:rPr>
                <w:rFonts w:ascii="宋体"/>
                <w:vanish/>
              </w:rPr>
            </w:pPr>
          </w:p>
        </w:tc>
        <w:tc>
          <w:tcPr>
            <w:tcW w:w="0" w:type="auto"/>
            <w:gridSpan w:val="3"/>
            <w:shd w:val="clear" w:color="auto" w:fill="auto"/>
            <w:vAlign w:val="bottom"/>
          </w:tcPr>
          <w:p w14:paraId="5A1AF4AC" w14:textId="77777777" w:rsidR="00960BB8" w:rsidRDefault="00960BB8">
            <w:pPr>
              <w:rPr>
                <w:rFonts w:ascii="宋体"/>
                <w:vanish/>
              </w:rPr>
            </w:pPr>
          </w:p>
        </w:tc>
        <w:tc>
          <w:tcPr>
            <w:tcW w:w="0" w:type="auto"/>
            <w:gridSpan w:val="3"/>
            <w:shd w:val="clear" w:color="auto" w:fill="auto"/>
            <w:vAlign w:val="bottom"/>
          </w:tcPr>
          <w:p w14:paraId="5A1AF4AD" w14:textId="77777777" w:rsidR="00960BB8" w:rsidRDefault="00960BB8">
            <w:pPr>
              <w:rPr>
                <w:rFonts w:ascii="宋体"/>
                <w:vanish/>
              </w:rPr>
            </w:pPr>
          </w:p>
        </w:tc>
      </w:tr>
      <w:tr w:rsidR="00960BB8" w14:paraId="5A1AF4B4" w14:textId="77777777">
        <w:trPr>
          <w:hidden/>
        </w:trPr>
        <w:tc>
          <w:tcPr>
            <w:tcW w:w="0" w:type="auto"/>
            <w:gridSpan w:val="3"/>
            <w:shd w:val="clear" w:color="auto" w:fill="auto"/>
            <w:vAlign w:val="bottom"/>
          </w:tcPr>
          <w:p w14:paraId="5A1AF4AF" w14:textId="77777777" w:rsidR="00960BB8" w:rsidRDefault="00960BB8">
            <w:pPr>
              <w:rPr>
                <w:rFonts w:ascii="宋体"/>
                <w:vanish/>
              </w:rPr>
            </w:pPr>
          </w:p>
        </w:tc>
        <w:tc>
          <w:tcPr>
            <w:tcW w:w="0" w:type="auto"/>
            <w:shd w:val="clear" w:color="auto" w:fill="auto"/>
            <w:vAlign w:val="bottom"/>
          </w:tcPr>
          <w:p w14:paraId="5A1AF4B0" w14:textId="77777777" w:rsidR="00960BB8" w:rsidRDefault="00960BB8">
            <w:pPr>
              <w:rPr>
                <w:rFonts w:ascii="宋体"/>
                <w:vanish/>
              </w:rPr>
            </w:pPr>
          </w:p>
        </w:tc>
        <w:tc>
          <w:tcPr>
            <w:tcW w:w="0" w:type="auto"/>
            <w:shd w:val="clear" w:color="auto" w:fill="auto"/>
            <w:vAlign w:val="bottom"/>
          </w:tcPr>
          <w:p w14:paraId="5A1AF4B1" w14:textId="77777777" w:rsidR="00960BB8" w:rsidRDefault="00960BB8">
            <w:pPr>
              <w:rPr>
                <w:rFonts w:ascii="宋体"/>
                <w:vanish/>
              </w:rPr>
            </w:pPr>
          </w:p>
        </w:tc>
        <w:tc>
          <w:tcPr>
            <w:tcW w:w="0" w:type="auto"/>
            <w:gridSpan w:val="3"/>
            <w:shd w:val="clear" w:color="auto" w:fill="auto"/>
            <w:vAlign w:val="bottom"/>
          </w:tcPr>
          <w:p w14:paraId="5A1AF4B2" w14:textId="77777777" w:rsidR="00960BB8" w:rsidRDefault="00960BB8">
            <w:pPr>
              <w:rPr>
                <w:rFonts w:ascii="宋体"/>
                <w:vanish/>
              </w:rPr>
            </w:pPr>
          </w:p>
        </w:tc>
        <w:tc>
          <w:tcPr>
            <w:tcW w:w="0" w:type="auto"/>
            <w:gridSpan w:val="3"/>
            <w:shd w:val="clear" w:color="auto" w:fill="auto"/>
            <w:vAlign w:val="bottom"/>
          </w:tcPr>
          <w:p w14:paraId="5A1AF4B3" w14:textId="77777777" w:rsidR="00960BB8" w:rsidRDefault="00960BB8">
            <w:pPr>
              <w:rPr>
                <w:rFonts w:ascii="宋体"/>
                <w:vanish/>
              </w:rPr>
            </w:pPr>
          </w:p>
        </w:tc>
      </w:tr>
      <w:tr w:rsidR="00960BB8" w14:paraId="5A1AF4BC"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5A1AF4B5" w14:textId="77777777" w:rsidR="00960BB8" w:rsidRDefault="00C06650">
            <w:pPr>
              <w:textAlignment w:val="center"/>
            </w:pPr>
            <w:r>
              <w:rPr>
                <w:rFonts w:ascii="Arial" w:eastAsia="宋体" w:hAnsi="Arial" w:cs="Arial"/>
                <w:color w:val="0068B5"/>
                <w:sz w:val="18"/>
                <w:szCs w:val="18"/>
              </w:rPr>
              <w:t>Manufacturing</w:t>
            </w:r>
          </w:p>
        </w:tc>
        <w:tc>
          <w:tcPr>
            <w:tcW w:w="0" w:type="auto"/>
            <w:shd w:val="clear" w:color="auto" w:fill="auto"/>
            <w:vAlign w:val="bottom"/>
          </w:tcPr>
          <w:p w14:paraId="5A1AF4B6" w14:textId="77777777" w:rsidR="00960BB8" w:rsidRDefault="00960BB8">
            <w:pPr>
              <w:rPr>
                <w:rFonts w:ascii="宋体"/>
              </w:rPr>
            </w:pPr>
          </w:p>
        </w:tc>
        <w:tc>
          <w:tcPr>
            <w:tcW w:w="0" w:type="auto"/>
            <w:shd w:val="clear" w:color="auto" w:fill="auto"/>
            <w:vAlign w:val="bottom"/>
          </w:tcPr>
          <w:p w14:paraId="5A1AF4B7" w14:textId="77777777" w:rsidR="00960BB8" w:rsidRDefault="00960BB8">
            <w:pPr>
              <w:rPr>
                <w:rFonts w:ascii="宋体"/>
              </w:rPr>
            </w:pPr>
          </w:p>
        </w:tc>
        <w:tc>
          <w:tcPr>
            <w:tcW w:w="0" w:type="auto"/>
            <w:shd w:val="clear" w:color="auto" w:fill="auto"/>
            <w:vAlign w:val="bottom"/>
          </w:tcPr>
          <w:p w14:paraId="5A1AF4B8" w14:textId="77777777" w:rsidR="00960BB8" w:rsidRDefault="00960BB8">
            <w:pPr>
              <w:rPr>
                <w:rFonts w:ascii="宋体"/>
              </w:rPr>
            </w:pPr>
          </w:p>
        </w:tc>
        <w:tc>
          <w:tcPr>
            <w:tcW w:w="0" w:type="auto"/>
            <w:shd w:val="clear" w:color="auto" w:fill="auto"/>
            <w:vAlign w:val="bottom"/>
          </w:tcPr>
          <w:p w14:paraId="5A1AF4B9" w14:textId="77777777" w:rsidR="00960BB8" w:rsidRDefault="00960BB8">
            <w:pPr>
              <w:rPr>
                <w:rFonts w:ascii="宋体"/>
              </w:rPr>
            </w:pPr>
          </w:p>
        </w:tc>
        <w:tc>
          <w:tcPr>
            <w:tcW w:w="0" w:type="auto"/>
            <w:shd w:val="clear" w:color="auto" w:fill="auto"/>
            <w:vAlign w:val="bottom"/>
          </w:tcPr>
          <w:p w14:paraId="5A1AF4BA" w14:textId="77777777" w:rsidR="00960BB8" w:rsidRDefault="00960BB8">
            <w:pPr>
              <w:rPr>
                <w:rFonts w:ascii="宋体"/>
              </w:rPr>
            </w:pPr>
          </w:p>
        </w:tc>
        <w:tc>
          <w:tcPr>
            <w:tcW w:w="0" w:type="auto"/>
            <w:shd w:val="clear" w:color="auto" w:fill="auto"/>
            <w:vAlign w:val="bottom"/>
          </w:tcPr>
          <w:p w14:paraId="5A1AF4BB" w14:textId="77777777" w:rsidR="00960BB8" w:rsidRDefault="00960BB8">
            <w:pPr>
              <w:rPr>
                <w:rFonts w:ascii="宋体"/>
              </w:rPr>
            </w:pPr>
          </w:p>
        </w:tc>
      </w:tr>
      <w:tr w:rsidR="00960BB8" w14:paraId="5A1AF4C2" w14:textId="77777777">
        <w:tc>
          <w:tcPr>
            <w:tcW w:w="0" w:type="auto"/>
            <w:gridSpan w:val="3"/>
            <w:shd w:val="clear" w:color="auto" w:fill="auto"/>
            <w:tcMar>
              <w:top w:w="0" w:type="dxa"/>
              <w:left w:w="20" w:type="dxa"/>
              <w:bottom w:w="0" w:type="dxa"/>
              <w:right w:w="20" w:type="dxa"/>
            </w:tcMar>
            <w:vAlign w:val="bottom"/>
          </w:tcPr>
          <w:p w14:paraId="5A1AF4BD"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42" wp14:editId="5A1B4343">
                  <wp:extent cx="304800" cy="304800"/>
                  <wp:effectExtent l="0" t="0" r="0" b="0"/>
                  <wp:docPr id="71" name="图片 6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2"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5A1AF4BE" w14:textId="77777777" w:rsidR="00960BB8" w:rsidRDefault="00960BB8">
            <w:pPr>
              <w:rPr>
                <w:rFonts w:ascii="宋体"/>
                <w:vanish/>
              </w:rPr>
            </w:pPr>
          </w:p>
        </w:tc>
        <w:tc>
          <w:tcPr>
            <w:tcW w:w="0" w:type="auto"/>
            <w:shd w:val="clear" w:color="auto" w:fill="auto"/>
            <w:vAlign w:val="bottom"/>
          </w:tcPr>
          <w:p w14:paraId="5A1AF4BF"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center"/>
          </w:tcPr>
          <w:p w14:paraId="5A1AF4C0" w14:textId="77777777" w:rsidR="00960BB8" w:rsidRDefault="00C06650">
            <w:pPr>
              <w:textAlignment w:val="center"/>
            </w:pPr>
            <w:r>
              <w:rPr>
                <w:rFonts w:ascii="Arial" w:eastAsia="宋体" w:hAnsi="Arial" w:cs="Arial"/>
                <w:color w:val="262626"/>
                <w:sz w:val="18"/>
                <w:szCs w:val="18"/>
              </w:rPr>
              <w:t xml:space="preserve">Build manufacturing capacity efficiently to </w:t>
            </w:r>
            <w:r>
              <w:rPr>
                <w:rFonts w:ascii="Arial" w:eastAsia="宋体" w:hAnsi="Arial" w:cs="Arial"/>
                <w:color w:val="262626"/>
                <w:sz w:val="18"/>
                <w:szCs w:val="18"/>
              </w:rPr>
              <w:br/>
              <w:t>meet the growing long-term global demand for semiconductors, al</w:t>
            </w:r>
            <w:r>
              <w:rPr>
                <w:rFonts w:ascii="Arial" w:eastAsia="宋体" w:hAnsi="Arial" w:cs="Arial"/>
                <w:color w:val="262626"/>
                <w:sz w:val="18"/>
                <w:szCs w:val="18"/>
              </w:rPr>
              <w:t>igned with our IDM 2.0 strategy.</w:t>
            </w:r>
          </w:p>
        </w:tc>
        <w:tc>
          <w:tcPr>
            <w:tcW w:w="0" w:type="auto"/>
            <w:gridSpan w:val="3"/>
            <w:shd w:val="clear" w:color="auto" w:fill="auto"/>
            <w:tcMar>
              <w:top w:w="40" w:type="dxa"/>
              <w:left w:w="20" w:type="dxa"/>
              <w:bottom w:w="40" w:type="dxa"/>
              <w:right w:w="20" w:type="dxa"/>
            </w:tcMar>
            <w:vAlign w:val="center"/>
          </w:tcPr>
          <w:p w14:paraId="5A1AF4C1" w14:textId="77777777" w:rsidR="00960BB8" w:rsidRDefault="00C06650">
            <w:pPr>
              <w:textAlignment w:val="center"/>
            </w:pPr>
            <w:r>
              <w:rPr>
                <w:rFonts w:ascii="Arial" w:eastAsia="宋体" w:hAnsi="Arial" w:cs="Arial"/>
                <w:color w:val="262626"/>
                <w:sz w:val="18"/>
                <w:szCs w:val="18"/>
              </w:rPr>
              <w:t>Our geographically balanced manufacturing scope and scale enable us to provide our customers with a broad range of leading-edge products.</w:t>
            </w:r>
          </w:p>
        </w:tc>
      </w:tr>
      <w:tr w:rsidR="00960BB8" w14:paraId="5A1AF4C8" w14:textId="77777777">
        <w:trPr>
          <w:hidden/>
        </w:trPr>
        <w:tc>
          <w:tcPr>
            <w:tcW w:w="0" w:type="auto"/>
            <w:gridSpan w:val="3"/>
            <w:shd w:val="clear" w:color="auto" w:fill="auto"/>
            <w:vAlign w:val="bottom"/>
          </w:tcPr>
          <w:p w14:paraId="5A1AF4C3" w14:textId="77777777" w:rsidR="00960BB8" w:rsidRDefault="00960BB8">
            <w:pPr>
              <w:rPr>
                <w:rFonts w:ascii="宋体"/>
                <w:vanish/>
              </w:rPr>
            </w:pPr>
          </w:p>
        </w:tc>
        <w:tc>
          <w:tcPr>
            <w:tcW w:w="0" w:type="auto"/>
            <w:shd w:val="clear" w:color="auto" w:fill="auto"/>
            <w:vAlign w:val="bottom"/>
          </w:tcPr>
          <w:p w14:paraId="5A1AF4C4" w14:textId="77777777" w:rsidR="00960BB8" w:rsidRDefault="00960BB8">
            <w:pPr>
              <w:rPr>
                <w:rFonts w:ascii="宋体"/>
                <w:vanish/>
              </w:rPr>
            </w:pPr>
          </w:p>
        </w:tc>
        <w:tc>
          <w:tcPr>
            <w:tcW w:w="0" w:type="auto"/>
            <w:shd w:val="clear" w:color="auto" w:fill="auto"/>
            <w:vAlign w:val="bottom"/>
          </w:tcPr>
          <w:p w14:paraId="5A1AF4C5" w14:textId="77777777" w:rsidR="00960BB8" w:rsidRDefault="00960BB8">
            <w:pPr>
              <w:rPr>
                <w:rFonts w:ascii="宋体"/>
                <w:vanish/>
              </w:rPr>
            </w:pPr>
          </w:p>
        </w:tc>
        <w:tc>
          <w:tcPr>
            <w:tcW w:w="0" w:type="auto"/>
            <w:gridSpan w:val="3"/>
            <w:shd w:val="clear" w:color="auto" w:fill="auto"/>
            <w:vAlign w:val="bottom"/>
          </w:tcPr>
          <w:p w14:paraId="5A1AF4C6" w14:textId="77777777" w:rsidR="00960BB8" w:rsidRDefault="00960BB8">
            <w:pPr>
              <w:rPr>
                <w:rFonts w:ascii="宋体"/>
                <w:vanish/>
              </w:rPr>
            </w:pPr>
          </w:p>
        </w:tc>
        <w:tc>
          <w:tcPr>
            <w:tcW w:w="0" w:type="auto"/>
            <w:gridSpan w:val="3"/>
            <w:shd w:val="clear" w:color="auto" w:fill="auto"/>
            <w:vAlign w:val="bottom"/>
          </w:tcPr>
          <w:p w14:paraId="5A1AF4C7" w14:textId="77777777" w:rsidR="00960BB8" w:rsidRDefault="00960BB8">
            <w:pPr>
              <w:rPr>
                <w:rFonts w:ascii="宋体"/>
                <w:vanish/>
              </w:rPr>
            </w:pPr>
          </w:p>
        </w:tc>
      </w:tr>
      <w:tr w:rsidR="00960BB8" w14:paraId="5A1AF4D0"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5A1AF4C9" w14:textId="77777777" w:rsidR="00960BB8" w:rsidRDefault="00C06650">
            <w:pPr>
              <w:textAlignment w:val="center"/>
            </w:pPr>
            <w:r>
              <w:rPr>
                <w:rFonts w:ascii="Arial" w:eastAsia="宋体" w:hAnsi="Arial" w:cs="Arial"/>
                <w:color w:val="0068B5"/>
                <w:sz w:val="18"/>
                <w:szCs w:val="18"/>
              </w:rPr>
              <w:t>Human</w:t>
            </w:r>
          </w:p>
        </w:tc>
        <w:tc>
          <w:tcPr>
            <w:tcW w:w="0" w:type="auto"/>
            <w:shd w:val="clear" w:color="auto" w:fill="auto"/>
            <w:vAlign w:val="bottom"/>
          </w:tcPr>
          <w:p w14:paraId="5A1AF4CA" w14:textId="77777777" w:rsidR="00960BB8" w:rsidRDefault="00960BB8">
            <w:pPr>
              <w:rPr>
                <w:rFonts w:ascii="宋体"/>
              </w:rPr>
            </w:pPr>
          </w:p>
        </w:tc>
        <w:tc>
          <w:tcPr>
            <w:tcW w:w="0" w:type="auto"/>
            <w:shd w:val="clear" w:color="auto" w:fill="auto"/>
            <w:vAlign w:val="bottom"/>
          </w:tcPr>
          <w:p w14:paraId="5A1AF4CB" w14:textId="77777777" w:rsidR="00960BB8" w:rsidRDefault="00960BB8">
            <w:pPr>
              <w:rPr>
                <w:rFonts w:ascii="宋体"/>
              </w:rPr>
            </w:pPr>
          </w:p>
        </w:tc>
        <w:tc>
          <w:tcPr>
            <w:tcW w:w="0" w:type="auto"/>
            <w:shd w:val="clear" w:color="auto" w:fill="auto"/>
            <w:vAlign w:val="bottom"/>
          </w:tcPr>
          <w:p w14:paraId="5A1AF4CC" w14:textId="77777777" w:rsidR="00960BB8" w:rsidRDefault="00960BB8">
            <w:pPr>
              <w:rPr>
                <w:rFonts w:ascii="宋体"/>
              </w:rPr>
            </w:pPr>
          </w:p>
        </w:tc>
        <w:tc>
          <w:tcPr>
            <w:tcW w:w="0" w:type="auto"/>
            <w:shd w:val="clear" w:color="auto" w:fill="auto"/>
            <w:vAlign w:val="bottom"/>
          </w:tcPr>
          <w:p w14:paraId="5A1AF4CD" w14:textId="77777777" w:rsidR="00960BB8" w:rsidRDefault="00960BB8">
            <w:pPr>
              <w:rPr>
                <w:rFonts w:ascii="宋体"/>
              </w:rPr>
            </w:pPr>
          </w:p>
        </w:tc>
        <w:tc>
          <w:tcPr>
            <w:tcW w:w="0" w:type="auto"/>
            <w:shd w:val="clear" w:color="auto" w:fill="auto"/>
            <w:vAlign w:val="bottom"/>
          </w:tcPr>
          <w:p w14:paraId="5A1AF4CE" w14:textId="77777777" w:rsidR="00960BB8" w:rsidRDefault="00960BB8">
            <w:pPr>
              <w:rPr>
                <w:rFonts w:ascii="宋体"/>
              </w:rPr>
            </w:pPr>
          </w:p>
        </w:tc>
        <w:tc>
          <w:tcPr>
            <w:tcW w:w="0" w:type="auto"/>
            <w:shd w:val="clear" w:color="auto" w:fill="auto"/>
            <w:vAlign w:val="bottom"/>
          </w:tcPr>
          <w:p w14:paraId="5A1AF4CF" w14:textId="77777777" w:rsidR="00960BB8" w:rsidRDefault="00960BB8">
            <w:pPr>
              <w:rPr>
                <w:rFonts w:ascii="宋体"/>
              </w:rPr>
            </w:pPr>
          </w:p>
        </w:tc>
      </w:tr>
      <w:tr w:rsidR="00960BB8" w14:paraId="5A1AF4D6" w14:textId="77777777">
        <w:tc>
          <w:tcPr>
            <w:tcW w:w="0" w:type="auto"/>
            <w:gridSpan w:val="3"/>
            <w:shd w:val="clear" w:color="auto" w:fill="auto"/>
            <w:tcMar>
              <w:top w:w="0" w:type="dxa"/>
              <w:left w:w="20" w:type="dxa"/>
              <w:bottom w:w="0" w:type="dxa"/>
              <w:right w:w="20" w:type="dxa"/>
            </w:tcMar>
            <w:vAlign w:val="bottom"/>
          </w:tcPr>
          <w:p w14:paraId="5A1AF4D1"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44" wp14:editId="5A1B4345">
                  <wp:extent cx="304800" cy="304800"/>
                  <wp:effectExtent l="0" t="0" r="0" b="0"/>
                  <wp:docPr id="79" name="图片 6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3" descr="IMG_2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5A1AF4D2" w14:textId="77777777" w:rsidR="00960BB8" w:rsidRDefault="00960BB8">
            <w:pPr>
              <w:rPr>
                <w:rFonts w:ascii="宋体"/>
                <w:vanish/>
              </w:rPr>
            </w:pPr>
          </w:p>
        </w:tc>
        <w:tc>
          <w:tcPr>
            <w:tcW w:w="0" w:type="auto"/>
            <w:shd w:val="clear" w:color="auto" w:fill="auto"/>
            <w:vAlign w:val="bottom"/>
          </w:tcPr>
          <w:p w14:paraId="5A1AF4D3"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center"/>
          </w:tcPr>
          <w:p w14:paraId="5A1AF4D4" w14:textId="77777777" w:rsidR="00960BB8" w:rsidRDefault="00C06650">
            <w:pPr>
              <w:textAlignment w:val="center"/>
            </w:pPr>
            <w:r>
              <w:rPr>
                <w:rFonts w:ascii="Arial" w:eastAsia="宋体" w:hAnsi="Arial" w:cs="Arial"/>
                <w:color w:val="262626"/>
                <w:sz w:val="18"/>
                <w:szCs w:val="18"/>
              </w:rPr>
              <w:t>Build a diverse, inclusive, and safe work environment to attract, develop, and retain top talent needed to b</w:t>
            </w:r>
            <w:r>
              <w:rPr>
                <w:rFonts w:ascii="Arial" w:eastAsia="宋体" w:hAnsi="Arial" w:cs="Arial"/>
                <w:color w:val="262626"/>
                <w:sz w:val="18"/>
                <w:szCs w:val="18"/>
              </w:rPr>
              <w:t>uild transformative products.</w:t>
            </w:r>
          </w:p>
        </w:tc>
        <w:tc>
          <w:tcPr>
            <w:tcW w:w="0" w:type="auto"/>
            <w:gridSpan w:val="3"/>
            <w:shd w:val="clear" w:color="auto" w:fill="auto"/>
            <w:tcMar>
              <w:top w:w="40" w:type="dxa"/>
              <w:left w:w="20" w:type="dxa"/>
              <w:bottom w:w="40" w:type="dxa"/>
              <w:right w:w="20" w:type="dxa"/>
            </w:tcMar>
            <w:vAlign w:val="center"/>
          </w:tcPr>
          <w:p w14:paraId="5A1AF4D5" w14:textId="77777777" w:rsidR="00960BB8" w:rsidRDefault="00C06650">
            <w:pPr>
              <w:textAlignment w:val="center"/>
            </w:pPr>
            <w:r>
              <w:rPr>
                <w:rFonts w:ascii="Arial" w:eastAsia="宋体" w:hAnsi="Arial" w:cs="Arial"/>
                <w:color w:val="262626"/>
                <w:sz w:val="18"/>
                <w:szCs w:val="18"/>
              </w:rPr>
              <w:t>Our talented employees enable the development of solutions and enhance the intellectual and manufacturing capital critical to helping our customers win the technology inflections of the future.</w:t>
            </w:r>
          </w:p>
        </w:tc>
      </w:tr>
      <w:tr w:rsidR="00960BB8" w14:paraId="5A1AF4DC" w14:textId="77777777">
        <w:trPr>
          <w:hidden/>
        </w:trPr>
        <w:tc>
          <w:tcPr>
            <w:tcW w:w="0" w:type="auto"/>
            <w:gridSpan w:val="3"/>
            <w:shd w:val="clear" w:color="auto" w:fill="auto"/>
            <w:vAlign w:val="bottom"/>
          </w:tcPr>
          <w:p w14:paraId="5A1AF4D7" w14:textId="77777777" w:rsidR="00960BB8" w:rsidRDefault="00960BB8">
            <w:pPr>
              <w:rPr>
                <w:rFonts w:ascii="宋体"/>
                <w:vanish/>
              </w:rPr>
            </w:pPr>
          </w:p>
        </w:tc>
        <w:tc>
          <w:tcPr>
            <w:tcW w:w="0" w:type="auto"/>
            <w:shd w:val="clear" w:color="auto" w:fill="auto"/>
            <w:vAlign w:val="bottom"/>
          </w:tcPr>
          <w:p w14:paraId="5A1AF4D8" w14:textId="77777777" w:rsidR="00960BB8" w:rsidRDefault="00960BB8">
            <w:pPr>
              <w:rPr>
                <w:rFonts w:ascii="宋体"/>
                <w:vanish/>
              </w:rPr>
            </w:pPr>
          </w:p>
        </w:tc>
        <w:tc>
          <w:tcPr>
            <w:tcW w:w="0" w:type="auto"/>
            <w:shd w:val="clear" w:color="auto" w:fill="auto"/>
            <w:vAlign w:val="bottom"/>
          </w:tcPr>
          <w:p w14:paraId="5A1AF4D9" w14:textId="77777777" w:rsidR="00960BB8" w:rsidRDefault="00960BB8">
            <w:pPr>
              <w:rPr>
                <w:rFonts w:ascii="宋体"/>
                <w:vanish/>
              </w:rPr>
            </w:pPr>
          </w:p>
        </w:tc>
        <w:tc>
          <w:tcPr>
            <w:tcW w:w="0" w:type="auto"/>
            <w:gridSpan w:val="3"/>
            <w:shd w:val="clear" w:color="auto" w:fill="auto"/>
            <w:vAlign w:val="bottom"/>
          </w:tcPr>
          <w:p w14:paraId="5A1AF4DA" w14:textId="77777777" w:rsidR="00960BB8" w:rsidRDefault="00960BB8">
            <w:pPr>
              <w:rPr>
                <w:rFonts w:ascii="宋体"/>
                <w:vanish/>
              </w:rPr>
            </w:pPr>
          </w:p>
        </w:tc>
        <w:tc>
          <w:tcPr>
            <w:tcW w:w="0" w:type="auto"/>
            <w:gridSpan w:val="3"/>
            <w:shd w:val="clear" w:color="auto" w:fill="auto"/>
            <w:vAlign w:val="bottom"/>
          </w:tcPr>
          <w:p w14:paraId="5A1AF4DB" w14:textId="77777777" w:rsidR="00960BB8" w:rsidRDefault="00960BB8">
            <w:pPr>
              <w:rPr>
                <w:rFonts w:ascii="宋体"/>
                <w:vanish/>
              </w:rPr>
            </w:pPr>
          </w:p>
        </w:tc>
      </w:tr>
      <w:tr w:rsidR="00960BB8" w14:paraId="5A1AF4E2" w14:textId="77777777">
        <w:trPr>
          <w:hidden/>
        </w:trPr>
        <w:tc>
          <w:tcPr>
            <w:tcW w:w="0" w:type="auto"/>
            <w:gridSpan w:val="3"/>
            <w:shd w:val="clear" w:color="auto" w:fill="auto"/>
            <w:vAlign w:val="bottom"/>
          </w:tcPr>
          <w:p w14:paraId="5A1AF4DD" w14:textId="77777777" w:rsidR="00960BB8" w:rsidRDefault="00960BB8">
            <w:pPr>
              <w:rPr>
                <w:rFonts w:ascii="宋体"/>
                <w:vanish/>
              </w:rPr>
            </w:pPr>
          </w:p>
        </w:tc>
        <w:tc>
          <w:tcPr>
            <w:tcW w:w="0" w:type="auto"/>
            <w:shd w:val="clear" w:color="auto" w:fill="auto"/>
            <w:vAlign w:val="bottom"/>
          </w:tcPr>
          <w:p w14:paraId="5A1AF4DE" w14:textId="77777777" w:rsidR="00960BB8" w:rsidRDefault="00960BB8">
            <w:pPr>
              <w:rPr>
                <w:rFonts w:ascii="宋体"/>
                <w:vanish/>
              </w:rPr>
            </w:pPr>
          </w:p>
        </w:tc>
        <w:tc>
          <w:tcPr>
            <w:tcW w:w="0" w:type="auto"/>
            <w:shd w:val="clear" w:color="auto" w:fill="auto"/>
            <w:vAlign w:val="bottom"/>
          </w:tcPr>
          <w:p w14:paraId="5A1AF4DF" w14:textId="77777777" w:rsidR="00960BB8" w:rsidRDefault="00960BB8">
            <w:pPr>
              <w:rPr>
                <w:rFonts w:ascii="宋体"/>
                <w:vanish/>
              </w:rPr>
            </w:pPr>
          </w:p>
        </w:tc>
        <w:tc>
          <w:tcPr>
            <w:tcW w:w="0" w:type="auto"/>
            <w:gridSpan w:val="3"/>
            <w:shd w:val="clear" w:color="auto" w:fill="auto"/>
            <w:vAlign w:val="bottom"/>
          </w:tcPr>
          <w:p w14:paraId="5A1AF4E0" w14:textId="77777777" w:rsidR="00960BB8" w:rsidRDefault="00960BB8">
            <w:pPr>
              <w:rPr>
                <w:rFonts w:ascii="宋体"/>
                <w:vanish/>
              </w:rPr>
            </w:pPr>
          </w:p>
        </w:tc>
        <w:tc>
          <w:tcPr>
            <w:tcW w:w="0" w:type="auto"/>
            <w:gridSpan w:val="3"/>
            <w:shd w:val="clear" w:color="auto" w:fill="auto"/>
            <w:vAlign w:val="bottom"/>
          </w:tcPr>
          <w:p w14:paraId="5A1AF4E1" w14:textId="77777777" w:rsidR="00960BB8" w:rsidRDefault="00960BB8">
            <w:pPr>
              <w:rPr>
                <w:rFonts w:ascii="宋体"/>
                <w:vanish/>
              </w:rPr>
            </w:pPr>
          </w:p>
        </w:tc>
      </w:tr>
      <w:tr w:rsidR="00960BB8" w14:paraId="5A1AF4EA"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5A1AF4E3" w14:textId="77777777" w:rsidR="00960BB8" w:rsidRDefault="00C06650">
            <w:pPr>
              <w:textAlignment w:val="center"/>
            </w:pPr>
            <w:r>
              <w:rPr>
                <w:rFonts w:ascii="Arial" w:eastAsia="宋体" w:hAnsi="Arial" w:cs="Arial"/>
                <w:color w:val="0068B5"/>
                <w:sz w:val="18"/>
                <w:szCs w:val="18"/>
              </w:rPr>
              <w:t xml:space="preserve">Social and </w:t>
            </w:r>
            <w:r>
              <w:rPr>
                <w:rFonts w:ascii="Arial" w:eastAsia="宋体" w:hAnsi="Arial" w:cs="Arial"/>
                <w:color w:val="0068B5"/>
                <w:sz w:val="18"/>
                <w:szCs w:val="18"/>
              </w:rPr>
              <w:t>Relationship</w:t>
            </w:r>
          </w:p>
        </w:tc>
        <w:tc>
          <w:tcPr>
            <w:tcW w:w="0" w:type="auto"/>
            <w:shd w:val="clear" w:color="auto" w:fill="auto"/>
            <w:vAlign w:val="bottom"/>
          </w:tcPr>
          <w:p w14:paraId="5A1AF4E4" w14:textId="77777777" w:rsidR="00960BB8" w:rsidRDefault="00960BB8">
            <w:pPr>
              <w:rPr>
                <w:rFonts w:ascii="宋体"/>
              </w:rPr>
            </w:pPr>
          </w:p>
        </w:tc>
        <w:tc>
          <w:tcPr>
            <w:tcW w:w="0" w:type="auto"/>
            <w:shd w:val="clear" w:color="auto" w:fill="auto"/>
            <w:vAlign w:val="bottom"/>
          </w:tcPr>
          <w:p w14:paraId="5A1AF4E5" w14:textId="77777777" w:rsidR="00960BB8" w:rsidRDefault="00960BB8">
            <w:pPr>
              <w:rPr>
                <w:rFonts w:ascii="宋体"/>
              </w:rPr>
            </w:pPr>
          </w:p>
        </w:tc>
        <w:tc>
          <w:tcPr>
            <w:tcW w:w="0" w:type="auto"/>
            <w:shd w:val="clear" w:color="auto" w:fill="auto"/>
            <w:vAlign w:val="bottom"/>
          </w:tcPr>
          <w:p w14:paraId="5A1AF4E6" w14:textId="77777777" w:rsidR="00960BB8" w:rsidRDefault="00960BB8">
            <w:pPr>
              <w:rPr>
                <w:rFonts w:ascii="宋体"/>
              </w:rPr>
            </w:pPr>
          </w:p>
        </w:tc>
        <w:tc>
          <w:tcPr>
            <w:tcW w:w="0" w:type="auto"/>
            <w:shd w:val="clear" w:color="auto" w:fill="auto"/>
            <w:vAlign w:val="bottom"/>
          </w:tcPr>
          <w:p w14:paraId="5A1AF4E7" w14:textId="77777777" w:rsidR="00960BB8" w:rsidRDefault="00960BB8">
            <w:pPr>
              <w:rPr>
                <w:rFonts w:ascii="宋体"/>
              </w:rPr>
            </w:pPr>
          </w:p>
        </w:tc>
        <w:tc>
          <w:tcPr>
            <w:tcW w:w="0" w:type="auto"/>
            <w:shd w:val="clear" w:color="auto" w:fill="auto"/>
            <w:vAlign w:val="bottom"/>
          </w:tcPr>
          <w:p w14:paraId="5A1AF4E8" w14:textId="77777777" w:rsidR="00960BB8" w:rsidRDefault="00960BB8">
            <w:pPr>
              <w:rPr>
                <w:rFonts w:ascii="宋体"/>
              </w:rPr>
            </w:pPr>
          </w:p>
        </w:tc>
        <w:tc>
          <w:tcPr>
            <w:tcW w:w="0" w:type="auto"/>
            <w:shd w:val="clear" w:color="auto" w:fill="auto"/>
            <w:vAlign w:val="bottom"/>
          </w:tcPr>
          <w:p w14:paraId="5A1AF4E9" w14:textId="77777777" w:rsidR="00960BB8" w:rsidRDefault="00960BB8">
            <w:pPr>
              <w:rPr>
                <w:rFonts w:ascii="宋体"/>
              </w:rPr>
            </w:pPr>
          </w:p>
        </w:tc>
      </w:tr>
      <w:tr w:rsidR="00960BB8" w14:paraId="5A1AF4F0" w14:textId="77777777">
        <w:tc>
          <w:tcPr>
            <w:tcW w:w="0" w:type="auto"/>
            <w:gridSpan w:val="3"/>
            <w:shd w:val="clear" w:color="auto" w:fill="auto"/>
            <w:tcMar>
              <w:top w:w="0" w:type="dxa"/>
              <w:left w:w="20" w:type="dxa"/>
              <w:bottom w:w="0" w:type="dxa"/>
              <w:right w:w="20" w:type="dxa"/>
            </w:tcMar>
            <w:vAlign w:val="bottom"/>
          </w:tcPr>
          <w:p w14:paraId="5A1AF4EB"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46" wp14:editId="5A1B4347">
                  <wp:extent cx="304800" cy="304800"/>
                  <wp:effectExtent l="0" t="0" r="0" b="0"/>
                  <wp:docPr id="80" name="图片 6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4"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5A1AF4EC" w14:textId="77777777" w:rsidR="00960BB8" w:rsidRDefault="00960BB8">
            <w:pPr>
              <w:rPr>
                <w:rFonts w:ascii="宋体"/>
                <w:vanish/>
              </w:rPr>
            </w:pPr>
          </w:p>
        </w:tc>
        <w:tc>
          <w:tcPr>
            <w:tcW w:w="0" w:type="auto"/>
            <w:shd w:val="clear" w:color="auto" w:fill="auto"/>
            <w:vAlign w:val="bottom"/>
          </w:tcPr>
          <w:p w14:paraId="5A1AF4ED"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center"/>
          </w:tcPr>
          <w:p w14:paraId="5A1AF4EE" w14:textId="77777777" w:rsidR="00960BB8" w:rsidRDefault="00C06650">
            <w:pPr>
              <w:textAlignment w:val="center"/>
            </w:pPr>
            <w:r>
              <w:rPr>
                <w:rFonts w:ascii="Arial" w:eastAsia="宋体" w:hAnsi="Arial" w:cs="Arial"/>
                <w:color w:val="262626"/>
                <w:sz w:val="18"/>
                <w:szCs w:val="18"/>
              </w:rPr>
              <w:t xml:space="preserve">Build trusted relationships for both Intel and our stakeholders, including employees, suppliers, customers, </w:t>
            </w:r>
            <w:r>
              <w:rPr>
                <w:rFonts w:ascii="Arial" w:eastAsia="宋体" w:hAnsi="Arial" w:cs="Arial"/>
                <w:color w:val="262626"/>
                <w:sz w:val="18"/>
                <w:szCs w:val="18"/>
              </w:rPr>
              <w:t>local communities, and governments.</w:t>
            </w:r>
          </w:p>
        </w:tc>
        <w:tc>
          <w:tcPr>
            <w:tcW w:w="0" w:type="auto"/>
            <w:gridSpan w:val="3"/>
            <w:shd w:val="clear" w:color="auto" w:fill="auto"/>
            <w:tcMar>
              <w:top w:w="40" w:type="dxa"/>
              <w:left w:w="20" w:type="dxa"/>
              <w:bottom w:w="40" w:type="dxa"/>
              <w:right w:w="20" w:type="dxa"/>
            </w:tcMar>
            <w:vAlign w:val="center"/>
          </w:tcPr>
          <w:p w14:paraId="5A1AF4EF" w14:textId="77777777" w:rsidR="00960BB8" w:rsidRDefault="00C06650">
            <w:pPr>
              <w:textAlignment w:val="center"/>
            </w:pPr>
            <w:r>
              <w:rPr>
                <w:rFonts w:ascii="Arial" w:eastAsia="宋体" w:hAnsi="Arial" w:cs="Arial"/>
                <w:color w:val="262626"/>
                <w:sz w:val="18"/>
                <w:szCs w:val="18"/>
              </w:rPr>
              <w:t>We collaborate with stakeholders on programs to empower underserved communities through education and technology, and on initiatives to advance accountability and capabilities across our global supply chain, including ac</w:t>
            </w:r>
            <w:r>
              <w:rPr>
                <w:rFonts w:ascii="Arial" w:eastAsia="宋体" w:hAnsi="Arial" w:cs="Arial"/>
                <w:color w:val="262626"/>
                <w:sz w:val="18"/>
                <w:szCs w:val="18"/>
              </w:rPr>
              <w:t>countability for the respect of human rights.</w:t>
            </w:r>
          </w:p>
        </w:tc>
      </w:tr>
      <w:tr w:rsidR="00960BB8" w14:paraId="5A1AF4F6" w14:textId="77777777">
        <w:trPr>
          <w:hidden/>
        </w:trPr>
        <w:tc>
          <w:tcPr>
            <w:tcW w:w="0" w:type="auto"/>
            <w:gridSpan w:val="3"/>
            <w:shd w:val="clear" w:color="auto" w:fill="auto"/>
            <w:vAlign w:val="bottom"/>
          </w:tcPr>
          <w:p w14:paraId="5A1AF4F1" w14:textId="77777777" w:rsidR="00960BB8" w:rsidRDefault="00960BB8">
            <w:pPr>
              <w:rPr>
                <w:rFonts w:ascii="宋体"/>
                <w:vanish/>
              </w:rPr>
            </w:pPr>
          </w:p>
        </w:tc>
        <w:tc>
          <w:tcPr>
            <w:tcW w:w="0" w:type="auto"/>
            <w:shd w:val="clear" w:color="auto" w:fill="auto"/>
            <w:vAlign w:val="bottom"/>
          </w:tcPr>
          <w:p w14:paraId="5A1AF4F2" w14:textId="77777777" w:rsidR="00960BB8" w:rsidRDefault="00960BB8">
            <w:pPr>
              <w:rPr>
                <w:rFonts w:ascii="宋体"/>
                <w:vanish/>
              </w:rPr>
            </w:pPr>
          </w:p>
        </w:tc>
        <w:tc>
          <w:tcPr>
            <w:tcW w:w="0" w:type="auto"/>
            <w:shd w:val="clear" w:color="auto" w:fill="auto"/>
            <w:vAlign w:val="bottom"/>
          </w:tcPr>
          <w:p w14:paraId="5A1AF4F3" w14:textId="77777777" w:rsidR="00960BB8" w:rsidRDefault="00960BB8">
            <w:pPr>
              <w:rPr>
                <w:rFonts w:ascii="宋体"/>
                <w:vanish/>
              </w:rPr>
            </w:pPr>
          </w:p>
        </w:tc>
        <w:tc>
          <w:tcPr>
            <w:tcW w:w="0" w:type="auto"/>
            <w:gridSpan w:val="3"/>
            <w:shd w:val="clear" w:color="auto" w:fill="auto"/>
            <w:vAlign w:val="bottom"/>
          </w:tcPr>
          <w:p w14:paraId="5A1AF4F4" w14:textId="77777777" w:rsidR="00960BB8" w:rsidRDefault="00960BB8">
            <w:pPr>
              <w:rPr>
                <w:rFonts w:ascii="宋体"/>
                <w:vanish/>
              </w:rPr>
            </w:pPr>
          </w:p>
        </w:tc>
        <w:tc>
          <w:tcPr>
            <w:tcW w:w="0" w:type="auto"/>
            <w:gridSpan w:val="3"/>
            <w:shd w:val="clear" w:color="auto" w:fill="auto"/>
            <w:vAlign w:val="bottom"/>
          </w:tcPr>
          <w:p w14:paraId="5A1AF4F5" w14:textId="77777777" w:rsidR="00960BB8" w:rsidRDefault="00960BB8">
            <w:pPr>
              <w:rPr>
                <w:rFonts w:ascii="宋体"/>
                <w:vanish/>
              </w:rPr>
            </w:pPr>
          </w:p>
        </w:tc>
      </w:tr>
      <w:tr w:rsidR="00960BB8" w14:paraId="5A1AF4FC" w14:textId="77777777">
        <w:trPr>
          <w:hidden/>
        </w:trPr>
        <w:tc>
          <w:tcPr>
            <w:tcW w:w="0" w:type="auto"/>
            <w:gridSpan w:val="3"/>
            <w:shd w:val="clear" w:color="auto" w:fill="auto"/>
            <w:vAlign w:val="bottom"/>
          </w:tcPr>
          <w:p w14:paraId="5A1AF4F7" w14:textId="77777777" w:rsidR="00960BB8" w:rsidRDefault="00960BB8">
            <w:pPr>
              <w:rPr>
                <w:rFonts w:ascii="宋体"/>
                <w:vanish/>
              </w:rPr>
            </w:pPr>
          </w:p>
        </w:tc>
        <w:tc>
          <w:tcPr>
            <w:tcW w:w="0" w:type="auto"/>
            <w:shd w:val="clear" w:color="auto" w:fill="auto"/>
            <w:vAlign w:val="bottom"/>
          </w:tcPr>
          <w:p w14:paraId="5A1AF4F8" w14:textId="77777777" w:rsidR="00960BB8" w:rsidRDefault="00960BB8">
            <w:pPr>
              <w:rPr>
                <w:rFonts w:ascii="宋体"/>
                <w:vanish/>
              </w:rPr>
            </w:pPr>
          </w:p>
        </w:tc>
        <w:tc>
          <w:tcPr>
            <w:tcW w:w="0" w:type="auto"/>
            <w:shd w:val="clear" w:color="auto" w:fill="auto"/>
            <w:vAlign w:val="bottom"/>
          </w:tcPr>
          <w:p w14:paraId="5A1AF4F9" w14:textId="77777777" w:rsidR="00960BB8" w:rsidRDefault="00960BB8">
            <w:pPr>
              <w:rPr>
                <w:rFonts w:ascii="宋体"/>
                <w:vanish/>
              </w:rPr>
            </w:pPr>
          </w:p>
        </w:tc>
        <w:tc>
          <w:tcPr>
            <w:tcW w:w="0" w:type="auto"/>
            <w:gridSpan w:val="3"/>
            <w:shd w:val="clear" w:color="auto" w:fill="auto"/>
            <w:vAlign w:val="bottom"/>
          </w:tcPr>
          <w:p w14:paraId="5A1AF4FA" w14:textId="77777777" w:rsidR="00960BB8" w:rsidRDefault="00960BB8">
            <w:pPr>
              <w:rPr>
                <w:rFonts w:ascii="宋体"/>
                <w:vanish/>
              </w:rPr>
            </w:pPr>
          </w:p>
        </w:tc>
        <w:tc>
          <w:tcPr>
            <w:tcW w:w="0" w:type="auto"/>
            <w:gridSpan w:val="3"/>
            <w:shd w:val="clear" w:color="auto" w:fill="auto"/>
            <w:vAlign w:val="bottom"/>
          </w:tcPr>
          <w:p w14:paraId="5A1AF4FB" w14:textId="77777777" w:rsidR="00960BB8" w:rsidRDefault="00960BB8">
            <w:pPr>
              <w:rPr>
                <w:rFonts w:ascii="宋体"/>
                <w:vanish/>
              </w:rPr>
            </w:pPr>
          </w:p>
        </w:tc>
      </w:tr>
      <w:tr w:rsidR="00960BB8" w14:paraId="5A1AF504"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5A1AF4FD" w14:textId="77777777" w:rsidR="00960BB8" w:rsidRDefault="00C06650">
            <w:pPr>
              <w:textAlignment w:val="center"/>
            </w:pPr>
            <w:r>
              <w:rPr>
                <w:rFonts w:ascii="Arial" w:eastAsia="宋体" w:hAnsi="Arial" w:cs="Arial"/>
                <w:color w:val="0068B5"/>
                <w:sz w:val="18"/>
                <w:szCs w:val="18"/>
              </w:rPr>
              <w:t>Natural</w:t>
            </w:r>
          </w:p>
        </w:tc>
        <w:tc>
          <w:tcPr>
            <w:tcW w:w="0" w:type="auto"/>
            <w:shd w:val="clear" w:color="auto" w:fill="auto"/>
            <w:vAlign w:val="bottom"/>
          </w:tcPr>
          <w:p w14:paraId="5A1AF4FE" w14:textId="77777777" w:rsidR="00960BB8" w:rsidRDefault="00960BB8">
            <w:pPr>
              <w:rPr>
                <w:rFonts w:ascii="宋体"/>
              </w:rPr>
            </w:pPr>
          </w:p>
        </w:tc>
        <w:tc>
          <w:tcPr>
            <w:tcW w:w="0" w:type="auto"/>
            <w:shd w:val="clear" w:color="auto" w:fill="auto"/>
            <w:vAlign w:val="bottom"/>
          </w:tcPr>
          <w:p w14:paraId="5A1AF4FF" w14:textId="77777777" w:rsidR="00960BB8" w:rsidRDefault="00960BB8">
            <w:pPr>
              <w:rPr>
                <w:rFonts w:ascii="宋体"/>
              </w:rPr>
            </w:pPr>
          </w:p>
        </w:tc>
        <w:tc>
          <w:tcPr>
            <w:tcW w:w="0" w:type="auto"/>
            <w:shd w:val="clear" w:color="auto" w:fill="auto"/>
            <w:vAlign w:val="bottom"/>
          </w:tcPr>
          <w:p w14:paraId="5A1AF500" w14:textId="77777777" w:rsidR="00960BB8" w:rsidRDefault="00960BB8">
            <w:pPr>
              <w:rPr>
                <w:rFonts w:ascii="宋体"/>
              </w:rPr>
            </w:pPr>
          </w:p>
        </w:tc>
        <w:tc>
          <w:tcPr>
            <w:tcW w:w="0" w:type="auto"/>
            <w:shd w:val="clear" w:color="auto" w:fill="auto"/>
            <w:vAlign w:val="bottom"/>
          </w:tcPr>
          <w:p w14:paraId="5A1AF501" w14:textId="77777777" w:rsidR="00960BB8" w:rsidRDefault="00960BB8">
            <w:pPr>
              <w:rPr>
                <w:rFonts w:ascii="宋体"/>
              </w:rPr>
            </w:pPr>
          </w:p>
        </w:tc>
        <w:tc>
          <w:tcPr>
            <w:tcW w:w="0" w:type="auto"/>
            <w:shd w:val="clear" w:color="auto" w:fill="auto"/>
            <w:vAlign w:val="bottom"/>
          </w:tcPr>
          <w:p w14:paraId="5A1AF502" w14:textId="77777777" w:rsidR="00960BB8" w:rsidRDefault="00960BB8">
            <w:pPr>
              <w:rPr>
                <w:rFonts w:ascii="宋体"/>
              </w:rPr>
            </w:pPr>
          </w:p>
        </w:tc>
        <w:tc>
          <w:tcPr>
            <w:tcW w:w="0" w:type="auto"/>
            <w:shd w:val="clear" w:color="auto" w:fill="auto"/>
            <w:vAlign w:val="bottom"/>
          </w:tcPr>
          <w:p w14:paraId="5A1AF503" w14:textId="77777777" w:rsidR="00960BB8" w:rsidRDefault="00960BB8">
            <w:pPr>
              <w:rPr>
                <w:rFonts w:ascii="宋体"/>
              </w:rPr>
            </w:pPr>
          </w:p>
        </w:tc>
      </w:tr>
      <w:tr w:rsidR="00960BB8" w14:paraId="5A1AF50A" w14:textId="77777777">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5A1AF505"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48" wp14:editId="5A1B4349">
                  <wp:extent cx="304800" cy="304800"/>
                  <wp:effectExtent l="0" t="0" r="0" b="0"/>
                  <wp:docPr id="134" name="图片 65"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65" descr="IMG_2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5A1AF506" w14:textId="77777777" w:rsidR="00960BB8" w:rsidRDefault="00960BB8">
            <w:pPr>
              <w:rPr>
                <w:rFonts w:ascii="宋体"/>
                <w:vanish/>
              </w:rPr>
            </w:pPr>
          </w:p>
        </w:tc>
        <w:tc>
          <w:tcPr>
            <w:tcW w:w="0" w:type="auto"/>
            <w:shd w:val="clear" w:color="auto" w:fill="auto"/>
            <w:vAlign w:val="bottom"/>
          </w:tcPr>
          <w:p w14:paraId="5A1AF507" w14:textId="77777777" w:rsidR="00960BB8" w:rsidRDefault="00960BB8">
            <w:pPr>
              <w:rPr>
                <w:rFonts w:ascii="宋体"/>
                <w:vanish/>
              </w:rPr>
            </w:pPr>
          </w:p>
        </w:tc>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5A1AF508" w14:textId="77777777" w:rsidR="00960BB8" w:rsidRDefault="00C06650">
            <w:pPr>
              <w:textAlignment w:val="center"/>
            </w:pPr>
            <w:r>
              <w:rPr>
                <w:rFonts w:ascii="Arial" w:eastAsia="宋体" w:hAnsi="Arial" w:cs="Arial"/>
                <w:color w:val="262626"/>
                <w:sz w:val="18"/>
                <w:szCs w:val="18"/>
              </w:rPr>
              <w:t xml:space="preserve">Strive to reduce our environmental footprint through efficient and responsible use of natural resources and </w:t>
            </w:r>
            <w:r>
              <w:rPr>
                <w:rFonts w:ascii="Arial" w:eastAsia="宋体" w:hAnsi="Arial" w:cs="Arial"/>
                <w:color w:val="262626"/>
                <w:sz w:val="18"/>
                <w:szCs w:val="18"/>
              </w:rPr>
              <w:t>materials used to create our products.</w:t>
            </w:r>
          </w:p>
        </w:tc>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5A1AF509" w14:textId="77777777" w:rsidR="00960BB8" w:rsidRDefault="00C06650">
            <w:pPr>
              <w:textAlignment w:val="center"/>
            </w:pPr>
            <w:r>
              <w:rPr>
                <w:rFonts w:ascii="Arial" w:eastAsia="宋体" w:hAnsi="Arial" w:cs="Arial"/>
                <w:color w:val="262626"/>
                <w:sz w:val="18"/>
                <w:szCs w:val="18"/>
              </w:rPr>
              <w:t>With our proactive efforts, we seek to mitigate climate and water impacts, achieve efficiencies, and lower costs, and position ourselves to respond to the expectations of our stakeholders.</w:t>
            </w:r>
          </w:p>
        </w:tc>
      </w:tr>
    </w:tbl>
    <w:p w14:paraId="5A1AF50B" w14:textId="77777777" w:rsidR="00960BB8" w:rsidRDefault="00C06650">
      <w:pPr>
        <w:spacing w:before="80" w:after="180"/>
      </w:pPr>
      <w:r>
        <w:rPr>
          <w:rFonts w:ascii="Arial" w:eastAsia="宋体" w:hAnsi="Arial" w:cs="Arial"/>
          <w:color w:val="0068B5"/>
        </w:rPr>
        <w:t xml:space="preserve">Comprehensive ESG and Corporate Responsibility Strategy: RISE </w:t>
      </w:r>
    </w:p>
    <w:p w14:paraId="5A1AF50C" w14:textId="77777777" w:rsidR="00960BB8" w:rsidRDefault="00C06650">
      <w:pPr>
        <w:spacing w:after="180"/>
      </w:pPr>
      <w:r>
        <w:rPr>
          <w:rFonts w:ascii="Arial" w:eastAsia="宋体" w:hAnsi="Arial" w:cs="Arial"/>
          <w:color w:val="262626"/>
          <w:sz w:val="18"/>
          <w:szCs w:val="18"/>
        </w:rPr>
        <w:t>Our commitment to corporate responsibility and sustainability leadership is deeply integrated throughout our business. We strive to create an inclusive and positive work environment where every</w:t>
      </w:r>
      <w:r>
        <w:rPr>
          <w:rFonts w:ascii="Arial" w:eastAsia="宋体" w:hAnsi="Arial" w:cs="Arial"/>
          <w:color w:val="262626"/>
          <w:sz w:val="18"/>
          <w:szCs w:val="18"/>
        </w:rPr>
        <w:t xml:space="preserve"> employee has a voice and a sense of belonging, and we are proactive in our efforts to reduce our environmental footprint through efficient and responsible use of natural resources and materials.</w:t>
      </w:r>
    </w:p>
    <w:p w14:paraId="5A1AF50D" w14:textId="77777777" w:rsidR="00960BB8" w:rsidRDefault="00C06650">
      <w:pPr>
        <w:spacing w:after="180"/>
      </w:pPr>
      <w:r>
        <w:rPr>
          <w:rFonts w:ascii="Arial" w:eastAsia="宋体" w:hAnsi="Arial" w:cs="Arial"/>
          <w:color w:val="262626"/>
          <w:sz w:val="18"/>
          <w:szCs w:val="18"/>
        </w:rPr>
        <w:t xml:space="preserve">We continue to raise the bar for ourselves and leverage our </w:t>
      </w:r>
      <w:r>
        <w:rPr>
          <w:rFonts w:ascii="Arial" w:eastAsia="宋体" w:hAnsi="Arial" w:cs="Arial"/>
          <w:color w:val="262626"/>
          <w:sz w:val="18"/>
          <w:szCs w:val="18"/>
        </w:rPr>
        <w:t xml:space="preserve">leadership position in the global technology ecosystem to make greater strides in corporate responsibility and apply technology to address social and environmental challenges. Through our </w:t>
      </w:r>
      <w:r>
        <w:rPr>
          <w:rFonts w:ascii="Arial" w:eastAsia="宋体" w:hAnsi="Arial" w:cs="Arial"/>
          <w:b/>
          <w:bCs/>
          <w:color w:val="262626"/>
          <w:sz w:val="18"/>
          <w:szCs w:val="18"/>
        </w:rPr>
        <w:t>RISE</w:t>
      </w:r>
      <w:r>
        <w:rPr>
          <w:rFonts w:ascii="Arial" w:eastAsia="宋体" w:hAnsi="Arial" w:cs="Arial"/>
          <w:color w:val="262626"/>
          <w:sz w:val="18"/>
          <w:szCs w:val="18"/>
        </w:rPr>
        <w:t xml:space="preserve"> strategy, we aim to create a more </w:t>
      </w:r>
      <w:r>
        <w:rPr>
          <w:rFonts w:ascii="Arial" w:eastAsia="宋体" w:hAnsi="Arial" w:cs="Arial"/>
          <w:b/>
          <w:bCs/>
          <w:color w:val="262626"/>
          <w:sz w:val="18"/>
          <w:szCs w:val="18"/>
        </w:rPr>
        <w:t>responsible</w:t>
      </w:r>
      <w:r>
        <w:rPr>
          <w:rFonts w:ascii="Arial" w:eastAsia="宋体" w:hAnsi="Arial" w:cs="Arial"/>
          <w:color w:val="262626"/>
          <w:sz w:val="18"/>
          <w:szCs w:val="18"/>
        </w:rPr>
        <w:t xml:space="preserve">, </w:t>
      </w:r>
      <w:r>
        <w:rPr>
          <w:rFonts w:ascii="Arial" w:eastAsia="宋体" w:hAnsi="Arial" w:cs="Arial"/>
          <w:b/>
          <w:bCs/>
          <w:color w:val="262626"/>
          <w:sz w:val="18"/>
          <w:szCs w:val="18"/>
        </w:rPr>
        <w:t>inclusive,</w:t>
      </w:r>
      <w:r>
        <w:rPr>
          <w:rFonts w:ascii="Arial" w:eastAsia="宋体" w:hAnsi="Arial" w:cs="Arial"/>
          <w:color w:val="262626"/>
          <w:sz w:val="18"/>
          <w:szCs w:val="18"/>
        </w:rPr>
        <w:t xml:space="preserve"> and </w:t>
      </w:r>
      <w:r>
        <w:rPr>
          <w:rFonts w:ascii="Arial" w:eastAsia="宋体" w:hAnsi="Arial" w:cs="Arial"/>
          <w:b/>
          <w:bCs/>
          <w:color w:val="262626"/>
          <w:sz w:val="18"/>
          <w:szCs w:val="18"/>
        </w:rPr>
        <w:t>sustainable</w:t>
      </w:r>
      <w:r>
        <w:rPr>
          <w:rFonts w:ascii="Arial" w:eastAsia="宋体" w:hAnsi="Arial" w:cs="Arial"/>
          <w:color w:val="262626"/>
          <w:sz w:val="18"/>
          <w:szCs w:val="18"/>
        </w:rPr>
        <w:t xml:space="preserve"> world, </w:t>
      </w:r>
      <w:r>
        <w:rPr>
          <w:rFonts w:ascii="Arial" w:eastAsia="宋体" w:hAnsi="Arial" w:cs="Arial"/>
          <w:b/>
          <w:bCs/>
          <w:color w:val="262626"/>
          <w:sz w:val="18"/>
          <w:szCs w:val="18"/>
        </w:rPr>
        <w:t xml:space="preserve">enabled </w:t>
      </w:r>
      <w:r>
        <w:rPr>
          <w:rFonts w:ascii="Arial" w:eastAsia="宋体" w:hAnsi="Arial" w:cs="Arial"/>
          <w:color w:val="262626"/>
          <w:sz w:val="18"/>
          <w:szCs w:val="18"/>
        </w:rPr>
        <w:t>by our technology and the expertise and passion of our employees. In addition to our 2030 RISE goals established in 2020, in April 2022 we announced our commitment to achieve net-zero greenhouse gas emissions acros</w:t>
      </w:r>
      <w:r>
        <w:rPr>
          <w:rFonts w:ascii="Arial" w:eastAsia="宋体" w:hAnsi="Arial" w:cs="Arial"/>
          <w:color w:val="262626"/>
          <w:sz w:val="18"/>
          <w:szCs w:val="18"/>
        </w:rPr>
        <w:t>s our global operations (Scope 1 and 2) by 2040 and to increase the energy efficiency and lower the carbon footprint of our products and platforms. These are ambitious goals that strengthen our commitment to sustainable business practices under our RISE st</w:t>
      </w:r>
      <w:r>
        <w:rPr>
          <w:rFonts w:ascii="Arial" w:eastAsia="宋体" w:hAnsi="Arial" w:cs="Arial"/>
          <w:color w:val="262626"/>
          <w:sz w:val="18"/>
          <w:szCs w:val="18"/>
        </w:rPr>
        <w:t>rategy. Our corporate responsibility strategy is designed to increase the scale of our work through collaboration with our stakeholders and other organizations; we know that we cannot achieve the broad social impact to which we aspire by acting alone. More</w:t>
      </w:r>
      <w:r>
        <w:rPr>
          <w:rFonts w:ascii="Arial" w:eastAsia="宋体" w:hAnsi="Arial" w:cs="Arial"/>
          <w:color w:val="262626"/>
          <w:sz w:val="18"/>
          <w:szCs w:val="18"/>
        </w:rPr>
        <w:t xml:space="preserve"> information about our RISE goals, including progress we have made toward achieving them, is included in our Corporate Responsibility Report</w:t>
      </w:r>
      <w:r>
        <w:rPr>
          <w:rFonts w:ascii="Arial" w:eastAsia="宋体" w:hAnsi="Arial" w:cs="Arial"/>
          <w:color w:val="262626"/>
          <w:sz w:val="11"/>
          <w:szCs w:val="11"/>
        </w:rPr>
        <w:t>1</w:t>
      </w:r>
      <w:r>
        <w:rPr>
          <w:rFonts w:ascii="Arial" w:eastAsia="宋体" w:hAnsi="Arial" w:cs="Arial"/>
          <w:color w:val="262626"/>
          <w:sz w:val="18"/>
          <w:szCs w:val="18"/>
        </w:rPr>
        <w:t>.</w:t>
      </w:r>
    </w:p>
    <w:p w14:paraId="5A1AF50E" w14:textId="77777777" w:rsidR="00960BB8" w:rsidRDefault="00960BB8"/>
    <w:p w14:paraId="5A1AF50F" w14:textId="77777777" w:rsidR="00960BB8" w:rsidRDefault="00960BB8"/>
    <w:p w14:paraId="5A1AF510" w14:textId="77777777" w:rsidR="00960BB8" w:rsidRDefault="00960BB8"/>
    <w:p w14:paraId="5A1AF511" w14:textId="77777777" w:rsidR="00960BB8" w:rsidRDefault="00960BB8"/>
    <w:p w14:paraId="5A1AF512" w14:textId="77777777" w:rsidR="00960BB8" w:rsidRDefault="00960BB8"/>
    <w:p w14:paraId="5A1AF513" w14:textId="77777777" w:rsidR="00960BB8" w:rsidRDefault="00C06650">
      <w:r>
        <w:rPr>
          <w:rFonts w:ascii="Arial" w:eastAsia="宋体" w:hAnsi="Arial" w:cs="Arial"/>
          <w:i/>
          <w:iCs/>
          <w:color w:val="262626"/>
          <w:sz w:val="10"/>
          <w:szCs w:val="10"/>
        </w:rPr>
        <w:t xml:space="preserve">1 </w:t>
      </w:r>
      <w:r>
        <w:rPr>
          <w:rFonts w:ascii="Arial" w:eastAsia="宋体" w:hAnsi="Arial" w:cs="Arial"/>
          <w:i/>
          <w:iCs/>
          <w:color w:val="262626"/>
          <w:sz w:val="16"/>
          <w:szCs w:val="16"/>
        </w:rPr>
        <w:t>The contents of our Corporate Responsibility Report are referenced for general information only and are no</w:t>
      </w:r>
      <w:r>
        <w:rPr>
          <w:rFonts w:ascii="Arial" w:eastAsia="宋体" w:hAnsi="Arial" w:cs="Arial"/>
          <w:i/>
          <w:iCs/>
          <w:color w:val="262626"/>
          <w:sz w:val="16"/>
          <w:szCs w:val="16"/>
        </w:rPr>
        <w:t>t incorporated by reference in this Form 10-K.</w:t>
      </w:r>
    </w:p>
    <w:p w14:paraId="5A1AF514"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85"/>
        <w:gridCol w:w="478"/>
        <w:gridCol w:w="36"/>
        <w:gridCol w:w="63"/>
        <w:gridCol w:w="1712"/>
        <w:gridCol w:w="36"/>
        <w:gridCol w:w="63"/>
        <w:gridCol w:w="2587"/>
        <w:gridCol w:w="36"/>
        <w:gridCol w:w="64"/>
        <w:gridCol w:w="3140"/>
        <w:gridCol w:w="36"/>
      </w:tblGrid>
      <w:tr w:rsidR="00960BB8" w14:paraId="5A1AF521" w14:textId="77777777">
        <w:tc>
          <w:tcPr>
            <w:tcW w:w="50" w:type="pct"/>
            <w:shd w:val="clear" w:color="auto" w:fill="auto"/>
            <w:vAlign w:val="bottom"/>
          </w:tcPr>
          <w:p w14:paraId="5A1AF515" w14:textId="77777777" w:rsidR="00960BB8" w:rsidRDefault="00960BB8">
            <w:pPr>
              <w:rPr>
                <w:rFonts w:ascii="宋体"/>
              </w:rPr>
            </w:pPr>
          </w:p>
        </w:tc>
        <w:tc>
          <w:tcPr>
            <w:tcW w:w="283" w:type="pct"/>
            <w:shd w:val="clear" w:color="auto" w:fill="auto"/>
            <w:vAlign w:val="bottom"/>
          </w:tcPr>
          <w:p w14:paraId="5A1AF516" w14:textId="77777777" w:rsidR="00960BB8" w:rsidRDefault="00960BB8">
            <w:pPr>
              <w:rPr>
                <w:rFonts w:ascii="宋体"/>
              </w:rPr>
            </w:pPr>
          </w:p>
        </w:tc>
        <w:tc>
          <w:tcPr>
            <w:tcW w:w="5" w:type="pct"/>
            <w:shd w:val="clear" w:color="auto" w:fill="auto"/>
            <w:vAlign w:val="bottom"/>
          </w:tcPr>
          <w:p w14:paraId="5A1AF517" w14:textId="77777777" w:rsidR="00960BB8" w:rsidRDefault="00960BB8">
            <w:pPr>
              <w:rPr>
                <w:rFonts w:ascii="宋体"/>
              </w:rPr>
            </w:pPr>
          </w:p>
        </w:tc>
        <w:tc>
          <w:tcPr>
            <w:tcW w:w="50" w:type="pct"/>
            <w:shd w:val="clear" w:color="auto" w:fill="auto"/>
            <w:vAlign w:val="bottom"/>
          </w:tcPr>
          <w:p w14:paraId="5A1AF518" w14:textId="77777777" w:rsidR="00960BB8" w:rsidRDefault="00960BB8">
            <w:pPr>
              <w:rPr>
                <w:rFonts w:ascii="宋体"/>
              </w:rPr>
            </w:pPr>
          </w:p>
        </w:tc>
        <w:tc>
          <w:tcPr>
            <w:tcW w:w="1039" w:type="pct"/>
            <w:shd w:val="clear" w:color="auto" w:fill="auto"/>
            <w:vAlign w:val="bottom"/>
          </w:tcPr>
          <w:p w14:paraId="5A1AF519" w14:textId="77777777" w:rsidR="00960BB8" w:rsidRDefault="00960BB8">
            <w:pPr>
              <w:rPr>
                <w:rFonts w:ascii="宋体"/>
              </w:rPr>
            </w:pPr>
          </w:p>
        </w:tc>
        <w:tc>
          <w:tcPr>
            <w:tcW w:w="5" w:type="pct"/>
            <w:shd w:val="clear" w:color="auto" w:fill="auto"/>
            <w:vAlign w:val="bottom"/>
          </w:tcPr>
          <w:p w14:paraId="5A1AF51A" w14:textId="77777777" w:rsidR="00960BB8" w:rsidRDefault="00960BB8">
            <w:pPr>
              <w:rPr>
                <w:rFonts w:ascii="宋体"/>
              </w:rPr>
            </w:pPr>
          </w:p>
        </w:tc>
        <w:tc>
          <w:tcPr>
            <w:tcW w:w="50" w:type="pct"/>
            <w:shd w:val="clear" w:color="auto" w:fill="auto"/>
            <w:vAlign w:val="bottom"/>
          </w:tcPr>
          <w:p w14:paraId="5A1AF51B" w14:textId="77777777" w:rsidR="00960BB8" w:rsidRDefault="00960BB8">
            <w:pPr>
              <w:rPr>
                <w:rFonts w:ascii="宋体"/>
              </w:rPr>
            </w:pPr>
          </w:p>
        </w:tc>
        <w:tc>
          <w:tcPr>
            <w:tcW w:w="1562" w:type="pct"/>
            <w:shd w:val="clear" w:color="auto" w:fill="auto"/>
            <w:vAlign w:val="bottom"/>
          </w:tcPr>
          <w:p w14:paraId="5A1AF51C" w14:textId="77777777" w:rsidR="00960BB8" w:rsidRDefault="00960BB8">
            <w:pPr>
              <w:rPr>
                <w:rFonts w:ascii="宋体"/>
              </w:rPr>
            </w:pPr>
          </w:p>
        </w:tc>
        <w:tc>
          <w:tcPr>
            <w:tcW w:w="5" w:type="pct"/>
            <w:shd w:val="clear" w:color="auto" w:fill="auto"/>
            <w:vAlign w:val="bottom"/>
          </w:tcPr>
          <w:p w14:paraId="5A1AF51D" w14:textId="77777777" w:rsidR="00960BB8" w:rsidRDefault="00960BB8">
            <w:pPr>
              <w:rPr>
                <w:rFonts w:ascii="宋体"/>
              </w:rPr>
            </w:pPr>
          </w:p>
        </w:tc>
        <w:tc>
          <w:tcPr>
            <w:tcW w:w="50" w:type="pct"/>
            <w:shd w:val="clear" w:color="auto" w:fill="auto"/>
            <w:vAlign w:val="bottom"/>
          </w:tcPr>
          <w:p w14:paraId="5A1AF51E" w14:textId="77777777" w:rsidR="00960BB8" w:rsidRDefault="00960BB8">
            <w:pPr>
              <w:rPr>
                <w:rFonts w:ascii="宋体"/>
              </w:rPr>
            </w:pPr>
          </w:p>
        </w:tc>
        <w:tc>
          <w:tcPr>
            <w:tcW w:w="1894" w:type="pct"/>
            <w:shd w:val="clear" w:color="auto" w:fill="auto"/>
            <w:vAlign w:val="bottom"/>
          </w:tcPr>
          <w:p w14:paraId="5A1AF51F" w14:textId="77777777" w:rsidR="00960BB8" w:rsidRDefault="00960BB8">
            <w:pPr>
              <w:rPr>
                <w:rFonts w:ascii="宋体"/>
              </w:rPr>
            </w:pPr>
          </w:p>
        </w:tc>
        <w:tc>
          <w:tcPr>
            <w:tcW w:w="5" w:type="pct"/>
            <w:shd w:val="clear" w:color="auto" w:fill="auto"/>
            <w:vAlign w:val="bottom"/>
          </w:tcPr>
          <w:p w14:paraId="5A1AF520" w14:textId="77777777" w:rsidR="00960BB8" w:rsidRDefault="00960BB8">
            <w:pPr>
              <w:rPr>
                <w:rFonts w:ascii="宋体"/>
              </w:rPr>
            </w:pPr>
          </w:p>
        </w:tc>
      </w:tr>
      <w:tr w:rsidR="00960BB8" w14:paraId="5A1AF526"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522"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4A" wp14:editId="5A1B434B">
                  <wp:extent cx="304800" cy="304800"/>
                  <wp:effectExtent l="0" t="0" r="0" b="0"/>
                  <wp:docPr id="117" name="图片 6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523"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AF524" w14:textId="77777777" w:rsidR="00960BB8" w:rsidRDefault="00C06650">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525" w14:textId="77777777" w:rsidR="00960BB8" w:rsidRDefault="00C06650">
            <w:pPr>
              <w:jc w:val="right"/>
              <w:textAlignment w:val="center"/>
            </w:pPr>
            <w:r>
              <w:rPr>
                <w:rFonts w:ascii="Arial" w:eastAsia="宋体" w:hAnsi="Arial" w:cs="Arial"/>
                <w:color w:val="262626"/>
                <w:sz w:val="16"/>
                <w:szCs w:val="16"/>
              </w:rPr>
              <w:t>10</w:t>
            </w:r>
          </w:p>
        </w:tc>
      </w:tr>
    </w:tbl>
    <w:p w14:paraId="5A1AF527" w14:textId="77777777" w:rsidR="00960BB8" w:rsidRDefault="00C06650">
      <w:r>
        <w:pict w14:anchorId="5A1B434C">
          <v:rect id="_x0000_i1036" style="width:415.3pt;height:1.5pt" o:hralign="center" o:hrstd="t" o:hr="t" fillcolor="#a0a0a0" stroked="f"/>
        </w:pict>
      </w:r>
    </w:p>
    <w:p w14:paraId="5A1AF528" w14:textId="77777777" w:rsidR="00960BB8" w:rsidRDefault="00C06650">
      <w:pPr>
        <w:spacing w:after="180"/>
        <w:jc w:val="right"/>
      </w:pPr>
      <w:hyperlink r:id="rId39" w:anchor="i8aaa7b4dbd2e419ca0f5c30af85a11aa_16" w:history="1">
        <w:r>
          <w:rPr>
            <w:rStyle w:val="a5"/>
            <w:rFonts w:ascii="Arial" w:eastAsia="宋体" w:hAnsi="Arial" w:cs="Arial"/>
            <w:sz w:val="18"/>
            <w:szCs w:val="18"/>
          </w:rPr>
          <w:t>Table of Contents</w:t>
        </w:r>
      </w:hyperlink>
    </w:p>
    <w:tbl>
      <w:tblPr>
        <w:tblW w:w="10770" w:type="dxa"/>
        <w:tblCellMar>
          <w:top w:w="15" w:type="dxa"/>
          <w:left w:w="15" w:type="dxa"/>
          <w:bottom w:w="15" w:type="dxa"/>
          <w:right w:w="15" w:type="dxa"/>
        </w:tblCellMar>
        <w:tblLook w:val="04A0" w:firstRow="1" w:lastRow="0" w:firstColumn="1" w:lastColumn="0" w:noHBand="0" w:noVBand="1"/>
      </w:tblPr>
      <w:tblGrid>
        <w:gridCol w:w="36"/>
        <w:gridCol w:w="663"/>
        <w:gridCol w:w="36"/>
        <w:gridCol w:w="36"/>
        <w:gridCol w:w="9963"/>
        <w:gridCol w:w="36"/>
      </w:tblGrid>
      <w:tr w:rsidR="00960BB8" w14:paraId="5A1AF52F" w14:textId="77777777">
        <w:tc>
          <w:tcPr>
            <w:tcW w:w="20" w:type="dxa"/>
            <w:shd w:val="clear" w:color="auto" w:fill="auto"/>
            <w:vAlign w:val="bottom"/>
          </w:tcPr>
          <w:p w14:paraId="5A1AF529" w14:textId="77777777" w:rsidR="00960BB8" w:rsidRDefault="00960BB8">
            <w:pPr>
              <w:rPr>
                <w:rFonts w:ascii="宋体"/>
              </w:rPr>
            </w:pPr>
          </w:p>
        </w:tc>
        <w:tc>
          <w:tcPr>
            <w:tcW w:w="665" w:type="dxa"/>
            <w:shd w:val="clear" w:color="auto" w:fill="auto"/>
            <w:vAlign w:val="bottom"/>
          </w:tcPr>
          <w:p w14:paraId="5A1AF52A" w14:textId="77777777" w:rsidR="00960BB8" w:rsidRDefault="00960BB8">
            <w:pPr>
              <w:rPr>
                <w:rFonts w:ascii="宋体"/>
              </w:rPr>
            </w:pPr>
          </w:p>
        </w:tc>
        <w:tc>
          <w:tcPr>
            <w:tcW w:w="20" w:type="dxa"/>
            <w:shd w:val="clear" w:color="auto" w:fill="auto"/>
            <w:vAlign w:val="bottom"/>
          </w:tcPr>
          <w:p w14:paraId="5A1AF52B" w14:textId="77777777" w:rsidR="00960BB8" w:rsidRDefault="00960BB8">
            <w:pPr>
              <w:rPr>
                <w:rFonts w:ascii="宋体"/>
              </w:rPr>
            </w:pPr>
          </w:p>
        </w:tc>
        <w:tc>
          <w:tcPr>
            <w:tcW w:w="20" w:type="dxa"/>
            <w:shd w:val="clear" w:color="auto" w:fill="auto"/>
            <w:vAlign w:val="bottom"/>
          </w:tcPr>
          <w:p w14:paraId="5A1AF52C" w14:textId="77777777" w:rsidR="00960BB8" w:rsidRDefault="00960BB8">
            <w:pPr>
              <w:rPr>
                <w:rFonts w:ascii="宋体"/>
              </w:rPr>
            </w:pPr>
          </w:p>
        </w:tc>
        <w:tc>
          <w:tcPr>
            <w:tcW w:w="10025" w:type="dxa"/>
            <w:shd w:val="clear" w:color="auto" w:fill="auto"/>
            <w:vAlign w:val="bottom"/>
          </w:tcPr>
          <w:p w14:paraId="5A1AF52D" w14:textId="77777777" w:rsidR="00960BB8" w:rsidRDefault="00960BB8">
            <w:pPr>
              <w:rPr>
                <w:rFonts w:ascii="宋体"/>
              </w:rPr>
            </w:pPr>
          </w:p>
        </w:tc>
        <w:tc>
          <w:tcPr>
            <w:tcW w:w="20" w:type="dxa"/>
            <w:shd w:val="clear" w:color="auto" w:fill="auto"/>
            <w:vAlign w:val="bottom"/>
          </w:tcPr>
          <w:p w14:paraId="5A1AF52E" w14:textId="77777777" w:rsidR="00960BB8" w:rsidRDefault="00960BB8">
            <w:pPr>
              <w:rPr>
                <w:rFonts w:ascii="宋体"/>
              </w:rPr>
            </w:pPr>
          </w:p>
        </w:tc>
      </w:tr>
      <w:tr w:rsidR="00960BB8" w14:paraId="5A1AF532" w14:textId="77777777">
        <w:trPr>
          <w:trHeight w:val="480"/>
        </w:trPr>
        <w:tc>
          <w:tcPr>
            <w:tcW w:w="0" w:type="auto"/>
            <w:gridSpan w:val="3"/>
            <w:shd w:val="clear" w:color="auto" w:fill="auto"/>
            <w:tcMar>
              <w:top w:w="0" w:type="dxa"/>
              <w:left w:w="20" w:type="dxa"/>
              <w:bottom w:w="0" w:type="dxa"/>
              <w:right w:w="20" w:type="dxa"/>
            </w:tcMar>
            <w:vAlign w:val="bottom"/>
          </w:tcPr>
          <w:p w14:paraId="5A1AF530"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4D" wp14:editId="5A1B434E">
                  <wp:extent cx="304800" cy="304800"/>
                  <wp:effectExtent l="0" t="0" r="0" b="0"/>
                  <wp:docPr id="136" name="图片 6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68"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5A1AF531" w14:textId="77777777" w:rsidR="00960BB8" w:rsidRDefault="00C06650">
            <w:pPr>
              <w:textAlignment w:val="center"/>
            </w:pPr>
            <w:r>
              <w:rPr>
                <w:rFonts w:ascii="Arial" w:eastAsia="宋体" w:hAnsi="Arial" w:cs="Arial"/>
                <w:color w:val="0068B5"/>
                <w:sz w:val="28"/>
                <w:szCs w:val="28"/>
              </w:rPr>
              <w:t>Financial Capital</w:t>
            </w:r>
          </w:p>
        </w:tc>
      </w:tr>
    </w:tbl>
    <w:p w14:paraId="5A1AF533" w14:textId="77777777" w:rsidR="00960BB8" w:rsidRDefault="00C06650">
      <w:pPr>
        <w:spacing w:after="180"/>
      </w:pPr>
      <w:r>
        <w:rPr>
          <w:rFonts w:ascii="Arial" w:eastAsia="宋体" w:hAnsi="Arial" w:cs="Arial"/>
          <w:color w:val="262626"/>
          <w:sz w:val="18"/>
          <w:szCs w:val="18"/>
        </w:rPr>
        <w:t>We take a disciplined approach to our financial capital allocation strategy, which continue</w:t>
      </w:r>
      <w:r>
        <w:rPr>
          <w:rFonts w:ascii="Arial" w:eastAsia="宋体" w:hAnsi="Arial" w:cs="Arial"/>
          <w:color w:val="262626"/>
          <w:sz w:val="18"/>
          <w:szCs w:val="18"/>
        </w:rPr>
        <w:t>s to focus on building stockholder value and is driven by our priority to invest in the business and capacity and our capital needs. We also seek to pay competitive dividends and, from time-to-time, engage in mergers and acquisitions with a focus on adjace</w:t>
      </w:r>
      <w:r>
        <w:rPr>
          <w:rFonts w:ascii="Arial" w:eastAsia="宋体" w:hAnsi="Arial" w:cs="Arial"/>
          <w:color w:val="262626"/>
          <w:sz w:val="18"/>
          <w:szCs w:val="18"/>
        </w:rPr>
        <w:t>ncies and complementary technology. As we invest in our IDM 2.0 strategy and implement our next phase of capacity expansions and the acceleration of our process technology roadmap, our allocation priorities have shifted more heavily toward investing in the</w:t>
      </w:r>
      <w:r>
        <w:rPr>
          <w:rFonts w:ascii="Arial" w:eastAsia="宋体" w:hAnsi="Arial" w:cs="Arial"/>
          <w:color w:val="262626"/>
          <w:sz w:val="18"/>
          <w:szCs w:val="18"/>
        </w:rPr>
        <w:t xml:space="preserve"> business and away from stock repurchases. In the long term, we will continue to look for opportunities to further our strategy through acquisitions while remaining disciplined on capital allocation. </w:t>
      </w:r>
    </w:p>
    <w:tbl>
      <w:tblPr>
        <w:tblW w:w="10980" w:type="dxa"/>
        <w:tblCellMar>
          <w:top w:w="15" w:type="dxa"/>
          <w:left w:w="15" w:type="dxa"/>
          <w:bottom w:w="15" w:type="dxa"/>
          <w:right w:w="15" w:type="dxa"/>
        </w:tblCellMar>
        <w:tblLook w:val="04A0" w:firstRow="1" w:lastRow="0" w:firstColumn="1" w:lastColumn="0" w:noHBand="0" w:noVBand="1"/>
      </w:tblPr>
      <w:tblGrid>
        <w:gridCol w:w="36"/>
        <w:gridCol w:w="36"/>
        <w:gridCol w:w="10872"/>
        <w:gridCol w:w="36"/>
      </w:tblGrid>
      <w:tr w:rsidR="00960BB8" w14:paraId="5A1AF538" w14:textId="77777777">
        <w:trPr>
          <w:hidden/>
        </w:trPr>
        <w:tc>
          <w:tcPr>
            <w:tcW w:w="0" w:type="auto"/>
            <w:shd w:val="clear" w:color="auto" w:fill="auto"/>
            <w:vAlign w:val="bottom"/>
          </w:tcPr>
          <w:p w14:paraId="5A1AF534" w14:textId="77777777" w:rsidR="00960BB8" w:rsidRDefault="00960BB8">
            <w:pPr>
              <w:rPr>
                <w:rFonts w:ascii="宋体"/>
                <w:vanish/>
              </w:rPr>
            </w:pPr>
          </w:p>
        </w:tc>
        <w:tc>
          <w:tcPr>
            <w:tcW w:w="20" w:type="dxa"/>
            <w:shd w:val="clear" w:color="auto" w:fill="auto"/>
            <w:vAlign w:val="bottom"/>
          </w:tcPr>
          <w:p w14:paraId="5A1AF535" w14:textId="77777777" w:rsidR="00960BB8" w:rsidRDefault="00960BB8">
            <w:pPr>
              <w:rPr>
                <w:rFonts w:ascii="宋体"/>
              </w:rPr>
            </w:pPr>
          </w:p>
        </w:tc>
        <w:tc>
          <w:tcPr>
            <w:tcW w:w="10940" w:type="dxa"/>
            <w:shd w:val="clear" w:color="auto" w:fill="auto"/>
            <w:vAlign w:val="bottom"/>
          </w:tcPr>
          <w:p w14:paraId="5A1AF536" w14:textId="77777777" w:rsidR="00960BB8" w:rsidRDefault="00960BB8">
            <w:pPr>
              <w:rPr>
                <w:rFonts w:ascii="宋体"/>
              </w:rPr>
            </w:pPr>
          </w:p>
        </w:tc>
        <w:tc>
          <w:tcPr>
            <w:tcW w:w="20" w:type="dxa"/>
            <w:shd w:val="clear" w:color="auto" w:fill="auto"/>
            <w:vAlign w:val="bottom"/>
          </w:tcPr>
          <w:p w14:paraId="5A1AF537" w14:textId="77777777" w:rsidR="00960BB8" w:rsidRDefault="00960BB8">
            <w:pPr>
              <w:rPr>
                <w:rFonts w:ascii="宋体"/>
              </w:rPr>
            </w:pPr>
          </w:p>
        </w:tc>
      </w:tr>
      <w:tr w:rsidR="00960BB8" w14:paraId="5A1AF53B" w14:textId="77777777">
        <w:trPr>
          <w:trHeight w:val="280"/>
          <w:hidden/>
        </w:trPr>
        <w:tc>
          <w:tcPr>
            <w:tcW w:w="0" w:type="auto"/>
            <w:shd w:val="clear" w:color="auto" w:fill="auto"/>
            <w:vAlign w:val="bottom"/>
          </w:tcPr>
          <w:p w14:paraId="5A1AF539" w14:textId="77777777" w:rsidR="00960BB8" w:rsidRDefault="00960BB8">
            <w:pPr>
              <w:rPr>
                <w:rFonts w:ascii="宋体"/>
                <w:vanish/>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53A" w14:textId="77777777" w:rsidR="00960BB8" w:rsidRDefault="00C06650">
            <w:pPr>
              <w:jc w:val="center"/>
              <w:textAlignment w:val="bottom"/>
            </w:pPr>
            <w:r>
              <w:rPr>
                <w:rFonts w:ascii="Arial" w:eastAsia="宋体" w:hAnsi="Arial" w:cs="Arial"/>
                <w:color w:val="0068B5"/>
                <w:sz w:val="20"/>
                <w:szCs w:val="20"/>
              </w:rPr>
              <w:t>Cash from Operating Activities $B</w:t>
            </w:r>
          </w:p>
        </w:tc>
      </w:tr>
    </w:tbl>
    <w:p w14:paraId="5A1AF53C" w14:textId="77777777" w:rsidR="00960BB8" w:rsidRDefault="00C06650">
      <w:pPr>
        <w:ind w:firstLine="279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4F" wp14:editId="5A1B4350">
            <wp:extent cx="304800" cy="304800"/>
            <wp:effectExtent l="0" t="0" r="0" b="0"/>
            <wp:docPr id="135" name="图片 6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69" descr="IMG_27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7770" w:type="dxa"/>
        <w:tblCellMar>
          <w:top w:w="15" w:type="dxa"/>
          <w:left w:w="15" w:type="dxa"/>
          <w:bottom w:w="15" w:type="dxa"/>
          <w:right w:w="15" w:type="dxa"/>
        </w:tblCellMar>
        <w:tblLook w:val="04A0" w:firstRow="1" w:lastRow="0" w:firstColumn="1" w:lastColumn="0" w:noHBand="0" w:noVBand="1"/>
      </w:tblPr>
      <w:tblGrid>
        <w:gridCol w:w="36"/>
        <w:gridCol w:w="2975"/>
        <w:gridCol w:w="36"/>
        <w:gridCol w:w="36"/>
        <w:gridCol w:w="2379"/>
        <w:gridCol w:w="36"/>
        <w:gridCol w:w="36"/>
        <w:gridCol w:w="2200"/>
        <w:gridCol w:w="36"/>
      </w:tblGrid>
      <w:tr w:rsidR="00960BB8" w14:paraId="5A1AF546" w14:textId="77777777">
        <w:tc>
          <w:tcPr>
            <w:tcW w:w="20" w:type="dxa"/>
            <w:shd w:val="clear" w:color="auto" w:fill="auto"/>
            <w:vAlign w:val="bottom"/>
          </w:tcPr>
          <w:p w14:paraId="5A1AF53D" w14:textId="77777777" w:rsidR="00960BB8" w:rsidRDefault="00960BB8">
            <w:pPr>
              <w:rPr>
                <w:rFonts w:ascii="宋体"/>
              </w:rPr>
            </w:pPr>
          </w:p>
        </w:tc>
        <w:tc>
          <w:tcPr>
            <w:tcW w:w="3020" w:type="dxa"/>
            <w:shd w:val="clear" w:color="auto" w:fill="auto"/>
            <w:vAlign w:val="bottom"/>
          </w:tcPr>
          <w:p w14:paraId="5A1AF53E" w14:textId="77777777" w:rsidR="00960BB8" w:rsidRDefault="00960BB8">
            <w:pPr>
              <w:rPr>
                <w:rFonts w:ascii="宋体"/>
              </w:rPr>
            </w:pPr>
          </w:p>
        </w:tc>
        <w:tc>
          <w:tcPr>
            <w:tcW w:w="20" w:type="dxa"/>
            <w:shd w:val="clear" w:color="auto" w:fill="auto"/>
            <w:vAlign w:val="bottom"/>
          </w:tcPr>
          <w:p w14:paraId="5A1AF53F" w14:textId="77777777" w:rsidR="00960BB8" w:rsidRDefault="00960BB8">
            <w:pPr>
              <w:rPr>
                <w:rFonts w:ascii="宋体"/>
              </w:rPr>
            </w:pPr>
          </w:p>
        </w:tc>
        <w:tc>
          <w:tcPr>
            <w:tcW w:w="20" w:type="dxa"/>
            <w:shd w:val="clear" w:color="auto" w:fill="auto"/>
            <w:vAlign w:val="bottom"/>
          </w:tcPr>
          <w:p w14:paraId="5A1AF540" w14:textId="77777777" w:rsidR="00960BB8" w:rsidRDefault="00960BB8">
            <w:pPr>
              <w:rPr>
                <w:rFonts w:ascii="宋体"/>
              </w:rPr>
            </w:pPr>
          </w:p>
        </w:tc>
        <w:tc>
          <w:tcPr>
            <w:tcW w:w="2405" w:type="dxa"/>
            <w:shd w:val="clear" w:color="auto" w:fill="auto"/>
            <w:vAlign w:val="bottom"/>
          </w:tcPr>
          <w:p w14:paraId="5A1AF541" w14:textId="77777777" w:rsidR="00960BB8" w:rsidRDefault="00960BB8">
            <w:pPr>
              <w:rPr>
                <w:rFonts w:ascii="宋体"/>
              </w:rPr>
            </w:pPr>
          </w:p>
        </w:tc>
        <w:tc>
          <w:tcPr>
            <w:tcW w:w="20" w:type="dxa"/>
            <w:shd w:val="clear" w:color="auto" w:fill="auto"/>
            <w:vAlign w:val="bottom"/>
          </w:tcPr>
          <w:p w14:paraId="5A1AF542" w14:textId="77777777" w:rsidR="00960BB8" w:rsidRDefault="00960BB8">
            <w:pPr>
              <w:rPr>
                <w:rFonts w:ascii="宋体"/>
              </w:rPr>
            </w:pPr>
          </w:p>
        </w:tc>
        <w:tc>
          <w:tcPr>
            <w:tcW w:w="20" w:type="dxa"/>
            <w:shd w:val="clear" w:color="auto" w:fill="auto"/>
            <w:vAlign w:val="bottom"/>
          </w:tcPr>
          <w:p w14:paraId="5A1AF543" w14:textId="77777777" w:rsidR="00960BB8" w:rsidRDefault="00960BB8">
            <w:pPr>
              <w:rPr>
                <w:rFonts w:ascii="宋体"/>
              </w:rPr>
            </w:pPr>
          </w:p>
        </w:tc>
        <w:tc>
          <w:tcPr>
            <w:tcW w:w="2225" w:type="dxa"/>
            <w:shd w:val="clear" w:color="auto" w:fill="auto"/>
            <w:vAlign w:val="bottom"/>
          </w:tcPr>
          <w:p w14:paraId="5A1AF544" w14:textId="77777777" w:rsidR="00960BB8" w:rsidRDefault="00960BB8">
            <w:pPr>
              <w:rPr>
                <w:rFonts w:ascii="宋体"/>
              </w:rPr>
            </w:pPr>
          </w:p>
        </w:tc>
        <w:tc>
          <w:tcPr>
            <w:tcW w:w="20" w:type="dxa"/>
            <w:shd w:val="clear" w:color="auto" w:fill="auto"/>
            <w:vAlign w:val="bottom"/>
          </w:tcPr>
          <w:p w14:paraId="5A1AF545" w14:textId="77777777" w:rsidR="00960BB8" w:rsidRDefault="00960BB8">
            <w:pPr>
              <w:rPr>
                <w:rFonts w:ascii="宋体"/>
              </w:rPr>
            </w:pPr>
          </w:p>
        </w:tc>
      </w:tr>
      <w:tr w:rsidR="00960BB8" w14:paraId="5A1AF54A" w14:textId="77777777">
        <w:trPr>
          <w:trHeight w:val="280"/>
        </w:trPr>
        <w:tc>
          <w:tcPr>
            <w:tcW w:w="0" w:type="auto"/>
            <w:gridSpan w:val="3"/>
            <w:shd w:val="clear" w:color="auto" w:fill="auto"/>
            <w:tcMar>
              <w:top w:w="0" w:type="dxa"/>
              <w:left w:w="20" w:type="dxa"/>
              <w:bottom w:w="0" w:type="dxa"/>
              <w:right w:w="20" w:type="dxa"/>
            </w:tcMar>
            <w:vAlign w:val="bottom"/>
          </w:tcPr>
          <w:p w14:paraId="5A1AF547" w14:textId="77777777" w:rsidR="00960BB8" w:rsidRDefault="00960BB8"/>
        </w:tc>
        <w:tc>
          <w:tcPr>
            <w:tcW w:w="0" w:type="auto"/>
            <w:gridSpan w:val="3"/>
            <w:shd w:val="clear" w:color="auto" w:fill="auto"/>
            <w:tcMar>
              <w:top w:w="40" w:type="dxa"/>
              <w:left w:w="20" w:type="dxa"/>
              <w:bottom w:w="40" w:type="dxa"/>
              <w:right w:w="20" w:type="dxa"/>
            </w:tcMar>
            <w:vAlign w:val="bottom"/>
          </w:tcPr>
          <w:p w14:paraId="5A1AF548" w14:textId="77777777" w:rsidR="00960BB8" w:rsidRDefault="00C06650">
            <w:pPr>
              <w:textAlignment w:val="bottom"/>
            </w:pPr>
            <w:r>
              <w:rPr>
                <w:rFonts w:ascii="Arial" w:eastAsia="宋体" w:hAnsi="Arial" w:cs="Arial"/>
                <w:color w:val="004A86"/>
                <w:sz w:val="16"/>
                <w:szCs w:val="16"/>
              </w:rPr>
              <w:t>■</w:t>
            </w:r>
            <w:r>
              <w:rPr>
                <w:rFonts w:ascii="Arial" w:eastAsia="宋体" w:hAnsi="Arial" w:cs="Arial"/>
                <w:color w:val="262626"/>
                <w:sz w:val="16"/>
                <w:szCs w:val="16"/>
              </w:rPr>
              <w:t xml:space="preserve"> Cash from Operating Activities</w:t>
            </w:r>
          </w:p>
        </w:tc>
        <w:tc>
          <w:tcPr>
            <w:tcW w:w="0" w:type="auto"/>
            <w:gridSpan w:val="3"/>
            <w:shd w:val="clear" w:color="auto" w:fill="auto"/>
            <w:tcMar>
              <w:top w:w="40" w:type="dxa"/>
              <w:left w:w="20" w:type="dxa"/>
              <w:bottom w:w="40" w:type="dxa"/>
              <w:right w:w="20" w:type="dxa"/>
            </w:tcMar>
            <w:vAlign w:val="bottom"/>
          </w:tcPr>
          <w:p w14:paraId="5A1AF549" w14:textId="77777777" w:rsidR="00960BB8" w:rsidRDefault="00C06650">
            <w:pPr>
              <w:textAlignment w:val="bottom"/>
            </w:pPr>
            <w:r>
              <w:rPr>
                <w:rFonts w:ascii="Arial" w:eastAsia="宋体" w:hAnsi="Arial" w:cs="Arial"/>
                <w:color w:val="00A3F6"/>
                <w:sz w:val="16"/>
                <w:szCs w:val="16"/>
              </w:rPr>
              <w:t>■</w:t>
            </w:r>
            <w:r>
              <w:rPr>
                <w:rFonts w:ascii="Arial" w:eastAsia="宋体" w:hAnsi="Arial" w:cs="Arial"/>
                <w:color w:val="262626"/>
                <w:sz w:val="16"/>
                <w:szCs w:val="16"/>
              </w:rPr>
              <w:t xml:space="preserve"> Adjusted Free Cash Flow</w:t>
            </w:r>
            <w:r>
              <w:rPr>
                <w:rFonts w:ascii="Arial" w:eastAsia="宋体" w:hAnsi="Arial" w:cs="Arial"/>
                <w:color w:val="262626"/>
                <w:sz w:val="10"/>
                <w:szCs w:val="10"/>
              </w:rPr>
              <w:t>1</w:t>
            </w:r>
          </w:p>
        </w:tc>
      </w:tr>
    </w:tbl>
    <w:p w14:paraId="5A1AF54B" w14:textId="77777777" w:rsidR="00960BB8" w:rsidRDefault="00C06650">
      <w:pPr>
        <w:spacing w:after="180"/>
      </w:pPr>
      <w:r>
        <w:rPr>
          <w:rFonts w:ascii="Arial" w:eastAsia="宋体" w:hAnsi="Arial" w:cs="Arial"/>
          <w:color w:val="0068B5"/>
        </w:rPr>
        <w:t xml:space="preserve">Our Financial Capital </w:t>
      </w:r>
      <w:r>
        <w:rPr>
          <w:rFonts w:ascii="Arial" w:eastAsia="宋体" w:hAnsi="Arial" w:cs="Arial"/>
          <w:color w:val="0068B5"/>
        </w:rPr>
        <w:t>Allocation Strategy</w:t>
      </w:r>
    </w:p>
    <w:p w14:paraId="5A1AF54C" w14:textId="77777777" w:rsidR="00960BB8" w:rsidRDefault="00C06650">
      <w:pPr>
        <w:spacing w:after="120"/>
      </w:pPr>
      <w:r>
        <w:rPr>
          <w:rFonts w:ascii="Arial" w:eastAsia="宋体" w:hAnsi="Arial" w:cs="Arial"/>
          <w:color w:val="0068B5"/>
          <w:sz w:val="20"/>
          <w:szCs w:val="20"/>
        </w:rPr>
        <w:t>Invest in the Business</w:t>
      </w:r>
    </w:p>
    <w:p w14:paraId="5A1AF54D" w14:textId="77777777" w:rsidR="00960BB8" w:rsidRDefault="00C06650">
      <w:pPr>
        <w:spacing w:after="180"/>
      </w:pPr>
      <w:r>
        <w:rPr>
          <w:rFonts w:ascii="Arial" w:eastAsia="宋体" w:hAnsi="Arial" w:cs="Arial"/>
          <w:color w:val="262626"/>
          <w:sz w:val="18"/>
          <w:szCs w:val="18"/>
        </w:rPr>
        <w:t>Our first allocation priority is to invest in R&amp;D and capital spending to capitalize on the opportunity presented by the world's demand for semiconductors. We also respond to changing business and economic conditi</w:t>
      </w:r>
      <w:r>
        <w:rPr>
          <w:rFonts w:ascii="Arial" w:eastAsia="宋体" w:hAnsi="Arial" w:cs="Arial"/>
          <w:color w:val="262626"/>
          <w:sz w:val="18"/>
          <w:szCs w:val="18"/>
        </w:rPr>
        <w:t xml:space="preserve">ons. We adjusted and refocused our capital investment for 2022 and in the short term, while accelerating the deployment of our Smart Capital strategy. </w:t>
      </w:r>
    </w:p>
    <w:p w14:paraId="5A1AF54E" w14:textId="77777777" w:rsidR="00960BB8" w:rsidRDefault="00C06650">
      <w:pPr>
        <w:spacing w:after="120"/>
      </w:pPr>
      <w:r>
        <w:rPr>
          <w:rFonts w:ascii="Arial" w:eastAsia="宋体" w:hAnsi="Arial" w:cs="Arial"/>
          <w:color w:val="0068B5"/>
          <w:sz w:val="20"/>
          <w:szCs w:val="20"/>
        </w:rPr>
        <w:t>Return Excess Cash to Stockholders</w:t>
      </w:r>
    </w:p>
    <w:p w14:paraId="5A1AF54F" w14:textId="77777777" w:rsidR="00960BB8" w:rsidRDefault="00C06650">
      <w:pPr>
        <w:spacing w:after="180"/>
      </w:pPr>
      <w:r>
        <w:rPr>
          <w:rFonts w:ascii="Arial" w:eastAsia="宋体" w:hAnsi="Arial" w:cs="Arial"/>
          <w:color w:val="262626"/>
          <w:sz w:val="18"/>
          <w:szCs w:val="18"/>
        </w:rPr>
        <w:t>Our capital allocation strategy includes returning excess cash to sto</w:t>
      </w:r>
      <w:r>
        <w:rPr>
          <w:rFonts w:ascii="Arial" w:eastAsia="宋体" w:hAnsi="Arial" w:cs="Arial"/>
          <w:color w:val="262626"/>
          <w:sz w:val="18"/>
          <w:szCs w:val="18"/>
        </w:rPr>
        <w:t>ckholders. We achieve this through our dividend policy and when permissible, stock repurchases. We expect our future stock repurchases to continue to be significantly below our levels from 2021 and recent preceding years due to our current curtailment of t</w:t>
      </w:r>
      <w:r>
        <w:rPr>
          <w:rFonts w:ascii="Arial" w:eastAsia="宋体" w:hAnsi="Arial" w:cs="Arial"/>
          <w:color w:val="262626"/>
          <w:sz w:val="18"/>
          <w:szCs w:val="18"/>
        </w:rPr>
        <w:t>his program.</w:t>
      </w:r>
    </w:p>
    <w:tbl>
      <w:tblPr>
        <w:tblW w:w="10980" w:type="dxa"/>
        <w:tblCellMar>
          <w:top w:w="15" w:type="dxa"/>
          <w:left w:w="15" w:type="dxa"/>
          <w:bottom w:w="15" w:type="dxa"/>
          <w:right w:w="15" w:type="dxa"/>
        </w:tblCellMar>
        <w:tblLook w:val="04A0" w:firstRow="1" w:lastRow="0" w:firstColumn="1" w:lastColumn="0" w:noHBand="0" w:noVBand="1"/>
      </w:tblPr>
      <w:tblGrid>
        <w:gridCol w:w="37"/>
        <w:gridCol w:w="36"/>
        <w:gridCol w:w="5220"/>
        <w:gridCol w:w="36"/>
        <w:gridCol w:w="36"/>
        <w:gridCol w:w="153"/>
        <w:gridCol w:w="36"/>
        <w:gridCol w:w="36"/>
        <w:gridCol w:w="5354"/>
        <w:gridCol w:w="36"/>
      </w:tblGrid>
      <w:tr w:rsidR="00960BB8" w14:paraId="5A1AF55A" w14:textId="77777777">
        <w:trPr>
          <w:hidden/>
        </w:trPr>
        <w:tc>
          <w:tcPr>
            <w:tcW w:w="0" w:type="auto"/>
            <w:shd w:val="clear" w:color="auto" w:fill="auto"/>
            <w:vAlign w:val="bottom"/>
          </w:tcPr>
          <w:p w14:paraId="5A1AF550" w14:textId="77777777" w:rsidR="00960BB8" w:rsidRDefault="00960BB8">
            <w:pPr>
              <w:rPr>
                <w:rFonts w:ascii="宋体"/>
                <w:vanish/>
              </w:rPr>
            </w:pPr>
          </w:p>
        </w:tc>
        <w:tc>
          <w:tcPr>
            <w:tcW w:w="20" w:type="dxa"/>
            <w:shd w:val="clear" w:color="auto" w:fill="auto"/>
            <w:vAlign w:val="bottom"/>
          </w:tcPr>
          <w:p w14:paraId="5A1AF551" w14:textId="77777777" w:rsidR="00960BB8" w:rsidRDefault="00960BB8">
            <w:pPr>
              <w:rPr>
                <w:rFonts w:ascii="宋体"/>
              </w:rPr>
            </w:pPr>
          </w:p>
        </w:tc>
        <w:tc>
          <w:tcPr>
            <w:tcW w:w="5285" w:type="dxa"/>
            <w:shd w:val="clear" w:color="auto" w:fill="auto"/>
            <w:vAlign w:val="bottom"/>
          </w:tcPr>
          <w:p w14:paraId="5A1AF552" w14:textId="77777777" w:rsidR="00960BB8" w:rsidRDefault="00960BB8">
            <w:pPr>
              <w:rPr>
                <w:rFonts w:ascii="宋体"/>
              </w:rPr>
            </w:pPr>
          </w:p>
        </w:tc>
        <w:tc>
          <w:tcPr>
            <w:tcW w:w="20" w:type="dxa"/>
            <w:shd w:val="clear" w:color="auto" w:fill="auto"/>
            <w:vAlign w:val="bottom"/>
          </w:tcPr>
          <w:p w14:paraId="5A1AF553" w14:textId="77777777" w:rsidR="00960BB8" w:rsidRDefault="00960BB8">
            <w:pPr>
              <w:rPr>
                <w:rFonts w:ascii="宋体"/>
              </w:rPr>
            </w:pPr>
          </w:p>
        </w:tc>
        <w:tc>
          <w:tcPr>
            <w:tcW w:w="20" w:type="dxa"/>
            <w:shd w:val="clear" w:color="auto" w:fill="auto"/>
            <w:vAlign w:val="bottom"/>
          </w:tcPr>
          <w:p w14:paraId="5A1AF554" w14:textId="77777777" w:rsidR="00960BB8" w:rsidRDefault="00960BB8">
            <w:pPr>
              <w:rPr>
                <w:rFonts w:ascii="宋体"/>
              </w:rPr>
            </w:pPr>
          </w:p>
        </w:tc>
        <w:tc>
          <w:tcPr>
            <w:tcW w:w="155" w:type="dxa"/>
            <w:shd w:val="clear" w:color="auto" w:fill="auto"/>
            <w:vAlign w:val="bottom"/>
          </w:tcPr>
          <w:p w14:paraId="5A1AF555" w14:textId="77777777" w:rsidR="00960BB8" w:rsidRDefault="00960BB8">
            <w:pPr>
              <w:rPr>
                <w:rFonts w:ascii="宋体"/>
              </w:rPr>
            </w:pPr>
          </w:p>
        </w:tc>
        <w:tc>
          <w:tcPr>
            <w:tcW w:w="20" w:type="dxa"/>
            <w:shd w:val="clear" w:color="auto" w:fill="auto"/>
            <w:vAlign w:val="bottom"/>
          </w:tcPr>
          <w:p w14:paraId="5A1AF556" w14:textId="77777777" w:rsidR="00960BB8" w:rsidRDefault="00960BB8">
            <w:pPr>
              <w:rPr>
                <w:rFonts w:ascii="宋体"/>
              </w:rPr>
            </w:pPr>
          </w:p>
        </w:tc>
        <w:tc>
          <w:tcPr>
            <w:tcW w:w="20" w:type="dxa"/>
            <w:shd w:val="clear" w:color="auto" w:fill="auto"/>
            <w:vAlign w:val="bottom"/>
          </w:tcPr>
          <w:p w14:paraId="5A1AF557" w14:textId="77777777" w:rsidR="00960BB8" w:rsidRDefault="00960BB8">
            <w:pPr>
              <w:rPr>
                <w:rFonts w:ascii="宋体"/>
              </w:rPr>
            </w:pPr>
          </w:p>
        </w:tc>
        <w:tc>
          <w:tcPr>
            <w:tcW w:w="5420" w:type="dxa"/>
            <w:shd w:val="clear" w:color="auto" w:fill="auto"/>
            <w:vAlign w:val="bottom"/>
          </w:tcPr>
          <w:p w14:paraId="5A1AF558" w14:textId="77777777" w:rsidR="00960BB8" w:rsidRDefault="00960BB8">
            <w:pPr>
              <w:rPr>
                <w:rFonts w:ascii="宋体"/>
              </w:rPr>
            </w:pPr>
          </w:p>
        </w:tc>
        <w:tc>
          <w:tcPr>
            <w:tcW w:w="20" w:type="dxa"/>
            <w:shd w:val="clear" w:color="auto" w:fill="auto"/>
            <w:vAlign w:val="bottom"/>
          </w:tcPr>
          <w:p w14:paraId="5A1AF559" w14:textId="77777777" w:rsidR="00960BB8" w:rsidRDefault="00960BB8">
            <w:pPr>
              <w:rPr>
                <w:rFonts w:ascii="宋体"/>
              </w:rPr>
            </w:pPr>
          </w:p>
        </w:tc>
      </w:tr>
      <w:tr w:rsidR="00960BB8" w14:paraId="5A1AF55F" w14:textId="77777777">
        <w:trPr>
          <w:trHeight w:val="220"/>
          <w:hidden/>
        </w:trPr>
        <w:tc>
          <w:tcPr>
            <w:tcW w:w="0" w:type="auto"/>
            <w:shd w:val="clear" w:color="auto" w:fill="auto"/>
            <w:vAlign w:val="bottom"/>
          </w:tcPr>
          <w:p w14:paraId="5A1AF55B" w14:textId="77777777" w:rsidR="00960BB8" w:rsidRDefault="00960BB8">
            <w:pPr>
              <w:rPr>
                <w:rFonts w:ascii="宋体"/>
                <w:vanish/>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55C" w14:textId="77777777" w:rsidR="00960BB8" w:rsidRDefault="00C06650">
            <w:pPr>
              <w:jc w:val="center"/>
              <w:textAlignment w:val="bottom"/>
            </w:pPr>
            <w:r>
              <w:rPr>
                <w:rFonts w:ascii="Arial" w:eastAsia="宋体" w:hAnsi="Arial" w:cs="Arial"/>
                <w:color w:val="0068B5"/>
                <w:sz w:val="20"/>
                <w:szCs w:val="20"/>
              </w:rPr>
              <w:t>R&amp;D and Capital Investments $B</w:t>
            </w:r>
          </w:p>
        </w:tc>
        <w:tc>
          <w:tcPr>
            <w:tcW w:w="0" w:type="auto"/>
            <w:gridSpan w:val="3"/>
            <w:shd w:val="clear" w:color="auto" w:fill="auto"/>
            <w:tcMar>
              <w:top w:w="0" w:type="dxa"/>
              <w:left w:w="20" w:type="dxa"/>
              <w:bottom w:w="0" w:type="dxa"/>
              <w:right w:w="20" w:type="dxa"/>
            </w:tcMar>
            <w:vAlign w:val="bottom"/>
          </w:tcPr>
          <w:p w14:paraId="5A1AF55D"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55E" w14:textId="77777777" w:rsidR="00960BB8" w:rsidRDefault="00C06650">
            <w:pPr>
              <w:jc w:val="center"/>
              <w:textAlignment w:val="bottom"/>
            </w:pPr>
            <w:r>
              <w:rPr>
                <w:rFonts w:ascii="Arial" w:eastAsia="宋体" w:hAnsi="Arial" w:cs="Arial"/>
                <w:color w:val="0068B5"/>
                <w:sz w:val="20"/>
                <w:szCs w:val="20"/>
              </w:rPr>
              <w:t>Cash to Stockholders $B</w:t>
            </w:r>
          </w:p>
        </w:tc>
      </w:tr>
    </w:tbl>
    <w:p w14:paraId="5A1AF560" w14:textId="77777777" w:rsidR="00960BB8" w:rsidRDefault="00C06650">
      <w:pPr>
        <w:ind w:firstLine="99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51" wp14:editId="5A1B4352">
            <wp:extent cx="304800" cy="304800"/>
            <wp:effectExtent l="0" t="0" r="0" b="0"/>
            <wp:docPr id="139" name="图片 7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70" descr="IMG_28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262626"/>
          <w:sz w:val="18"/>
          <w:szCs w:val="18"/>
        </w:rPr>
        <w:t>    </w:t>
      </w:r>
    </w:p>
    <w:tbl>
      <w:tblPr>
        <w:tblW w:w="225" w:type="pct"/>
        <w:tblCellMar>
          <w:top w:w="15" w:type="dxa"/>
          <w:left w:w="15" w:type="dxa"/>
          <w:bottom w:w="15" w:type="dxa"/>
          <w:right w:w="15" w:type="dxa"/>
        </w:tblCellMar>
        <w:tblLook w:val="04A0" w:firstRow="1" w:lastRow="0" w:firstColumn="1" w:lastColumn="0" w:noHBand="0" w:noVBand="1"/>
      </w:tblPr>
      <w:tblGrid>
        <w:gridCol w:w="36"/>
        <w:gridCol w:w="303"/>
        <w:gridCol w:w="36"/>
      </w:tblGrid>
      <w:tr w:rsidR="00960BB8" w14:paraId="5A1AF564" w14:textId="77777777">
        <w:tc>
          <w:tcPr>
            <w:tcW w:w="50" w:type="pct"/>
            <w:shd w:val="clear" w:color="auto" w:fill="auto"/>
            <w:vAlign w:val="bottom"/>
          </w:tcPr>
          <w:p w14:paraId="5A1AF561" w14:textId="77777777" w:rsidR="00960BB8" w:rsidRDefault="00960BB8">
            <w:pPr>
              <w:rPr>
                <w:rFonts w:ascii="宋体"/>
              </w:rPr>
            </w:pPr>
          </w:p>
        </w:tc>
        <w:tc>
          <w:tcPr>
            <w:tcW w:w="4945" w:type="pct"/>
            <w:shd w:val="clear" w:color="auto" w:fill="auto"/>
            <w:vAlign w:val="bottom"/>
          </w:tcPr>
          <w:p w14:paraId="5A1AF562" w14:textId="77777777" w:rsidR="00960BB8" w:rsidRDefault="00960BB8">
            <w:pPr>
              <w:rPr>
                <w:rFonts w:ascii="宋体"/>
              </w:rPr>
            </w:pPr>
          </w:p>
        </w:tc>
        <w:tc>
          <w:tcPr>
            <w:tcW w:w="5" w:type="pct"/>
            <w:shd w:val="clear" w:color="auto" w:fill="auto"/>
            <w:vAlign w:val="bottom"/>
          </w:tcPr>
          <w:p w14:paraId="5A1AF563" w14:textId="77777777" w:rsidR="00960BB8" w:rsidRDefault="00960BB8">
            <w:pPr>
              <w:rPr>
                <w:rFonts w:ascii="宋体"/>
              </w:rPr>
            </w:pPr>
          </w:p>
        </w:tc>
      </w:tr>
      <w:tr w:rsidR="00960BB8" w14:paraId="5A1AF566" w14:textId="77777777">
        <w:trPr>
          <w:trHeight w:val="300"/>
        </w:trPr>
        <w:tc>
          <w:tcPr>
            <w:tcW w:w="0" w:type="auto"/>
            <w:gridSpan w:val="3"/>
            <w:shd w:val="clear" w:color="auto" w:fill="auto"/>
            <w:tcMar>
              <w:top w:w="0" w:type="dxa"/>
              <w:left w:w="20" w:type="dxa"/>
              <w:bottom w:w="0" w:type="dxa"/>
              <w:right w:w="20" w:type="dxa"/>
            </w:tcMar>
            <w:vAlign w:val="bottom"/>
          </w:tcPr>
          <w:p w14:paraId="5A1AF565" w14:textId="77777777" w:rsidR="00960BB8" w:rsidRDefault="00960BB8">
            <w:pPr>
              <w:rPr>
                <w:rFonts w:ascii="宋体"/>
              </w:rPr>
            </w:pPr>
          </w:p>
        </w:tc>
      </w:tr>
      <w:tr w:rsidR="00960BB8" w14:paraId="5A1AF568" w14:textId="77777777">
        <w:trPr>
          <w:trHeight w:val="300"/>
        </w:trPr>
        <w:tc>
          <w:tcPr>
            <w:tcW w:w="0" w:type="auto"/>
            <w:gridSpan w:val="3"/>
            <w:shd w:val="clear" w:color="auto" w:fill="auto"/>
            <w:tcMar>
              <w:top w:w="0" w:type="dxa"/>
              <w:left w:w="20" w:type="dxa"/>
              <w:bottom w:w="0" w:type="dxa"/>
              <w:right w:w="20" w:type="dxa"/>
            </w:tcMar>
            <w:vAlign w:val="bottom"/>
          </w:tcPr>
          <w:p w14:paraId="5A1AF567" w14:textId="77777777" w:rsidR="00960BB8" w:rsidRDefault="00960BB8">
            <w:pPr>
              <w:rPr>
                <w:rFonts w:ascii="宋体"/>
              </w:rPr>
            </w:pPr>
          </w:p>
        </w:tc>
      </w:tr>
      <w:tr w:rsidR="00960BB8" w14:paraId="5A1AF56A" w14:textId="77777777">
        <w:trPr>
          <w:trHeight w:val="300"/>
        </w:trPr>
        <w:tc>
          <w:tcPr>
            <w:tcW w:w="0" w:type="auto"/>
            <w:gridSpan w:val="3"/>
            <w:shd w:val="clear" w:color="auto" w:fill="auto"/>
            <w:tcMar>
              <w:top w:w="0" w:type="dxa"/>
              <w:left w:w="20" w:type="dxa"/>
              <w:bottom w:w="0" w:type="dxa"/>
              <w:right w:w="20" w:type="dxa"/>
            </w:tcMar>
            <w:vAlign w:val="bottom"/>
          </w:tcPr>
          <w:p w14:paraId="5A1AF569" w14:textId="77777777" w:rsidR="00960BB8" w:rsidRDefault="00960BB8">
            <w:pPr>
              <w:rPr>
                <w:rFonts w:ascii="宋体"/>
              </w:rPr>
            </w:pPr>
          </w:p>
        </w:tc>
      </w:tr>
      <w:tr w:rsidR="00960BB8" w14:paraId="5A1AF56C" w14:textId="77777777">
        <w:trPr>
          <w:trHeight w:val="300"/>
        </w:trPr>
        <w:tc>
          <w:tcPr>
            <w:tcW w:w="0" w:type="auto"/>
            <w:gridSpan w:val="3"/>
            <w:shd w:val="clear" w:color="auto" w:fill="auto"/>
            <w:tcMar>
              <w:top w:w="0" w:type="dxa"/>
              <w:left w:w="20" w:type="dxa"/>
              <w:bottom w:w="0" w:type="dxa"/>
              <w:right w:w="20" w:type="dxa"/>
            </w:tcMar>
            <w:vAlign w:val="bottom"/>
          </w:tcPr>
          <w:p w14:paraId="5A1AF56B" w14:textId="77777777" w:rsidR="00960BB8" w:rsidRDefault="00960BB8">
            <w:pPr>
              <w:rPr>
                <w:rFonts w:ascii="宋体"/>
              </w:rPr>
            </w:pPr>
          </w:p>
        </w:tc>
      </w:tr>
      <w:tr w:rsidR="00960BB8" w14:paraId="5A1AF56E" w14:textId="77777777">
        <w:trPr>
          <w:trHeight w:val="300"/>
        </w:trPr>
        <w:tc>
          <w:tcPr>
            <w:tcW w:w="0" w:type="auto"/>
            <w:gridSpan w:val="3"/>
            <w:shd w:val="clear" w:color="auto" w:fill="auto"/>
            <w:tcMar>
              <w:top w:w="0" w:type="dxa"/>
              <w:left w:w="20" w:type="dxa"/>
              <w:bottom w:w="0" w:type="dxa"/>
              <w:right w:w="20" w:type="dxa"/>
            </w:tcMar>
            <w:vAlign w:val="bottom"/>
          </w:tcPr>
          <w:p w14:paraId="5A1AF56D" w14:textId="77777777" w:rsidR="00960BB8" w:rsidRDefault="00960BB8">
            <w:pPr>
              <w:rPr>
                <w:rFonts w:ascii="宋体"/>
              </w:rPr>
            </w:pPr>
          </w:p>
        </w:tc>
      </w:tr>
      <w:tr w:rsidR="00960BB8" w14:paraId="5A1AF570" w14:textId="77777777">
        <w:trPr>
          <w:trHeight w:val="300"/>
        </w:trPr>
        <w:tc>
          <w:tcPr>
            <w:tcW w:w="0" w:type="auto"/>
            <w:gridSpan w:val="3"/>
            <w:shd w:val="clear" w:color="auto" w:fill="auto"/>
            <w:tcMar>
              <w:top w:w="0" w:type="dxa"/>
              <w:left w:w="20" w:type="dxa"/>
              <w:bottom w:w="0" w:type="dxa"/>
              <w:right w:w="20" w:type="dxa"/>
            </w:tcMar>
            <w:vAlign w:val="bottom"/>
          </w:tcPr>
          <w:p w14:paraId="5A1AF56F" w14:textId="77777777" w:rsidR="00960BB8" w:rsidRDefault="00960BB8">
            <w:pPr>
              <w:rPr>
                <w:rFonts w:ascii="宋体"/>
              </w:rPr>
            </w:pPr>
          </w:p>
        </w:tc>
      </w:tr>
      <w:tr w:rsidR="00960BB8" w14:paraId="5A1AF572" w14:textId="77777777">
        <w:trPr>
          <w:trHeight w:val="300"/>
        </w:trPr>
        <w:tc>
          <w:tcPr>
            <w:tcW w:w="0" w:type="auto"/>
            <w:gridSpan w:val="3"/>
            <w:shd w:val="clear" w:color="auto" w:fill="auto"/>
            <w:tcMar>
              <w:top w:w="0" w:type="dxa"/>
              <w:left w:w="20" w:type="dxa"/>
              <w:bottom w:w="0" w:type="dxa"/>
              <w:right w:w="20" w:type="dxa"/>
            </w:tcMar>
            <w:vAlign w:val="bottom"/>
          </w:tcPr>
          <w:p w14:paraId="5A1AF571" w14:textId="77777777" w:rsidR="00960BB8" w:rsidRDefault="00960BB8">
            <w:pPr>
              <w:rPr>
                <w:rFonts w:ascii="宋体"/>
              </w:rPr>
            </w:pPr>
          </w:p>
        </w:tc>
      </w:tr>
    </w:tbl>
    <w:p w14:paraId="5A1AF573" w14:textId="77777777" w:rsidR="00960BB8" w:rsidRDefault="00C06650">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53" wp14:editId="5A1B4354">
            <wp:extent cx="304800" cy="304800"/>
            <wp:effectExtent l="0" t="0" r="0" b="0"/>
            <wp:docPr id="138" name="图片 7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71" descr="IMG_28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7"/>
        <w:gridCol w:w="36"/>
        <w:gridCol w:w="1649"/>
        <w:gridCol w:w="36"/>
        <w:gridCol w:w="36"/>
        <w:gridCol w:w="560"/>
        <w:gridCol w:w="36"/>
        <w:gridCol w:w="36"/>
        <w:gridCol w:w="619"/>
        <w:gridCol w:w="36"/>
        <w:gridCol w:w="36"/>
        <w:gridCol w:w="831"/>
        <w:gridCol w:w="36"/>
        <w:gridCol w:w="36"/>
        <w:gridCol w:w="1281"/>
        <w:gridCol w:w="36"/>
        <w:gridCol w:w="36"/>
        <w:gridCol w:w="1324"/>
        <w:gridCol w:w="36"/>
        <w:gridCol w:w="36"/>
        <w:gridCol w:w="1146"/>
        <w:gridCol w:w="36"/>
        <w:gridCol w:w="36"/>
        <w:gridCol w:w="887"/>
        <w:gridCol w:w="36"/>
        <w:gridCol w:w="36"/>
        <w:gridCol w:w="1890"/>
        <w:gridCol w:w="36"/>
        <w:gridCol w:w="36"/>
        <w:gridCol w:w="36"/>
        <w:gridCol w:w="36"/>
      </w:tblGrid>
      <w:tr w:rsidR="00960BB8" w14:paraId="5A1AF591" w14:textId="77777777">
        <w:trPr>
          <w:hidden/>
        </w:trPr>
        <w:tc>
          <w:tcPr>
            <w:tcW w:w="0" w:type="auto"/>
            <w:shd w:val="clear" w:color="auto" w:fill="auto"/>
            <w:vAlign w:val="bottom"/>
          </w:tcPr>
          <w:p w14:paraId="5A1AF574" w14:textId="77777777" w:rsidR="00960BB8" w:rsidRDefault="00960BB8">
            <w:pPr>
              <w:rPr>
                <w:rFonts w:ascii="宋体"/>
                <w:vanish/>
              </w:rPr>
            </w:pPr>
          </w:p>
        </w:tc>
        <w:tc>
          <w:tcPr>
            <w:tcW w:w="20" w:type="dxa"/>
            <w:shd w:val="clear" w:color="auto" w:fill="auto"/>
            <w:vAlign w:val="bottom"/>
          </w:tcPr>
          <w:p w14:paraId="5A1AF575" w14:textId="77777777" w:rsidR="00960BB8" w:rsidRDefault="00960BB8">
            <w:pPr>
              <w:rPr>
                <w:rFonts w:ascii="宋体"/>
              </w:rPr>
            </w:pPr>
          </w:p>
        </w:tc>
        <w:tc>
          <w:tcPr>
            <w:tcW w:w="1745" w:type="dxa"/>
            <w:shd w:val="clear" w:color="auto" w:fill="auto"/>
            <w:vAlign w:val="bottom"/>
          </w:tcPr>
          <w:p w14:paraId="5A1AF576" w14:textId="77777777" w:rsidR="00960BB8" w:rsidRDefault="00960BB8">
            <w:pPr>
              <w:rPr>
                <w:rFonts w:ascii="宋体"/>
              </w:rPr>
            </w:pPr>
          </w:p>
        </w:tc>
        <w:tc>
          <w:tcPr>
            <w:tcW w:w="20" w:type="dxa"/>
            <w:shd w:val="clear" w:color="auto" w:fill="auto"/>
            <w:vAlign w:val="bottom"/>
          </w:tcPr>
          <w:p w14:paraId="5A1AF577" w14:textId="77777777" w:rsidR="00960BB8" w:rsidRDefault="00960BB8">
            <w:pPr>
              <w:rPr>
                <w:rFonts w:ascii="宋体"/>
              </w:rPr>
            </w:pPr>
          </w:p>
        </w:tc>
        <w:tc>
          <w:tcPr>
            <w:tcW w:w="20" w:type="dxa"/>
            <w:shd w:val="clear" w:color="auto" w:fill="auto"/>
            <w:vAlign w:val="bottom"/>
          </w:tcPr>
          <w:p w14:paraId="5A1AF578" w14:textId="77777777" w:rsidR="00960BB8" w:rsidRDefault="00960BB8">
            <w:pPr>
              <w:rPr>
                <w:rFonts w:ascii="宋体"/>
              </w:rPr>
            </w:pPr>
          </w:p>
        </w:tc>
        <w:tc>
          <w:tcPr>
            <w:tcW w:w="575" w:type="dxa"/>
            <w:shd w:val="clear" w:color="auto" w:fill="auto"/>
            <w:vAlign w:val="bottom"/>
          </w:tcPr>
          <w:p w14:paraId="5A1AF579" w14:textId="77777777" w:rsidR="00960BB8" w:rsidRDefault="00960BB8">
            <w:pPr>
              <w:rPr>
                <w:rFonts w:ascii="宋体"/>
              </w:rPr>
            </w:pPr>
          </w:p>
        </w:tc>
        <w:tc>
          <w:tcPr>
            <w:tcW w:w="20" w:type="dxa"/>
            <w:shd w:val="clear" w:color="auto" w:fill="auto"/>
            <w:vAlign w:val="bottom"/>
          </w:tcPr>
          <w:p w14:paraId="5A1AF57A" w14:textId="77777777" w:rsidR="00960BB8" w:rsidRDefault="00960BB8">
            <w:pPr>
              <w:rPr>
                <w:rFonts w:ascii="宋体"/>
              </w:rPr>
            </w:pPr>
          </w:p>
        </w:tc>
        <w:tc>
          <w:tcPr>
            <w:tcW w:w="20" w:type="dxa"/>
            <w:shd w:val="clear" w:color="auto" w:fill="auto"/>
            <w:vAlign w:val="bottom"/>
          </w:tcPr>
          <w:p w14:paraId="5A1AF57B" w14:textId="77777777" w:rsidR="00960BB8" w:rsidRDefault="00960BB8">
            <w:pPr>
              <w:rPr>
                <w:rFonts w:ascii="宋体"/>
              </w:rPr>
            </w:pPr>
          </w:p>
        </w:tc>
        <w:tc>
          <w:tcPr>
            <w:tcW w:w="635" w:type="dxa"/>
            <w:shd w:val="clear" w:color="auto" w:fill="auto"/>
            <w:vAlign w:val="bottom"/>
          </w:tcPr>
          <w:p w14:paraId="5A1AF57C" w14:textId="77777777" w:rsidR="00960BB8" w:rsidRDefault="00960BB8">
            <w:pPr>
              <w:rPr>
                <w:rFonts w:ascii="宋体"/>
              </w:rPr>
            </w:pPr>
          </w:p>
        </w:tc>
        <w:tc>
          <w:tcPr>
            <w:tcW w:w="20" w:type="dxa"/>
            <w:shd w:val="clear" w:color="auto" w:fill="auto"/>
            <w:vAlign w:val="bottom"/>
          </w:tcPr>
          <w:p w14:paraId="5A1AF57D" w14:textId="77777777" w:rsidR="00960BB8" w:rsidRDefault="00960BB8">
            <w:pPr>
              <w:rPr>
                <w:rFonts w:ascii="宋体"/>
              </w:rPr>
            </w:pPr>
          </w:p>
        </w:tc>
        <w:tc>
          <w:tcPr>
            <w:tcW w:w="20" w:type="dxa"/>
            <w:shd w:val="clear" w:color="auto" w:fill="auto"/>
            <w:vAlign w:val="bottom"/>
          </w:tcPr>
          <w:p w14:paraId="5A1AF57E" w14:textId="77777777" w:rsidR="00960BB8" w:rsidRDefault="00960BB8">
            <w:pPr>
              <w:rPr>
                <w:rFonts w:ascii="宋体"/>
              </w:rPr>
            </w:pPr>
          </w:p>
        </w:tc>
        <w:tc>
          <w:tcPr>
            <w:tcW w:w="845" w:type="dxa"/>
            <w:shd w:val="clear" w:color="auto" w:fill="auto"/>
            <w:vAlign w:val="bottom"/>
          </w:tcPr>
          <w:p w14:paraId="5A1AF57F" w14:textId="77777777" w:rsidR="00960BB8" w:rsidRDefault="00960BB8">
            <w:pPr>
              <w:rPr>
                <w:rFonts w:ascii="宋体"/>
              </w:rPr>
            </w:pPr>
          </w:p>
        </w:tc>
        <w:tc>
          <w:tcPr>
            <w:tcW w:w="20" w:type="dxa"/>
            <w:shd w:val="clear" w:color="auto" w:fill="auto"/>
            <w:vAlign w:val="bottom"/>
          </w:tcPr>
          <w:p w14:paraId="5A1AF580" w14:textId="77777777" w:rsidR="00960BB8" w:rsidRDefault="00960BB8">
            <w:pPr>
              <w:rPr>
                <w:rFonts w:ascii="宋体"/>
              </w:rPr>
            </w:pPr>
          </w:p>
        </w:tc>
        <w:tc>
          <w:tcPr>
            <w:tcW w:w="20" w:type="dxa"/>
            <w:shd w:val="clear" w:color="auto" w:fill="auto"/>
            <w:vAlign w:val="bottom"/>
          </w:tcPr>
          <w:p w14:paraId="5A1AF581" w14:textId="77777777" w:rsidR="00960BB8" w:rsidRDefault="00960BB8">
            <w:pPr>
              <w:rPr>
                <w:rFonts w:ascii="宋体"/>
              </w:rPr>
            </w:pPr>
          </w:p>
        </w:tc>
        <w:tc>
          <w:tcPr>
            <w:tcW w:w="1355" w:type="dxa"/>
            <w:shd w:val="clear" w:color="auto" w:fill="auto"/>
            <w:vAlign w:val="bottom"/>
          </w:tcPr>
          <w:p w14:paraId="5A1AF582" w14:textId="77777777" w:rsidR="00960BB8" w:rsidRDefault="00960BB8">
            <w:pPr>
              <w:rPr>
                <w:rFonts w:ascii="宋体"/>
              </w:rPr>
            </w:pPr>
          </w:p>
        </w:tc>
        <w:tc>
          <w:tcPr>
            <w:tcW w:w="20" w:type="dxa"/>
            <w:shd w:val="clear" w:color="auto" w:fill="auto"/>
            <w:vAlign w:val="bottom"/>
          </w:tcPr>
          <w:p w14:paraId="5A1AF583" w14:textId="77777777" w:rsidR="00960BB8" w:rsidRDefault="00960BB8">
            <w:pPr>
              <w:rPr>
                <w:rFonts w:ascii="宋体"/>
              </w:rPr>
            </w:pPr>
          </w:p>
        </w:tc>
        <w:tc>
          <w:tcPr>
            <w:tcW w:w="20" w:type="dxa"/>
            <w:shd w:val="clear" w:color="auto" w:fill="auto"/>
            <w:vAlign w:val="bottom"/>
          </w:tcPr>
          <w:p w14:paraId="5A1AF584" w14:textId="77777777" w:rsidR="00960BB8" w:rsidRDefault="00960BB8">
            <w:pPr>
              <w:rPr>
                <w:rFonts w:ascii="宋体"/>
              </w:rPr>
            </w:pPr>
          </w:p>
        </w:tc>
        <w:tc>
          <w:tcPr>
            <w:tcW w:w="1400" w:type="dxa"/>
            <w:shd w:val="clear" w:color="auto" w:fill="auto"/>
            <w:vAlign w:val="bottom"/>
          </w:tcPr>
          <w:p w14:paraId="5A1AF585" w14:textId="77777777" w:rsidR="00960BB8" w:rsidRDefault="00960BB8">
            <w:pPr>
              <w:rPr>
                <w:rFonts w:ascii="宋体"/>
              </w:rPr>
            </w:pPr>
          </w:p>
        </w:tc>
        <w:tc>
          <w:tcPr>
            <w:tcW w:w="20" w:type="dxa"/>
            <w:shd w:val="clear" w:color="auto" w:fill="auto"/>
            <w:vAlign w:val="bottom"/>
          </w:tcPr>
          <w:p w14:paraId="5A1AF586" w14:textId="77777777" w:rsidR="00960BB8" w:rsidRDefault="00960BB8">
            <w:pPr>
              <w:rPr>
                <w:rFonts w:ascii="宋体"/>
              </w:rPr>
            </w:pPr>
          </w:p>
        </w:tc>
        <w:tc>
          <w:tcPr>
            <w:tcW w:w="20" w:type="dxa"/>
            <w:shd w:val="clear" w:color="auto" w:fill="auto"/>
            <w:vAlign w:val="bottom"/>
          </w:tcPr>
          <w:p w14:paraId="5A1AF587" w14:textId="77777777" w:rsidR="00960BB8" w:rsidRDefault="00960BB8">
            <w:pPr>
              <w:rPr>
                <w:rFonts w:ascii="宋体"/>
              </w:rPr>
            </w:pPr>
          </w:p>
        </w:tc>
        <w:tc>
          <w:tcPr>
            <w:tcW w:w="1160" w:type="dxa"/>
            <w:shd w:val="clear" w:color="auto" w:fill="auto"/>
            <w:vAlign w:val="bottom"/>
          </w:tcPr>
          <w:p w14:paraId="5A1AF588" w14:textId="77777777" w:rsidR="00960BB8" w:rsidRDefault="00960BB8">
            <w:pPr>
              <w:rPr>
                <w:rFonts w:ascii="宋体"/>
              </w:rPr>
            </w:pPr>
          </w:p>
        </w:tc>
        <w:tc>
          <w:tcPr>
            <w:tcW w:w="20" w:type="dxa"/>
            <w:shd w:val="clear" w:color="auto" w:fill="auto"/>
            <w:vAlign w:val="bottom"/>
          </w:tcPr>
          <w:p w14:paraId="5A1AF589" w14:textId="77777777" w:rsidR="00960BB8" w:rsidRDefault="00960BB8">
            <w:pPr>
              <w:rPr>
                <w:rFonts w:ascii="宋体"/>
              </w:rPr>
            </w:pPr>
          </w:p>
        </w:tc>
        <w:tc>
          <w:tcPr>
            <w:tcW w:w="20" w:type="dxa"/>
            <w:shd w:val="clear" w:color="auto" w:fill="auto"/>
            <w:vAlign w:val="bottom"/>
          </w:tcPr>
          <w:p w14:paraId="5A1AF58A" w14:textId="77777777" w:rsidR="00960BB8" w:rsidRDefault="00960BB8">
            <w:pPr>
              <w:rPr>
                <w:rFonts w:ascii="宋体"/>
              </w:rPr>
            </w:pPr>
          </w:p>
        </w:tc>
        <w:tc>
          <w:tcPr>
            <w:tcW w:w="905" w:type="dxa"/>
            <w:shd w:val="clear" w:color="auto" w:fill="auto"/>
            <w:vAlign w:val="bottom"/>
          </w:tcPr>
          <w:p w14:paraId="5A1AF58B" w14:textId="77777777" w:rsidR="00960BB8" w:rsidRDefault="00960BB8">
            <w:pPr>
              <w:rPr>
                <w:rFonts w:ascii="宋体"/>
              </w:rPr>
            </w:pPr>
          </w:p>
        </w:tc>
        <w:tc>
          <w:tcPr>
            <w:tcW w:w="20" w:type="dxa"/>
            <w:shd w:val="clear" w:color="auto" w:fill="auto"/>
            <w:vAlign w:val="bottom"/>
          </w:tcPr>
          <w:p w14:paraId="5A1AF58C" w14:textId="77777777" w:rsidR="00960BB8" w:rsidRDefault="00960BB8">
            <w:pPr>
              <w:rPr>
                <w:rFonts w:ascii="宋体"/>
              </w:rPr>
            </w:pPr>
          </w:p>
        </w:tc>
        <w:tc>
          <w:tcPr>
            <w:tcW w:w="20" w:type="dxa"/>
            <w:shd w:val="clear" w:color="auto" w:fill="auto"/>
            <w:vAlign w:val="bottom"/>
          </w:tcPr>
          <w:p w14:paraId="5A1AF58D" w14:textId="77777777" w:rsidR="00960BB8" w:rsidRDefault="00960BB8">
            <w:pPr>
              <w:rPr>
                <w:rFonts w:ascii="宋体"/>
              </w:rPr>
            </w:pPr>
          </w:p>
        </w:tc>
        <w:tc>
          <w:tcPr>
            <w:tcW w:w="2000" w:type="dxa"/>
            <w:shd w:val="clear" w:color="auto" w:fill="auto"/>
            <w:vAlign w:val="bottom"/>
          </w:tcPr>
          <w:p w14:paraId="5A1AF58E" w14:textId="77777777" w:rsidR="00960BB8" w:rsidRDefault="00960BB8">
            <w:pPr>
              <w:rPr>
                <w:rFonts w:ascii="宋体"/>
              </w:rPr>
            </w:pPr>
          </w:p>
        </w:tc>
        <w:tc>
          <w:tcPr>
            <w:tcW w:w="20" w:type="dxa"/>
            <w:shd w:val="clear" w:color="auto" w:fill="auto"/>
            <w:vAlign w:val="bottom"/>
          </w:tcPr>
          <w:p w14:paraId="5A1AF58F" w14:textId="77777777" w:rsidR="00960BB8" w:rsidRDefault="00960BB8">
            <w:pPr>
              <w:rPr>
                <w:rFonts w:ascii="宋体"/>
              </w:rPr>
            </w:pPr>
          </w:p>
        </w:tc>
        <w:tc>
          <w:tcPr>
            <w:tcW w:w="0" w:type="auto"/>
            <w:gridSpan w:val="3"/>
            <w:shd w:val="clear" w:color="auto" w:fill="auto"/>
            <w:vAlign w:val="bottom"/>
          </w:tcPr>
          <w:p w14:paraId="5A1AF590" w14:textId="77777777" w:rsidR="00960BB8" w:rsidRDefault="00960BB8">
            <w:pPr>
              <w:rPr>
                <w:rFonts w:ascii="宋体"/>
                <w:vanish/>
              </w:rPr>
            </w:pPr>
          </w:p>
        </w:tc>
      </w:tr>
      <w:tr w:rsidR="00960BB8" w14:paraId="5A1AF59D" w14:textId="77777777">
        <w:trPr>
          <w:trHeight w:val="220"/>
          <w:hidden/>
        </w:trPr>
        <w:tc>
          <w:tcPr>
            <w:tcW w:w="0" w:type="auto"/>
            <w:shd w:val="clear" w:color="auto" w:fill="auto"/>
            <w:vAlign w:val="bottom"/>
          </w:tcPr>
          <w:p w14:paraId="5A1AF592" w14:textId="77777777" w:rsidR="00960BB8" w:rsidRDefault="00960BB8">
            <w:pPr>
              <w:rPr>
                <w:rFonts w:ascii="宋体"/>
                <w:vanish/>
              </w:rPr>
            </w:pPr>
          </w:p>
        </w:tc>
        <w:tc>
          <w:tcPr>
            <w:tcW w:w="0" w:type="auto"/>
            <w:gridSpan w:val="3"/>
            <w:shd w:val="clear" w:color="auto" w:fill="auto"/>
            <w:tcMar>
              <w:top w:w="0" w:type="dxa"/>
              <w:left w:w="20" w:type="dxa"/>
              <w:bottom w:w="0" w:type="dxa"/>
              <w:right w:w="20" w:type="dxa"/>
            </w:tcMar>
            <w:vAlign w:val="bottom"/>
          </w:tcPr>
          <w:p w14:paraId="5A1AF59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594" w14:textId="77777777" w:rsidR="00960BB8" w:rsidRDefault="00C06650">
            <w:pP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R&amp;D</w:t>
            </w:r>
          </w:p>
        </w:tc>
        <w:tc>
          <w:tcPr>
            <w:tcW w:w="0" w:type="auto"/>
            <w:gridSpan w:val="3"/>
            <w:shd w:val="clear" w:color="auto" w:fill="auto"/>
            <w:tcMar>
              <w:top w:w="40" w:type="dxa"/>
              <w:left w:w="20" w:type="dxa"/>
              <w:bottom w:w="40" w:type="dxa"/>
              <w:right w:w="20" w:type="dxa"/>
            </w:tcMar>
          </w:tcPr>
          <w:p w14:paraId="5A1AF595" w14:textId="77777777" w:rsidR="00960BB8" w:rsidRDefault="00C06650">
            <w:pPr>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Logic</w:t>
            </w:r>
          </w:p>
        </w:tc>
        <w:tc>
          <w:tcPr>
            <w:tcW w:w="0" w:type="auto"/>
            <w:gridSpan w:val="3"/>
            <w:shd w:val="clear" w:color="auto" w:fill="auto"/>
            <w:tcMar>
              <w:top w:w="40" w:type="dxa"/>
              <w:left w:w="20" w:type="dxa"/>
              <w:bottom w:w="40" w:type="dxa"/>
              <w:right w:w="20" w:type="dxa"/>
            </w:tcMar>
          </w:tcPr>
          <w:p w14:paraId="5A1AF596" w14:textId="77777777" w:rsidR="00960BB8" w:rsidRDefault="00C06650">
            <w:pPr>
              <w:textAlignment w:val="top"/>
            </w:pPr>
            <w:r>
              <w:rPr>
                <w:rFonts w:ascii="Arial" w:eastAsia="宋体" w:hAnsi="Arial" w:cs="Arial"/>
                <w:color w:val="AEAEAE"/>
                <w:sz w:val="16"/>
                <w:szCs w:val="16"/>
              </w:rPr>
              <w:t>■</w:t>
            </w:r>
            <w:r>
              <w:rPr>
                <w:rFonts w:ascii="Arial" w:eastAsia="宋体" w:hAnsi="Arial" w:cs="Arial"/>
                <w:color w:val="262626"/>
                <w:sz w:val="16"/>
                <w:szCs w:val="16"/>
              </w:rPr>
              <w:t xml:space="preserve"> Memory</w:t>
            </w:r>
            <w:r>
              <w:rPr>
                <w:rFonts w:ascii="Arial" w:eastAsia="宋体" w:hAnsi="Arial" w:cs="Arial"/>
                <w:color w:val="262626"/>
                <w:sz w:val="10"/>
                <w:szCs w:val="10"/>
              </w:rPr>
              <w:t>2</w:t>
            </w:r>
          </w:p>
        </w:tc>
        <w:tc>
          <w:tcPr>
            <w:tcW w:w="0" w:type="auto"/>
            <w:gridSpan w:val="3"/>
            <w:shd w:val="clear" w:color="auto" w:fill="auto"/>
            <w:tcMar>
              <w:top w:w="0" w:type="dxa"/>
              <w:left w:w="20" w:type="dxa"/>
              <w:bottom w:w="0" w:type="dxa"/>
              <w:right w:w="20" w:type="dxa"/>
            </w:tcMar>
            <w:vAlign w:val="bottom"/>
          </w:tcPr>
          <w:p w14:paraId="5A1AF59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59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599" w14:textId="77777777" w:rsidR="00960BB8" w:rsidRDefault="00C06650">
            <w:pP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Repurchases</w:t>
            </w:r>
          </w:p>
        </w:tc>
        <w:tc>
          <w:tcPr>
            <w:tcW w:w="0" w:type="auto"/>
            <w:gridSpan w:val="3"/>
            <w:shd w:val="clear" w:color="auto" w:fill="auto"/>
            <w:tcMar>
              <w:top w:w="40" w:type="dxa"/>
              <w:left w:w="20" w:type="dxa"/>
              <w:bottom w:w="40" w:type="dxa"/>
              <w:right w:w="20" w:type="dxa"/>
            </w:tcMar>
          </w:tcPr>
          <w:p w14:paraId="5A1AF59A" w14:textId="77777777" w:rsidR="00960BB8" w:rsidRDefault="00C06650">
            <w:pPr>
              <w:spacing w:after="60"/>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Dividend</w:t>
            </w:r>
          </w:p>
        </w:tc>
        <w:tc>
          <w:tcPr>
            <w:tcW w:w="0" w:type="auto"/>
            <w:gridSpan w:val="3"/>
            <w:shd w:val="clear" w:color="auto" w:fill="auto"/>
            <w:tcMar>
              <w:top w:w="0" w:type="dxa"/>
              <w:left w:w="20" w:type="dxa"/>
              <w:bottom w:w="0" w:type="dxa"/>
              <w:right w:w="20" w:type="dxa"/>
            </w:tcMar>
            <w:vAlign w:val="bottom"/>
          </w:tcPr>
          <w:p w14:paraId="5A1AF59B" w14:textId="77777777" w:rsidR="00960BB8" w:rsidRDefault="00960BB8">
            <w:pPr>
              <w:rPr>
                <w:rFonts w:ascii="宋体"/>
              </w:rPr>
            </w:pPr>
          </w:p>
        </w:tc>
        <w:tc>
          <w:tcPr>
            <w:tcW w:w="0" w:type="auto"/>
            <w:gridSpan w:val="3"/>
            <w:shd w:val="clear" w:color="auto" w:fill="auto"/>
            <w:vAlign w:val="bottom"/>
          </w:tcPr>
          <w:p w14:paraId="5A1AF59C" w14:textId="77777777" w:rsidR="00960BB8" w:rsidRDefault="00960BB8">
            <w:pPr>
              <w:rPr>
                <w:rFonts w:ascii="宋体"/>
                <w:vanish/>
              </w:rPr>
            </w:pPr>
          </w:p>
        </w:tc>
      </w:tr>
      <w:tr w:rsidR="00960BB8" w14:paraId="5A1AF5B9" w14:textId="77777777">
        <w:trPr>
          <w:hidden/>
        </w:trPr>
        <w:tc>
          <w:tcPr>
            <w:tcW w:w="0" w:type="auto"/>
            <w:shd w:val="clear" w:color="auto" w:fill="auto"/>
            <w:vAlign w:val="bottom"/>
          </w:tcPr>
          <w:p w14:paraId="5A1AF59E" w14:textId="77777777" w:rsidR="00960BB8" w:rsidRDefault="00960BB8">
            <w:pPr>
              <w:rPr>
                <w:rFonts w:ascii="宋体"/>
                <w:vanish/>
              </w:rPr>
            </w:pPr>
          </w:p>
        </w:tc>
        <w:tc>
          <w:tcPr>
            <w:tcW w:w="0" w:type="auto"/>
            <w:gridSpan w:val="3"/>
            <w:shd w:val="clear" w:color="auto" w:fill="auto"/>
            <w:vAlign w:val="bottom"/>
          </w:tcPr>
          <w:p w14:paraId="5A1AF59F" w14:textId="77777777" w:rsidR="00960BB8" w:rsidRDefault="00960BB8">
            <w:pPr>
              <w:rPr>
                <w:rFonts w:ascii="宋体"/>
                <w:vanish/>
              </w:rPr>
            </w:pPr>
          </w:p>
        </w:tc>
        <w:tc>
          <w:tcPr>
            <w:tcW w:w="0" w:type="auto"/>
            <w:gridSpan w:val="3"/>
            <w:shd w:val="clear" w:color="auto" w:fill="auto"/>
            <w:vAlign w:val="bottom"/>
          </w:tcPr>
          <w:p w14:paraId="5A1AF5A0" w14:textId="77777777" w:rsidR="00960BB8" w:rsidRDefault="00960BB8">
            <w:pPr>
              <w:rPr>
                <w:rFonts w:ascii="宋体"/>
                <w:vanish/>
              </w:rPr>
            </w:pPr>
          </w:p>
        </w:tc>
        <w:tc>
          <w:tcPr>
            <w:tcW w:w="0" w:type="auto"/>
            <w:shd w:val="clear" w:color="auto" w:fill="auto"/>
            <w:vAlign w:val="bottom"/>
          </w:tcPr>
          <w:p w14:paraId="5A1AF5A1" w14:textId="77777777" w:rsidR="00960BB8" w:rsidRDefault="00960BB8">
            <w:pPr>
              <w:rPr>
                <w:rFonts w:ascii="宋体"/>
              </w:rPr>
            </w:pPr>
          </w:p>
        </w:tc>
        <w:tc>
          <w:tcPr>
            <w:tcW w:w="0" w:type="auto"/>
            <w:shd w:val="clear" w:color="auto" w:fill="auto"/>
            <w:vAlign w:val="bottom"/>
          </w:tcPr>
          <w:p w14:paraId="5A1AF5A2" w14:textId="77777777" w:rsidR="00960BB8" w:rsidRDefault="00960BB8">
            <w:pPr>
              <w:rPr>
                <w:rFonts w:ascii="宋体"/>
              </w:rPr>
            </w:pPr>
          </w:p>
        </w:tc>
        <w:tc>
          <w:tcPr>
            <w:tcW w:w="0" w:type="auto"/>
            <w:shd w:val="clear" w:color="auto" w:fill="auto"/>
            <w:vAlign w:val="bottom"/>
          </w:tcPr>
          <w:p w14:paraId="5A1AF5A3" w14:textId="77777777" w:rsidR="00960BB8" w:rsidRDefault="00960BB8">
            <w:pPr>
              <w:rPr>
                <w:rFonts w:ascii="宋体"/>
              </w:rPr>
            </w:pPr>
          </w:p>
        </w:tc>
        <w:tc>
          <w:tcPr>
            <w:tcW w:w="0" w:type="auto"/>
            <w:shd w:val="clear" w:color="auto" w:fill="auto"/>
            <w:vAlign w:val="bottom"/>
          </w:tcPr>
          <w:p w14:paraId="5A1AF5A4" w14:textId="77777777" w:rsidR="00960BB8" w:rsidRDefault="00960BB8">
            <w:pPr>
              <w:rPr>
                <w:rFonts w:ascii="宋体"/>
              </w:rPr>
            </w:pPr>
          </w:p>
        </w:tc>
        <w:tc>
          <w:tcPr>
            <w:tcW w:w="0" w:type="auto"/>
            <w:shd w:val="clear" w:color="auto" w:fill="auto"/>
            <w:vAlign w:val="bottom"/>
          </w:tcPr>
          <w:p w14:paraId="5A1AF5A5" w14:textId="77777777" w:rsidR="00960BB8" w:rsidRDefault="00960BB8">
            <w:pPr>
              <w:rPr>
                <w:rFonts w:ascii="宋体"/>
              </w:rPr>
            </w:pPr>
          </w:p>
        </w:tc>
        <w:tc>
          <w:tcPr>
            <w:tcW w:w="0" w:type="auto"/>
            <w:shd w:val="clear" w:color="auto" w:fill="auto"/>
            <w:vAlign w:val="bottom"/>
          </w:tcPr>
          <w:p w14:paraId="5A1AF5A6" w14:textId="77777777" w:rsidR="00960BB8" w:rsidRDefault="00960BB8">
            <w:pPr>
              <w:rPr>
                <w:rFonts w:ascii="宋体"/>
              </w:rPr>
            </w:pPr>
          </w:p>
        </w:tc>
        <w:tc>
          <w:tcPr>
            <w:tcW w:w="0" w:type="auto"/>
            <w:shd w:val="clear" w:color="auto" w:fill="auto"/>
            <w:vAlign w:val="bottom"/>
          </w:tcPr>
          <w:p w14:paraId="5A1AF5A7" w14:textId="77777777" w:rsidR="00960BB8" w:rsidRDefault="00960BB8">
            <w:pPr>
              <w:rPr>
                <w:rFonts w:ascii="宋体"/>
              </w:rPr>
            </w:pPr>
          </w:p>
        </w:tc>
        <w:tc>
          <w:tcPr>
            <w:tcW w:w="0" w:type="auto"/>
            <w:shd w:val="clear" w:color="auto" w:fill="auto"/>
            <w:vAlign w:val="bottom"/>
          </w:tcPr>
          <w:p w14:paraId="5A1AF5A8" w14:textId="77777777" w:rsidR="00960BB8" w:rsidRDefault="00960BB8">
            <w:pPr>
              <w:rPr>
                <w:rFonts w:ascii="宋体"/>
              </w:rPr>
            </w:pPr>
          </w:p>
        </w:tc>
        <w:tc>
          <w:tcPr>
            <w:tcW w:w="0" w:type="auto"/>
            <w:shd w:val="clear" w:color="auto" w:fill="auto"/>
            <w:vAlign w:val="bottom"/>
          </w:tcPr>
          <w:p w14:paraId="5A1AF5A9" w14:textId="77777777" w:rsidR="00960BB8" w:rsidRDefault="00960BB8">
            <w:pPr>
              <w:rPr>
                <w:rFonts w:ascii="宋体"/>
              </w:rPr>
            </w:pPr>
          </w:p>
        </w:tc>
        <w:tc>
          <w:tcPr>
            <w:tcW w:w="0" w:type="auto"/>
            <w:shd w:val="clear" w:color="auto" w:fill="auto"/>
            <w:vAlign w:val="bottom"/>
          </w:tcPr>
          <w:p w14:paraId="5A1AF5AA" w14:textId="77777777" w:rsidR="00960BB8" w:rsidRDefault="00960BB8">
            <w:pPr>
              <w:rPr>
                <w:rFonts w:ascii="宋体"/>
              </w:rPr>
            </w:pPr>
          </w:p>
        </w:tc>
        <w:tc>
          <w:tcPr>
            <w:tcW w:w="0" w:type="auto"/>
            <w:shd w:val="clear" w:color="auto" w:fill="auto"/>
            <w:vAlign w:val="bottom"/>
          </w:tcPr>
          <w:p w14:paraId="5A1AF5AB" w14:textId="77777777" w:rsidR="00960BB8" w:rsidRDefault="00960BB8">
            <w:pPr>
              <w:rPr>
                <w:rFonts w:ascii="宋体"/>
              </w:rPr>
            </w:pPr>
          </w:p>
        </w:tc>
        <w:tc>
          <w:tcPr>
            <w:tcW w:w="0" w:type="auto"/>
            <w:shd w:val="clear" w:color="auto" w:fill="auto"/>
            <w:vAlign w:val="bottom"/>
          </w:tcPr>
          <w:p w14:paraId="5A1AF5AC" w14:textId="77777777" w:rsidR="00960BB8" w:rsidRDefault="00960BB8">
            <w:pPr>
              <w:rPr>
                <w:rFonts w:ascii="宋体"/>
              </w:rPr>
            </w:pPr>
          </w:p>
        </w:tc>
        <w:tc>
          <w:tcPr>
            <w:tcW w:w="0" w:type="auto"/>
            <w:shd w:val="clear" w:color="auto" w:fill="auto"/>
            <w:vAlign w:val="bottom"/>
          </w:tcPr>
          <w:p w14:paraId="5A1AF5AD" w14:textId="77777777" w:rsidR="00960BB8" w:rsidRDefault="00960BB8">
            <w:pPr>
              <w:rPr>
                <w:rFonts w:ascii="宋体"/>
              </w:rPr>
            </w:pPr>
          </w:p>
        </w:tc>
        <w:tc>
          <w:tcPr>
            <w:tcW w:w="0" w:type="auto"/>
            <w:shd w:val="clear" w:color="auto" w:fill="auto"/>
            <w:vAlign w:val="bottom"/>
          </w:tcPr>
          <w:p w14:paraId="5A1AF5AE" w14:textId="77777777" w:rsidR="00960BB8" w:rsidRDefault="00960BB8">
            <w:pPr>
              <w:rPr>
                <w:rFonts w:ascii="宋体"/>
              </w:rPr>
            </w:pPr>
          </w:p>
        </w:tc>
        <w:tc>
          <w:tcPr>
            <w:tcW w:w="0" w:type="auto"/>
            <w:shd w:val="clear" w:color="auto" w:fill="auto"/>
            <w:vAlign w:val="bottom"/>
          </w:tcPr>
          <w:p w14:paraId="5A1AF5AF" w14:textId="77777777" w:rsidR="00960BB8" w:rsidRDefault="00960BB8">
            <w:pPr>
              <w:rPr>
                <w:rFonts w:ascii="宋体"/>
              </w:rPr>
            </w:pPr>
          </w:p>
        </w:tc>
        <w:tc>
          <w:tcPr>
            <w:tcW w:w="0" w:type="auto"/>
            <w:shd w:val="clear" w:color="auto" w:fill="auto"/>
            <w:vAlign w:val="bottom"/>
          </w:tcPr>
          <w:p w14:paraId="5A1AF5B0" w14:textId="77777777" w:rsidR="00960BB8" w:rsidRDefault="00960BB8">
            <w:pPr>
              <w:rPr>
                <w:rFonts w:ascii="宋体"/>
              </w:rPr>
            </w:pPr>
          </w:p>
        </w:tc>
        <w:tc>
          <w:tcPr>
            <w:tcW w:w="0" w:type="auto"/>
            <w:shd w:val="clear" w:color="auto" w:fill="auto"/>
            <w:vAlign w:val="bottom"/>
          </w:tcPr>
          <w:p w14:paraId="5A1AF5B1" w14:textId="77777777" w:rsidR="00960BB8" w:rsidRDefault="00960BB8">
            <w:pPr>
              <w:rPr>
                <w:rFonts w:ascii="宋体"/>
              </w:rPr>
            </w:pPr>
          </w:p>
        </w:tc>
        <w:tc>
          <w:tcPr>
            <w:tcW w:w="0" w:type="auto"/>
            <w:shd w:val="clear" w:color="auto" w:fill="auto"/>
            <w:vAlign w:val="bottom"/>
          </w:tcPr>
          <w:p w14:paraId="5A1AF5B2" w14:textId="77777777" w:rsidR="00960BB8" w:rsidRDefault="00960BB8">
            <w:pPr>
              <w:rPr>
                <w:rFonts w:ascii="宋体"/>
              </w:rPr>
            </w:pPr>
          </w:p>
        </w:tc>
        <w:tc>
          <w:tcPr>
            <w:tcW w:w="0" w:type="auto"/>
            <w:shd w:val="clear" w:color="auto" w:fill="auto"/>
            <w:vAlign w:val="bottom"/>
          </w:tcPr>
          <w:p w14:paraId="5A1AF5B3" w14:textId="77777777" w:rsidR="00960BB8" w:rsidRDefault="00960BB8">
            <w:pPr>
              <w:rPr>
                <w:rFonts w:ascii="宋体"/>
              </w:rPr>
            </w:pPr>
          </w:p>
        </w:tc>
        <w:tc>
          <w:tcPr>
            <w:tcW w:w="0" w:type="auto"/>
            <w:shd w:val="clear" w:color="auto" w:fill="auto"/>
            <w:vAlign w:val="bottom"/>
          </w:tcPr>
          <w:p w14:paraId="5A1AF5B4" w14:textId="77777777" w:rsidR="00960BB8" w:rsidRDefault="00960BB8">
            <w:pPr>
              <w:rPr>
                <w:rFonts w:ascii="宋体"/>
              </w:rPr>
            </w:pPr>
          </w:p>
        </w:tc>
        <w:tc>
          <w:tcPr>
            <w:tcW w:w="0" w:type="auto"/>
            <w:shd w:val="clear" w:color="auto" w:fill="auto"/>
            <w:vAlign w:val="bottom"/>
          </w:tcPr>
          <w:p w14:paraId="5A1AF5B5" w14:textId="77777777" w:rsidR="00960BB8" w:rsidRDefault="00960BB8">
            <w:pPr>
              <w:rPr>
                <w:rFonts w:ascii="宋体"/>
              </w:rPr>
            </w:pPr>
          </w:p>
        </w:tc>
        <w:tc>
          <w:tcPr>
            <w:tcW w:w="0" w:type="auto"/>
            <w:shd w:val="clear" w:color="auto" w:fill="auto"/>
            <w:vAlign w:val="bottom"/>
          </w:tcPr>
          <w:p w14:paraId="5A1AF5B6" w14:textId="77777777" w:rsidR="00960BB8" w:rsidRDefault="00960BB8">
            <w:pPr>
              <w:rPr>
                <w:rFonts w:ascii="宋体"/>
              </w:rPr>
            </w:pPr>
          </w:p>
        </w:tc>
        <w:tc>
          <w:tcPr>
            <w:tcW w:w="0" w:type="auto"/>
            <w:shd w:val="clear" w:color="auto" w:fill="auto"/>
            <w:vAlign w:val="bottom"/>
          </w:tcPr>
          <w:p w14:paraId="5A1AF5B7" w14:textId="77777777" w:rsidR="00960BB8" w:rsidRDefault="00960BB8">
            <w:pPr>
              <w:rPr>
                <w:rFonts w:ascii="宋体"/>
              </w:rPr>
            </w:pPr>
          </w:p>
        </w:tc>
        <w:tc>
          <w:tcPr>
            <w:tcW w:w="0" w:type="auto"/>
            <w:shd w:val="clear" w:color="auto" w:fill="auto"/>
            <w:vAlign w:val="bottom"/>
          </w:tcPr>
          <w:p w14:paraId="5A1AF5B8" w14:textId="77777777" w:rsidR="00960BB8" w:rsidRDefault="00960BB8">
            <w:pPr>
              <w:rPr>
                <w:rFonts w:ascii="宋体"/>
              </w:rPr>
            </w:pPr>
          </w:p>
        </w:tc>
      </w:tr>
    </w:tbl>
    <w:p w14:paraId="5A1AF5BA" w14:textId="77777777" w:rsidR="00960BB8" w:rsidRDefault="00960BB8"/>
    <w:p w14:paraId="5A1AF5BB" w14:textId="77777777" w:rsidR="00960BB8" w:rsidRDefault="00C06650">
      <w:pPr>
        <w:spacing w:after="120"/>
      </w:pPr>
      <w:r>
        <w:rPr>
          <w:rFonts w:ascii="Arial" w:eastAsia="宋体" w:hAnsi="Arial" w:cs="Arial"/>
          <w:color w:val="0068B5"/>
          <w:sz w:val="20"/>
          <w:szCs w:val="20"/>
        </w:rPr>
        <w:t>Acquire and Integrate</w:t>
      </w:r>
    </w:p>
    <w:p w14:paraId="5A1AF5BC" w14:textId="77777777" w:rsidR="00960BB8" w:rsidRDefault="00C06650">
      <w:pPr>
        <w:spacing w:after="180"/>
      </w:pPr>
      <w:r>
        <w:rPr>
          <w:rFonts w:ascii="Arial" w:eastAsia="宋体" w:hAnsi="Arial" w:cs="Arial"/>
          <w:color w:val="262626"/>
          <w:sz w:val="18"/>
          <w:szCs w:val="18"/>
        </w:rPr>
        <w:t xml:space="preserve">Our capital allocation strategy also includes opportunistic investment in and </w:t>
      </w:r>
      <w:r>
        <w:rPr>
          <w:rFonts w:ascii="Arial" w:eastAsia="宋体" w:hAnsi="Arial" w:cs="Arial"/>
          <w:color w:val="262626"/>
          <w:sz w:val="18"/>
          <w:szCs w:val="18"/>
        </w:rPr>
        <w:t>acquisition of companies that complement our strategic objectives. We look for acquisitions that supplement and strengthen our capital and R&amp;D investments. Our key acquisitions over the last three years include the pending acquisition of Tower</w:t>
      </w:r>
      <w:r>
        <w:rPr>
          <w:rFonts w:ascii="Arial" w:eastAsia="宋体" w:hAnsi="Arial" w:cs="Arial"/>
          <w:color w:val="333333"/>
          <w:sz w:val="18"/>
          <w:szCs w:val="18"/>
        </w:rPr>
        <w:t xml:space="preserve"> and </w:t>
      </w:r>
      <w:r>
        <w:rPr>
          <w:rFonts w:ascii="Arial" w:eastAsia="宋体" w:hAnsi="Arial" w:cs="Arial"/>
          <w:color w:val="262626"/>
          <w:sz w:val="18"/>
          <w:szCs w:val="18"/>
        </w:rPr>
        <w:t>our 2020</w:t>
      </w:r>
      <w:r>
        <w:rPr>
          <w:rFonts w:ascii="Arial" w:eastAsia="宋体" w:hAnsi="Arial" w:cs="Arial"/>
          <w:color w:val="262626"/>
          <w:sz w:val="18"/>
          <w:szCs w:val="18"/>
        </w:rPr>
        <w:t xml:space="preserve"> acquisition of Moovit to accelerate Mobileye’s MaaS offering.</w:t>
      </w:r>
    </w:p>
    <w:p w14:paraId="5A1AF5BD" w14:textId="77777777" w:rsidR="00960BB8" w:rsidRDefault="00C06650">
      <w:pPr>
        <w:spacing w:after="180"/>
      </w:pPr>
      <w:r>
        <w:rPr>
          <w:rFonts w:ascii="Arial" w:eastAsia="宋体" w:hAnsi="Arial" w:cs="Arial"/>
          <w:color w:val="262626"/>
          <w:sz w:val="18"/>
          <w:szCs w:val="18"/>
        </w:rPr>
        <w:t>We take action when investments do not strategically align to our key priorities, and in 2022 we completed the first closing of the divestiture of our NAND memory business and began winding dow</w:t>
      </w:r>
      <w:r>
        <w:rPr>
          <w:rFonts w:ascii="Arial" w:eastAsia="宋体" w:hAnsi="Arial" w:cs="Arial"/>
          <w:color w:val="262626"/>
          <w:sz w:val="18"/>
          <w:szCs w:val="18"/>
        </w:rPr>
        <w:t>n our Intel Optane memory business. Additionally, in 2020 we completed the divestiture of the majority of our Home Gateway Platform, a division of CCG.</w:t>
      </w:r>
    </w:p>
    <w:p w14:paraId="5A1AF5BE" w14:textId="77777777" w:rsidR="00960BB8" w:rsidRDefault="00C06650">
      <w:r>
        <w:rPr>
          <w:rFonts w:ascii="Arial" w:eastAsia="宋体" w:hAnsi="Arial" w:cs="Arial"/>
          <w:color w:val="262626"/>
          <w:sz w:val="11"/>
          <w:szCs w:val="11"/>
        </w:rPr>
        <w:t>1</w:t>
      </w:r>
      <w:r>
        <w:rPr>
          <w:rFonts w:ascii="Arial" w:eastAsia="宋体" w:hAnsi="Arial" w:cs="Arial"/>
          <w:color w:val="262626"/>
          <w:sz w:val="18"/>
          <w:szCs w:val="18"/>
        </w:rPr>
        <w:t xml:space="preserve"> </w:t>
      </w:r>
      <w:r>
        <w:rPr>
          <w:rFonts w:ascii="Arial" w:eastAsia="宋体" w:hAnsi="Arial" w:cs="Arial"/>
          <w:i/>
          <w:iCs/>
          <w:color w:val="262626"/>
          <w:sz w:val="16"/>
          <w:szCs w:val="16"/>
        </w:rPr>
        <w:t>See "Non-GAAP Financial Measures" within MD&amp;A.</w:t>
      </w:r>
      <w:r>
        <w:rPr>
          <w:rFonts w:ascii="Arial" w:eastAsia="宋体" w:hAnsi="Arial" w:cs="Arial"/>
          <w:color w:val="262626"/>
          <w:sz w:val="18"/>
          <w:szCs w:val="18"/>
        </w:rPr>
        <w:br/>
      </w:r>
      <w:r>
        <w:rPr>
          <w:rFonts w:ascii="Arial" w:eastAsia="宋体" w:hAnsi="Arial" w:cs="Arial"/>
          <w:color w:val="262626"/>
          <w:sz w:val="11"/>
          <w:szCs w:val="11"/>
        </w:rPr>
        <w:t>2</w:t>
      </w:r>
      <w:r>
        <w:rPr>
          <w:rFonts w:ascii="Arial" w:eastAsia="宋体" w:hAnsi="Arial" w:cs="Arial"/>
          <w:color w:val="262626"/>
          <w:sz w:val="18"/>
          <w:szCs w:val="18"/>
        </w:rPr>
        <w:t xml:space="preserve"> </w:t>
      </w:r>
      <w:r>
        <w:rPr>
          <w:rFonts w:ascii="Arial" w:eastAsia="宋体" w:hAnsi="Arial" w:cs="Arial"/>
          <w:i/>
          <w:iCs/>
          <w:color w:val="262626"/>
          <w:sz w:val="16"/>
          <w:szCs w:val="16"/>
        </w:rPr>
        <w:t xml:space="preserve">2021 and 2022 capital investments in Memory are not presented due to the divestiture of the NAND memory business announced in October 2020. 2018-2020 capital investments presented include Memory. </w:t>
      </w:r>
    </w:p>
    <w:p w14:paraId="5A1AF5BF"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85"/>
        <w:gridCol w:w="478"/>
        <w:gridCol w:w="36"/>
        <w:gridCol w:w="63"/>
        <w:gridCol w:w="1712"/>
        <w:gridCol w:w="36"/>
        <w:gridCol w:w="63"/>
        <w:gridCol w:w="2587"/>
        <w:gridCol w:w="36"/>
        <w:gridCol w:w="64"/>
        <w:gridCol w:w="3140"/>
        <w:gridCol w:w="36"/>
      </w:tblGrid>
      <w:tr w:rsidR="00960BB8" w14:paraId="5A1AF5CC" w14:textId="77777777">
        <w:tc>
          <w:tcPr>
            <w:tcW w:w="50" w:type="pct"/>
            <w:shd w:val="clear" w:color="auto" w:fill="auto"/>
            <w:vAlign w:val="bottom"/>
          </w:tcPr>
          <w:p w14:paraId="5A1AF5C0" w14:textId="77777777" w:rsidR="00960BB8" w:rsidRDefault="00960BB8">
            <w:pPr>
              <w:rPr>
                <w:rFonts w:ascii="宋体"/>
              </w:rPr>
            </w:pPr>
          </w:p>
        </w:tc>
        <w:tc>
          <w:tcPr>
            <w:tcW w:w="283" w:type="pct"/>
            <w:shd w:val="clear" w:color="auto" w:fill="auto"/>
            <w:vAlign w:val="bottom"/>
          </w:tcPr>
          <w:p w14:paraId="5A1AF5C1" w14:textId="77777777" w:rsidR="00960BB8" w:rsidRDefault="00960BB8">
            <w:pPr>
              <w:rPr>
                <w:rFonts w:ascii="宋体"/>
              </w:rPr>
            </w:pPr>
          </w:p>
        </w:tc>
        <w:tc>
          <w:tcPr>
            <w:tcW w:w="5" w:type="pct"/>
            <w:shd w:val="clear" w:color="auto" w:fill="auto"/>
            <w:vAlign w:val="bottom"/>
          </w:tcPr>
          <w:p w14:paraId="5A1AF5C2" w14:textId="77777777" w:rsidR="00960BB8" w:rsidRDefault="00960BB8">
            <w:pPr>
              <w:rPr>
                <w:rFonts w:ascii="宋体"/>
              </w:rPr>
            </w:pPr>
          </w:p>
        </w:tc>
        <w:tc>
          <w:tcPr>
            <w:tcW w:w="50" w:type="pct"/>
            <w:shd w:val="clear" w:color="auto" w:fill="auto"/>
            <w:vAlign w:val="bottom"/>
          </w:tcPr>
          <w:p w14:paraId="5A1AF5C3" w14:textId="77777777" w:rsidR="00960BB8" w:rsidRDefault="00960BB8">
            <w:pPr>
              <w:rPr>
                <w:rFonts w:ascii="宋体"/>
              </w:rPr>
            </w:pPr>
          </w:p>
        </w:tc>
        <w:tc>
          <w:tcPr>
            <w:tcW w:w="1039" w:type="pct"/>
            <w:shd w:val="clear" w:color="auto" w:fill="auto"/>
            <w:vAlign w:val="bottom"/>
          </w:tcPr>
          <w:p w14:paraId="5A1AF5C4" w14:textId="77777777" w:rsidR="00960BB8" w:rsidRDefault="00960BB8">
            <w:pPr>
              <w:rPr>
                <w:rFonts w:ascii="宋体"/>
              </w:rPr>
            </w:pPr>
          </w:p>
        </w:tc>
        <w:tc>
          <w:tcPr>
            <w:tcW w:w="5" w:type="pct"/>
            <w:shd w:val="clear" w:color="auto" w:fill="auto"/>
            <w:vAlign w:val="bottom"/>
          </w:tcPr>
          <w:p w14:paraId="5A1AF5C5" w14:textId="77777777" w:rsidR="00960BB8" w:rsidRDefault="00960BB8">
            <w:pPr>
              <w:rPr>
                <w:rFonts w:ascii="宋体"/>
              </w:rPr>
            </w:pPr>
          </w:p>
        </w:tc>
        <w:tc>
          <w:tcPr>
            <w:tcW w:w="50" w:type="pct"/>
            <w:shd w:val="clear" w:color="auto" w:fill="auto"/>
            <w:vAlign w:val="bottom"/>
          </w:tcPr>
          <w:p w14:paraId="5A1AF5C6" w14:textId="77777777" w:rsidR="00960BB8" w:rsidRDefault="00960BB8">
            <w:pPr>
              <w:rPr>
                <w:rFonts w:ascii="宋体"/>
              </w:rPr>
            </w:pPr>
          </w:p>
        </w:tc>
        <w:tc>
          <w:tcPr>
            <w:tcW w:w="1562" w:type="pct"/>
            <w:shd w:val="clear" w:color="auto" w:fill="auto"/>
            <w:vAlign w:val="bottom"/>
          </w:tcPr>
          <w:p w14:paraId="5A1AF5C7" w14:textId="77777777" w:rsidR="00960BB8" w:rsidRDefault="00960BB8">
            <w:pPr>
              <w:rPr>
                <w:rFonts w:ascii="宋体"/>
              </w:rPr>
            </w:pPr>
          </w:p>
        </w:tc>
        <w:tc>
          <w:tcPr>
            <w:tcW w:w="5" w:type="pct"/>
            <w:shd w:val="clear" w:color="auto" w:fill="auto"/>
            <w:vAlign w:val="bottom"/>
          </w:tcPr>
          <w:p w14:paraId="5A1AF5C8" w14:textId="77777777" w:rsidR="00960BB8" w:rsidRDefault="00960BB8">
            <w:pPr>
              <w:rPr>
                <w:rFonts w:ascii="宋体"/>
              </w:rPr>
            </w:pPr>
          </w:p>
        </w:tc>
        <w:tc>
          <w:tcPr>
            <w:tcW w:w="50" w:type="pct"/>
            <w:shd w:val="clear" w:color="auto" w:fill="auto"/>
            <w:vAlign w:val="bottom"/>
          </w:tcPr>
          <w:p w14:paraId="5A1AF5C9" w14:textId="77777777" w:rsidR="00960BB8" w:rsidRDefault="00960BB8">
            <w:pPr>
              <w:rPr>
                <w:rFonts w:ascii="宋体"/>
              </w:rPr>
            </w:pPr>
          </w:p>
        </w:tc>
        <w:tc>
          <w:tcPr>
            <w:tcW w:w="1894" w:type="pct"/>
            <w:shd w:val="clear" w:color="auto" w:fill="auto"/>
            <w:vAlign w:val="bottom"/>
          </w:tcPr>
          <w:p w14:paraId="5A1AF5CA" w14:textId="77777777" w:rsidR="00960BB8" w:rsidRDefault="00960BB8">
            <w:pPr>
              <w:rPr>
                <w:rFonts w:ascii="宋体"/>
              </w:rPr>
            </w:pPr>
          </w:p>
        </w:tc>
        <w:tc>
          <w:tcPr>
            <w:tcW w:w="5" w:type="pct"/>
            <w:shd w:val="clear" w:color="auto" w:fill="auto"/>
            <w:vAlign w:val="bottom"/>
          </w:tcPr>
          <w:p w14:paraId="5A1AF5CB" w14:textId="77777777" w:rsidR="00960BB8" w:rsidRDefault="00960BB8">
            <w:pPr>
              <w:rPr>
                <w:rFonts w:ascii="宋体"/>
              </w:rPr>
            </w:pPr>
          </w:p>
        </w:tc>
      </w:tr>
      <w:tr w:rsidR="00960BB8" w14:paraId="5A1AF5D1"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5CD"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55" wp14:editId="5A1B4356">
                  <wp:extent cx="304800" cy="304800"/>
                  <wp:effectExtent l="0" t="0" r="0" b="0"/>
                  <wp:docPr id="49" name="图片 72"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2"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5CE"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AF5CF" w14:textId="77777777" w:rsidR="00960BB8" w:rsidRDefault="00C06650">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5D0" w14:textId="77777777" w:rsidR="00960BB8" w:rsidRDefault="00C06650">
            <w:pPr>
              <w:jc w:val="right"/>
              <w:textAlignment w:val="center"/>
            </w:pPr>
            <w:r>
              <w:rPr>
                <w:rFonts w:ascii="Arial" w:eastAsia="宋体" w:hAnsi="Arial" w:cs="Arial"/>
                <w:color w:val="262626"/>
                <w:sz w:val="16"/>
                <w:szCs w:val="16"/>
              </w:rPr>
              <w:t>11</w:t>
            </w:r>
          </w:p>
        </w:tc>
      </w:tr>
    </w:tbl>
    <w:p w14:paraId="5A1AF5D2" w14:textId="77777777" w:rsidR="00960BB8" w:rsidRDefault="00C06650">
      <w:r>
        <w:pict w14:anchorId="5A1B4357">
          <v:rect id="_x0000_i1037" style="width:415.3pt;height:1.5pt" o:hralign="center" o:hrstd="t" o:hr="t" fillcolor="#a0a0a0" stroked="f"/>
        </w:pict>
      </w:r>
    </w:p>
    <w:p w14:paraId="5A1AF5D3" w14:textId="77777777" w:rsidR="00960BB8" w:rsidRDefault="00C06650">
      <w:pPr>
        <w:spacing w:after="180"/>
        <w:jc w:val="right"/>
      </w:pPr>
      <w:hyperlink r:id="rId40" w:anchor="i8aaa7b4dbd2e419ca0f5c30af85a11aa_16" w:history="1">
        <w:r>
          <w:rPr>
            <w:rStyle w:val="a5"/>
            <w:rFonts w:ascii="Arial" w:eastAsia="宋体" w:hAnsi="Arial" w:cs="Arial"/>
            <w:sz w:val="18"/>
            <w:szCs w:val="18"/>
          </w:rPr>
          <w:t>Table of Contents</w:t>
        </w:r>
      </w:hyperlink>
    </w:p>
    <w:tbl>
      <w:tblPr>
        <w:tblW w:w="10770" w:type="dxa"/>
        <w:tblCellMar>
          <w:top w:w="15" w:type="dxa"/>
          <w:left w:w="15" w:type="dxa"/>
          <w:bottom w:w="15" w:type="dxa"/>
          <w:right w:w="15" w:type="dxa"/>
        </w:tblCellMar>
        <w:tblLook w:val="04A0" w:firstRow="1" w:lastRow="0" w:firstColumn="1" w:lastColumn="0" w:noHBand="0" w:noVBand="1"/>
      </w:tblPr>
      <w:tblGrid>
        <w:gridCol w:w="36"/>
        <w:gridCol w:w="663"/>
        <w:gridCol w:w="36"/>
        <w:gridCol w:w="36"/>
        <w:gridCol w:w="9963"/>
        <w:gridCol w:w="36"/>
      </w:tblGrid>
      <w:tr w:rsidR="00960BB8" w14:paraId="5A1AF5DA" w14:textId="77777777">
        <w:tc>
          <w:tcPr>
            <w:tcW w:w="20" w:type="dxa"/>
            <w:shd w:val="clear" w:color="auto" w:fill="auto"/>
            <w:vAlign w:val="bottom"/>
          </w:tcPr>
          <w:p w14:paraId="5A1AF5D4" w14:textId="77777777" w:rsidR="00960BB8" w:rsidRDefault="00960BB8">
            <w:pPr>
              <w:rPr>
                <w:rFonts w:ascii="宋体"/>
              </w:rPr>
            </w:pPr>
          </w:p>
        </w:tc>
        <w:tc>
          <w:tcPr>
            <w:tcW w:w="665" w:type="dxa"/>
            <w:shd w:val="clear" w:color="auto" w:fill="auto"/>
            <w:vAlign w:val="bottom"/>
          </w:tcPr>
          <w:p w14:paraId="5A1AF5D5" w14:textId="77777777" w:rsidR="00960BB8" w:rsidRDefault="00960BB8">
            <w:pPr>
              <w:rPr>
                <w:rFonts w:ascii="宋体"/>
              </w:rPr>
            </w:pPr>
          </w:p>
        </w:tc>
        <w:tc>
          <w:tcPr>
            <w:tcW w:w="20" w:type="dxa"/>
            <w:shd w:val="clear" w:color="auto" w:fill="auto"/>
            <w:vAlign w:val="bottom"/>
          </w:tcPr>
          <w:p w14:paraId="5A1AF5D6" w14:textId="77777777" w:rsidR="00960BB8" w:rsidRDefault="00960BB8">
            <w:pPr>
              <w:rPr>
                <w:rFonts w:ascii="宋体"/>
              </w:rPr>
            </w:pPr>
          </w:p>
        </w:tc>
        <w:tc>
          <w:tcPr>
            <w:tcW w:w="20" w:type="dxa"/>
            <w:shd w:val="clear" w:color="auto" w:fill="auto"/>
            <w:vAlign w:val="bottom"/>
          </w:tcPr>
          <w:p w14:paraId="5A1AF5D7" w14:textId="77777777" w:rsidR="00960BB8" w:rsidRDefault="00960BB8">
            <w:pPr>
              <w:rPr>
                <w:rFonts w:ascii="宋体"/>
              </w:rPr>
            </w:pPr>
          </w:p>
        </w:tc>
        <w:tc>
          <w:tcPr>
            <w:tcW w:w="10025" w:type="dxa"/>
            <w:shd w:val="clear" w:color="auto" w:fill="auto"/>
            <w:vAlign w:val="bottom"/>
          </w:tcPr>
          <w:p w14:paraId="5A1AF5D8" w14:textId="77777777" w:rsidR="00960BB8" w:rsidRDefault="00960BB8">
            <w:pPr>
              <w:rPr>
                <w:rFonts w:ascii="宋体"/>
              </w:rPr>
            </w:pPr>
          </w:p>
        </w:tc>
        <w:tc>
          <w:tcPr>
            <w:tcW w:w="20" w:type="dxa"/>
            <w:shd w:val="clear" w:color="auto" w:fill="auto"/>
            <w:vAlign w:val="bottom"/>
          </w:tcPr>
          <w:p w14:paraId="5A1AF5D9" w14:textId="77777777" w:rsidR="00960BB8" w:rsidRDefault="00960BB8">
            <w:pPr>
              <w:rPr>
                <w:rFonts w:ascii="宋体"/>
              </w:rPr>
            </w:pPr>
          </w:p>
        </w:tc>
      </w:tr>
      <w:tr w:rsidR="00960BB8" w14:paraId="5A1AF5DD" w14:textId="77777777">
        <w:trPr>
          <w:trHeight w:val="600"/>
        </w:trPr>
        <w:tc>
          <w:tcPr>
            <w:tcW w:w="0" w:type="auto"/>
            <w:gridSpan w:val="3"/>
            <w:shd w:val="clear" w:color="auto" w:fill="auto"/>
            <w:tcMar>
              <w:top w:w="0" w:type="dxa"/>
              <w:left w:w="20" w:type="dxa"/>
              <w:bottom w:w="0" w:type="dxa"/>
              <w:right w:w="20" w:type="dxa"/>
            </w:tcMar>
            <w:vAlign w:val="bottom"/>
          </w:tcPr>
          <w:p w14:paraId="5A1AF5DB"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58" wp14:editId="5A1B4359">
                  <wp:extent cx="304800" cy="304800"/>
                  <wp:effectExtent l="0" t="0" r="0" b="0"/>
                  <wp:docPr id="55" name="图片 74"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4" descr="IMG_28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5A1AF5DC" w14:textId="77777777" w:rsidR="00960BB8" w:rsidRDefault="00C06650">
            <w:pPr>
              <w:textAlignment w:val="center"/>
            </w:pPr>
            <w:r>
              <w:rPr>
                <w:rFonts w:ascii="Arial" w:eastAsia="宋体" w:hAnsi="Arial" w:cs="Arial"/>
                <w:color w:val="0068B5"/>
                <w:sz w:val="28"/>
                <w:szCs w:val="28"/>
              </w:rPr>
              <w:t>Intellectual Capital</w:t>
            </w:r>
          </w:p>
        </w:tc>
      </w:tr>
    </w:tbl>
    <w:p w14:paraId="5A1AF5DE" w14:textId="77777777" w:rsidR="00960BB8" w:rsidRDefault="00C06650">
      <w:pPr>
        <w:spacing w:after="180"/>
      </w:pPr>
      <w:r>
        <w:rPr>
          <w:rFonts w:ascii="Arial" w:eastAsia="宋体" w:hAnsi="Arial" w:cs="Arial"/>
          <w:color w:val="0068B5"/>
        </w:rPr>
        <w:t>Research and Development</w:t>
      </w:r>
    </w:p>
    <w:p w14:paraId="5A1AF5DF" w14:textId="77777777" w:rsidR="00960BB8" w:rsidRDefault="00C06650">
      <w:pPr>
        <w:spacing w:after="180"/>
      </w:pPr>
      <w:r>
        <w:rPr>
          <w:rFonts w:ascii="Arial" w:eastAsia="宋体" w:hAnsi="Arial" w:cs="Arial"/>
          <w:color w:val="262626"/>
          <w:sz w:val="18"/>
          <w:szCs w:val="18"/>
        </w:rPr>
        <w:t>R&amp;D investment is critical to enable us to deliver on our accel</w:t>
      </w:r>
      <w:r>
        <w:rPr>
          <w:rFonts w:ascii="Arial" w:eastAsia="宋体" w:hAnsi="Arial" w:cs="Arial"/>
          <w:color w:val="262626"/>
          <w:sz w:val="18"/>
          <w:szCs w:val="18"/>
        </w:rPr>
        <w:t>erated process technology roadmap, introduce leading products, and develop new businesses and capabilities in the future. We seek to protect our R&amp;D efforts through our IP rights and may augment R&amp;D initiatives by acquiring or investing in companies, enter</w:t>
      </w:r>
      <w:r>
        <w:rPr>
          <w:rFonts w:ascii="Arial" w:eastAsia="宋体" w:hAnsi="Arial" w:cs="Arial"/>
          <w:color w:val="262626"/>
          <w:sz w:val="18"/>
          <w:szCs w:val="18"/>
        </w:rPr>
        <w:t>ing into R&amp;D agreements, and directly purchasing or licensing technology.</w:t>
      </w:r>
    </w:p>
    <w:p w14:paraId="5A1AF5E0" w14:textId="77777777" w:rsidR="00960BB8" w:rsidRDefault="00C06650">
      <w:pPr>
        <w:spacing w:after="180"/>
      </w:pPr>
      <w:r>
        <w:rPr>
          <w:rFonts w:ascii="Arial" w:eastAsia="宋体" w:hAnsi="Arial" w:cs="Arial"/>
          <w:color w:val="0068B5"/>
        </w:rPr>
        <w:t>Areas Key to Product Leadership</w:t>
      </w:r>
    </w:p>
    <w:p w14:paraId="5A1AF5E1" w14:textId="77777777" w:rsidR="00960BB8" w:rsidRDefault="00C06650">
      <w:pPr>
        <w:spacing w:after="180"/>
      </w:pPr>
      <w:r>
        <w:rPr>
          <w:rFonts w:ascii="Arial" w:eastAsia="宋体" w:hAnsi="Arial" w:cs="Arial"/>
          <w:color w:val="262626"/>
          <w:sz w:val="18"/>
          <w:szCs w:val="18"/>
        </w:rPr>
        <w:t xml:space="preserve">We have intensified our focus on areas key to product leadership. Our objective with each new generation of products is to improve user </w:t>
      </w:r>
      <w:r>
        <w:rPr>
          <w:rFonts w:ascii="Arial" w:eastAsia="宋体" w:hAnsi="Arial" w:cs="Arial"/>
          <w:color w:val="262626"/>
          <w:sz w:val="18"/>
          <w:szCs w:val="18"/>
        </w:rPr>
        <w:t>experiences and value through advances in performance, power, cost, connectivity, security, form factor, and other features. We also focus on reducing our design complexity, re-using IP, and increasing ecosystem collaboration to improve our efficiency.</w:t>
      </w:r>
    </w:p>
    <w:tbl>
      <w:tblPr>
        <w:tblW w:w="5000" w:type="pct"/>
        <w:tblCellMar>
          <w:top w:w="15" w:type="dxa"/>
          <w:left w:w="15" w:type="dxa"/>
          <w:bottom w:w="15" w:type="dxa"/>
          <w:right w:w="15" w:type="dxa"/>
        </w:tblCellMar>
        <w:tblLook w:val="04A0" w:firstRow="1" w:lastRow="0" w:firstColumn="1" w:lastColumn="0" w:noHBand="0" w:noVBand="1"/>
      </w:tblPr>
      <w:tblGrid>
        <w:gridCol w:w="68"/>
        <w:gridCol w:w="4062"/>
        <w:gridCol w:w="38"/>
        <w:gridCol w:w="69"/>
        <w:gridCol w:w="4062"/>
        <w:gridCol w:w="37"/>
      </w:tblGrid>
      <w:tr w:rsidR="00960BB8" w14:paraId="5A1AF5E8" w14:textId="77777777">
        <w:tc>
          <w:tcPr>
            <w:tcW w:w="50" w:type="pct"/>
            <w:shd w:val="clear" w:color="auto" w:fill="auto"/>
            <w:vAlign w:val="bottom"/>
          </w:tcPr>
          <w:p w14:paraId="5A1AF5E2" w14:textId="77777777" w:rsidR="00960BB8" w:rsidRDefault="00960BB8">
            <w:pPr>
              <w:rPr>
                <w:rFonts w:ascii="宋体"/>
              </w:rPr>
            </w:pPr>
          </w:p>
        </w:tc>
        <w:tc>
          <w:tcPr>
            <w:tcW w:w="2445" w:type="pct"/>
            <w:shd w:val="clear" w:color="auto" w:fill="auto"/>
            <w:vAlign w:val="bottom"/>
          </w:tcPr>
          <w:p w14:paraId="5A1AF5E3" w14:textId="77777777" w:rsidR="00960BB8" w:rsidRDefault="00960BB8">
            <w:pPr>
              <w:rPr>
                <w:rFonts w:ascii="宋体"/>
              </w:rPr>
            </w:pPr>
          </w:p>
        </w:tc>
        <w:tc>
          <w:tcPr>
            <w:tcW w:w="5" w:type="pct"/>
            <w:shd w:val="clear" w:color="auto" w:fill="auto"/>
            <w:vAlign w:val="bottom"/>
          </w:tcPr>
          <w:p w14:paraId="5A1AF5E4" w14:textId="77777777" w:rsidR="00960BB8" w:rsidRDefault="00960BB8">
            <w:pPr>
              <w:rPr>
                <w:rFonts w:ascii="宋体"/>
              </w:rPr>
            </w:pPr>
          </w:p>
        </w:tc>
        <w:tc>
          <w:tcPr>
            <w:tcW w:w="50" w:type="pct"/>
            <w:shd w:val="clear" w:color="auto" w:fill="auto"/>
            <w:vAlign w:val="bottom"/>
          </w:tcPr>
          <w:p w14:paraId="5A1AF5E5" w14:textId="77777777" w:rsidR="00960BB8" w:rsidRDefault="00960BB8">
            <w:pPr>
              <w:rPr>
                <w:rFonts w:ascii="宋体"/>
              </w:rPr>
            </w:pPr>
          </w:p>
        </w:tc>
        <w:tc>
          <w:tcPr>
            <w:tcW w:w="2445" w:type="pct"/>
            <w:shd w:val="clear" w:color="auto" w:fill="auto"/>
            <w:vAlign w:val="bottom"/>
          </w:tcPr>
          <w:p w14:paraId="5A1AF5E6" w14:textId="77777777" w:rsidR="00960BB8" w:rsidRDefault="00960BB8">
            <w:pPr>
              <w:rPr>
                <w:rFonts w:ascii="宋体"/>
              </w:rPr>
            </w:pPr>
          </w:p>
        </w:tc>
        <w:tc>
          <w:tcPr>
            <w:tcW w:w="5" w:type="pct"/>
            <w:shd w:val="clear" w:color="auto" w:fill="auto"/>
            <w:vAlign w:val="bottom"/>
          </w:tcPr>
          <w:p w14:paraId="5A1AF5E7" w14:textId="77777777" w:rsidR="00960BB8" w:rsidRDefault="00960BB8">
            <w:pPr>
              <w:rPr>
                <w:rFonts w:ascii="宋体"/>
              </w:rPr>
            </w:pPr>
          </w:p>
        </w:tc>
      </w:tr>
      <w:tr w:rsidR="00960BB8" w14:paraId="5A1AF5EB" w14:textId="77777777">
        <w:trPr>
          <w:hidden/>
        </w:trPr>
        <w:tc>
          <w:tcPr>
            <w:tcW w:w="0" w:type="auto"/>
            <w:gridSpan w:val="3"/>
            <w:shd w:val="clear" w:color="auto" w:fill="auto"/>
            <w:vAlign w:val="bottom"/>
          </w:tcPr>
          <w:p w14:paraId="5A1AF5E9" w14:textId="77777777" w:rsidR="00960BB8" w:rsidRDefault="00960BB8">
            <w:pPr>
              <w:rPr>
                <w:rFonts w:ascii="宋体"/>
                <w:vanish/>
              </w:rPr>
            </w:pPr>
          </w:p>
        </w:tc>
        <w:tc>
          <w:tcPr>
            <w:tcW w:w="0" w:type="auto"/>
            <w:gridSpan w:val="3"/>
            <w:shd w:val="clear" w:color="auto" w:fill="auto"/>
            <w:vAlign w:val="bottom"/>
          </w:tcPr>
          <w:p w14:paraId="5A1AF5EA" w14:textId="77777777" w:rsidR="00960BB8" w:rsidRDefault="00960BB8">
            <w:pPr>
              <w:rPr>
                <w:rFonts w:ascii="宋体"/>
                <w:vanish/>
              </w:rPr>
            </w:pPr>
          </w:p>
        </w:tc>
      </w:tr>
      <w:tr w:rsidR="00960BB8" w14:paraId="5A1AF5EE" w14:textId="77777777">
        <w:trPr>
          <w:hidden/>
        </w:trPr>
        <w:tc>
          <w:tcPr>
            <w:tcW w:w="0" w:type="auto"/>
            <w:gridSpan w:val="3"/>
            <w:shd w:val="clear" w:color="auto" w:fill="auto"/>
            <w:vAlign w:val="bottom"/>
          </w:tcPr>
          <w:p w14:paraId="5A1AF5EC" w14:textId="77777777" w:rsidR="00960BB8" w:rsidRDefault="00960BB8">
            <w:pPr>
              <w:rPr>
                <w:rFonts w:ascii="宋体"/>
                <w:vanish/>
              </w:rPr>
            </w:pPr>
          </w:p>
        </w:tc>
        <w:tc>
          <w:tcPr>
            <w:tcW w:w="0" w:type="auto"/>
            <w:gridSpan w:val="3"/>
            <w:shd w:val="clear" w:color="auto" w:fill="auto"/>
            <w:vAlign w:val="bottom"/>
          </w:tcPr>
          <w:p w14:paraId="5A1AF5ED" w14:textId="77777777" w:rsidR="00960BB8" w:rsidRDefault="00960BB8">
            <w:pPr>
              <w:rPr>
                <w:rFonts w:ascii="宋体"/>
                <w:vanish/>
              </w:rPr>
            </w:pPr>
          </w:p>
        </w:tc>
      </w:tr>
      <w:tr w:rsidR="00960BB8" w14:paraId="5A1AF5F0" w14:textId="77777777">
        <w:tc>
          <w:tcPr>
            <w:tcW w:w="0" w:type="auto"/>
            <w:gridSpan w:val="6"/>
            <w:shd w:val="clear" w:color="auto" w:fill="auto"/>
            <w:tcMar>
              <w:top w:w="40" w:type="dxa"/>
              <w:left w:w="20" w:type="dxa"/>
              <w:bottom w:w="40" w:type="dxa"/>
              <w:right w:w="20" w:type="dxa"/>
            </w:tcMar>
          </w:tcPr>
          <w:p w14:paraId="5A1AF5EF" w14:textId="77777777" w:rsidR="00960BB8" w:rsidRDefault="00C06650">
            <w:pPr>
              <w:spacing w:after="180"/>
              <w:textAlignment w:val="top"/>
            </w:pPr>
            <w:r>
              <w:rPr>
                <w:rFonts w:ascii="Arial" w:eastAsia="宋体" w:hAnsi="Arial" w:cs="Arial"/>
                <w:color w:val="0068B5"/>
                <w:sz w:val="18"/>
                <w:szCs w:val="18"/>
              </w:rPr>
              <w:t>Process and packaging.</w:t>
            </w:r>
            <w:r>
              <w:rPr>
                <w:rFonts w:ascii="Arial" w:eastAsia="宋体" w:hAnsi="Arial" w:cs="Arial"/>
                <w:color w:val="262626"/>
                <w:sz w:val="18"/>
                <w:szCs w:val="18"/>
              </w:rPr>
              <w:t xml:space="preserve"> Our leading-edge process and packaging technology and world-class IP portfolio are key to the success of our strategy. This year, we have reaffirmed our commitment to achieving process technology leadership in 2025 by planning to deliver five technology n</w:t>
            </w:r>
            <w:r>
              <w:rPr>
                <w:rFonts w:ascii="Arial" w:eastAsia="宋体" w:hAnsi="Arial" w:cs="Arial"/>
                <w:color w:val="262626"/>
                <w:sz w:val="18"/>
                <w:szCs w:val="18"/>
              </w:rPr>
              <w:t>odes in four years. In addition, we have solidified our process and packaging offerings to external customers through IFS.</w:t>
            </w:r>
          </w:p>
        </w:tc>
      </w:tr>
      <w:tr w:rsidR="00960BB8" w14:paraId="5A1AF5F8" w14:textId="77777777">
        <w:tc>
          <w:tcPr>
            <w:tcW w:w="0" w:type="auto"/>
            <w:gridSpan w:val="6"/>
            <w:shd w:val="clear" w:color="auto" w:fill="auto"/>
            <w:tcMar>
              <w:top w:w="40" w:type="dxa"/>
              <w:left w:w="20" w:type="dxa"/>
              <w:bottom w:w="40" w:type="dxa"/>
              <w:right w:w="20" w:type="dxa"/>
            </w:tcMar>
          </w:tcPr>
          <w:p w14:paraId="5A1AF5F1" w14:textId="77777777" w:rsidR="00960BB8" w:rsidRDefault="00C06650">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We introduced further optimizations to our Intel 7 process node, which is now in production for our 13th</w:t>
            </w:r>
            <w:r>
              <w:rPr>
                <w:rFonts w:ascii="Arial" w:eastAsia="宋体" w:hAnsi="Arial" w:cs="Arial"/>
                <w:color w:val="262626"/>
                <w:sz w:val="11"/>
                <w:szCs w:val="11"/>
              </w:rPr>
              <w:t xml:space="preserve"> </w:t>
            </w:r>
            <w:r>
              <w:rPr>
                <w:rFonts w:ascii="Arial" w:eastAsia="宋体" w:hAnsi="Arial" w:cs="Arial"/>
                <w:color w:val="262626"/>
                <w:sz w:val="18"/>
                <w:szCs w:val="18"/>
              </w:rPr>
              <w:t xml:space="preserve">Gen Intel Core </w:t>
            </w:r>
            <w:r>
              <w:rPr>
                <w:rFonts w:ascii="Arial" w:eastAsia="宋体" w:hAnsi="Arial" w:cs="Arial"/>
                <w:color w:val="262626"/>
                <w:sz w:val="18"/>
                <w:szCs w:val="18"/>
              </w:rPr>
              <w:t>processors (Raptor Lake).</w:t>
            </w:r>
          </w:p>
          <w:p w14:paraId="5A1AF5F2" w14:textId="77777777" w:rsidR="00960BB8" w:rsidRDefault="00C06650">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 xml:space="preserve">Intel 4, taking advantage of EUV, is a node that is designed to deliver significant density scaling and approximately 20% performance-per-watt improvement over Intel 7. Meteor Lake is scheduled to be our first high-volume client </w:t>
            </w:r>
            <w:r>
              <w:rPr>
                <w:rFonts w:ascii="Arial" w:eastAsia="宋体" w:hAnsi="Arial" w:cs="Arial"/>
                <w:color w:val="262626"/>
                <w:sz w:val="18"/>
                <w:szCs w:val="18"/>
              </w:rPr>
              <w:t>product on Intel 4.</w:t>
            </w:r>
          </w:p>
          <w:p w14:paraId="5A1AF5F3" w14:textId="77777777" w:rsidR="00960BB8" w:rsidRDefault="00C06650">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We expect Intel 3 to deliver further logic scaling and up to 18% performance-per-watt improvement over Intel 4. Intel 3 is our first advanced node offered to IFS customers and is optimized for the needs of Data Center products.</w:t>
            </w:r>
          </w:p>
          <w:p w14:paraId="5A1AF5F4" w14:textId="77777777" w:rsidR="00960BB8" w:rsidRDefault="00C06650">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 xml:space="preserve">Intel </w:t>
            </w:r>
            <w:r>
              <w:rPr>
                <w:rFonts w:ascii="Arial" w:eastAsia="宋体" w:hAnsi="Arial" w:cs="Arial"/>
                <w:color w:val="262626"/>
                <w:sz w:val="18"/>
                <w:szCs w:val="18"/>
              </w:rPr>
              <w:t>20A will follow Intel 3 and will introduce two breakthrough technologies that we expect will deliver up to 15% performance-per-watt improvement over Intel 3: RibbonFET and PowerVia. RibbonFET, our implementation of a gate-all-around transistor, is designed</w:t>
            </w:r>
            <w:r>
              <w:rPr>
                <w:rFonts w:ascii="Arial" w:eastAsia="宋体" w:hAnsi="Arial" w:cs="Arial"/>
                <w:color w:val="262626"/>
                <w:sz w:val="18"/>
                <w:szCs w:val="18"/>
              </w:rPr>
              <w:t xml:space="preserve"> to deliver faster transistor switching speeds while achieving the same drive current as multiple fins, but in a smaller footprint. PowerVia is our unique industry-first implementation of backside power delivery that is designed to optimize signal transmis</w:t>
            </w:r>
            <w:r>
              <w:rPr>
                <w:rFonts w:ascii="Arial" w:eastAsia="宋体" w:hAnsi="Arial" w:cs="Arial"/>
                <w:color w:val="262626"/>
                <w:sz w:val="18"/>
                <w:szCs w:val="18"/>
              </w:rPr>
              <w:t>sion by eliminating the need for power routing on the front side of the wafer.</w:t>
            </w:r>
          </w:p>
          <w:p w14:paraId="5A1AF5F5" w14:textId="77777777" w:rsidR="00960BB8" w:rsidRDefault="00C06650">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Intel 18A, our second IFS advanced node offering, improves on Intel 20A by delivering ribbon innovation for design optimization and line width reduction. Intel 18A is on schedu</w:t>
            </w:r>
            <w:r>
              <w:rPr>
                <w:rFonts w:ascii="Arial" w:eastAsia="宋体" w:hAnsi="Arial" w:cs="Arial"/>
                <w:color w:val="262626"/>
                <w:sz w:val="18"/>
                <w:szCs w:val="18"/>
              </w:rPr>
              <w:t>le and expected to deliver an additional 10% improvement in performance per watt over Intel 20A.</w:t>
            </w:r>
          </w:p>
          <w:p w14:paraId="5A1AF5F6" w14:textId="77777777" w:rsidR="00960BB8" w:rsidRDefault="00C06650">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Beyond Intel 18A, we have already initiated definition and development of our next two process nodes and continue to define, build, and develop the next-gener</w:t>
            </w:r>
            <w:r>
              <w:rPr>
                <w:rFonts w:ascii="Arial" w:eastAsia="宋体" w:hAnsi="Arial" w:cs="Arial"/>
                <w:color w:val="262626"/>
                <w:sz w:val="18"/>
                <w:szCs w:val="18"/>
              </w:rPr>
              <w:t>ation High Numerical Aperture EUV lithography into our process technology roadmap.</w:t>
            </w:r>
          </w:p>
          <w:p w14:paraId="5A1AF5F7" w14:textId="77777777" w:rsidR="00960BB8" w:rsidRDefault="00C06650">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Our family of 3D advanced packaging technology will usher in the next generation of Foveros technology, enabling us to mix multiple top die tiles with multiple base tiles across mixed fab nodes, giving Intel and our customers greater flexibility for disagg</w:t>
            </w:r>
            <w:r>
              <w:rPr>
                <w:rFonts w:ascii="Arial" w:eastAsia="宋体" w:hAnsi="Arial" w:cs="Arial"/>
                <w:color w:val="262626"/>
                <w:sz w:val="18"/>
                <w:szCs w:val="18"/>
              </w:rPr>
              <w:t xml:space="preserve">regated chip designs. Our future Foveros Direct technology should scale interconnect pitch below 10µm, enable direct copper-to-copper bonding for low-resistance interconnects, and blur the boundary between wafer and package. </w:t>
            </w:r>
          </w:p>
        </w:tc>
      </w:tr>
      <w:tr w:rsidR="00960BB8" w14:paraId="5A1AF5FA" w14:textId="77777777">
        <w:tc>
          <w:tcPr>
            <w:tcW w:w="0" w:type="auto"/>
            <w:gridSpan w:val="6"/>
            <w:shd w:val="clear" w:color="auto" w:fill="auto"/>
            <w:tcMar>
              <w:top w:w="40" w:type="dxa"/>
              <w:left w:w="20" w:type="dxa"/>
              <w:bottom w:w="40" w:type="dxa"/>
              <w:right w:w="20" w:type="dxa"/>
            </w:tcMar>
          </w:tcPr>
          <w:p w14:paraId="5A1AF5F9" w14:textId="77777777" w:rsidR="00960BB8" w:rsidRDefault="00C06650">
            <w:pPr>
              <w:spacing w:after="60"/>
              <w:textAlignment w:val="top"/>
            </w:pPr>
            <w:r>
              <w:rPr>
                <w:rFonts w:ascii="Arial" w:eastAsia="宋体" w:hAnsi="Arial" w:cs="Arial"/>
                <w:color w:val="0068B5"/>
                <w:sz w:val="20"/>
                <w:szCs w:val="20"/>
              </w:rPr>
              <w:t xml:space="preserve">xPU architecture. </w:t>
            </w:r>
            <w:r>
              <w:rPr>
                <w:rFonts w:ascii="Arial" w:eastAsia="宋体" w:hAnsi="Arial" w:cs="Arial"/>
                <w:color w:val="000000"/>
                <w:sz w:val="18"/>
                <w:szCs w:val="18"/>
              </w:rPr>
              <w:t xml:space="preserve">We believe </w:t>
            </w:r>
            <w:r>
              <w:rPr>
                <w:rFonts w:ascii="Arial" w:eastAsia="宋体" w:hAnsi="Arial" w:cs="Arial"/>
                <w:color w:val="000000"/>
                <w:sz w:val="18"/>
                <w:szCs w:val="18"/>
              </w:rPr>
              <w:t>th</w:t>
            </w:r>
            <w:r>
              <w:rPr>
                <w:rFonts w:ascii="Arial" w:eastAsia="宋体" w:hAnsi="Arial" w:cs="Arial"/>
                <w:color w:val="262626"/>
                <w:sz w:val="18"/>
                <w:szCs w:val="18"/>
              </w:rPr>
              <w:t>e future is a diverse mix of scalar, vector, matrix, and spatial architectures deployed in CPU, GPU, accelerator, and FPGA sockets, enabled by a scalable software stack and integrated into systems by advanced packaging technology. We are building process</w:t>
            </w:r>
            <w:r>
              <w:rPr>
                <w:rFonts w:ascii="Arial" w:eastAsia="宋体" w:hAnsi="Arial" w:cs="Arial"/>
                <w:color w:val="262626"/>
                <w:sz w:val="18"/>
                <w:szCs w:val="18"/>
              </w:rPr>
              <w:t xml:space="preserve">ors that span several major computing architectures, moving toward an era of heterogeneous computing: </w:t>
            </w:r>
          </w:p>
        </w:tc>
      </w:tr>
    </w:tbl>
    <w:p w14:paraId="5A1AF5FB"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CPU.</w:t>
      </w:r>
      <w:r>
        <w:rPr>
          <w:rFonts w:ascii="Arial" w:eastAsia="宋体" w:hAnsi="Arial" w:cs="Arial"/>
          <w:color w:val="262626"/>
          <w:sz w:val="18"/>
          <w:szCs w:val="18"/>
        </w:rPr>
        <w:t xml:space="preserve"> We started shipping our 4th Gen Intel Xeon Scalable processors (Sapphire Rapids) based on Intel 7 with the new Golden Cove core, built-in AI accel</w:t>
      </w:r>
      <w:r>
        <w:rPr>
          <w:rFonts w:ascii="Arial" w:eastAsia="宋体" w:hAnsi="Arial" w:cs="Arial"/>
          <w:color w:val="262626"/>
          <w:sz w:val="18"/>
          <w:szCs w:val="18"/>
        </w:rPr>
        <w:t>eration, cryptographic acceleration, and advanced security capabilities. We also launched our 13th Gen Intel Core processors (Raptor Lake), which will scale from thin and light laptops to enthusiast desktop and notebook platforms. These are based on a hybr</w:t>
      </w:r>
      <w:r>
        <w:rPr>
          <w:rFonts w:ascii="Arial" w:eastAsia="宋体" w:hAnsi="Arial" w:cs="Arial"/>
          <w:color w:val="262626"/>
          <w:sz w:val="18"/>
          <w:szCs w:val="18"/>
        </w:rPr>
        <w:t>id architecture utilizing Raptor Cove performance cores and Gracemont power-efficient cores and are socket-compatible with Alder Lake systems.</w:t>
      </w:r>
    </w:p>
    <w:p w14:paraId="5A1AF5FC" w14:textId="77777777" w:rsidR="00960BB8" w:rsidRDefault="00C06650">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GPU and HPC.</w:t>
      </w:r>
      <w:r>
        <w:rPr>
          <w:rFonts w:ascii="Arial" w:eastAsia="宋体" w:hAnsi="Arial" w:cs="Arial"/>
          <w:color w:val="262626"/>
          <w:sz w:val="18"/>
          <w:szCs w:val="18"/>
        </w:rPr>
        <w:t xml:space="preserve"> Following the Q1 2022 launch of the first Intel</w:t>
      </w:r>
      <w:r>
        <w:rPr>
          <w:rFonts w:ascii="Arial" w:eastAsia="宋体" w:hAnsi="Arial" w:cs="Arial"/>
          <w:color w:val="262626"/>
          <w:sz w:val="11"/>
          <w:szCs w:val="11"/>
        </w:rPr>
        <w:t>®</w:t>
      </w:r>
      <w:r>
        <w:rPr>
          <w:rFonts w:ascii="Arial" w:eastAsia="宋体" w:hAnsi="Arial" w:cs="Arial"/>
          <w:color w:val="262626"/>
          <w:sz w:val="18"/>
          <w:szCs w:val="18"/>
        </w:rPr>
        <w:t xml:space="preserve"> Arc™-branded laptop GPUs (A3 series), in Q4 2022 w</w:t>
      </w:r>
      <w:r>
        <w:rPr>
          <w:rFonts w:ascii="Arial" w:eastAsia="宋体" w:hAnsi="Arial" w:cs="Arial"/>
          <w:color w:val="262626"/>
          <w:sz w:val="18"/>
          <w:szCs w:val="18"/>
        </w:rPr>
        <w:t>e launched the high-performance desktop GPUs (A7 series). Intel Arc GPUs offer dedicated graphics capability to power premium laptop and desktop experiences. Intel Arc A-Series GPUs come with advanced technologies to enable immersive gaming and powerful co</w:t>
      </w:r>
      <w:r>
        <w:rPr>
          <w:rFonts w:ascii="Arial" w:eastAsia="宋体" w:hAnsi="Arial" w:cs="Arial"/>
          <w:color w:val="262626"/>
          <w:sz w:val="18"/>
          <w:szCs w:val="18"/>
        </w:rPr>
        <w:t>ntent creation in modern, portable designs. In Q4 2022, we also introduced the Intel</w:t>
      </w:r>
      <w:r>
        <w:rPr>
          <w:rFonts w:ascii="Arial" w:eastAsia="宋体" w:hAnsi="Arial" w:cs="Arial"/>
          <w:color w:val="262626"/>
          <w:sz w:val="11"/>
          <w:szCs w:val="11"/>
        </w:rPr>
        <w:t>®</w:t>
      </w:r>
      <w:r>
        <w:rPr>
          <w:rFonts w:ascii="Arial" w:eastAsia="宋体" w:hAnsi="Arial" w:cs="Arial"/>
          <w:color w:val="262626"/>
          <w:sz w:val="18"/>
          <w:szCs w:val="18"/>
        </w:rPr>
        <w:t xml:space="preserve"> Max Series product family with two leading-edge products for high-performance computing and AI: Intel</w:t>
      </w:r>
      <w:r>
        <w:rPr>
          <w:rFonts w:ascii="Arial" w:eastAsia="宋体" w:hAnsi="Arial" w:cs="Arial"/>
          <w:color w:val="262626"/>
          <w:sz w:val="11"/>
          <w:szCs w:val="11"/>
        </w:rPr>
        <w:t>®</w:t>
      </w:r>
      <w:r>
        <w:rPr>
          <w:rFonts w:ascii="Arial" w:eastAsia="宋体" w:hAnsi="Arial" w:cs="Arial"/>
          <w:color w:val="262626"/>
          <w:sz w:val="18"/>
          <w:szCs w:val="18"/>
        </w:rPr>
        <w:t xml:space="preserve"> Xeon</w:t>
      </w:r>
      <w:r>
        <w:rPr>
          <w:rFonts w:ascii="Arial" w:eastAsia="宋体" w:hAnsi="Arial" w:cs="Arial"/>
          <w:color w:val="262626"/>
          <w:sz w:val="11"/>
          <w:szCs w:val="11"/>
        </w:rPr>
        <w:t>®</w:t>
      </w:r>
      <w:r>
        <w:rPr>
          <w:rFonts w:ascii="Arial" w:eastAsia="宋体" w:hAnsi="Arial" w:cs="Arial"/>
          <w:color w:val="262626"/>
          <w:sz w:val="18"/>
          <w:szCs w:val="18"/>
        </w:rPr>
        <w:t xml:space="preserve"> CPU Max Series (also known as Sapphire Rapids HBM) and Intel</w:t>
      </w:r>
      <w:r>
        <w:rPr>
          <w:rFonts w:ascii="Arial" w:eastAsia="宋体" w:hAnsi="Arial" w:cs="Arial"/>
          <w:color w:val="262626"/>
          <w:sz w:val="11"/>
          <w:szCs w:val="11"/>
        </w:rPr>
        <w:t>®</w:t>
      </w:r>
      <w:r>
        <w:rPr>
          <w:rFonts w:ascii="Arial" w:eastAsia="宋体" w:hAnsi="Arial" w:cs="Arial"/>
          <w:color w:val="262626"/>
          <w:sz w:val="18"/>
          <w:szCs w:val="18"/>
        </w:rPr>
        <w:t xml:space="preserve"> Data Center GPU Max Series (also known as Ponte Vecchio). These new products will power the upcoming Aurora supercomputer at Argonne National Laboratory and will help progress our vision of increasing the computing power of every human.</w:t>
      </w:r>
    </w:p>
    <w:p w14:paraId="5A1AF5FD"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Interconnect.</w:t>
      </w:r>
      <w:r>
        <w:rPr>
          <w:rFonts w:ascii="Arial" w:eastAsia="宋体" w:hAnsi="Arial" w:cs="Arial"/>
          <w:color w:val="262626"/>
          <w:sz w:val="18"/>
          <w:szCs w:val="18"/>
        </w:rPr>
        <w:t xml:space="preserve"> Mo</w:t>
      </w:r>
      <w:r>
        <w:rPr>
          <w:rFonts w:ascii="Arial" w:eastAsia="宋体" w:hAnsi="Arial" w:cs="Arial"/>
          <w:color w:val="262626"/>
          <w:sz w:val="18"/>
          <w:szCs w:val="18"/>
        </w:rPr>
        <w:t>unt Evans, Intel’s first ASIC IPU, is designed to address the complexity of diverse and dispersed data centers. An IPU is designed to enable cloud and communication service providers to reduce overhead and free up performance for CPUs.</w:t>
      </w:r>
    </w:p>
    <w:p w14:paraId="5A1AF5FE"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Matrix Accelerator.</w:t>
      </w:r>
      <w:r>
        <w:rPr>
          <w:rFonts w:ascii="Arial" w:eastAsia="宋体" w:hAnsi="Arial" w:cs="Arial"/>
          <w:color w:val="262626"/>
          <w:sz w:val="18"/>
          <w:szCs w:val="18"/>
        </w:rPr>
        <w:t xml:space="preserve"> In Q2 2022, we launched our second-generation deep learning processors for training and inference: Habana Gaudi2* and Habana Greco*. These new processors address an industry gap by providing customers with high-performance, high-efficiency, deep-learning </w:t>
      </w:r>
      <w:r>
        <w:rPr>
          <w:rFonts w:ascii="Arial" w:eastAsia="宋体" w:hAnsi="Arial" w:cs="Arial"/>
          <w:color w:val="262626"/>
          <w:sz w:val="18"/>
          <w:szCs w:val="18"/>
        </w:rPr>
        <w:t>compute choices for both training workloads and inference deployments in the data center, while lowering the AI barrier to entry for companies of all sizes.</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960BB8" w14:paraId="5A1AF60B" w14:textId="77777777">
        <w:tc>
          <w:tcPr>
            <w:tcW w:w="50" w:type="pct"/>
            <w:shd w:val="clear" w:color="auto" w:fill="auto"/>
            <w:vAlign w:val="bottom"/>
          </w:tcPr>
          <w:p w14:paraId="5A1AF5FF" w14:textId="77777777" w:rsidR="00960BB8" w:rsidRDefault="00960BB8">
            <w:pPr>
              <w:rPr>
                <w:rFonts w:ascii="宋体"/>
              </w:rPr>
            </w:pPr>
          </w:p>
        </w:tc>
        <w:tc>
          <w:tcPr>
            <w:tcW w:w="283" w:type="pct"/>
            <w:shd w:val="clear" w:color="auto" w:fill="auto"/>
            <w:vAlign w:val="bottom"/>
          </w:tcPr>
          <w:p w14:paraId="5A1AF600" w14:textId="77777777" w:rsidR="00960BB8" w:rsidRDefault="00960BB8">
            <w:pPr>
              <w:rPr>
                <w:rFonts w:ascii="宋体"/>
              </w:rPr>
            </w:pPr>
          </w:p>
        </w:tc>
        <w:tc>
          <w:tcPr>
            <w:tcW w:w="5" w:type="pct"/>
            <w:shd w:val="clear" w:color="auto" w:fill="auto"/>
            <w:vAlign w:val="bottom"/>
          </w:tcPr>
          <w:p w14:paraId="5A1AF601" w14:textId="77777777" w:rsidR="00960BB8" w:rsidRDefault="00960BB8">
            <w:pPr>
              <w:rPr>
                <w:rFonts w:ascii="宋体"/>
              </w:rPr>
            </w:pPr>
          </w:p>
        </w:tc>
        <w:tc>
          <w:tcPr>
            <w:tcW w:w="50" w:type="pct"/>
            <w:shd w:val="clear" w:color="auto" w:fill="auto"/>
            <w:vAlign w:val="bottom"/>
          </w:tcPr>
          <w:p w14:paraId="5A1AF602" w14:textId="77777777" w:rsidR="00960BB8" w:rsidRDefault="00960BB8">
            <w:pPr>
              <w:rPr>
                <w:rFonts w:ascii="宋体"/>
              </w:rPr>
            </w:pPr>
          </w:p>
        </w:tc>
        <w:tc>
          <w:tcPr>
            <w:tcW w:w="1039" w:type="pct"/>
            <w:shd w:val="clear" w:color="auto" w:fill="auto"/>
            <w:vAlign w:val="bottom"/>
          </w:tcPr>
          <w:p w14:paraId="5A1AF603" w14:textId="77777777" w:rsidR="00960BB8" w:rsidRDefault="00960BB8">
            <w:pPr>
              <w:rPr>
                <w:rFonts w:ascii="宋体"/>
              </w:rPr>
            </w:pPr>
          </w:p>
        </w:tc>
        <w:tc>
          <w:tcPr>
            <w:tcW w:w="5" w:type="pct"/>
            <w:shd w:val="clear" w:color="auto" w:fill="auto"/>
            <w:vAlign w:val="bottom"/>
          </w:tcPr>
          <w:p w14:paraId="5A1AF604" w14:textId="77777777" w:rsidR="00960BB8" w:rsidRDefault="00960BB8">
            <w:pPr>
              <w:rPr>
                <w:rFonts w:ascii="宋体"/>
              </w:rPr>
            </w:pPr>
          </w:p>
        </w:tc>
        <w:tc>
          <w:tcPr>
            <w:tcW w:w="50" w:type="pct"/>
            <w:shd w:val="clear" w:color="auto" w:fill="auto"/>
            <w:vAlign w:val="bottom"/>
          </w:tcPr>
          <w:p w14:paraId="5A1AF605" w14:textId="77777777" w:rsidR="00960BB8" w:rsidRDefault="00960BB8">
            <w:pPr>
              <w:rPr>
                <w:rFonts w:ascii="宋体"/>
              </w:rPr>
            </w:pPr>
          </w:p>
        </w:tc>
        <w:tc>
          <w:tcPr>
            <w:tcW w:w="1562" w:type="pct"/>
            <w:shd w:val="clear" w:color="auto" w:fill="auto"/>
            <w:vAlign w:val="bottom"/>
          </w:tcPr>
          <w:p w14:paraId="5A1AF606" w14:textId="77777777" w:rsidR="00960BB8" w:rsidRDefault="00960BB8">
            <w:pPr>
              <w:rPr>
                <w:rFonts w:ascii="宋体"/>
              </w:rPr>
            </w:pPr>
          </w:p>
        </w:tc>
        <w:tc>
          <w:tcPr>
            <w:tcW w:w="5" w:type="pct"/>
            <w:shd w:val="clear" w:color="auto" w:fill="auto"/>
            <w:vAlign w:val="bottom"/>
          </w:tcPr>
          <w:p w14:paraId="5A1AF607" w14:textId="77777777" w:rsidR="00960BB8" w:rsidRDefault="00960BB8">
            <w:pPr>
              <w:rPr>
                <w:rFonts w:ascii="宋体"/>
              </w:rPr>
            </w:pPr>
          </w:p>
        </w:tc>
        <w:tc>
          <w:tcPr>
            <w:tcW w:w="50" w:type="pct"/>
            <w:shd w:val="clear" w:color="auto" w:fill="auto"/>
            <w:vAlign w:val="bottom"/>
          </w:tcPr>
          <w:p w14:paraId="5A1AF608" w14:textId="77777777" w:rsidR="00960BB8" w:rsidRDefault="00960BB8">
            <w:pPr>
              <w:rPr>
                <w:rFonts w:ascii="宋体"/>
              </w:rPr>
            </w:pPr>
          </w:p>
        </w:tc>
        <w:tc>
          <w:tcPr>
            <w:tcW w:w="1894" w:type="pct"/>
            <w:shd w:val="clear" w:color="auto" w:fill="auto"/>
            <w:vAlign w:val="bottom"/>
          </w:tcPr>
          <w:p w14:paraId="5A1AF609" w14:textId="77777777" w:rsidR="00960BB8" w:rsidRDefault="00960BB8">
            <w:pPr>
              <w:rPr>
                <w:rFonts w:ascii="宋体"/>
              </w:rPr>
            </w:pPr>
          </w:p>
        </w:tc>
        <w:tc>
          <w:tcPr>
            <w:tcW w:w="5" w:type="pct"/>
            <w:shd w:val="clear" w:color="auto" w:fill="auto"/>
            <w:vAlign w:val="bottom"/>
          </w:tcPr>
          <w:p w14:paraId="5A1AF60A" w14:textId="77777777" w:rsidR="00960BB8" w:rsidRDefault="00960BB8">
            <w:pPr>
              <w:rPr>
                <w:rFonts w:ascii="宋体"/>
              </w:rPr>
            </w:pPr>
          </w:p>
        </w:tc>
      </w:tr>
      <w:tr w:rsidR="00960BB8" w14:paraId="5A1AF610"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0C"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5A" wp14:editId="5A1B435B">
                  <wp:extent cx="304800" cy="304800"/>
                  <wp:effectExtent l="0" t="0" r="0" b="0"/>
                  <wp:docPr id="104" name="图片 7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0D"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AF60E" w14:textId="77777777" w:rsidR="00960BB8" w:rsidRDefault="00C06650">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0F" w14:textId="77777777" w:rsidR="00960BB8" w:rsidRDefault="00C06650">
            <w:pPr>
              <w:jc w:val="right"/>
              <w:textAlignment w:val="center"/>
            </w:pPr>
            <w:r>
              <w:rPr>
                <w:rFonts w:ascii="Arial" w:eastAsia="宋体" w:hAnsi="Arial" w:cs="Arial"/>
                <w:color w:val="262626"/>
                <w:sz w:val="16"/>
                <w:szCs w:val="16"/>
              </w:rPr>
              <w:t>12</w:t>
            </w:r>
          </w:p>
        </w:tc>
      </w:tr>
    </w:tbl>
    <w:p w14:paraId="5A1AF611" w14:textId="77777777" w:rsidR="00960BB8" w:rsidRDefault="00C06650">
      <w:r>
        <w:pict w14:anchorId="5A1B435C">
          <v:rect id="_x0000_i1038" style="width:415.3pt;height:1.5pt" o:hralign="center" o:hrstd="t" o:hr="t" fillcolor="#a0a0a0" stroked="f"/>
        </w:pict>
      </w:r>
    </w:p>
    <w:p w14:paraId="5A1AF612" w14:textId="77777777" w:rsidR="00960BB8" w:rsidRDefault="00C06650">
      <w:pPr>
        <w:spacing w:after="180"/>
        <w:jc w:val="right"/>
      </w:pPr>
      <w:hyperlink r:id="rId41" w:anchor="i8aaa7b4dbd2e419ca0f5c30af85a11aa_16" w:history="1">
        <w:r>
          <w:rPr>
            <w:rStyle w:val="a5"/>
            <w:rFonts w:ascii="Arial" w:eastAsia="宋体" w:hAnsi="Arial" w:cs="Arial"/>
            <w:sz w:val="18"/>
            <w:szCs w:val="18"/>
          </w:rPr>
          <w:t>Table of Contents</w:t>
        </w:r>
      </w:hyperlink>
    </w:p>
    <w:p w14:paraId="5A1AF613" w14:textId="77777777" w:rsidR="00960BB8" w:rsidRDefault="00C06650">
      <w:pPr>
        <w:spacing w:after="60"/>
      </w:pPr>
      <w:r>
        <w:rPr>
          <w:rFonts w:ascii="Arial" w:eastAsia="宋体" w:hAnsi="Arial" w:cs="Arial"/>
          <w:color w:val="0068B5"/>
          <w:sz w:val="18"/>
          <w:szCs w:val="18"/>
        </w:rPr>
        <w:t>Software.</w:t>
      </w:r>
      <w:r>
        <w:rPr>
          <w:rFonts w:ascii="Arial" w:eastAsia="宋体" w:hAnsi="Arial" w:cs="Arial"/>
          <w:color w:val="0068B5"/>
          <w:sz w:val="20"/>
          <w:szCs w:val="20"/>
        </w:rPr>
        <w:t xml:space="preserve"> </w:t>
      </w:r>
      <w:r>
        <w:rPr>
          <w:rFonts w:ascii="Arial" w:eastAsia="宋体" w:hAnsi="Arial" w:cs="Arial"/>
          <w:color w:val="262626"/>
          <w:sz w:val="18"/>
          <w:szCs w:val="18"/>
        </w:rPr>
        <w:t xml:space="preserve">Software unleashes the potential of our hardware platforms across all workloads, domains, and architectures. </w:t>
      </w:r>
    </w:p>
    <w:p w14:paraId="5A1AF614"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 2022, oneAPI adoption continued to expand across the industry. oneAPI enables developers to build cross-architecture applications using a sing</w:t>
      </w:r>
      <w:r>
        <w:rPr>
          <w:rFonts w:ascii="Arial" w:eastAsia="宋体" w:hAnsi="Arial" w:cs="Arial"/>
          <w:color w:val="262626"/>
          <w:sz w:val="18"/>
          <w:szCs w:val="18"/>
        </w:rPr>
        <w:t>le code base across CPUs, GPUs, and FPGAs to reduce development time and enhance productivity. Our oneAPI-based tools take advantage of unique hardware features and lower software development and maintenance costs. Developers can choose the best architectu</w:t>
      </w:r>
      <w:r>
        <w:rPr>
          <w:rFonts w:ascii="Arial" w:eastAsia="宋体" w:hAnsi="Arial" w:cs="Arial"/>
          <w:color w:val="262626"/>
          <w:sz w:val="18"/>
          <w:szCs w:val="18"/>
        </w:rPr>
        <w:t>re for the problem at hand without rewriting their entire code base, accelerating their time to value.</w:t>
      </w:r>
    </w:p>
    <w:p w14:paraId="5A1AF615"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seek to accelerate adoption of oneAPI and Intel software developer tools through diverse ecosystem activities, including developer training, summits,</w:t>
      </w:r>
      <w:r>
        <w:rPr>
          <w:rFonts w:ascii="Arial" w:eastAsia="宋体" w:hAnsi="Arial" w:cs="Arial"/>
          <w:color w:val="262626"/>
          <w:sz w:val="18"/>
          <w:szCs w:val="18"/>
        </w:rPr>
        <w:t xml:space="preserve"> centers of excellence, and access to Intel hardware and software through a developer cloud. The Intel</w:t>
      </w:r>
      <w:r>
        <w:rPr>
          <w:rFonts w:ascii="Arial" w:eastAsia="宋体" w:hAnsi="Arial" w:cs="Arial"/>
          <w:color w:val="262626"/>
          <w:sz w:val="11"/>
          <w:szCs w:val="11"/>
        </w:rPr>
        <w:t>®</w:t>
      </w:r>
      <w:r>
        <w:rPr>
          <w:rFonts w:ascii="Arial" w:eastAsia="宋体" w:hAnsi="Arial" w:cs="Arial"/>
          <w:color w:val="262626"/>
          <w:sz w:val="18"/>
          <w:szCs w:val="18"/>
        </w:rPr>
        <w:t xml:space="preserve"> DevCloud, currently in public beta release, will host global users spanning AI, data science, high-performance computing, media and graphics, and other </w:t>
      </w:r>
      <w:r>
        <w:rPr>
          <w:rFonts w:ascii="Arial" w:eastAsia="宋体" w:hAnsi="Arial" w:cs="Arial"/>
          <w:color w:val="262626"/>
          <w:sz w:val="18"/>
          <w:szCs w:val="18"/>
        </w:rPr>
        <w:t>accelerated computing workloads.</w:t>
      </w:r>
    </w:p>
    <w:p w14:paraId="5A1AF616"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believe AI will be ubiquitous, and with our tools and the broad open software ecosystem, we are well-positioned to scale AI. We optimize for the most widely used AI frameworks and libraries, including TensorFlow, Pytorc</w:t>
      </w:r>
      <w:r>
        <w:rPr>
          <w:rFonts w:ascii="Arial" w:eastAsia="宋体" w:hAnsi="Arial" w:cs="Arial"/>
          <w:color w:val="262626"/>
          <w:sz w:val="18"/>
          <w:szCs w:val="18"/>
        </w:rPr>
        <w:t>h, Scikit-learn, NumPy, XGBoost, and Spark, with certain optimizations delivering up to 100 times performance improvements to support end-to-end AI. We also develop innovative Intel software to accelerate developer productivity, such as OpenVINO™, Intel</w:t>
      </w:r>
      <w:r>
        <w:rPr>
          <w:rFonts w:ascii="Arial" w:eastAsia="宋体" w:hAnsi="Arial" w:cs="Arial"/>
          <w:color w:val="262626"/>
          <w:sz w:val="11"/>
          <w:szCs w:val="11"/>
        </w:rPr>
        <w:t>®</w:t>
      </w:r>
      <w:r>
        <w:rPr>
          <w:rFonts w:ascii="Arial" w:eastAsia="宋体" w:hAnsi="Arial" w:cs="Arial"/>
          <w:color w:val="262626"/>
          <w:sz w:val="18"/>
          <w:szCs w:val="18"/>
        </w:rPr>
        <w:t xml:space="preserve"> N</w:t>
      </w:r>
      <w:r>
        <w:rPr>
          <w:rFonts w:ascii="Arial" w:eastAsia="宋体" w:hAnsi="Arial" w:cs="Arial"/>
          <w:color w:val="262626"/>
          <w:sz w:val="18"/>
          <w:szCs w:val="18"/>
        </w:rPr>
        <w:t xml:space="preserve">eural Compressor, BigDL, and AI software reference kits.  </w:t>
      </w:r>
    </w:p>
    <w:p w14:paraId="5A1AF617"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seek to continually improve our system and foundational-level software in support of our client, data center, networking, and graphics products, delivering AI-optimized software across the stac</w:t>
      </w:r>
      <w:r>
        <w:rPr>
          <w:rFonts w:ascii="Arial" w:eastAsia="宋体" w:hAnsi="Arial" w:cs="Arial"/>
          <w:color w:val="262626"/>
          <w:sz w:val="18"/>
          <w:szCs w:val="18"/>
        </w:rPr>
        <w:t>k, including BIOS, firmware, simulation, operating systems, and virtualization.</w:t>
      </w:r>
    </w:p>
    <w:p w14:paraId="5A1AF618" w14:textId="77777777" w:rsidR="00960BB8" w:rsidRDefault="00960BB8">
      <w:pPr>
        <w:spacing w:after="60"/>
      </w:pPr>
    </w:p>
    <w:p w14:paraId="5A1AF619" w14:textId="77777777" w:rsidR="00960BB8" w:rsidRDefault="00C06650">
      <w:pPr>
        <w:spacing w:after="180"/>
      </w:pPr>
      <w:r>
        <w:rPr>
          <w:rFonts w:ascii="Arial" w:eastAsia="宋体" w:hAnsi="Arial" w:cs="Arial"/>
          <w:color w:val="0068B5"/>
        </w:rPr>
        <w:t>IP Rights</w:t>
      </w:r>
    </w:p>
    <w:p w14:paraId="5A1AF61A" w14:textId="77777777" w:rsidR="00960BB8" w:rsidRDefault="00C06650">
      <w:pPr>
        <w:spacing w:after="180"/>
      </w:pPr>
      <w:r>
        <w:rPr>
          <w:rFonts w:ascii="Arial" w:eastAsia="宋体" w:hAnsi="Arial" w:cs="Arial"/>
          <w:color w:val="262626"/>
          <w:sz w:val="18"/>
          <w:szCs w:val="18"/>
        </w:rPr>
        <w:t>We own and develop significant IP and related IP rights around the world that support our products, services, R&amp;D, and other activities and assets. Our IP portfolio includes patents, copyrights, trade secrets, trademarks, mask works, and other rights. We a</w:t>
      </w:r>
      <w:r>
        <w:rPr>
          <w:rFonts w:ascii="Arial" w:eastAsia="宋体" w:hAnsi="Arial" w:cs="Arial"/>
          <w:color w:val="262626"/>
          <w:sz w:val="18"/>
          <w:szCs w:val="18"/>
        </w:rPr>
        <w:t xml:space="preserve">ctively seek to protect our global IP rights and to deter unauthorized use of our IP and other assets. </w:t>
      </w:r>
    </w:p>
    <w:p w14:paraId="5A1AF61B" w14:textId="77777777" w:rsidR="00960BB8" w:rsidRDefault="00C06650">
      <w:pPr>
        <w:spacing w:after="180"/>
      </w:pPr>
      <w:r>
        <w:rPr>
          <w:rFonts w:ascii="Arial" w:eastAsia="宋体" w:hAnsi="Arial" w:cs="Arial"/>
          <w:color w:val="262626"/>
          <w:sz w:val="18"/>
          <w:szCs w:val="18"/>
        </w:rPr>
        <w:t>We have obtained patents in the US and other countries. Because of the fast pace of innovation and product development, our products are often obsolete before the patents related to them expire, and in some cases our products may be obsolete before the pat</w:t>
      </w:r>
      <w:r>
        <w:rPr>
          <w:rFonts w:ascii="Arial" w:eastAsia="宋体" w:hAnsi="Arial" w:cs="Arial"/>
          <w:color w:val="262626"/>
          <w:sz w:val="18"/>
          <w:szCs w:val="18"/>
        </w:rPr>
        <w:t xml:space="preserve">ents are granted. As we expand our product offerings into new areas, we also seek to extend our patent development efforts. In addition to developing patents based on our own R&amp;D efforts, we may purchase or license patents from third parties. </w:t>
      </w:r>
    </w:p>
    <w:p w14:paraId="5A1AF61C" w14:textId="77777777" w:rsidR="00960BB8" w:rsidRDefault="00C06650">
      <w:pPr>
        <w:spacing w:after="180"/>
      </w:pPr>
      <w:r>
        <w:rPr>
          <w:rFonts w:ascii="Arial" w:eastAsia="宋体" w:hAnsi="Arial" w:cs="Arial"/>
          <w:color w:val="262626"/>
          <w:sz w:val="18"/>
          <w:szCs w:val="18"/>
        </w:rPr>
        <w:t>The software</w:t>
      </w:r>
      <w:r>
        <w:rPr>
          <w:rFonts w:ascii="Arial" w:eastAsia="宋体" w:hAnsi="Arial" w:cs="Arial"/>
          <w:color w:val="262626"/>
          <w:sz w:val="18"/>
          <w:szCs w:val="18"/>
        </w:rPr>
        <w:t xml:space="preserve"> that we distribute, including software embedded in our products, is entitled to copyright and other IP protection. To distinguish our products from our competitors' products, we have obtained trademarks and trade names for our products, and we maintain co</w:t>
      </w:r>
      <w:r>
        <w:rPr>
          <w:rFonts w:ascii="Arial" w:eastAsia="宋体" w:hAnsi="Arial" w:cs="Arial"/>
          <w:color w:val="262626"/>
          <w:sz w:val="18"/>
          <w:szCs w:val="18"/>
        </w:rPr>
        <w:t>operative advertising programs with customers to promote our brands and to identify products containing genuine Intel components. We also protect details about our processes, products, and strategies as trade secrets, keeping confidential the information t</w:t>
      </w:r>
      <w:r>
        <w:rPr>
          <w:rFonts w:ascii="Arial" w:eastAsia="宋体" w:hAnsi="Arial" w:cs="Arial"/>
          <w:color w:val="262626"/>
          <w:sz w:val="18"/>
          <w:szCs w:val="18"/>
        </w:rPr>
        <w:t>hat we believe provides us with a competitive advantage.</w:t>
      </w:r>
    </w:p>
    <w:p w14:paraId="5A1AF61D" w14:textId="77777777" w:rsidR="00960BB8" w:rsidRDefault="00C06650">
      <w:pPr>
        <w:spacing w:after="180"/>
      </w:pPr>
      <w:r>
        <w:rPr>
          <w:rFonts w:ascii="Arial" w:eastAsia="宋体" w:hAnsi="Arial" w:cs="Arial"/>
          <w:color w:val="262626"/>
          <w:sz w:val="18"/>
          <w:szCs w:val="18"/>
        </w:rPr>
        <w:t>Efforts to protect our IP can be difficult, particularly in countries that provide less protection to IP rights and in the absence of harmonized international IP standards. Competitors and others may</w:t>
      </w:r>
      <w:r>
        <w:rPr>
          <w:rFonts w:ascii="Arial" w:eastAsia="宋体" w:hAnsi="Arial" w:cs="Arial"/>
          <w:color w:val="262626"/>
          <w:sz w:val="18"/>
          <w:szCs w:val="18"/>
        </w:rPr>
        <w:t xml:space="preserve"> already have IP rights covering similar products. There is no assurance that we will be able to obtain IP rights covering our own products or that we will be able to obtain IP licenses from other companies on favorable terms or at all. For a discussion of</w:t>
      </w:r>
      <w:r>
        <w:rPr>
          <w:rFonts w:ascii="Arial" w:eastAsia="宋体" w:hAnsi="Arial" w:cs="Arial"/>
          <w:color w:val="262626"/>
          <w:sz w:val="18"/>
          <w:szCs w:val="18"/>
        </w:rPr>
        <w:t xml:space="preserve"> IP-related risks, see "Risk Factors" within Other Key Information. While our IP rights are important to our success, our business as a whole is not significantly dependent on any single patent, copyright, or other IP right.</w:t>
      </w:r>
    </w:p>
    <w:p w14:paraId="5A1AF61E" w14:textId="77777777" w:rsidR="00960BB8" w:rsidRDefault="00960BB8">
      <w:pPr>
        <w:spacing w:after="120"/>
      </w:pPr>
    </w:p>
    <w:p w14:paraId="5A1AF61F" w14:textId="77777777" w:rsidR="00960BB8" w:rsidRDefault="00960BB8">
      <w:pPr>
        <w:spacing w:after="120"/>
      </w:pPr>
    </w:p>
    <w:p w14:paraId="5A1AF620" w14:textId="77777777" w:rsidR="00960BB8" w:rsidRDefault="00960BB8">
      <w:pPr>
        <w:spacing w:after="120"/>
      </w:pPr>
    </w:p>
    <w:p w14:paraId="5A1AF621" w14:textId="77777777" w:rsidR="00960BB8" w:rsidRDefault="00960BB8">
      <w:pPr>
        <w:spacing w:after="120"/>
      </w:pPr>
    </w:p>
    <w:p w14:paraId="5A1AF622" w14:textId="77777777" w:rsidR="00960BB8" w:rsidRDefault="00960BB8">
      <w:pPr>
        <w:spacing w:after="120"/>
      </w:pPr>
    </w:p>
    <w:p w14:paraId="5A1AF623" w14:textId="77777777" w:rsidR="00960BB8" w:rsidRDefault="00960BB8">
      <w:pPr>
        <w:spacing w:after="120"/>
      </w:pPr>
    </w:p>
    <w:p w14:paraId="5A1AF624" w14:textId="77777777" w:rsidR="00960BB8" w:rsidRDefault="00960BB8">
      <w:pPr>
        <w:spacing w:after="120"/>
      </w:pPr>
    </w:p>
    <w:p w14:paraId="5A1AF625" w14:textId="77777777" w:rsidR="00960BB8" w:rsidRDefault="00960BB8">
      <w:pPr>
        <w:spacing w:after="120"/>
      </w:pPr>
    </w:p>
    <w:p w14:paraId="5A1AF626" w14:textId="77777777" w:rsidR="00960BB8" w:rsidRDefault="00960BB8">
      <w:pPr>
        <w:spacing w:after="120"/>
      </w:pPr>
    </w:p>
    <w:p w14:paraId="5A1AF627" w14:textId="77777777" w:rsidR="00960BB8" w:rsidRDefault="00960BB8">
      <w:pPr>
        <w:spacing w:after="120"/>
      </w:pPr>
    </w:p>
    <w:p w14:paraId="5A1AF628" w14:textId="77777777" w:rsidR="00960BB8" w:rsidRDefault="00960BB8">
      <w:pPr>
        <w:spacing w:after="120"/>
      </w:pPr>
    </w:p>
    <w:p w14:paraId="5A1AF629" w14:textId="77777777" w:rsidR="00960BB8" w:rsidRDefault="00960BB8">
      <w:pPr>
        <w:spacing w:after="120"/>
      </w:pP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960BB8" w14:paraId="5A1AF636" w14:textId="77777777">
        <w:tc>
          <w:tcPr>
            <w:tcW w:w="50" w:type="pct"/>
            <w:shd w:val="clear" w:color="auto" w:fill="auto"/>
            <w:vAlign w:val="bottom"/>
          </w:tcPr>
          <w:p w14:paraId="5A1AF62A" w14:textId="77777777" w:rsidR="00960BB8" w:rsidRDefault="00960BB8">
            <w:pPr>
              <w:rPr>
                <w:rFonts w:ascii="宋体"/>
              </w:rPr>
            </w:pPr>
          </w:p>
        </w:tc>
        <w:tc>
          <w:tcPr>
            <w:tcW w:w="283" w:type="pct"/>
            <w:shd w:val="clear" w:color="auto" w:fill="auto"/>
            <w:vAlign w:val="bottom"/>
          </w:tcPr>
          <w:p w14:paraId="5A1AF62B" w14:textId="77777777" w:rsidR="00960BB8" w:rsidRDefault="00960BB8">
            <w:pPr>
              <w:rPr>
                <w:rFonts w:ascii="宋体"/>
              </w:rPr>
            </w:pPr>
          </w:p>
        </w:tc>
        <w:tc>
          <w:tcPr>
            <w:tcW w:w="5" w:type="pct"/>
            <w:shd w:val="clear" w:color="auto" w:fill="auto"/>
            <w:vAlign w:val="bottom"/>
          </w:tcPr>
          <w:p w14:paraId="5A1AF62C" w14:textId="77777777" w:rsidR="00960BB8" w:rsidRDefault="00960BB8">
            <w:pPr>
              <w:rPr>
                <w:rFonts w:ascii="宋体"/>
              </w:rPr>
            </w:pPr>
          </w:p>
        </w:tc>
        <w:tc>
          <w:tcPr>
            <w:tcW w:w="50" w:type="pct"/>
            <w:shd w:val="clear" w:color="auto" w:fill="auto"/>
            <w:vAlign w:val="bottom"/>
          </w:tcPr>
          <w:p w14:paraId="5A1AF62D" w14:textId="77777777" w:rsidR="00960BB8" w:rsidRDefault="00960BB8">
            <w:pPr>
              <w:rPr>
                <w:rFonts w:ascii="宋体"/>
              </w:rPr>
            </w:pPr>
          </w:p>
        </w:tc>
        <w:tc>
          <w:tcPr>
            <w:tcW w:w="1039" w:type="pct"/>
            <w:shd w:val="clear" w:color="auto" w:fill="auto"/>
            <w:vAlign w:val="bottom"/>
          </w:tcPr>
          <w:p w14:paraId="5A1AF62E" w14:textId="77777777" w:rsidR="00960BB8" w:rsidRDefault="00960BB8">
            <w:pPr>
              <w:rPr>
                <w:rFonts w:ascii="宋体"/>
              </w:rPr>
            </w:pPr>
          </w:p>
        </w:tc>
        <w:tc>
          <w:tcPr>
            <w:tcW w:w="5" w:type="pct"/>
            <w:shd w:val="clear" w:color="auto" w:fill="auto"/>
            <w:vAlign w:val="bottom"/>
          </w:tcPr>
          <w:p w14:paraId="5A1AF62F" w14:textId="77777777" w:rsidR="00960BB8" w:rsidRDefault="00960BB8">
            <w:pPr>
              <w:rPr>
                <w:rFonts w:ascii="宋体"/>
              </w:rPr>
            </w:pPr>
          </w:p>
        </w:tc>
        <w:tc>
          <w:tcPr>
            <w:tcW w:w="50" w:type="pct"/>
            <w:shd w:val="clear" w:color="auto" w:fill="auto"/>
            <w:vAlign w:val="bottom"/>
          </w:tcPr>
          <w:p w14:paraId="5A1AF630" w14:textId="77777777" w:rsidR="00960BB8" w:rsidRDefault="00960BB8">
            <w:pPr>
              <w:rPr>
                <w:rFonts w:ascii="宋体"/>
              </w:rPr>
            </w:pPr>
          </w:p>
        </w:tc>
        <w:tc>
          <w:tcPr>
            <w:tcW w:w="1562" w:type="pct"/>
            <w:shd w:val="clear" w:color="auto" w:fill="auto"/>
            <w:vAlign w:val="bottom"/>
          </w:tcPr>
          <w:p w14:paraId="5A1AF631" w14:textId="77777777" w:rsidR="00960BB8" w:rsidRDefault="00960BB8">
            <w:pPr>
              <w:rPr>
                <w:rFonts w:ascii="宋体"/>
              </w:rPr>
            </w:pPr>
          </w:p>
        </w:tc>
        <w:tc>
          <w:tcPr>
            <w:tcW w:w="5" w:type="pct"/>
            <w:shd w:val="clear" w:color="auto" w:fill="auto"/>
            <w:vAlign w:val="bottom"/>
          </w:tcPr>
          <w:p w14:paraId="5A1AF632" w14:textId="77777777" w:rsidR="00960BB8" w:rsidRDefault="00960BB8">
            <w:pPr>
              <w:rPr>
                <w:rFonts w:ascii="宋体"/>
              </w:rPr>
            </w:pPr>
          </w:p>
        </w:tc>
        <w:tc>
          <w:tcPr>
            <w:tcW w:w="50" w:type="pct"/>
            <w:shd w:val="clear" w:color="auto" w:fill="auto"/>
            <w:vAlign w:val="bottom"/>
          </w:tcPr>
          <w:p w14:paraId="5A1AF633" w14:textId="77777777" w:rsidR="00960BB8" w:rsidRDefault="00960BB8">
            <w:pPr>
              <w:rPr>
                <w:rFonts w:ascii="宋体"/>
              </w:rPr>
            </w:pPr>
          </w:p>
        </w:tc>
        <w:tc>
          <w:tcPr>
            <w:tcW w:w="1894" w:type="pct"/>
            <w:shd w:val="clear" w:color="auto" w:fill="auto"/>
            <w:vAlign w:val="bottom"/>
          </w:tcPr>
          <w:p w14:paraId="5A1AF634" w14:textId="77777777" w:rsidR="00960BB8" w:rsidRDefault="00960BB8">
            <w:pPr>
              <w:rPr>
                <w:rFonts w:ascii="宋体"/>
              </w:rPr>
            </w:pPr>
          </w:p>
        </w:tc>
        <w:tc>
          <w:tcPr>
            <w:tcW w:w="5" w:type="pct"/>
            <w:shd w:val="clear" w:color="auto" w:fill="auto"/>
            <w:vAlign w:val="bottom"/>
          </w:tcPr>
          <w:p w14:paraId="5A1AF635" w14:textId="77777777" w:rsidR="00960BB8" w:rsidRDefault="00960BB8">
            <w:pPr>
              <w:rPr>
                <w:rFonts w:ascii="宋体"/>
              </w:rPr>
            </w:pPr>
          </w:p>
        </w:tc>
      </w:tr>
      <w:tr w:rsidR="00960BB8" w14:paraId="5A1AF63B"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37"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5D" wp14:editId="5A1B435E">
                  <wp:extent cx="304800" cy="304800"/>
                  <wp:effectExtent l="0" t="0" r="0" b="0"/>
                  <wp:docPr id="83" name="图片 7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38"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AF639" w14:textId="77777777" w:rsidR="00960BB8" w:rsidRDefault="00C06650">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3A" w14:textId="77777777" w:rsidR="00960BB8" w:rsidRDefault="00C06650">
            <w:pPr>
              <w:jc w:val="right"/>
              <w:textAlignment w:val="center"/>
            </w:pPr>
            <w:r>
              <w:rPr>
                <w:rFonts w:ascii="Arial" w:eastAsia="宋体" w:hAnsi="Arial" w:cs="Arial"/>
                <w:color w:val="262626"/>
                <w:sz w:val="16"/>
                <w:szCs w:val="16"/>
              </w:rPr>
              <w:t>13</w:t>
            </w:r>
          </w:p>
        </w:tc>
      </w:tr>
    </w:tbl>
    <w:p w14:paraId="5A1AF63C" w14:textId="77777777" w:rsidR="00960BB8" w:rsidRDefault="00C06650">
      <w:r>
        <w:pict w14:anchorId="5A1B435F">
          <v:rect id="_x0000_i1039" style="width:415.3pt;height:1.5pt" o:hralign="center" o:hrstd="t" o:hr="t" fillcolor="#a0a0a0" stroked="f"/>
        </w:pict>
      </w:r>
    </w:p>
    <w:p w14:paraId="5A1AF63D" w14:textId="77777777" w:rsidR="00960BB8" w:rsidRDefault="00C06650">
      <w:pPr>
        <w:spacing w:after="180"/>
        <w:jc w:val="right"/>
      </w:pPr>
      <w:hyperlink r:id="rId42" w:anchor="i8aaa7b4dbd2e419ca0f5c30af85a11aa_16" w:history="1">
        <w:r>
          <w:rPr>
            <w:rStyle w:val="a5"/>
            <w:rFonts w:ascii="Arial" w:eastAsia="宋体" w:hAnsi="Arial" w:cs="Arial"/>
            <w:sz w:val="18"/>
            <w:szCs w:val="18"/>
          </w:rPr>
          <w:t>Table of Contents</w:t>
        </w:r>
      </w:hyperlink>
    </w:p>
    <w:tbl>
      <w:tblPr>
        <w:tblW w:w="10770" w:type="dxa"/>
        <w:tblCellMar>
          <w:top w:w="15" w:type="dxa"/>
          <w:left w:w="15" w:type="dxa"/>
          <w:bottom w:w="15" w:type="dxa"/>
          <w:right w:w="15" w:type="dxa"/>
        </w:tblCellMar>
        <w:tblLook w:val="04A0" w:firstRow="1" w:lastRow="0" w:firstColumn="1" w:lastColumn="0" w:noHBand="0" w:noVBand="1"/>
      </w:tblPr>
      <w:tblGrid>
        <w:gridCol w:w="36"/>
        <w:gridCol w:w="663"/>
        <w:gridCol w:w="36"/>
        <w:gridCol w:w="36"/>
        <w:gridCol w:w="9963"/>
        <w:gridCol w:w="36"/>
      </w:tblGrid>
      <w:tr w:rsidR="00960BB8" w14:paraId="5A1AF644" w14:textId="77777777">
        <w:tc>
          <w:tcPr>
            <w:tcW w:w="20" w:type="dxa"/>
            <w:shd w:val="clear" w:color="auto" w:fill="auto"/>
            <w:vAlign w:val="bottom"/>
          </w:tcPr>
          <w:p w14:paraId="5A1AF63E" w14:textId="77777777" w:rsidR="00960BB8" w:rsidRDefault="00960BB8">
            <w:pPr>
              <w:rPr>
                <w:rFonts w:ascii="宋体"/>
              </w:rPr>
            </w:pPr>
          </w:p>
        </w:tc>
        <w:tc>
          <w:tcPr>
            <w:tcW w:w="665" w:type="dxa"/>
            <w:shd w:val="clear" w:color="auto" w:fill="auto"/>
            <w:vAlign w:val="bottom"/>
          </w:tcPr>
          <w:p w14:paraId="5A1AF63F" w14:textId="77777777" w:rsidR="00960BB8" w:rsidRDefault="00960BB8">
            <w:pPr>
              <w:rPr>
                <w:rFonts w:ascii="宋体"/>
              </w:rPr>
            </w:pPr>
          </w:p>
        </w:tc>
        <w:tc>
          <w:tcPr>
            <w:tcW w:w="20" w:type="dxa"/>
            <w:shd w:val="clear" w:color="auto" w:fill="auto"/>
            <w:vAlign w:val="bottom"/>
          </w:tcPr>
          <w:p w14:paraId="5A1AF640" w14:textId="77777777" w:rsidR="00960BB8" w:rsidRDefault="00960BB8">
            <w:pPr>
              <w:rPr>
                <w:rFonts w:ascii="宋体"/>
              </w:rPr>
            </w:pPr>
          </w:p>
        </w:tc>
        <w:tc>
          <w:tcPr>
            <w:tcW w:w="20" w:type="dxa"/>
            <w:shd w:val="clear" w:color="auto" w:fill="auto"/>
            <w:vAlign w:val="bottom"/>
          </w:tcPr>
          <w:p w14:paraId="5A1AF641" w14:textId="77777777" w:rsidR="00960BB8" w:rsidRDefault="00960BB8">
            <w:pPr>
              <w:rPr>
                <w:rFonts w:ascii="宋体"/>
              </w:rPr>
            </w:pPr>
          </w:p>
        </w:tc>
        <w:tc>
          <w:tcPr>
            <w:tcW w:w="10025" w:type="dxa"/>
            <w:shd w:val="clear" w:color="auto" w:fill="auto"/>
            <w:vAlign w:val="bottom"/>
          </w:tcPr>
          <w:p w14:paraId="5A1AF642" w14:textId="77777777" w:rsidR="00960BB8" w:rsidRDefault="00960BB8">
            <w:pPr>
              <w:rPr>
                <w:rFonts w:ascii="宋体"/>
              </w:rPr>
            </w:pPr>
          </w:p>
        </w:tc>
        <w:tc>
          <w:tcPr>
            <w:tcW w:w="20" w:type="dxa"/>
            <w:shd w:val="clear" w:color="auto" w:fill="auto"/>
            <w:vAlign w:val="bottom"/>
          </w:tcPr>
          <w:p w14:paraId="5A1AF643" w14:textId="77777777" w:rsidR="00960BB8" w:rsidRDefault="00960BB8">
            <w:pPr>
              <w:rPr>
                <w:rFonts w:ascii="宋体"/>
              </w:rPr>
            </w:pPr>
          </w:p>
        </w:tc>
      </w:tr>
      <w:tr w:rsidR="00960BB8" w14:paraId="5A1AF647" w14:textId="77777777">
        <w:trPr>
          <w:trHeight w:val="600"/>
        </w:trPr>
        <w:tc>
          <w:tcPr>
            <w:tcW w:w="0" w:type="auto"/>
            <w:gridSpan w:val="3"/>
            <w:shd w:val="clear" w:color="auto" w:fill="auto"/>
            <w:tcMar>
              <w:top w:w="0" w:type="dxa"/>
              <w:left w:w="20" w:type="dxa"/>
              <w:bottom w:w="0" w:type="dxa"/>
              <w:right w:w="20" w:type="dxa"/>
            </w:tcMar>
            <w:vAlign w:val="bottom"/>
          </w:tcPr>
          <w:p w14:paraId="5A1AF645"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60" wp14:editId="5A1B4361">
                  <wp:extent cx="304800" cy="304800"/>
                  <wp:effectExtent l="0" t="0" r="0" b="0"/>
                  <wp:docPr id="133" name="图片 79"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79" descr="IMG_28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5A1AF646" w14:textId="77777777" w:rsidR="00960BB8" w:rsidRDefault="00C06650">
            <w:pPr>
              <w:textAlignment w:val="center"/>
            </w:pPr>
            <w:r>
              <w:rPr>
                <w:rFonts w:ascii="Arial" w:eastAsia="宋体" w:hAnsi="Arial" w:cs="Arial"/>
                <w:color w:val="0068B5"/>
                <w:sz w:val="28"/>
                <w:szCs w:val="28"/>
              </w:rPr>
              <w:t>Manufacturing Capital</w:t>
            </w:r>
          </w:p>
        </w:tc>
      </w:tr>
    </w:tbl>
    <w:p w14:paraId="5A1AF648" w14:textId="77777777" w:rsidR="00960BB8" w:rsidRDefault="00C06650">
      <w:pPr>
        <w:spacing w:after="180"/>
      </w:pPr>
      <w:r>
        <w:rPr>
          <w:rFonts w:ascii="Arial" w:eastAsia="宋体" w:hAnsi="Arial" w:cs="Arial"/>
          <w:color w:val="262626"/>
          <w:sz w:val="18"/>
          <w:szCs w:val="18"/>
        </w:rPr>
        <w:t>As the guardians of Moore's Law, we continuously innovate to advance the design and manufacturing of semiconductors to help address our customers' greatest challenges. This makes possible new leadership products with higher performance while balancing powe</w:t>
      </w:r>
      <w:r>
        <w:rPr>
          <w:rFonts w:ascii="Arial" w:eastAsia="宋体" w:hAnsi="Arial" w:cs="Arial"/>
          <w:color w:val="262626"/>
          <w:sz w:val="18"/>
          <w:szCs w:val="18"/>
        </w:rPr>
        <w:t xml:space="preserve">r efficiency, cost, and size. </w:t>
      </w:r>
    </w:p>
    <w:p w14:paraId="5A1AF649" w14:textId="77777777" w:rsidR="00960BB8" w:rsidRDefault="00C06650">
      <w:pPr>
        <w:spacing w:after="180"/>
      </w:pPr>
      <w:r>
        <w:rPr>
          <w:rFonts w:ascii="Arial" w:eastAsia="宋体" w:hAnsi="Arial" w:cs="Arial"/>
          <w:color w:val="262626"/>
          <w:sz w:val="18"/>
          <w:szCs w:val="18"/>
        </w:rPr>
        <w:t>Our IDM 2.0 strategy allows us to deliver leadership products using internal and external capacity while leveraging our core strengths to provide foundry services to others. IDM 2.0 combines three capabilities. First, we will</w:t>
      </w:r>
      <w:r>
        <w:rPr>
          <w:rFonts w:ascii="Arial" w:eastAsia="宋体" w:hAnsi="Arial" w:cs="Arial"/>
          <w:color w:val="262626"/>
          <w:sz w:val="18"/>
          <w:szCs w:val="18"/>
        </w:rPr>
        <w:t xml:space="preserve"> continue to build most of our products in Intel fabs. Second, we expect to expand our use of third-party foundry capacity to manufacture a range of modular tiles on advanced process technologies. Third, we are building a world-class foundry business with </w:t>
      </w:r>
      <w:r>
        <w:rPr>
          <w:rFonts w:ascii="Arial" w:eastAsia="宋体" w:hAnsi="Arial" w:cs="Arial"/>
          <w:color w:val="262626"/>
          <w:sz w:val="18"/>
          <w:szCs w:val="18"/>
        </w:rPr>
        <w:t xml:space="preserve">IFS, which we expect will combine leading-edge packaging and process technology, committed capacity in the US and Europe, and a world-class IP portfolio that will include x86 cores, as well as other ecosystem IP. </w:t>
      </w:r>
    </w:p>
    <w:p w14:paraId="5A1AF64A" w14:textId="77777777" w:rsidR="00960BB8" w:rsidRDefault="00C06650">
      <w:pPr>
        <w:spacing w:after="180"/>
        <w:jc w:val="both"/>
      </w:pPr>
      <w:r>
        <w:rPr>
          <w:rFonts w:ascii="Arial" w:eastAsia="宋体" w:hAnsi="Arial" w:cs="Arial"/>
          <w:color w:val="0068B5"/>
        </w:rPr>
        <w:t>Network and Supply Chain</w:t>
      </w:r>
    </w:p>
    <w:p w14:paraId="5A1AF64B" w14:textId="77777777" w:rsidR="00960BB8" w:rsidRDefault="00C06650">
      <w:pPr>
        <w:spacing w:after="180"/>
      </w:pPr>
      <w:r>
        <w:rPr>
          <w:rFonts w:ascii="Arial" w:eastAsia="宋体" w:hAnsi="Arial" w:cs="Arial"/>
          <w:color w:val="262626"/>
          <w:sz w:val="18"/>
          <w:szCs w:val="18"/>
        </w:rPr>
        <w:t xml:space="preserve">In 2022, our </w:t>
      </w:r>
      <w:r>
        <w:rPr>
          <w:rFonts w:ascii="Arial" w:eastAsia="宋体" w:hAnsi="Arial" w:cs="Arial"/>
          <w:color w:val="262626"/>
          <w:sz w:val="18"/>
          <w:szCs w:val="18"/>
        </w:rPr>
        <w:t>factories performed well in a highly dynamic environment, where we adapted to rapid demand shifts and industry component shortages affecting us and our customers. We continue to work across our supply chain to minimize disruptions, improve productivity, an</w:t>
      </w:r>
      <w:r>
        <w:rPr>
          <w:rFonts w:ascii="Arial" w:eastAsia="宋体" w:hAnsi="Arial" w:cs="Arial"/>
          <w:color w:val="262626"/>
          <w:sz w:val="18"/>
          <w:szCs w:val="18"/>
        </w:rPr>
        <w:t>d increase overall capacity and output to meet customer expectations.</w:t>
      </w:r>
    </w:p>
    <w:p w14:paraId="5A1AF64C" w14:textId="77777777" w:rsidR="00960BB8" w:rsidRDefault="00C06650">
      <w:pPr>
        <w:spacing w:after="180"/>
      </w:pPr>
      <w:r>
        <w:rPr>
          <w:rFonts w:ascii="Arial" w:eastAsia="宋体" w:hAnsi="Arial" w:cs="Arial"/>
          <w:color w:val="262626"/>
          <w:sz w:val="18"/>
          <w:szCs w:val="18"/>
        </w:rPr>
        <w:t xml:space="preserve">Our global supply chain supports internal partners across architecture, product design, </w:t>
      </w:r>
      <w:r>
        <w:rPr>
          <w:rFonts w:ascii="Arial" w:eastAsia="宋体" w:hAnsi="Arial" w:cs="Arial"/>
          <w:color w:val="262626"/>
          <w:sz w:val="18"/>
          <w:szCs w:val="18"/>
          <w:shd w:val="clear" w:color="auto" w:fill="FFFFFF"/>
        </w:rPr>
        <w:t>technology development, manufacturing and operations, sales and marketing, and business units, and</w:t>
      </w:r>
      <w:r>
        <w:rPr>
          <w:rFonts w:ascii="Arial" w:eastAsia="宋体" w:hAnsi="Arial" w:cs="Arial"/>
          <w:color w:val="262626"/>
          <w:sz w:val="18"/>
          <w:szCs w:val="18"/>
          <w:shd w:val="clear" w:color="auto" w:fill="FFFFFF"/>
        </w:rPr>
        <w:t xml:space="preserve"> our supply ecosystem comprises thousands of suppliers globally. Our mission is to enable product and process leadership, industry-leading total cost of ownership, and on-time and uninterrupted supply for our cus</w:t>
      </w:r>
      <w:r>
        <w:rPr>
          <w:rFonts w:ascii="Arial" w:eastAsia="宋体" w:hAnsi="Arial" w:cs="Arial"/>
          <w:color w:val="262626"/>
          <w:sz w:val="18"/>
          <w:szCs w:val="18"/>
        </w:rPr>
        <w:t xml:space="preserve">tomers. We supplement our own manufacturing </w:t>
      </w:r>
      <w:r>
        <w:rPr>
          <w:rFonts w:ascii="Arial" w:eastAsia="宋体" w:hAnsi="Arial" w:cs="Arial"/>
          <w:color w:val="262626"/>
          <w:sz w:val="18"/>
          <w:szCs w:val="18"/>
        </w:rPr>
        <w:t xml:space="preserve">capacity through our use of third-party foundries. </w:t>
      </w:r>
    </w:p>
    <w:p w14:paraId="5A1AF64D" w14:textId="77777777" w:rsidR="00960BB8" w:rsidRDefault="00C06650">
      <w:pPr>
        <w:spacing w:after="180"/>
      </w:pPr>
      <w:r>
        <w:rPr>
          <w:rFonts w:ascii="Arial" w:eastAsia="宋体" w:hAnsi="Arial" w:cs="Arial"/>
          <w:color w:val="262626"/>
          <w:sz w:val="18"/>
          <w:szCs w:val="18"/>
        </w:rPr>
        <w:t>As of the end of 2022, we had nine manufacturing sites in production — five wafer fabrication facilities and four assembly and test facilities. The following map shows these factory sites and the countrie</w:t>
      </w:r>
      <w:r>
        <w:rPr>
          <w:rFonts w:ascii="Arial" w:eastAsia="宋体" w:hAnsi="Arial" w:cs="Arial"/>
          <w:color w:val="262626"/>
          <w:sz w:val="18"/>
          <w:szCs w:val="18"/>
        </w:rPr>
        <w:t>s where we have a significant R&amp;D and/or sales presence. In our continued response to COVID-19, we maintained the operational measures put in place in 2020 and 2021 to enable a continued safe environment for our employees and the operation of our manufactu</w:t>
      </w:r>
      <w:r>
        <w:rPr>
          <w:rFonts w:ascii="Arial" w:eastAsia="宋体" w:hAnsi="Arial" w:cs="Arial"/>
          <w:color w:val="262626"/>
          <w:sz w:val="18"/>
          <w:szCs w:val="18"/>
        </w:rPr>
        <w:t xml:space="preserve">ring sites. </w:t>
      </w:r>
    </w:p>
    <w:p w14:paraId="5A1AF64E" w14:textId="77777777" w:rsidR="00960BB8" w:rsidRDefault="00C06650">
      <w:pPr>
        <w:spacing w:after="180"/>
      </w:pPr>
      <w:r>
        <w:rPr>
          <w:rFonts w:ascii="Arial" w:eastAsia="宋体" w:hAnsi="Arial" w:cs="Arial"/>
          <w:color w:val="262626"/>
          <w:sz w:val="18"/>
          <w:szCs w:val="18"/>
        </w:rPr>
        <w:t>Our manufacturing facilities are primarily used for silicon wafer manufacturing, assembling, and testing of our platform products. We operate in a network of manufacturing facilities integrated as though they were one factory to provide the mo</w:t>
      </w:r>
      <w:r>
        <w:rPr>
          <w:rFonts w:ascii="Arial" w:eastAsia="宋体" w:hAnsi="Arial" w:cs="Arial"/>
          <w:color w:val="262626"/>
          <w:sz w:val="18"/>
          <w:szCs w:val="18"/>
        </w:rPr>
        <w:t xml:space="preserve">st flexible supply capacity, allowing us to better analyze our production costs and adapt to changes in capacity needs. Our new process technologies are transferred from a central development fab to each manufacturing facility. After transfer, the network </w:t>
      </w:r>
      <w:r>
        <w:rPr>
          <w:rFonts w:ascii="Arial" w:eastAsia="宋体" w:hAnsi="Arial" w:cs="Arial"/>
          <w:color w:val="262626"/>
          <w:sz w:val="18"/>
          <w:szCs w:val="18"/>
        </w:rPr>
        <w:t xml:space="preserve">of factories and the development fab collaborate to continue driving operational improvements. This enables fast ramp of the operation, quick learning, and quality control. </w:t>
      </w:r>
    </w:p>
    <w:p w14:paraId="5A1AF64F" w14:textId="77777777" w:rsidR="00960BB8" w:rsidRDefault="00C06650">
      <w:pPr>
        <w:spacing w:after="180"/>
      </w:pPr>
      <w:r>
        <w:rPr>
          <w:rFonts w:ascii="Arial" w:eastAsia="宋体" w:hAnsi="Arial" w:cs="Arial"/>
          <w:color w:val="262626"/>
          <w:sz w:val="18"/>
          <w:szCs w:val="18"/>
        </w:rPr>
        <w:t xml:space="preserve">We are expanding manufacturing capacity across multiple sites, including Arizona, </w:t>
      </w:r>
      <w:r>
        <w:rPr>
          <w:rFonts w:ascii="Arial" w:eastAsia="宋体" w:hAnsi="Arial" w:cs="Arial"/>
          <w:color w:val="262626"/>
          <w:sz w:val="18"/>
          <w:szCs w:val="18"/>
        </w:rPr>
        <w:t xml:space="preserve">Ireland, Israel, and Oregon as well as New Mexico and Malaysia for advanced packaging. This year, we broke ground on our new site in Ohio and officially added Germany to our roadmap. </w:t>
      </w:r>
    </w:p>
    <w:p w14:paraId="5A1AF650"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w:instrText>
      </w:r>
      <w:r>
        <w:rPr>
          <w:rFonts w:ascii="宋体" w:eastAsia="宋体" w:hAnsi="宋体" w:cs="宋体"/>
        </w:rPr>
        <w:instrText xml:space="preserve">./Inline XBRL Viewer_files/intc-20221231_g22.jpg"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62" wp14:editId="5A1B4363">
            <wp:extent cx="304800" cy="304800"/>
            <wp:effectExtent l="0" t="0" r="0" b="0"/>
            <wp:docPr id="82" name="图片 80"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0"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651" w14:textId="77777777" w:rsidR="00960BB8" w:rsidRDefault="00960BB8">
      <w:pPr>
        <w:jc w:val="center"/>
      </w:pPr>
    </w:p>
    <w:p w14:paraId="5A1AF652" w14:textId="77777777" w:rsidR="00960BB8" w:rsidRDefault="00960BB8">
      <w:pPr>
        <w:jc w:val="center"/>
      </w:pP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960BB8" w14:paraId="5A1AF65F" w14:textId="77777777">
        <w:tc>
          <w:tcPr>
            <w:tcW w:w="50" w:type="pct"/>
            <w:shd w:val="clear" w:color="auto" w:fill="auto"/>
            <w:vAlign w:val="bottom"/>
          </w:tcPr>
          <w:p w14:paraId="5A1AF653" w14:textId="77777777" w:rsidR="00960BB8" w:rsidRDefault="00960BB8">
            <w:pPr>
              <w:rPr>
                <w:rFonts w:ascii="宋体"/>
              </w:rPr>
            </w:pPr>
          </w:p>
        </w:tc>
        <w:tc>
          <w:tcPr>
            <w:tcW w:w="283" w:type="pct"/>
            <w:shd w:val="clear" w:color="auto" w:fill="auto"/>
            <w:vAlign w:val="bottom"/>
          </w:tcPr>
          <w:p w14:paraId="5A1AF654" w14:textId="77777777" w:rsidR="00960BB8" w:rsidRDefault="00960BB8">
            <w:pPr>
              <w:rPr>
                <w:rFonts w:ascii="宋体"/>
              </w:rPr>
            </w:pPr>
          </w:p>
        </w:tc>
        <w:tc>
          <w:tcPr>
            <w:tcW w:w="5" w:type="pct"/>
            <w:shd w:val="clear" w:color="auto" w:fill="auto"/>
            <w:vAlign w:val="bottom"/>
          </w:tcPr>
          <w:p w14:paraId="5A1AF655" w14:textId="77777777" w:rsidR="00960BB8" w:rsidRDefault="00960BB8">
            <w:pPr>
              <w:rPr>
                <w:rFonts w:ascii="宋体"/>
              </w:rPr>
            </w:pPr>
          </w:p>
        </w:tc>
        <w:tc>
          <w:tcPr>
            <w:tcW w:w="50" w:type="pct"/>
            <w:shd w:val="clear" w:color="auto" w:fill="auto"/>
            <w:vAlign w:val="bottom"/>
          </w:tcPr>
          <w:p w14:paraId="5A1AF656" w14:textId="77777777" w:rsidR="00960BB8" w:rsidRDefault="00960BB8">
            <w:pPr>
              <w:rPr>
                <w:rFonts w:ascii="宋体"/>
              </w:rPr>
            </w:pPr>
          </w:p>
        </w:tc>
        <w:tc>
          <w:tcPr>
            <w:tcW w:w="1039" w:type="pct"/>
            <w:shd w:val="clear" w:color="auto" w:fill="auto"/>
            <w:vAlign w:val="bottom"/>
          </w:tcPr>
          <w:p w14:paraId="5A1AF657" w14:textId="77777777" w:rsidR="00960BB8" w:rsidRDefault="00960BB8">
            <w:pPr>
              <w:rPr>
                <w:rFonts w:ascii="宋体"/>
              </w:rPr>
            </w:pPr>
          </w:p>
        </w:tc>
        <w:tc>
          <w:tcPr>
            <w:tcW w:w="5" w:type="pct"/>
            <w:shd w:val="clear" w:color="auto" w:fill="auto"/>
            <w:vAlign w:val="bottom"/>
          </w:tcPr>
          <w:p w14:paraId="5A1AF658" w14:textId="77777777" w:rsidR="00960BB8" w:rsidRDefault="00960BB8">
            <w:pPr>
              <w:rPr>
                <w:rFonts w:ascii="宋体"/>
              </w:rPr>
            </w:pPr>
          </w:p>
        </w:tc>
        <w:tc>
          <w:tcPr>
            <w:tcW w:w="50" w:type="pct"/>
            <w:shd w:val="clear" w:color="auto" w:fill="auto"/>
            <w:vAlign w:val="bottom"/>
          </w:tcPr>
          <w:p w14:paraId="5A1AF659" w14:textId="77777777" w:rsidR="00960BB8" w:rsidRDefault="00960BB8">
            <w:pPr>
              <w:rPr>
                <w:rFonts w:ascii="宋体"/>
              </w:rPr>
            </w:pPr>
          </w:p>
        </w:tc>
        <w:tc>
          <w:tcPr>
            <w:tcW w:w="1562" w:type="pct"/>
            <w:shd w:val="clear" w:color="auto" w:fill="auto"/>
            <w:vAlign w:val="bottom"/>
          </w:tcPr>
          <w:p w14:paraId="5A1AF65A" w14:textId="77777777" w:rsidR="00960BB8" w:rsidRDefault="00960BB8">
            <w:pPr>
              <w:rPr>
                <w:rFonts w:ascii="宋体"/>
              </w:rPr>
            </w:pPr>
          </w:p>
        </w:tc>
        <w:tc>
          <w:tcPr>
            <w:tcW w:w="5" w:type="pct"/>
            <w:shd w:val="clear" w:color="auto" w:fill="auto"/>
            <w:vAlign w:val="bottom"/>
          </w:tcPr>
          <w:p w14:paraId="5A1AF65B" w14:textId="77777777" w:rsidR="00960BB8" w:rsidRDefault="00960BB8">
            <w:pPr>
              <w:rPr>
                <w:rFonts w:ascii="宋体"/>
              </w:rPr>
            </w:pPr>
          </w:p>
        </w:tc>
        <w:tc>
          <w:tcPr>
            <w:tcW w:w="50" w:type="pct"/>
            <w:shd w:val="clear" w:color="auto" w:fill="auto"/>
            <w:vAlign w:val="bottom"/>
          </w:tcPr>
          <w:p w14:paraId="5A1AF65C" w14:textId="77777777" w:rsidR="00960BB8" w:rsidRDefault="00960BB8">
            <w:pPr>
              <w:rPr>
                <w:rFonts w:ascii="宋体"/>
              </w:rPr>
            </w:pPr>
          </w:p>
        </w:tc>
        <w:tc>
          <w:tcPr>
            <w:tcW w:w="1894" w:type="pct"/>
            <w:shd w:val="clear" w:color="auto" w:fill="auto"/>
            <w:vAlign w:val="bottom"/>
          </w:tcPr>
          <w:p w14:paraId="5A1AF65D" w14:textId="77777777" w:rsidR="00960BB8" w:rsidRDefault="00960BB8">
            <w:pPr>
              <w:rPr>
                <w:rFonts w:ascii="宋体"/>
              </w:rPr>
            </w:pPr>
          </w:p>
        </w:tc>
        <w:tc>
          <w:tcPr>
            <w:tcW w:w="5" w:type="pct"/>
            <w:shd w:val="clear" w:color="auto" w:fill="auto"/>
            <w:vAlign w:val="bottom"/>
          </w:tcPr>
          <w:p w14:paraId="5A1AF65E" w14:textId="77777777" w:rsidR="00960BB8" w:rsidRDefault="00960BB8">
            <w:pPr>
              <w:rPr>
                <w:rFonts w:ascii="宋体"/>
              </w:rPr>
            </w:pPr>
          </w:p>
        </w:tc>
      </w:tr>
      <w:tr w:rsidR="00960BB8" w14:paraId="5A1AF664"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60"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64" wp14:editId="5A1B4365">
                  <wp:extent cx="304800" cy="304800"/>
                  <wp:effectExtent l="0" t="0" r="0" b="0"/>
                  <wp:docPr id="137" name="图片 8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8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61"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AF662" w14:textId="77777777" w:rsidR="00960BB8" w:rsidRDefault="00C06650">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63" w14:textId="77777777" w:rsidR="00960BB8" w:rsidRDefault="00C06650">
            <w:pPr>
              <w:jc w:val="right"/>
              <w:textAlignment w:val="center"/>
            </w:pPr>
            <w:r>
              <w:rPr>
                <w:rFonts w:ascii="Arial" w:eastAsia="宋体" w:hAnsi="Arial" w:cs="Arial"/>
                <w:color w:val="262626"/>
                <w:sz w:val="16"/>
                <w:szCs w:val="16"/>
              </w:rPr>
              <w:t>14</w:t>
            </w:r>
          </w:p>
        </w:tc>
      </w:tr>
    </w:tbl>
    <w:p w14:paraId="5A1AF665" w14:textId="77777777" w:rsidR="00960BB8" w:rsidRDefault="00C06650">
      <w:r>
        <w:pict w14:anchorId="5A1B4366">
          <v:rect id="_x0000_i1040" style="width:415.3pt;height:1.5pt" o:hralign="center" o:hrstd="t" o:hr="t" fillcolor="#a0a0a0" stroked="f"/>
        </w:pict>
      </w:r>
    </w:p>
    <w:p w14:paraId="5A1AF666" w14:textId="77777777" w:rsidR="00960BB8" w:rsidRDefault="00C06650">
      <w:pPr>
        <w:spacing w:after="180"/>
        <w:jc w:val="right"/>
      </w:pPr>
      <w:hyperlink r:id="rId43" w:anchor="i8aaa7b4dbd2e419ca0f5c30af85a11aa_16" w:history="1">
        <w:r>
          <w:rPr>
            <w:rStyle w:val="a5"/>
            <w:rFonts w:ascii="Arial" w:eastAsia="宋体" w:hAnsi="Arial" w:cs="Arial"/>
            <w:sz w:val="18"/>
            <w:szCs w:val="18"/>
          </w:rPr>
          <w:t>Table of Contents</w:t>
        </w:r>
      </w:hyperlink>
    </w:p>
    <w:tbl>
      <w:tblPr>
        <w:tblW w:w="10860" w:type="dxa"/>
        <w:tblCellMar>
          <w:top w:w="15" w:type="dxa"/>
          <w:left w:w="15" w:type="dxa"/>
          <w:bottom w:w="15" w:type="dxa"/>
          <w:right w:w="15" w:type="dxa"/>
        </w:tblCellMar>
        <w:tblLook w:val="04A0" w:firstRow="1" w:lastRow="0" w:firstColumn="1" w:lastColumn="0" w:noHBand="0" w:noVBand="1"/>
      </w:tblPr>
      <w:tblGrid>
        <w:gridCol w:w="36"/>
        <w:gridCol w:w="664"/>
        <w:gridCol w:w="36"/>
        <w:gridCol w:w="36"/>
        <w:gridCol w:w="10052"/>
        <w:gridCol w:w="36"/>
      </w:tblGrid>
      <w:tr w:rsidR="00960BB8" w14:paraId="5A1AF66D" w14:textId="77777777">
        <w:tc>
          <w:tcPr>
            <w:tcW w:w="20" w:type="dxa"/>
            <w:shd w:val="clear" w:color="auto" w:fill="auto"/>
            <w:vAlign w:val="bottom"/>
          </w:tcPr>
          <w:p w14:paraId="5A1AF667" w14:textId="77777777" w:rsidR="00960BB8" w:rsidRDefault="00960BB8">
            <w:pPr>
              <w:rPr>
                <w:rFonts w:ascii="宋体"/>
              </w:rPr>
            </w:pPr>
          </w:p>
        </w:tc>
        <w:tc>
          <w:tcPr>
            <w:tcW w:w="665" w:type="dxa"/>
            <w:shd w:val="clear" w:color="auto" w:fill="auto"/>
            <w:vAlign w:val="bottom"/>
          </w:tcPr>
          <w:p w14:paraId="5A1AF668" w14:textId="77777777" w:rsidR="00960BB8" w:rsidRDefault="00960BB8">
            <w:pPr>
              <w:rPr>
                <w:rFonts w:ascii="宋体"/>
              </w:rPr>
            </w:pPr>
          </w:p>
        </w:tc>
        <w:tc>
          <w:tcPr>
            <w:tcW w:w="20" w:type="dxa"/>
            <w:shd w:val="clear" w:color="auto" w:fill="auto"/>
            <w:vAlign w:val="bottom"/>
          </w:tcPr>
          <w:p w14:paraId="5A1AF669" w14:textId="77777777" w:rsidR="00960BB8" w:rsidRDefault="00960BB8">
            <w:pPr>
              <w:rPr>
                <w:rFonts w:ascii="宋体"/>
              </w:rPr>
            </w:pPr>
          </w:p>
        </w:tc>
        <w:tc>
          <w:tcPr>
            <w:tcW w:w="20" w:type="dxa"/>
            <w:shd w:val="clear" w:color="auto" w:fill="auto"/>
            <w:vAlign w:val="bottom"/>
          </w:tcPr>
          <w:p w14:paraId="5A1AF66A" w14:textId="77777777" w:rsidR="00960BB8" w:rsidRDefault="00960BB8">
            <w:pPr>
              <w:rPr>
                <w:rFonts w:ascii="宋体"/>
              </w:rPr>
            </w:pPr>
          </w:p>
        </w:tc>
        <w:tc>
          <w:tcPr>
            <w:tcW w:w="10115" w:type="dxa"/>
            <w:shd w:val="clear" w:color="auto" w:fill="auto"/>
            <w:vAlign w:val="bottom"/>
          </w:tcPr>
          <w:p w14:paraId="5A1AF66B" w14:textId="77777777" w:rsidR="00960BB8" w:rsidRDefault="00960BB8">
            <w:pPr>
              <w:rPr>
                <w:rFonts w:ascii="宋体"/>
              </w:rPr>
            </w:pPr>
          </w:p>
        </w:tc>
        <w:tc>
          <w:tcPr>
            <w:tcW w:w="20" w:type="dxa"/>
            <w:shd w:val="clear" w:color="auto" w:fill="auto"/>
            <w:vAlign w:val="bottom"/>
          </w:tcPr>
          <w:p w14:paraId="5A1AF66C" w14:textId="77777777" w:rsidR="00960BB8" w:rsidRDefault="00960BB8">
            <w:pPr>
              <w:rPr>
                <w:rFonts w:ascii="宋体"/>
              </w:rPr>
            </w:pPr>
          </w:p>
        </w:tc>
      </w:tr>
      <w:tr w:rsidR="00960BB8" w14:paraId="5A1AF670" w14:textId="77777777">
        <w:trPr>
          <w:trHeight w:val="420"/>
        </w:trPr>
        <w:tc>
          <w:tcPr>
            <w:tcW w:w="0" w:type="auto"/>
            <w:gridSpan w:val="3"/>
            <w:shd w:val="clear" w:color="auto" w:fill="auto"/>
            <w:tcMar>
              <w:top w:w="0" w:type="dxa"/>
              <w:left w:w="20" w:type="dxa"/>
              <w:bottom w:w="0" w:type="dxa"/>
              <w:right w:w="20" w:type="dxa"/>
            </w:tcMar>
            <w:vAlign w:val="bottom"/>
          </w:tcPr>
          <w:p w14:paraId="5A1AF66E"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67" wp14:editId="5A1B4368">
                  <wp:extent cx="304800" cy="304800"/>
                  <wp:effectExtent l="0" t="0" r="0" b="0"/>
                  <wp:docPr id="90" name="图片 83"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3" descr="IMG_2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5A1AF66F" w14:textId="77777777" w:rsidR="00960BB8" w:rsidRDefault="00C06650">
            <w:pPr>
              <w:textAlignment w:val="center"/>
            </w:pPr>
            <w:r>
              <w:rPr>
                <w:rFonts w:ascii="Arial" w:eastAsia="宋体" w:hAnsi="Arial" w:cs="Arial"/>
                <w:color w:val="0068B5"/>
                <w:sz w:val="28"/>
                <w:szCs w:val="28"/>
              </w:rPr>
              <w:t>Human Capital</w:t>
            </w:r>
          </w:p>
        </w:tc>
      </w:tr>
    </w:tbl>
    <w:p w14:paraId="5A1AF671" w14:textId="77777777" w:rsidR="00960BB8" w:rsidRDefault="00C06650">
      <w:pPr>
        <w:spacing w:after="180"/>
      </w:pPr>
      <w:r>
        <w:rPr>
          <w:rFonts w:ascii="Arial" w:eastAsia="宋体" w:hAnsi="Arial" w:cs="Arial"/>
          <w:color w:val="262626"/>
          <w:sz w:val="18"/>
          <w:szCs w:val="18"/>
        </w:rPr>
        <w:t>Our human capital strategy is grounded in our belief that our people are fundamental to our suc</w:t>
      </w:r>
      <w:r>
        <w:rPr>
          <w:rFonts w:ascii="Arial" w:eastAsia="宋体" w:hAnsi="Arial" w:cs="Arial"/>
          <w:color w:val="262626"/>
          <w:sz w:val="18"/>
          <w:szCs w:val="18"/>
        </w:rPr>
        <w:t>cess. Delivering on our strategy and growth ambitions requires attracting, developing, and retaining top talent across the world. We are committed to creating an inclusive workplace where the world’s best engineers and technologists can fulfill their dream</w:t>
      </w:r>
      <w:r>
        <w:rPr>
          <w:rFonts w:ascii="Arial" w:eastAsia="宋体" w:hAnsi="Arial" w:cs="Arial"/>
          <w:color w:val="262626"/>
          <w:sz w:val="18"/>
          <w:szCs w:val="18"/>
        </w:rPr>
        <w:t xml:space="preserve">s and create technology that improves the life of every person on the planet. We invest in our highly skilled workforce of 131,900 people by creating practices, programs, and benefits that support the evolving world of work and our employees’ needs. </w:t>
      </w:r>
    </w:p>
    <w:p w14:paraId="5A1AF672" w14:textId="77777777" w:rsidR="00960BB8" w:rsidRDefault="00C06650">
      <w:pPr>
        <w:spacing w:after="180"/>
      </w:pPr>
      <w:r>
        <w:rPr>
          <w:rFonts w:ascii="Arial" w:eastAsia="宋体" w:hAnsi="Arial" w:cs="Arial"/>
          <w:color w:val="262626"/>
          <w:sz w:val="18"/>
          <w:szCs w:val="18"/>
        </w:rPr>
        <w:t>Foste</w:t>
      </w:r>
      <w:r>
        <w:rPr>
          <w:rFonts w:ascii="Arial" w:eastAsia="宋体" w:hAnsi="Arial" w:cs="Arial"/>
          <w:color w:val="262626"/>
          <w:sz w:val="18"/>
          <w:szCs w:val="18"/>
        </w:rPr>
        <w:t>ring a culture of empowerment, inclusion, and accountability is also core to our strategy. We are focused on reinvigorating our culture to strengthen our execution and accelerate our cadence of innovation. Our values—customer first, fearless innovation, re</w:t>
      </w:r>
      <w:r>
        <w:rPr>
          <w:rFonts w:ascii="Arial" w:eastAsia="宋体" w:hAnsi="Arial" w:cs="Arial"/>
          <w:color w:val="262626"/>
          <w:sz w:val="18"/>
          <w:szCs w:val="18"/>
        </w:rPr>
        <w:t xml:space="preserve">sults driven, one Intel, inclusion, quality, and integrity—inspire us and are key to delivering on our purpose. All employees are responsible for upholding these values, the Intel Code of Conduct, and Intel's Global Human Rights Principles, which form the </w:t>
      </w:r>
      <w:r>
        <w:rPr>
          <w:rFonts w:ascii="Arial" w:eastAsia="宋体" w:hAnsi="Arial" w:cs="Arial"/>
          <w:color w:val="262626"/>
          <w:sz w:val="18"/>
          <w:szCs w:val="18"/>
        </w:rPr>
        <w:t>foundation of our policies and practices and ethical business culture.</w:t>
      </w:r>
    </w:p>
    <w:p w14:paraId="5A1AF673" w14:textId="77777777" w:rsidR="00960BB8" w:rsidRDefault="00C06650">
      <w:pPr>
        <w:spacing w:after="180"/>
      </w:pPr>
      <w:r>
        <w:rPr>
          <w:rFonts w:ascii="Arial" w:eastAsia="宋体" w:hAnsi="Arial" w:cs="Arial"/>
          <w:color w:val="0068B5"/>
        </w:rPr>
        <w:t>Talent Management</w:t>
      </w:r>
      <w:r>
        <w:rPr>
          <w:rFonts w:ascii="Arial" w:eastAsia="宋体" w:hAnsi="Arial" w:cs="Arial"/>
          <w:color w:val="0068B5"/>
        </w:rPr>
        <w:br/>
      </w:r>
      <w:r>
        <w:rPr>
          <w:rFonts w:ascii="Arial" w:eastAsia="宋体" w:hAnsi="Arial" w:cs="Arial"/>
          <w:color w:val="262626"/>
          <w:sz w:val="18"/>
          <w:szCs w:val="18"/>
        </w:rPr>
        <w:t xml:space="preserve">We continue to see significant competition for talent throughout the semiconductor industry. Though we slowed the pace of hiring in the second half of 2022 in line </w:t>
      </w:r>
      <w:r>
        <w:rPr>
          <w:rFonts w:ascii="Arial" w:eastAsia="宋体" w:hAnsi="Arial" w:cs="Arial"/>
          <w:color w:val="262626"/>
          <w:sz w:val="18"/>
          <w:szCs w:val="18"/>
        </w:rPr>
        <w:t>with macroeconomic forecasts, financial performance, and cost-cutting measures, and took actions to rebalance our workforce, the investments we are making to accelerate our process technology require continued and focused efforts to attract and retain tale</w:t>
      </w:r>
      <w:r>
        <w:rPr>
          <w:rFonts w:ascii="Arial" w:eastAsia="宋体" w:hAnsi="Arial" w:cs="Arial"/>
          <w:color w:val="262626"/>
          <w:sz w:val="18"/>
          <w:szCs w:val="18"/>
        </w:rPr>
        <w:t>nt—especially technical talent. Our undesired turnover rate</w:t>
      </w:r>
      <w:r>
        <w:rPr>
          <w:rFonts w:ascii="Arial" w:eastAsia="宋体" w:hAnsi="Arial" w:cs="Arial"/>
          <w:color w:val="262626"/>
          <w:sz w:val="11"/>
          <w:szCs w:val="11"/>
        </w:rPr>
        <w:t>1</w:t>
      </w:r>
      <w:r>
        <w:rPr>
          <w:rFonts w:ascii="Arial" w:eastAsia="宋体" w:hAnsi="Arial" w:cs="Arial"/>
          <w:color w:val="262626"/>
          <w:sz w:val="18"/>
          <w:szCs w:val="18"/>
        </w:rPr>
        <w:t xml:space="preserve"> was 5.6% in both 2022 and 2021.</w:t>
      </w:r>
    </w:p>
    <w:p w14:paraId="5A1AF674" w14:textId="77777777" w:rsidR="00960BB8" w:rsidRDefault="00C06650">
      <w:pPr>
        <w:spacing w:after="180"/>
      </w:pPr>
      <w:r>
        <w:rPr>
          <w:rFonts w:ascii="Arial" w:eastAsia="宋体" w:hAnsi="Arial" w:cs="Arial"/>
          <w:color w:val="262626"/>
          <w:sz w:val="18"/>
          <w:szCs w:val="18"/>
        </w:rPr>
        <w:t>We invest significant resources to develop the talent needed to remain at the forefront of innovation and make Intel an employer of choice. We offer extensive training programs and provide rotational assignment opportunities and are working to update our j</w:t>
      </w:r>
      <w:r>
        <w:rPr>
          <w:rFonts w:ascii="Arial" w:eastAsia="宋体" w:hAnsi="Arial" w:cs="Arial"/>
          <w:color w:val="262626"/>
          <w:sz w:val="18"/>
          <w:szCs w:val="18"/>
        </w:rPr>
        <w:t>ob architecture to help employees create custom learning curricula for building skills and owning their careers. To further support the growth and development of our people, we continue to increase mentoring in our technical community, drive engagement thr</w:t>
      </w:r>
      <w:r>
        <w:rPr>
          <w:rFonts w:ascii="Arial" w:eastAsia="宋体" w:hAnsi="Arial" w:cs="Arial"/>
          <w:color w:val="262626"/>
          <w:sz w:val="18"/>
          <w:szCs w:val="18"/>
        </w:rPr>
        <w:t>ough employee resource groups, and promote health and wellness resources to all our people. Through our annual Employee Experience Survey and Manager Development Feedback Survey, employees can voice their perceptions of the company, their managers, their w</w:t>
      </w:r>
      <w:r>
        <w:rPr>
          <w:rFonts w:ascii="Arial" w:eastAsia="宋体" w:hAnsi="Arial" w:cs="Arial"/>
          <w:color w:val="262626"/>
          <w:sz w:val="18"/>
          <w:szCs w:val="18"/>
        </w:rPr>
        <w:t>ork experience, and their learning and development opportunities. Our employees' voices are important to enable our culture of continuous improvement, and as a result, we link a portion of our executive and employee performance bonus to participation in ou</w:t>
      </w:r>
      <w:r>
        <w:rPr>
          <w:rFonts w:ascii="Arial" w:eastAsia="宋体" w:hAnsi="Arial" w:cs="Arial"/>
          <w:color w:val="262626"/>
          <w:sz w:val="18"/>
          <w:szCs w:val="18"/>
        </w:rPr>
        <w:t xml:space="preserve">r Employee Experience Survey. Our performance management system is designed to support our cultural evolution and to increase our focus on disciplined OKRs. </w:t>
      </w:r>
    </w:p>
    <w:tbl>
      <w:tblPr>
        <w:tblW w:w="5000" w:type="pct"/>
        <w:tblCellMar>
          <w:top w:w="15" w:type="dxa"/>
          <w:left w:w="15" w:type="dxa"/>
          <w:bottom w:w="15" w:type="dxa"/>
          <w:right w:w="15" w:type="dxa"/>
        </w:tblCellMar>
        <w:tblLook w:val="04A0" w:firstRow="1" w:lastRow="0" w:firstColumn="1" w:lastColumn="0" w:noHBand="0" w:noVBand="1"/>
      </w:tblPr>
      <w:tblGrid>
        <w:gridCol w:w="68"/>
        <w:gridCol w:w="6355"/>
        <w:gridCol w:w="36"/>
        <w:gridCol w:w="36"/>
        <w:gridCol w:w="36"/>
        <w:gridCol w:w="69"/>
        <w:gridCol w:w="1700"/>
        <w:gridCol w:w="36"/>
      </w:tblGrid>
      <w:tr w:rsidR="00960BB8" w14:paraId="5A1AF67D" w14:textId="77777777">
        <w:tc>
          <w:tcPr>
            <w:tcW w:w="50" w:type="pct"/>
            <w:shd w:val="clear" w:color="auto" w:fill="auto"/>
            <w:vAlign w:val="bottom"/>
          </w:tcPr>
          <w:p w14:paraId="5A1AF675" w14:textId="77777777" w:rsidR="00960BB8" w:rsidRDefault="00960BB8">
            <w:pPr>
              <w:rPr>
                <w:rFonts w:ascii="宋体"/>
              </w:rPr>
            </w:pPr>
          </w:p>
        </w:tc>
        <w:tc>
          <w:tcPr>
            <w:tcW w:w="3852" w:type="pct"/>
            <w:shd w:val="clear" w:color="auto" w:fill="auto"/>
            <w:vAlign w:val="bottom"/>
          </w:tcPr>
          <w:p w14:paraId="5A1AF676" w14:textId="77777777" w:rsidR="00960BB8" w:rsidRDefault="00960BB8">
            <w:pPr>
              <w:rPr>
                <w:rFonts w:ascii="宋体"/>
              </w:rPr>
            </w:pPr>
          </w:p>
        </w:tc>
        <w:tc>
          <w:tcPr>
            <w:tcW w:w="5" w:type="pct"/>
            <w:shd w:val="clear" w:color="auto" w:fill="auto"/>
            <w:vAlign w:val="bottom"/>
          </w:tcPr>
          <w:p w14:paraId="5A1AF677" w14:textId="77777777" w:rsidR="00960BB8" w:rsidRDefault="00960BB8">
            <w:pPr>
              <w:rPr>
                <w:rFonts w:ascii="宋体"/>
              </w:rPr>
            </w:pPr>
          </w:p>
        </w:tc>
        <w:tc>
          <w:tcPr>
            <w:tcW w:w="0" w:type="auto"/>
            <w:shd w:val="clear" w:color="auto" w:fill="auto"/>
            <w:vAlign w:val="bottom"/>
          </w:tcPr>
          <w:p w14:paraId="5A1AF678" w14:textId="77777777" w:rsidR="00960BB8" w:rsidRDefault="00960BB8">
            <w:pPr>
              <w:rPr>
                <w:rFonts w:ascii="宋体"/>
                <w:vanish/>
              </w:rPr>
            </w:pPr>
          </w:p>
        </w:tc>
        <w:tc>
          <w:tcPr>
            <w:tcW w:w="0" w:type="auto"/>
            <w:shd w:val="clear" w:color="auto" w:fill="auto"/>
            <w:vAlign w:val="bottom"/>
          </w:tcPr>
          <w:p w14:paraId="5A1AF679" w14:textId="77777777" w:rsidR="00960BB8" w:rsidRDefault="00960BB8">
            <w:pPr>
              <w:rPr>
                <w:rFonts w:ascii="宋体"/>
                <w:vanish/>
              </w:rPr>
            </w:pPr>
          </w:p>
        </w:tc>
        <w:tc>
          <w:tcPr>
            <w:tcW w:w="50" w:type="pct"/>
            <w:shd w:val="clear" w:color="auto" w:fill="auto"/>
            <w:vAlign w:val="bottom"/>
          </w:tcPr>
          <w:p w14:paraId="5A1AF67A" w14:textId="77777777" w:rsidR="00960BB8" w:rsidRDefault="00960BB8">
            <w:pPr>
              <w:rPr>
                <w:rFonts w:ascii="宋体"/>
              </w:rPr>
            </w:pPr>
          </w:p>
        </w:tc>
        <w:tc>
          <w:tcPr>
            <w:tcW w:w="1037" w:type="pct"/>
            <w:shd w:val="clear" w:color="auto" w:fill="auto"/>
            <w:vAlign w:val="bottom"/>
          </w:tcPr>
          <w:p w14:paraId="5A1AF67B" w14:textId="77777777" w:rsidR="00960BB8" w:rsidRDefault="00960BB8">
            <w:pPr>
              <w:rPr>
                <w:rFonts w:ascii="宋体"/>
              </w:rPr>
            </w:pPr>
          </w:p>
        </w:tc>
        <w:tc>
          <w:tcPr>
            <w:tcW w:w="5" w:type="pct"/>
            <w:shd w:val="clear" w:color="auto" w:fill="auto"/>
            <w:vAlign w:val="bottom"/>
          </w:tcPr>
          <w:p w14:paraId="5A1AF67C" w14:textId="77777777" w:rsidR="00960BB8" w:rsidRDefault="00960BB8">
            <w:pPr>
              <w:rPr>
                <w:rFonts w:ascii="宋体"/>
              </w:rPr>
            </w:pPr>
          </w:p>
        </w:tc>
      </w:tr>
      <w:tr w:rsidR="00960BB8" w14:paraId="5A1AF682" w14:textId="77777777">
        <w:trPr>
          <w:trHeight w:val="400"/>
        </w:trPr>
        <w:tc>
          <w:tcPr>
            <w:tcW w:w="0" w:type="auto"/>
            <w:gridSpan w:val="3"/>
            <w:shd w:val="clear" w:color="auto" w:fill="auto"/>
            <w:tcMar>
              <w:top w:w="40" w:type="dxa"/>
              <w:left w:w="20" w:type="dxa"/>
              <w:bottom w:w="40" w:type="dxa"/>
              <w:right w:w="20" w:type="dxa"/>
            </w:tcMar>
            <w:vAlign w:val="bottom"/>
          </w:tcPr>
          <w:p w14:paraId="5A1AF67E" w14:textId="77777777" w:rsidR="00960BB8" w:rsidRDefault="00C06650">
            <w:pPr>
              <w:textAlignment w:val="bottom"/>
            </w:pPr>
            <w:r>
              <w:rPr>
                <w:rFonts w:ascii="Arial" w:eastAsia="宋体" w:hAnsi="Arial" w:cs="Arial"/>
                <w:color w:val="0068B5"/>
              </w:rPr>
              <w:t>Inclusion</w:t>
            </w:r>
          </w:p>
        </w:tc>
        <w:tc>
          <w:tcPr>
            <w:tcW w:w="0" w:type="auto"/>
            <w:shd w:val="clear" w:color="auto" w:fill="auto"/>
            <w:vAlign w:val="bottom"/>
          </w:tcPr>
          <w:p w14:paraId="5A1AF67F" w14:textId="77777777" w:rsidR="00960BB8" w:rsidRDefault="00960BB8">
            <w:pPr>
              <w:rPr>
                <w:rFonts w:ascii="宋体"/>
                <w:vanish/>
              </w:rPr>
            </w:pPr>
          </w:p>
        </w:tc>
        <w:tc>
          <w:tcPr>
            <w:tcW w:w="0" w:type="auto"/>
            <w:shd w:val="clear" w:color="auto" w:fill="auto"/>
            <w:vAlign w:val="bottom"/>
          </w:tcPr>
          <w:p w14:paraId="5A1AF680" w14:textId="77777777" w:rsidR="00960BB8" w:rsidRDefault="00960BB8">
            <w:pPr>
              <w:rPr>
                <w:rFonts w:ascii="宋体"/>
                <w:vanish/>
              </w:rPr>
            </w:pPr>
          </w:p>
        </w:tc>
        <w:tc>
          <w:tcPr>
            <w:tcW w:w="0" w:type="auto"/>
            <w:gridSpan w:val="3"/>
            <w:vMerge w:val="restart"/>
            <w:shd w:val="clear" w:color="auto" w:fill="auto"/>
            <w:tcMar>
              <w:top w:w="0" w:type="dxa"/>
              <w:left w:w="20" w:type="dxa"/>
              <w:bottom w:w="0" w:type="dxa"/>
              <w:right w:w="20" w:type="dxa"/>
            </w:tcMar>
            <w:vAlign w:val="bottom"/>
          </w:tcPr>
          <w:p w14:paraId="5A1AF681"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69" wp14:editId="5A1B436A">
                  <wp:extent cx="304800" cy="304800"/>
                  <wp:effectExtent l="0" t="0" r="0" b="0"/>
                  <wp:docPr id="109" name="图片 8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4" descr="IMG_29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960BB8" w14:paraId="5A1AF689" w14:textId="77777777">
        <w:trPr>
          <w:trHeight w:val="1120"/>
        </w:trPr>
        <w:tc>
          <w:tcPr>
            <w:tcW w:w="0" w:type="auto"/>
            <w:gridSpan w:val="3"/>
            <w:vMerge w:val="restart"/>
            <w:shd w:val="clear" w:color="auto" w:fill="auto"/>
            <w:tcMar>
              <w:top w:w="40" w:type="dxa"/>
              <w:left w:w="20" w:type="dxa"/>
              <w:bottom w:w="40" w:type="dxa"/>
              <w:right w:w="20" w:type="dxa"/>
            </w:tcMar>
          </w:tcPr>
          <w:p w14:paraId="5A1AF683" w14:textId="77777777" w:rsidR="00960BB8" w:rsidRDefault="00C06650">
            <w:pPr>
              <w:textAlignment w:val="top"/>
            </w:pPr>
            <w:r>
              <w:rPr>
                <w:rFonts w:ascii="Arial" w:eastAsia="宋体" w:hAnsi="Arial" w:cs="Arial"/>
                <w:color w:val="262626"/>
                <w:sz w:val="18"/>
                <w:szCs w:val="18"/>
              </w:rPr>
              <w:t>Diversity and inclusion are core elements of Intel's values and instrumental to driving innovation and positi</w:t>
            </w:r>
            <w:r>
              <w:rPr>
                <w:rFonts w:ascii="Arial" w:eastAsia="宋体" w:hAnsi="Arial" w:cs="Arial"/>
                <w:color w:val="262626"/>
                <w:sz w:val="18"/>
                <w:szCs w:val="18"/>
              </w:rPr>
              <w:t>oning us for growth. Over the past decade, we have taken actions to integrate diversity and inclusion expectations into our culture, performance and management systems, leadership expectations, and annual bonus metrics. We are proud of what we have accompl</w:t>
            </w:r>
            <w:r>
              <w:rPr>
                <w:rFonts w:ascii="Arial" w:eastAsia="宋体" w:hAnsi="Arial" w:cs="Arial"/>
                <w:color w:val="262626"/>
                <w:sz w:val="18"/>
                <w:szCs w:val="18"/>
              </w:rPr>
              <w:t>ished to advance diversity and inclusion, but we recognize we can achieve more, including beyond the walls of Intel. Our RISE strategy and 2030 goals set our global ambitions for the rest of the decade, including doubling the number of women in senior lead</w:t>
            </w:r>
            <w:r>
              <w:rPr>
                <w:rFonts w:ascii="Arial" w:eastAsia="宋体" w:hAnsi="Arial" w:cs="Arial"/>
                <w:color w:val="262626"/>
                <w:sz w:val="18"/>
                <w:szCs w:val="18"/>
              </w:rPr>
              <w:t xml:space="preserve">ership; doubling the number of underrepresented minorities in US senior leadership; increasing the percentage of employees who self-identify as having a disability to 10%; and exceeding 40% representation of women in technical roles, including engineering </w:t>
            </w:r>
            <w:r>
              <w:rPr>
                <w:rFonts w:ascii="Arial" w:eastAsia="宋体" w:hAnsi="Arial" w:cs="Arial"/>
                <w:color w:val="262626"/>
                <w:sz w:val="18"/>
                <w:szCs w:val="18"/>
              </w:rPr>
              <w:t xml:space="preserve">positions and other roles with technical job requirements. To drive accountability, we continue to link a portion of our executive and employee compensation to diversity and inclusion metrics. </w:t>
            </w:r>
          </w:p>
          <w:p w14:paraId="5A1AF684" w14:textId="77777777" w:rsidR="00960BB8" w:rsidRDefault="00960BB8">
            <w:pPr>
              <w:textAlignment w:val="top"/>
            </w:pPr>
          </w:p>
          <w:p w14:paraId="5A1AF685" w14:textId="77777777" w:rsidR="00960BB8" w:rsidRDefault="00C06650">
            <w:pPr>
              <w:textAlignment w:val="top"/>
            </w:pPr>
            <w:r>
              <w:rPr>
                <w:rFonts w:ascii="Arial" w:eastAsia="宋体" w:hAnsi="Arial" w:cs="Arial"/>
                <w:color w:val="262626"/>
                <w:sz w:val="18"/>
                <w:szCs w:val="18"/>
              </w:rPr>
              <w:t>We have committed our scale, expertise, and reach through our</w:t>
            </w:r>
            <w:r>
              <w:rPr>
                <w:rFonts w:ascii="Arial" w:eastAsia="宋体" w:hAnsi="Arial" w:cs="Arial"/>
                <w:color w:val="262626"/>
                <w:sz w:val="18"/>
                <w:szCs w:val="18"/>
              </w:rPr>
              <w:t xml:space="preserve"> comprehensive RISE strategy to work with customers and other stakeholders to accelerate the adoption of inclusive business practices across industries. As part of the Alliance for Global Inclusion, we worked with a coalition of technology companies to cre</w:t>
            </w:r>
            <w:r>
              <w:rPr>
                <w:rFonts w:ascii="Arial" w:eastAsia="宋体" w:hAnsi="Arial" w:cs="Arial"/>
                <w:color w:val="262626"/>
                <w:sz w:val="18"/>
                <w:szCs w:val="18"/>
              </w:rPr>
              <w:t>ate a Global Inclusion Index Survey, which serves as a benchmark for companies to track diversity and inclusion improvements, provide information on current best practices, and highlight opportunities to improve outcomes across industries. The results of t</w:t>
            </w:r>
            <w:r>
              <w:rPr>
                <w:rFonts w:ascii="Arial" w:eastAsia="宋体" w:hAnsi="Arial" w:cs="Arial"/>
                <w:color w:val="262626"/>
                <w:sz w:val="18"/>
                <w:szCs w:val="18"/>
              </w:rPr>
              <w:t xml:space="preserve">he second Global Inclusion Index Survey were published in 2022 and shared with business leaders across industries. The number of companies that completed the inclusion index in 2022 nearly doubled compared to in 2021. This collective effort will allow the </w:t>
            </w:r>
            <w:r>
              <w:rPr>
                <w:rFonts w:ascii="Arial" w:eastAsia="宋体" w:hAnsi="Arial" w:cs="Arial"/>
                <w:color w:val="262626"/>
                <w:sz w:val="18"/>
                <w:szCs w:val="18"/>
              </w:rPr>
              <w:t>industry to more clearly identify actions needed to advance progress on closing persistent gaps and advancing more inclusive practices in workplaces, industry, and society. The survey results for 2022 showed participants making progress in many of these ar</w:t>
            </w:r>
            <w:r>
              <w:rPr>
                <w:rFonts w:ascii="Arial" w:eastAsia="宋体" w:hAnsi="Arial" w:cs="Arial"/>
                <w:color w:val="262626"/>
                <w:sz w:val="18"/>
                <w:szCs w:val="18"/>
              </w:rPr>
              <w:t xml:space="preserve">eas. We will also continue to collaborate on initiatives that expand the diverse pipeline of talent for our industry, advance social equity, make technology fully inclusive, and expand digital readiness for millions of people around the world. </w:t>
            </w:r>
          </w:p>
        </w:tc>
        <w:tc>
          <w:tcPr>
            <w:tcW w:w="0" w:type="auto"/>
            <w:shd w:val="clear" w:color="auto" w:fill="auto"/>
            <w:vAlign w:val="bottom"/>
          </w:tcPr>
          <w:p w14:paraId="5A1AF686" w14:textId="77777777" w:rsidR="00960BB8" w:rsidRDefault="00960BB8">
            <w:pPr>
              <w:rPr>
                <w:rFonts w:ascii="宋体"/>
                <w:vanish/>
              </w:rPr>
            </w:pPr>
          </w:p>
        </w:tc>
        <w:tc>
          <w:tcPr>
            <w:tcW w:w="0" w:type="auto"/>
            <w:shd w:val="clear" w:color="auto" w:fill="auto"/>
            <w:vAlign w:val="bottom"/>
          </w:tcPr>
          <w:p w14:paraId="5A1AF687" w14:textId="77777777" w:rsidR="00960BB8" w:rsidRDefault="00960BB8">
            <w:pPr>
              <w:rPr>
                <w:rFonts w:ascii="宋体"/>
                <w:vanish/>
              </w:rPr>
            </w:pPr>
          </w:p>
        </w:tc>
        <w:tc>
          <w:tcPr>
            <w:tcW w:w="0" w:type="auto"/>
            <w:gridSpan w:val="3"/>
            <w:vMerge/>
            <w:shd w:val="clear" w:color="auto" w:fill="auto"/>
            <w:tcMar>
              <w:top w:w="0" w:type="dxa"/>
              <w:left w:w="20" w:type="dxa"/>
              <w:bottom w:w="0" w:type="dxa"/>
              <w:right w:w="20" w:type="dxa"/>
            </w:tcMar>
            <w:vAlign w:val="bottom"/>
          </w:tcPr>
          <w:p w14:paraId="5A1AF688" w14:textId="77777777" w:rsidR="00960BB8" w:rsidRDefault="00960BB8">
            <w:pPr>
              <w:rPr>
                <w:rFonts w:ascii="宋体"/>
              </w:rPr>
            </w:pPr>
          </w:p>
        </w:tc>
      </w:tr>
      <w:tr w:rsidR="00960BB8" w14:paraId="5A1AF68E" w14:textId="77777777">
        <w:trPr>
          <w:trHeight w:val="1120"/>
        </w:trPr>
        <w:tc>
          <w:tcPr>
            <w:tcW w:w="0" w:type="auto"/>
            <w:gridSpan w:val="3"/>
            <w:vMerge/>
            <w:shd w:val="clear" w:color="auto" w:fill="auto"/>
            <w:tcMar>
              <w:top w:w="40" w:type="dxa"/>
              <w:left w:w="20" w:type="dxa"/>
              <w:bottom w:w="40" w:type="dxa"/>
              <w:right w:w="20" w:type="dxa"/>
            </w:tcMar>
          </w:tcPr>
          <w:p w14:paraId="5A1AF68A" w14:textId="77777777" w:rsidR="00960BB8" w:rsidRDefault="00960BB8">
            <w:pPr>
              <w:rPr>
                <w:rFonts w:ascii="宋体"/>
              </w:rPr>
            </w:pPr>
          </w:p>
        </w:tc>
        <w:tc>
          <w:tcPr>
            <w:tcW w:w="0" w:type="auto"/>
            <w:shd w:val="clear" w:color="auto" w:fill="auto"/>
            <w:vAlign w:val="bottom"/>
          </w:tcPr>
          <w:p w14:paraId="5A1AF68B" w14:textId="77777777" w:rsidR="00960BB8" w:rsidRDefault="00960BB8">
            <w:pPr>
              <w:rPr>
                <w:rFonts w:ascii="宋体"/>
                <w:vanish/>
              </w:rPr>
            </w:pPr>
          </w:p>
        </w:tc>
        <w:tc>
          <w:tcPr>
            <w:tcW w:w="0" w:type="auto"/>
            <w:shd w:val="clear" w:color="auto" w:fill="auto"/>
            <w:vAlign w:val="bottom"/>
          </w:tcPr>
          <w:p w14:paraId="5A1AF68C" w14:textId="77777777" w:rsidR="00960BB8" w:rsidRDefault="00960BB8">
            <w:pPr>
              <w:rPr>
                <w:rFonts w:ascii="宋体"/>
                <w:vanish/>
              </w:rPr>
            </w:pPr>
          </w:p>
        </w:tc>
        <w:tc>
          <w:tcPr>
            <w:tcW w:w="0" w:type="auto"/>
            <w:gridSpan w:val="3"/>
            <w:vMerge/>
            <w:shd w:val="clear" w:color="auto" w:fill="auto"/>
            <w:tcMar>
              <w:top w:w="0" w:type="dxa"/>
              <w:left w:w="20" w:type="dxa"/>
              <w:bottom w:w="0" w:type="dxa"/>
              <w:right w:w="20" w:type="dxa"/>
            </w:tcMar>
            <w:vAlign w:val="bottom"/>
          </w:tcPr>
          <w:p w14:paraId="5A1AF68D" w14:textId="77777777" w:rsidR="00960BB8" w:rsidRDefault="00960BB8">
            <w:pPr>
              <w:rPr>
                <w:rFonts w:ascii="宋体"/>
              </w:rPr>
            </w:pPr>
          </w:p>
        </w:tc>
      </w:tr>
      <w:tr w:rsidR="00960BB8" w14:paraId="5A1AF693" w14:textId="77777777">
        <w:trPr>
          <w:trHeight w:val="1120"/>
        </w:trPr>
        <w:tc>
          <w:tcPr>
            <w:tcW w:w="0" w:type="auto"/>
            <w:gridSpan w:val="3"/>
            <w:vMerge/>
            <w:shd w:val="clear" w:color="auto" w:fill="auto"/>
            <w:tcMar>
              <w:top w:w="40" w:type="dxa"/>
              <w:left w:w="20" w:type="dxa"/>
              <w:bottom w:w="40" w:type="dxa"/>
              <w:right w:w="20" w:type="dxa"/>
            </w:tcMar>
          </w:tcPr>
          <w:p w14:paraId="5A1AF68F" w14:textId="77777777" w:rsidR="00960BB8" w:rsidRDefault="00960BB8">
            <w:pPr>
              <w:rPr>
                <w:rFonts w:ascii="宋体"/>
              </w:rPr>
            </w:pPr>
          </w:p>
        </w:tc>
        <w:tc>
          <w:tcPr>
            <w:tcW w:w="0" w:type="auto"/>
            <w:shd w:val="clear" w:color="auto" w:fill="auto"/>
            <w:vAlign w:val="bottom"/>
          </w:tcPr>
          <w:p w14:paraId="5A1AF690" w14:textId="77777777" w:rsidR="00960BB8" w:rsidRDefault="00960BB8">
            <w:pPr>
              <w:rPr>
                <w:rFonts w:ascii="宋体"/>
                <w:vanish/>
              </w:rPr>
            </w:pPr>
          </w:p>
        </w:tc>
        <w:tc>
          <w:tcPr>
            <w:tcW w:w="0" w:type="auto"/>
            <w:shd w:val="clear" w:color="auto" w:fill="auto"/>
            <w:vAlign w:val="bottom"/>
          </w:tcPr>
          <w:p w14:paraId="5A1AF691" w14:textId="77777777" w:rsidR="00960BB8" w:rsidRDefault="00960BB8">
            <w:pPr>
              <w:rPr>
                <w:rFonts w:ascii="宋体"/>
                <w:vanish/>
              </w:rPr>
            </w:pPr>
          </w:p>
        </w:tc>
        <w:tc>
          <w:tcPr>
            <w:tcW w:w="0" w:type="auto"/>
            <w:gridSpan w:val="3"/>
            <w:vMerge/>
            <w:shd w:val="clear" w:color="auto" w:fill="auto"/>
            <w:tcMar>
              <w:top w:w="0" w:type="dxa"/>
              <w:left w:w="20" w:type="dxa"/>
              <w:bottom w:w="0" w:type="dxa"/>
              <w:right w:w="20" w:type="dxa"/>
            </w:tcMar>
            <w:vAlign w:val="bottom"/>
          </w:tcPr>
          <w:p w14:paraId="5A1AF692" w14:textId="77777777" w:rsidR="00960BB8" w:rsidRDefault="00960BB8">
            <w:pPr>
              <w:rPr>
                <w:rFonts w:ascii="宋体"/>
              </w:rPr>
            </w:pPr>
          </w:p>
        </w:tc>
      </w:tr>
      <w:tr w:rsidR="00960BB8" w14:paraId="5A1AF698" w14:textId="77777777">
        <w:trPr>
          <w:trHeight w:val="1120"/>
        </w:trPr>
        <w:tc>
          <w:tcPr>
            <w:tcW w:w="0" w:type="auto"/>
            <w:gridSpan w:val="3"/>
            <w:vMerge/>
            <w:shd w:val="clear" w:color="auto" w:fill="auto"/>
            <w:tcMar>
              <w:top w:w="40" w:type="dxa"/>
              <w:left w:w="20" w:type="dxa"/>
              <w:bottom w:w="40" w:type="dxa"/>
              <w:right w:w="20" w:type="dxa"/>
            </w:tcMar>
          </w:tcPr>
          <w:p w14:paraId="5A1AF694" w14:textId="77777777" w:rsidR="00960BB8" w:rsidRDefault="00960BB8">
            <w:pPr>
              <w:rPr>
                <w:rFonts w:ascii="宋体"/>
              </w:rPr>
            </w:pPr>
          </w:p>
        </w:tc>
        <w:tc>
          <w:tcPr>
            <w:tcW w:w="0" w:type="auto"/>
            <w:shd w:val="clear" w:color="auto" w:fill="auto"/>
            <w:vAlign w:val="bottom"/>
          </w:tcPr>
          <w:p w14:paraId="5A1AF695" w14:textId="77777777" w:rsidR="00960BB8" w:rsidRDefault="00960BB8">
            <w:pPr>
              <w:rPr>
                <w:rFonts w:ascii="宋体"/>
                <w:vanish/>
              </w:rPr>
            </w:pPr>
          </w:p>
        </w:tc>
        <w:tc>
          <w:tcPr>
            <w:tcW w:w="0" w:type="auto"/>
            <w:shd w:val="clear" w:color="auto" w:fill="auto"/>
            <w:vAlign w:val="bottom"/>
          </w:tcPr>
          <w:p w14:paraId="5A1AF696" w14:textId="77777777" w:rsidR="00960BB8" w:rsidRDefault="00960BB8">
            <w:pPr>
              <w:rPr>
                <w:rFonts w:ascii="宋体"/>
                <w:vanish/>
              </w:rPr>
            </w:pPr>
          </w:p>
        </w:tc>
        <w:tc>
          <w:tcPr>
            <w:tcW w:w="0" w:type="auto"/>
            <w:gridSpan w:val="3"/>
            <w:vMerge/>
            <w:shd w:val="clear" w:color="auto" w:fill="auto"/>
            <w:tcMar>
              <w:top w:w="0" w:type="dxa"/>
              <w:left w:w="20" w:type="dxa"/>
              <w:bottom w:w="0" w:type="dxa"/>
              <w:right w:w="20" w:type="dxa"/>
            </w:tcMar>
            <w:vAlign w:val="bottom"/>
          </w:tcPr>
          <w:p w14:paraId="5A1AF697" w14:textId="77777777" w:rsidR="00960BB8" w:rsidRDefault="00960BB8">
            <w:pPr>
              <w:rPr>
                <w:rFonts w:ascii="宋体"/>
              </w:rPr>
            </w:pPr>
          </w:p>
        </w:tc>
      </w:tr>
      <w:tr w:rsidR="00960BB8" w14:paraId="5A1AF69D" w14:textId="77777777">
        <w:trPr>
          <w:trHeight w:val="940"/>
        </w:trPr>
        <w:tc>
          <w:tcPr>
            <w:tcW w:w="0" w:type="auto"/>
            <w:gridSpan w:val="3"/>
            <w:vMerge/>
            <w:shd w:val="clear" w:color="auto" w:fill="auto"/>
            <w:tcMar>
              <w:top w:w="40" w:type="dxa"/>
              <w:left w:w="20" w:type="dxa"/>
              <w:bottom w:w="40" w:type="dxa"/>
              <w:right w:w="20" w:type="dxa"/>
            </w:tcMar>
          </w:tcPr>
          <w:p w14:paraId="5A1AF699" w14:textId="77777777" w:rsidR="00960BB8" w:rsidRDefault="00960BB8">
            <w:pPr>
              <w:rPr>
                <w:rFonts w:ascii="宋体"/>
              </w:rPr>
            </w:pPr>
          </w:p>
        </w:tc>
        <w:tc>
          <w:tcPr>
            <w:tcW w:w="0" w:type="auto"/>
            <w:shd w:val="clear" w:color="auto" w:fill="auto"/>
            <w:vAlign w:val="bottom"/>
          </w:tcPr>
          <w:p w14:paraId="5A1AF69A" w14:textId="77777777" w:rsidR="00960BB8" w:rsidRDefault="00960BB8">
            <w:pPr>
              <w:rPr>
                <w:rFonts w:ascii="宋体"/>
                <w:vanish/>
              </w:rPr>
            </w:pPr>
          </w:p>
        </w:tc>
        <w:tc>
          <w:tcPr>
            <w:tcW w:w="0" w:type="auto"/>
            <w:shd w:val="clear" w:color="auto" w:fill="auto"/>
            <w:vAlign w:val="bottom"/>
          </w:tcPr>
          <w:p w14:paraId="5A1AF69B" w14:textId="77777777" w:rsidR="00960BB8" w:rsidRDefault="00960BB8">
            <w:pPr>
              <w:rPr>
                <w:rFonts w:ascii="宋体"/>
                <w:vanish/>
              </w:rPr>
            </w:pPr>
          </w:p>
        </w:tc>
        <w:tc>
          <w:tcPr>
            <w:tcW w:w="0" w:type="auto"/>
            <w:gridSpan w:val="3"/>
            <w:vMerge/>
            <w:shd w:val="clear" w:color="auto" w:fill="auto"/>
            <w:tcMar>
              <w:top w:w="0" w:type="dxa"/>
              <w:left w:w="20" w:type="dxa"/>
              <w:bottom w:w="0" w:type="dxa"/>
              <w:right w:w="20" w:type="dxa"/>
            </w:tcMar>
            <w:vAlign w:val="bottom"/>
          </w:tcPr>
          <w:p w14:paraId="5A1AF69C" w14:textId="77777777" w:rsidR="00960BB8" w:rsidRDefault="00960BB8">
            <w:pPr>
              <w:rPr>
                <w:rFonts w:ascii="宋体"/>
              </w:rPr>
            </w:pPr>
          </w:p>
        </w:tc>
      </w:tr>
      <w:tr w:rsidR="00960BB8" w14:paraId="5A1AF6A2" w14:textId="77777777">
        <w:tc>
          <w:tcPr>
            <w:tcW w:w="0" w:type="auto"/>
            <w:gridSpan w:val="3"/>
            <w:vMerge/>
            <w:shd w:val="clear" w:color="auto" w:fill="auto"/>
            <w:tcMar>
              <w:top w:w="40" w:type="dxa"/>
              <w:left w:w="20" w:type="dxa"/>
              <w:bottom w:w="40" w:type="dxa"/>
              <w:right w:w="20" w:type="dxa"/>
            </w:tcMar>
          </w:tcPr>
          <w:p w14:paraId="5A1AF69E" w14:textId="77777777" w:rsidR="00960BB8" w:rsidRDefault="00960BB8">
            <w:pPr>
              <w:rPr>
                <w:rFonts w:ascii="宋体"/>
              </w:rPr>
            </w:pPr>
          </w:p>
        </w:tc>
        <w:tc>
          <w:tcPr>
            <w:tcW w:w="0" w:type="auto"/>
            <w:shd w:val="clear" w:color="auto" w:fill="auto"/>
            <w:vAlign w:val="bottom"/>
          </w:tcPr>
          <w:p w14:paraId="5A1AF69F" w14:textId="77777777" w:rsidR="00960BB8" w:rsidRDefault="00960BB8">
            <w:pPr>
              <w:rPr>
                <w:rFonts w:ascii="宋体"/>
                <w:vanish/>
              </w:rPr>
            </w:pPr>
          </w:p>
        </w:tc>
        <w:tc>
          <w:tcPr>
            <w:tcW w:w="0" w:type="auto"/>
            <w:shd w:val="clear" w:color="auto" w:fill="auto"/>
            <w:vAlign w:val="bottom"/>
          </w:tcPr>
          <w:p w14:paraId="5A1AF6A0" w14:textId="77777777" w:rsidR="00960BB8" w:rsidRDefault="00960BB8">
            <w:pPr>
              <w:rPr>
                <w:rFonts w:ascii="宋体"/>
                <w:vanish/>
              </w:rPr>
            </w:pPr>
          </w:p>
        </w:tc>
        <w:tc>
          <w:tcPr>
            <w:tcW w:w="0" w:type="auto"/>
            <w:gridSpan w:val="3"/>
            <w:vMerge/>
            <w:shd w:val="clear" w:color="auto" w:fill="auto"/>
            <w:tcMar>
              <w:top w:w="0" w:type="dxa"/>
              <w:left w:w="20" w:type="dxa"/>
              <w:bottom w:w="0" w:type="dxa"/>
              <w:right w:w="20" w:type="dxa"/>
            </w:tcMar>
            <w:vAlign w:val="bottom"/>
          </w:tcPr>
          <w:p w14:paraId="5A1AF6A1" w14:textId="77777777" w:rsidR="00960BB8" w:rsidRDefault="00960BB8">
            <w:pPr>
              <w:rPr>
                <w:rFonts w:ascii="宋体"/>
              </w:rPr>
            </w:pPr>
          </w:p>
        </w:tc>
      </w:tr>
    </w:tbl>
    <w:p w14:paraId="5A1AF6A3" w14:textId="77777777" w:rsidR="00960BB8" w:rsidRDefault="00960BB8">
      <w:pPr>
        <w:ind w:hanging="90"/>
      </w:pPr>
    </w:p>
    <w:p w14:paraId="5A1AF6A4" w14:textId="77777777" w:rsidR="00960BB8" w:rsidRDefault="00960BB8"/>
    <w:p w14:paraId="5A1AF6A5" w14:textId="77777777" w:rsidR="00960BB8" w:rsidRDefault="00C06650">
      <w:pPr>
        <w:ind w:hanging="90"/>
      </w:pPr>
      <w:r>
        <w:rPr>
          <w:rFonts w:ascii="Arial" w:eastAsia="宋体" w:hAnsi="Arial" w:cs="Arial"/>
          <w:i/>
          <w:iCs/>
          <w:color w:val="262626"/>
          <w:sz w:val="10"/>
          <w:szCs w:val="10"/>
        </w:rPr>
        <w:t xml:space="preserve">1 </w:t>
      </w:r>
      <w:r>
        <w:rPr>
          <w:rFonts w:ascii="Arial" w:eastAsia="宋体" w:hAnsi="Arial" w:cs="Arial"/>
          <w:i/>
          <w:iCs/>
          <w:color w:val="262626"/>
          <w:sz w:val="16"/>
          <w:szCs w:val="16"/>
        </w:rPr>
        <w:t xml:space="preserve">Undesired turnover includes all regular Intel employees who voluntarily left Intel, but does not include Intel contract employees, interns, or employees who separated from Intel due to divestiture, retirement, voluntary </w:t>
      </w:r>
      <w:r>
        <w:rPr>
          <w:rFonts w:ascii="Arial" w:eastAsia="宋体" w:hAnsi="Arial" w:cs="Arial"/>
          <w:i/>
          <w:iCs/>
          <w:color w:val="262626"/>
          <w:sz w:val="16"/>
          <w:szCs w:val="16"/>
        </w:rPr>
        <w:t>separation packages, death, job elimination, or redeployment.</w:t>
      </w:r>
    </w:p>
    <w:p w14:paraId="5A1AF6A6" w14:textId="77777777" w:rsidR="00960BB8" w:rsidRDefault="00C06650">
      <w:pPr>
        <w:ind w:hanging="90"/>
      </w:pPr>
      <w:r>
        <w:rPr>
          <w:rFonts w:ascii="Arial" w:eastAsia="宋体" w:hAnsi="Arial" w:cs="Arial"/>
          <w:i/>
          <w:iCs/>
          <w:color w:val="262626"/>
          <w:sz w:val="10"/>
          <w:szCs w:val="10"/>
        </w:rPr>
        <w:t xml:space="preserve">2 </w:t>
      </w:r>
      <w:r>
        <w:rPr>
          <w:rFonts w:ascii="Arial" w:eastAsia="宋体" w:hAnsi="Arial" w:cs="Arial"/>
          <w:i/>
          <w:iCs/>
          <w:color w:val="262626"/>
          <w:sz w:val="16"/>
          <w:szCs w:val="16"/>
        </w:rPr>
        <w:t>Senior leadership refers to salary grades 10+ and equivalent grades. While we present male and female, we acknowledge this is not fully encompassing of all gender identities.</w:t>
      </w:r>
    </w:p>
    <w:p w14:paraId="5A1AF6A7" w14:textId="77777777" w:rsidR="00960BB8" w:rsidRDefault="00C06650">
      <w:pPr>
        <w:ind w:hanging="90"/>
      </w:pPr>
      <w:r>
        <w:rPr>
          <w:rFonts w:ascii="Arial" w:eastAsia="宋体" w:hAnsi="Arial" w:cs="Arial"/>
          <w:i/>
          <w:iCs/>
          <w:color w:val="262626"/>
          <w:sz w:val="10"/>
          <w:szCs w:val="10"/>
        </w:rPr>
        <w:t>3</w:t>
      </w:r>
      <w:r>
        <w:rPr>
          <w:rFonts w:ascii="Arial" w:eastAsia="宋体" w:hAnsi="Arial" w:cs="Arial"/>
          <w:i/>
          <w:iCs/>
          <w:color w:val="262626"/>
          <w:sz w:val="16"/>
          <w:szCs w:val="16"/>
        </w:rPr>
        <w:t xml:space="preserve"> The term underrepresented minority (URM) is used to describe diverse populations, including Black/African American, Hispanic, and Native American employees in the US.</w:t>
      </w:r>
    </w:p>
    <w:p w14:paraId="5A1AF6A8" w14:textId="77777777" w:rsidR="00960BB8" w:rsidRDefault="00960BB8"/>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960BB8" w14:paraId="5A1AF6B5" w14:textId="77777777">
        <w:tc>
          <w:tcPr>
            <w:tcW w:w="50" w:type="pct"/>
            <w:shd w:val="clear" w:color="auto" w:fill="auto"/>
            <w:vAlign w:val="bottom"/>
          </w:tcPr>
          <w:p w14:paraId="5A1AF6A9" w14:textId="77777777" w:rsidR="00960BB8" w:rsidRDefault="00960BB8">
            <w:pPr>
              <w:rPr>
                <w:rFonts w:ascii="宋体"/>
              </w:rPr>
            </w:pPr>
          </w:p>
        </w:tc>
        <w:tc>
          <w:tcPr>
            <w:tcW w:w="283" w:type="pct"/>
            <w:shd w:val="clear" w:color="auto" w:fill="auto"/>
            <w:vAlign w:val="bottom"/>
          </w:tcPr>
          <w:p w14:paraId="5A1AF6AA" w14:textId="77777777" w:rsidR="00960BB8" w:rsidRDefault="00960BB8">
            <w:pPr>
              <w:rPr>
                <w:rFonts w:ascii="宋体"/>
              </w:rPr>
            </w:pPr>
          </w:p>
        </w:tc>
        <w:tc>
          <w:tcPr>
            <w:tcW w:w="5" w:type="pct"/>
            <w:shd w:val="clear" w:color="auto" w:fill="auto"/>
            <w:vAlign w:val="bottom"/>
          </w:tcPr>
          <w:p w14:paraId="5A1AF6AB" w14:textId="77777777" w:rsidR="00960BB8" w:rsidRDefault="00960BB8">
            <w:pPr>
              <w:rPr>
                <w:rFonts w:ascii="宋体"/>
              </w:rPr>
            </w:pPr>
          </w:p>
        </w:tc>
        <w:tc>
          <w:tcPr>
            <w:tcW w:w="50" w:type="pct"/>
            <w:shd w:val="clear" w:color="auto" w:fill="auto"/>
            <w:vAlign w:val="bottom"/>
          </w:tcPr>
          <w:p w14:paraId="5A1AF6AC" w14:textId="77777777" w:rsidR="00960BB8" w:rsidRDefault="00960BB8">
            <w:pPr>
              <w:rPr>
                <w:rFonts w:ascii="宋体"/>
              </w:rPr>
            </w:pPr>
          </w:p>
        </w:tc>
        <w:tc>
          <w:tcPr>
            <w:tcW w:w="1039" w:type="pct"/>
            <w:shd w:val="clear" w:color="auto" w:fill="auto"/>
            <w:vAlign w:val="bottom"/>
          </w:tcPr>
          <w:p w14:paraId="5A1AF6AD" w14:textId="77777777" w:rsidR="00960BB8" w:rsidRDefault="00960BB8">
            <w:pPr>
              <w:rPr>
                <w:rFonts w:ascii="宋体"/>
              </w:rPr>
            </w:pPr>
          </w:p>
        </w:tc>
        <w:tc>
          <w:tcPr>
            <w:tcW w:w="5" w:type="pct"/>
            <w:shd w:val="clear" w:color="auto" w:fill="auto"/>
            <w:vAlign w:val="bottom"/>
          </w:tcPr>
          <w:p w14:paraId="5A1AF6AE" w14:textId="77777777" w:rsidR="00960BB8" w:rsidRDefault="00960BB8">
            <w:pPr>
              <w:rPr>
                <w:rFonts w:ascii="宋体"/>
              </w:rPr>
            </w:pPr>
          </w:p>
        </w:tc>
        <w:tc>
          <w:tcPr>
            <w:tcW w:w="50" w:type="pct"/>
            <w:shd w:val="clear" w:color="auto" w:fill="auto"/>
            <w:vAlign w:val="bottom"/>
          </w:tcPr>
          <w:p w14:paraId="5A1AF6AF" w14:textId="77777777" w:rsidR="00960BB8" w:rsidRDefault="00960BB8">
            <w:pPr>
              <w:rPr>
                <w:rFonts w:ascii="宋体"/>
              </w:rPr>
            </w:pPr>
          </w:p>
        </w:tc>
        <w:tc>
          <w:tcPr>
            <w:tcW w:w="1562" w:type="pct"/>
            <w:shd w:val="clear" w:color="auto" w:fill="auto"/>
            <w:vAlign w:val="bottom"/>
          </w:tcPr>
          <w:p w14:paraId="5A1AF6B0" w14:textId="77777777" w:rsidR="00960BB8" w:rsidRDefault="00960BB8">
            <w:pPr>
              <w:rPr>
                <w:rFonts w:ascii="宋体"/>
              </w:rPr>
            </w:pPr>
          </w:p>
        </w:tc>
        <w:tc>
          <w:tcPr>
            <w:tcW w:w="5" w:type="pct"/>
            <w:shd w:val="clear" w:color="auto" w:fill="auto"/>
            <w:vAlign w:val="bottom"/>
          </w:tcPr>
          <w:p w14:paraId="5A1AF6B1" w14:textId="77777777" w:rsidR="00960BB8" w:rsidRDefault="00960BB8">
            <w:pPr>
              <w:rPr>
                <w:rFonts w:ascii="宋体"/>
              </w:rPr>
            </w:pPr>
          </w:p>
        </w:tc>
        <w:tc>
          <w:tcPr>
            <w:tcW w:w="50" w:type="pct"/>
            <w:shd w:val="clear" w:color="auto" w:fill="auto"/>
            <w:vAlign w:val="bottom"/>
          </w:tcPr>
          <w:p w14:paraId="5A1AF6B2" w14:textId="77777777" w:rsidR="00960BB8" w:rsidRDefault="00960BB8">
            <w:pPr>
              <w:rPr>
                <w:rFonts w:ascii="宋体"/>
              </w:rPr>
            </w:pPr>
          </w:p>
        </w:tc>
        <w:tc>
          <w:tcPr>
            <w:tcW w:w="1894" w:type="pct"/>
            <w:shd w:val="clear" w:color="auto" w:fill="auto"/>
            <w:vAlign w:val="bottom"/>
          </w:tcPr>
          <w:p w14:paraId="5A1AF6B3" w14:textId="77777777" w:rsidR="00960BB8" w:rsidRDefault="00960BB8">
            <w:pPr>
              <w:rPr>
                <w:rFonts w:ascii="宋体"/>
              </w:rPr>
            </w:pPr>
          </w:p>
        </w:tc>
        <w:tc>
          <w:tcPr>
            <w:tcW w:w="5" w:type="pct"/>
            <w:shd w:val="clear" w:color="auto" w:fill="auto"/>
            <w:vAlign w:val="bottom"/>
          </w:tcPr>
          <w:p w14:paraId="5A1AF6B4" w14:textId="77777777" w:rsidR="00960BB8" w:rsidRDefault="00960BB8">
            <w:pPr>
              <w:rPr>
                <w:rFonts w:ascii="宋体"/>
              </w:rPr>
            </w:pPr>
          </w:p>
        </w:tc>
      </w:tr>
      <w:tr w:rsidR="00960BB8" w14:paraId="5A1AF6BA"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B6"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6B" wp14:editId="5A1B436C">
                  <wp:extent cx="304800" cy="304800"/>
                  <wp:effectExtent l="0" t="0" r="0" b="0"/>
                  <wp:docPr id="106" name="图片 8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B7"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AF6B8" w14:textId="77777777" w:rsidR="00960BB8" w:rsidRDefault="00C06650">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B9" w14:textId="77777777" w:rsidR="00960BB8" w:rsidRDefault="00C06650">
            <w:pPr>
              <w:jc w:val="right"/>
              <w:textAlignment w:val="center"/>
            </w:pPr>
            <w:r>
              <w:rPr>
                <w:rFonts w:ascii="Arial" w:eastAsia="宋体" w:hAnsi="Arial" w:cs="Arial"/>
                <w:color w:val="262626"/>
                <w:sz w:val="16"/>
                <w:szCs w:val="16"/>
              </w:rPr>
              <w:t>15</w:t>
            </w:r>
          </w:p>
        </w:tc>
      </w:tr>
    </w:tbl>
    <w:p w14:paraId="5A1AF6BB" w14:textId="77777777" w:rsidR="00960BB8" w:rsidRDefault="00C06650">
      <w:r>
        <w:pict w14:anchorId="5A1B436D">
          <v:rect id="_x0000_i1041" style="width:415.3pt;height:1.5pt" o:hralign="center" o:hrstd="t" o:hr="t" fillcolor="#a0a0a0" stroked="f"/>
        </w:pict>
      </w:r>
    </w:p>
    <w:p w14:paraId="5A1AF6BC" w14:textId="77777777" w:rsidR="00960BB8" w:rsidRDefault="00C06650">
      <w:pPr>
        <w:spacing w:after="180"/>
        <w:jc w:val="right"/>
      </w:pPr>
      <w:hyperlink r:id="rId44" w:anchor="i8aaa7b4dbd2e419ca0f5c30af85a11aa_16" w:history="1">
        <w:r>
          <w:rPr>
            <w:rStyle w:val="a5"/>
            <w:rFonts w:ascii="Arial" w:eastAsia="宋体" w:hAnsi="Arial" w:cs="Arial"/>
            <w:sz w:val="18"/>
            <w:szCs w:val="18"/>
          </w:rPr>
          <w:t>Table of Contents</w:t>
        </w:r>
      </w:hyperlink>
    </w:p>
    <w:p w14:paraId="5A1AF6BD" w14:textId="77777777" w:rsidR="00960BB8" w:rsidRDefault="00960BB8"/>
    <w:p w14:paraId="5A1AF6BE" w14:textId="77777777" w:rsidR="00960BB8" w:rsidRDefault="00C06650">
      <w:pPr>
        <w:spacing w:after="180"/>
      </w:pPr>
      <w:r>
        <w:rPr>
          <w:rFonts w:ascii="Arial" w:eastAsia="宋体" w:hAnsi="Arial" w:cs="Arial"/>
          <w:color w:val="0068B5"/>
        </w:rPr>
        <w:t>Compensation and Benefits</w:t>
      </w:r>
    </w:p>
    <w:p w14:paraId="5A1AF6BF" w14:textId="77777777" w:rsidR="00960BB8" w:rsidRDefault="00C06650">
      <w:pPr>
        <w:spacing w:after="180"/>
      </w:pPr>
      <w:r>
        <w:rPr>
          <w:rFonts w:ascii="Arial" w:eastAsia="宋体" w:hAnsi="Arial" w:cs="Arial"/>
          <w:color w:val="262626"/>
          <w:sz w:val="18"/>
          <w:szCs w:val="18"/>
        </w:rPr>
        <w:t xml:space="preserve">We structure pay, benefits, and services to meet the </w:t>
      </w:r>
      <w:r>
        <w:rPr>
          <w:rFonts w:ascii="Arial" w:eastAsia="宋体" w:hAnsi="Arial" w:cs="Arial"/>
          <w:color w:val="262626"/>
          <w:sz w:val="18"/>
          <w:szCs w:val="18"/>
        </w:rPr>
        <w:t>varying needs of our employees. Our total rewards package includes market-competitive pay, broad-based stock grants and bonuses, an employee stock purchase plan, healthcare and retirement benefits, paid time off and family leave, parent reintegration, fert</w:t>
      </w:r>
      <w:r>
        <w:rPr>
          <w:rFonts w:ascii="Arial" w:eastAsia="宋体" w:hAnsi="Arial" w:cs="Arial"/>
          <w:color w:val="262626"/>
          <w:sz w:val="18"/>
          <w:szCs w:val="18"/>
        </w:rPr>
        <w:t>ility assistance, flexible work schedules, sabbaticals, and on-site services. Since 2019, we have achieved gender pay equity globally and we continue to maintain race/ethnicity pay equity in the US. We achieve pay equity by closing the gap in average pay b</w:t>
      </w:r>
      <w:r>
        <w:rPr>
          <w:rFonts w:ascii="Arial" w:eastAsia="宋体" w:hAnsi="Arial" w:cs="Arial"/>
          <w:color w:val="262626"/>
          <w:sz w:val="18"/>
          <w:szCs w:val="18"/>
        </w:rPr>
        <w:t>etween employees of different genders or race/ethnicity in the same or similar roles after accounting for legitimate business factors that can explain differences, such as location, time at grade level, and tenure. We have also advanced transparency in our</w:t>
      </w:r>
      <w:r>
        <w:rPr>
          <w:rFonts w:ascii="Arial" w:eastAsia="宋体" w:hAnsi="Arial" w:cs="Arial"/>
          <w:color w:val="262626"/>
          <w:sz w:val="18"/>
          <w:szCs w:val="18"/>
        </w:rPr>
        <w:t xml:space="preserve"> pay and representation data by publicly releasing our EEO-1 survey pay data since 2019. We believe that our holistic approach toward pay equity, representation, and creating an inclusive culture enables us to cultivate a workplace that helps employees dev</w:t>
      </w:r>
      <w:r>
        <w:rPr>
          <w:rFonts w:ascii="Arial" w:eastAsia="宋体" w:hAnsi="Arial" w:cs="Arial"/>
          <w:color w:val="262626"/>
          <w:sz w:val="18"/>
          <w:szCs w:val="18"/>
        </w:rPr>
        <w:t>elop and progress in their careers at all levels. Our “hybrid-first” approach to working was informed by employees surveyed around the globe and involves the majority of our employees splitting their time between working remotely and in the office. Hybrid-</w:t>
      </w:r>
      <w:r>
        <w:rPr>
          <w:rFonts w:ascii="Arial" w:eastAsia="宋体" w:hAnsi="Arial" w:cs="Arial"/>
          <w:color w:val="262626"/>
          <w:sz w:val="18"/>
          <w:szCs w:val="18"/>
        </w:rPr>
        <w:t>first and remote work options cast a wider recruitment net and support our ambition to hire the best global talent. Currently, there is no company-wide mandate on the number of days per week employees should be on site or how they should collaborate. Our g</w:t>
      </w:r>
      <w:r>
        <w:rPr>
          <w:rFonts w:ascii="Arial" w:eastAsia="宋体" w:hAnsi="Arial" w:cs="Arial"/>
          <w:color w:val="262626"/>
          <w:sz w:val="18"/>
          <w:szCs w:val="18"/>
        </w:rPr>
        <w:t>oal is to enable remote and on-site work where it drives the best output, while ensuring our employees have equitable access to systems, resources, and opportunities that allow them to succeed.</w:t>
      </w:r>
    </w:p>
    <w:p w14:paraId="5A1AF6C0" w14:textId="77777777" w:rsidR="00960BB8" w:rsidRDefault="00C06650">
      <w:pPr>
        <w:spacing w:after="180"/>
      </w:pPr>
      <w:r>
        <w:rPr>
          <w:rFonts w:ascii="Arial" w:eastAsia="宋体" w:hAnsi="Arial" w:cs="Arial"/>
          <w:color w:val="0068B5"/>
        </w:rPr>
        <w:t>Health, Safety, and Wellness</w:t>
      </w:r>
    </w:p>
    <w:p w14:paraId="5A1AF6C1" w14:textId="77777777" w:rsidR="00960BB8" w:rsidRDefault="00C06650">
      <w:pPr>
        <w:spacing w:after="180"/>
      </w:pPr>
      <w:r>
        <w:rPr>
          <w:rFonts w:ascii="Arial" w:eastAsia="宋体" w:hAnsi="Arial" w:cs="Arial"/>
          <w:color w:val="262626"/>
          <w:sz w:val="18"/>
          <w:szCs w:val="18"/>
        </w:rPr>
        <w:t>Our commitment to Intel's Environ</w:t>
      </w:r>
      <w:r>
        <w:rPr>
          <w:rFonts w:ascii="Arial" w:eastAsia="宋体" w:hAnsi="Arial" w:cs="Arial"/>
          <w:color w:val="262626"/>
          <w:sz w:val="18"/>
          <w:szCs w:val="18"/>
        </w:rPr>
        <w:t>mental, Health, and Safety Policy is to provide a safe and injury-free workplace. We regularly invest in programs designed to improve physical, mental, and social well-being. We provide access to a variety of innovative, flexible, and convenient health and</w:t>
      </w:r>
      <w:r>
        <w:rPr>
          <w:rFonts w:ascii="Arial" w:eastAsia="宋体" w:hAnsi="Arial" w:cs="Arial"/>
          <w:color w:val="262626"/>
          <w:sz w:val="18"/>
          <w:szCs w:val="18"/>
        </w:rPr>
        <w:t xml:space="preserve"> wellness programs, including on-site health centers, and we aim to increase awareness of and support for mental and behavioral health. In support of our RISE goals, we will continue to build our strong safety culture and drive the global expansion of our </w:t>
      </w:r>
      <w:r>
        <w:rPr>
          <w:rFonts w:ascii="Arial" w:eastAsia="宋体" w:hAnsi="Arial" w:cs="Arial"/>
          <w:color w:val="262626"/>
          <w:sz w:val="18"/>
          <w:szCs w:val="18"/>
        </w:rPr>
        <w:t>corporate wellness program through employee education and engagement activities.</w:t>
      </w:r>
    </w:p>
    <w:tbl>
      <w:tblPr>
        <w:tblW w:w="10770" w:type="dxa"/>
        <w:tblCellMar>
          <w:top w:w="15" w:type="dxa"/>
          <w:left w:w="15" w:type="dxa"/>
          <w:bottom w:w="15" w:type="dxa"/>
          <w:right w:w="15" w:type="dxa"/>
        </w:tblCellMar>
        <w:tblLook w:val="04A0" w:firstRow="1" w:lastRow="0" w:firstColumn="1" w:lastColumn="0" w:noHBand="0" w:noVBand="1"/>
      </w:tblPr>
      <w:tblGrid>
        <w:gridCol w:w="36"/>
        <w:gridCol w:w="663"/>
        <w:gridCol w:w="36"/>
        <w:gridCol w:w="36"/>
        <w:gridCol w:w="9963"/>
        <w:gridCol w:w="36"/>
      </w:tblGrid>
      <w:tr w:rsidR="00960BB8" w14:paraId="5A1AF6C8" w14:textId="77777777">
        <w:tc>
          <w:tcPr>
            <w:tcW w:w="20" w:type="dxa"/>
            <w:shd w:val="clear" w:color="auto" w:fill="auto"/>
            <w:vAlign w:val="bottom"/>
          </w:tcPr>
          <w:p w14:paraId="5A1AF6C2" w14:textId="77777777" w:rsidR="00960BB8" w:rsidRDefault="00960BB8">
            <w:pPr>
              <w:rPr>
                <w:rFonts w:ascii="宋体"/>
              </w:rPr>
            </w:pPr>
          </w:p>
        </w:tc>
        <w:tc>
          <w:tcPr>
            <w:tcW w:w="665" w:type="dxa"/>
            <w:shd w:val="clear" w:color="auto" w:fill="auto"/>
            <w:vAlign w:val="bottom"/>
          </w:tcPr>
          <w:p w14:paraId="5A1AF6C3" w14:textId="77777777" w:rsidR="00960BB8" w:rsidRDefault="00960BB8">
            <w:pPr>
              <w:rPr>
                <w:rFonts w:ascii="宋体"/>
              </w:rPr>
            </w:pPr>
          </w:p>
        </w:tc>
        <w:tc>
          <w:tcPr>
            <w:tcW w:w="20" w:type="dxa"/>
            <w:shd w:val="clear" w:color="auto" w:fill="auto"/>
            <w:vAlign w:val="bottom"/>
          </w:tcPr>
          <w:p w14:paraId="5A1AF6C4" w14:textId="77777777" w:rsidR="00960BB8" w:rsidRDefault="00960BB8">
            <w:pPr>
              <w:rPr>
                <w:rFonts w:ascii="宋体"/>
              </w:rPr>
            </w:pPr>
          </w:p>
        </w:tc>
        <w:tc>
          <w:tcPr>
            <w:tcW w:w="20" w:type="dxa"/>
            <w:shd w:val="clear" w:color="auto" w:fill="auto"/>
            <w:vAlign w:val="bottom"/>
          </w:tcPr>
          <w:p w14:paraId="5A1AF6C5" w14:textId="77777777" w:rsidR="00960BB8" w:rsidRDefault="00960BB8">
            <w:pPr>
              <w:rPr>
                <w:rFonts w:ascii="宋体"/>
              </w:rPr>
            </w:pPr>
          </w:p>
        </w:tc>
        <w:tc>
          <w:tcPr>
            <w:tcW w:w="10025" w:type="dxa"/>
            <w:shd w:val="clear" w:color="auto" w:fill="auto"/>
            <w:vAlign w:val="bottom"/>
          </w:tcPr>
          <w:p w14:paraId="5A1AF6C6" w14:textId="77777777" w:rsidR="00960BB8" w:rsidRDefault="00960BB8">
            <w:pPr>
              <w:rPr>
                <w:rFonts w:ascii="宋体"/>
              </w:rPr>
            </w:pPr>
          </w:p>
        </w:tc>
        <w:tc>
          <w:tcPr>
            <w:tcW w:w="20" w:type="dxa"/>
            <w:shd w:val="clear" w:color="auto" w:fill="auto"/>
            <w:vAlign w:val="bottom"/>
          </w:tcPr>
          <w:p w14:paraId="5A1AF6C7" w14:textId="77777777" w:rsidR="00960BB8" w:rsidRDefault="00960BB8">
            <w:pPr>
              <w:rPr>
                <w:rFonts w:ascii="宋体"/>
              </w:rPr>
            </w:pPr>
          </w:p>
        </w:tc>
      </w:tr>
      <w:tr w:rsidR="00960BB8" w14:paraId="5A1AF6CB" w14:textId="77777777">
        <w:trPr>
          <w:trHeight w:val="420"/>
        </w:trPr>
        <w:tc>
          <w:tcPr>
            <w:tcW w:w="0" w:type="auto"/>
            <w:gridSpan w:val="3"/>
            <w:shd w:val="clear" w:color="auto" w:fill="auto"/>
            <w:tcMar>
              <w:top w:w="0" w:type="dxa"/>
              <w:left w:w="20" w:type="dxa"/>
              <w:bottom w:w="0" w:type="dxa"/>
              <w:right w:w="20" w:type="dxa"/>
            </w:tcMar>
            <w:vAlign w:val="bottom"/>
          </w:tcPr>
          <w:p w14:paraId="5A1AF6C9"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6E" wp14:editId="5A1B436F">
                  <wp:extent cx="304800" cy="304800"/>
                  <wp:effectExtent l="0" t="0" r="0" b="0"/>
                  <wp:docPr id="105" name="图片 8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7" descr="IMG_29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5A1AF6CA" w14:textId="77777777" w:rsidR="00960BB8" w:rsidRDefault="00C06650">
            <w:pPr>
              <w:textAlignment w:val="center"/>
            </w:pPr>
            <w:r>
              <w:rPr>
                <w:rFonts w:ascii="Arial" w:eastAsia="宋体" w:hAnsi="Arial" w:cs="Arial"/>
                <w:color w:val="0068B5"/>
                <w:sz w:val="28"/>
                <w:szCs w:val="28"/>
              </w:rPr>
              <w:t>Social and Relationship Capital</w:t>
            </w:r>
          </w:p>
        </w:tc>
      </w:tr>
    </w:tbl>
    <w:p w14:paraId="5A1AF6CC" w14:textId="77777777" w:rsidR="00960BB8" w:rsidRDefault="00C06650">
      <w:pPr>
        <w:spacing w:after="180"/>
      </w:pPr>
      <w:r>
        <w:rPr>
          <w:rFonts w:ascii="Arial" w:eastAsia="宋体" w:hAnsi="Arial" w:cs="Arial"/>
          <w:color w:val="262626"/>
          <w:sz w:val="18"/>
          <w:szCs w:val="18"/>
        </w:rPr>
        <w:t xml:space="preserve">We are committed to engaging in initiatives that support our communities and </w:t>
      </w:r>
      <w:r>
        <w:rPr>
          <w:rFonts w:ascii="Arial" w:eastAsia="宋体" w:hAnsi="Arial" w:cs="Arial"/>
          <w:color w:val="262626"/>
          <w:sz w:val="18"/>
          <w:szCs w:val="18"/>
        </w:rPr>
        <w:t>help us develop trusted relationships with our stakeholders. Proactive engagement with our stakeholders and investments in social impact initiatives, including those aligned with the United Nations Sustainable Development Goals, advance our position as a l</w:t>
      </w:r>
      <w:r>
        <w:rPr>
          <w:rFonts w:ascii="Arial" w:eastAsia="宋体" w:hAnsi="Arial" w:cs="Arial"/>
          <w:color w:val="262626"/>
          <w:sz w:val="18"/>
          <w:szCs w:val="18"/>
        </w:rPr>
        <w:t>eading corporate citizen and create shared value for Intel, our global supply chain, and our communities.</w:t>
      </w:r>
    </w:p>
    <w:p w14:paraId="5A1AF6CD" w14:textId="77777777" w:rsidR="00960BB8" w:rsidRDefault="00C06650">
      <w:pPr>
        <w:spacing w:after="180"/>
      </w:pPr>
      <w:r>
        <w:rPr>
          <w:rFonts w:ascii="Arial" w:eastAsia="宋体" w:hAnsi="Arial" w:cs="Arial"/>
          <w:color w:val="0071C5"/>
          <w:sz w:val="18"/>
          <w:szCs w:val="18"/>
        </w:rPr>
        <w:t xml:space="preserve">Economic and social. </w:t>
      </w:r>
      <w:r>
        <w:rPr>
          <w:rFonts w:ascii="Arial" w:eastAsia="宋体" w:hAnsi="Arial" w:cs="Arial"/>
          <w:color w:val="262626"/>
          <w:sz w:val="18"/>
          <w:szCs w:val="18"/>
        </w:rPr>
        <w:t>The health of our business and local economies depends in part on continued investments in innovation. We provide high-skill, high-paying jobs around the world, many of which are manufacturing and R&amp;D jobs located in our own domestic and international fact</w:t>
      </w:r>
      <w:r>
        <w:rPr>
          <w:rFonts w:ascii="Arial" w:eastAsia="宋体" w:hAnsi="Arial" w:cs="Arial"/>
          <w:color w:val="262626"/>
          <w:sz w:val="18"/>
          <w:szCs w:val="18"/>
        </w:rPr>
        <w:t>ories. As we expand operations in Arizona, Oregon, Ohio, and Europe, we are building a pipeline of qualified workers through our talent strategy and the many investments we are making in education. We also benefit economies through our R&amp;D ecosystem spendi</w:t>
      </w:r>
      <w:r>
        <w:rPr>
          <w:rFonts w:ascii="Arial" w:eastAsia="宋体" w:hAnsi="Arial" w:cs="Arial"/>
          <w:color w:val="262626"/>
          <w:sz w:val="18"/>
          <w:szCs w:val="18"/>
        </w:rPr>
        <w:t xml:space="preserve">ng, sourcing activities, employee spending, and tax payments. We make sizable capital investments and provide leadership in public-private partnerships to spur economic growth and innovation. </w:t>
      </w:r>
    </w:p>
    <w:p w14:paraId="5A1AF6CE" w14:textId="77777777" w:rsidR="00960BB8" w:rsidRDefault="00C06650">
      <w:pPr>
        <w:spacing w:after="180"/>
      </w:pPr>
      <w:r>
        <w:rPr>
          <w:rFonts w:ascii="Arial" w:eastAsia="宋体" w:hAnsi="Arial" w:cs="Arial"/>
          <w:color w:val="262626"/>
          <w:sz w:val="18"/>
          <w:szCs w:val="18"/>
        </w:rPr>
        <w:t>We stand at the forefront of new technologies that are increasi</w:t>
      </w:r>
      <w:r>
        <w:rPr>
          <w:rFonts w:ascii="Arial" w:eastAsia="宋体" w:hAnsi="Arial" w:cs="Arial"/>
          <w:color w:val="262626"/>
          <w:sz w:val="18"/>
          <w:szCs w:val="18"/>
        </w:rPr>
        <w:t xml:space="preserve">ngly being used to empower individuals, companies, and governments around the world to solve global challenges. We aim to empower people through education and advance social initiatives to create career pathways into the technology industry. This includes </w:t>
      </w:r>
      <w:r>
        <w:rPr>
          <w:rFonts w:ascii="Arial" w:eastAsia="宋体" w:hAnsi="Arial" w:cs="Arial"/>
          <w:color w:val="262626"/>
          <w:sz w:val="18"/>
          <w:szCs w:val="18"/>
        </w:rPr>
        <w:t xml:space="preserve">our global Intel Digital Readiness Programs, such as AI for Youth and AI for Workforce, scaled in partnership with governments and institutions to empower individuals with digital readiness and AI skills. Additionally, we invest in multi-year partnerships </w:t>
      </w:r>
      <w:r>
        <w:rPr>
          <w:rFonts w:ascii="Arial" w:eastAsia="宋体" w:hAnsi="Arial" w:cs="Arial"/>
          <w:color w:val="262626"/>
          <w:sz w:val="18"/>
          <w:szCs w:val="18"/>
        </w:rPr>
        <w:t>with historically Black colleges and universities in the US to increase the number of Black/African Americans who pursue electrical engineering, computer engineering, and computer science fields. Our employees and retirees share their expertise through vol</w:t>
      </w:r>
      <w:r>
        <w:rPr>
          <w:rFonts w:ascii="Arial" w:eastAsia="宋体" w:hAnsi="Arial" w:cs="Arial"/>
          <w:color w:val="262626"/>
          <w:sz w:val="18"/>
          <w:szCs w:val="18"/>
        </w:rPr>
        <w:t>unteer initiatives in the communities where we operate, volunteering approximately 2.8</w:t>
      </w:r>
      <w:r>
        <w:rPr>
          <w:rFonts w:ascii="Arial" w:eastAsia="宋体" w:hAnsi="Arial" w:cs="Arial"/>
          <w:color w:val="262626"/>
          <w:sz w:val="11"/>
          <w:szCs w:val="11"/>
        </w:rPr>
        <w:t>1</w:t>
      </w:r>
      <w:r>
        <w:rPr>
          <w:rFonts w:ascii="Arial" w:eastAsia="宋体" w:hAnsi="Arial" w:cs="Arial"/>
          <w:color w:val="262626"/>
          <w:sz w:val="18"/>
          <w:szCs w:val="18"/>
        </w:rPr>
        <w:t xml:space="preserve"> million hours over the past three years. These efforts contribute to our RISE goal to volunteer 10 million hours over a decade. COVID-19 presented challenges over the l</w:t>
      </w:r>
      <w:r>
        <w:rPr>
          <w:rFonts w:ascii="Arial" w:eastAsia="宋体" w:hAnsi="Arial" w:cs="Arial"/>
          <w:color w:val="262626"/>
          <w:sz w:val="18"/>
          <w:szCs w:val="18"/>
        </w:rPr>
        <w:t>ast few years for in-person volunteering, but we continued to see an outpouring of support from employees for virtual volunteering, donations, and innovative technology projects to support our communities, and in 2022, a return to more in-person volunteeri</w:t>
      </w:r>
      <w:r>
        <w:rPr>
          <w:rFonts w:ascii="Arial" w:eastAsia="宋体" w:hAnsi="Arial" w:cs="Arial"/>
          <w:color w:val="262626"/>
          <w:sz w:val="18"/>
          <w:szCs w:val="18"/>
        </w:rPr>
        <w:t>ng. Since 2020, we announced and further expanded upon the Intel RISE Technology Initiative, which provides an expanded channel to build deeper relationships with our customers and partners aligned with our corporate purpose and work to create shared value</w:t>
      </w:r>
      <w:r>
        <w:rPr>
          <w:rFonts w:ascii="Arial" w:eastAsia="宋体" w:hAnsi="Arial" w:cs="Arial"/>
          <w:color w:val="262626"/>
          <w:sz w:val="18"/>
          <w:szCs w:val="18"/>
        </w:rPr>
        <w:t xml:space="preserve"> through our RISE strategy. Specifically, we are funding projects in areas such as using technology to improve health and safety, making technology more inclusive while expanding digital readiness, and carbon-neutral computing to help address climate chang</w:t>
      </w:r>
      <w:r>
        <w:rPr>
          <w:rFonts w:ascii="Arial" w:eastAsia="宋体" w:hAnsi="Arial" w:cs="Arial"/>
          <w:color w:val="262626"/>
          <w:sz w:val="18"/>
          <w:szCs w:val="18"/>
        </w:rPr>
        <w:t xml:space="preserve">e. </w:t>
      </w:r>
    </w:p>
    <w:p w14:paraId="5A1AF6CF" w14:textId="77777777" w:rsidR="00960BB8" w:rsidRDefault="00C06650">
      <w:pPr>
        <w:spacing w:after="180"/>
      </w:pPr>
      <w:r>
        <w:rPr>
          <w:rFonts w:ascii="Arial" w:eastAsia="宋体" w:hAnsi="Arial" w:cs="Arial"/>
          <w:color w:val="0071C5"/>
          <w:sz w:val="18"/>
          <w:szCs w:val="18"/>
        </w:rPr>
        <w:t>Human rights commitment.</w:t>
      </w:r>
      <w:r>
        <w:rPr>
          <w:rFonts w:ascii="Arial" w:eastAsia="宋体" w:hAnsi="Arial" w:cs="Arial"/>
          <w:color w:val="262626"/>
          <w:sz w:val="18"/>
          <w:szCs w:val="18"/>
        </w:rPr>
        <w:t xml:space="preserve"> We are committed to maintaining and improving processes to avoid complicity in human rights violations related to our operations, supply chain, and products. We have established an integrated approach to managing human rights a</w:t>
      </w:r>
      <w:r>
        <w:rPr>
          <w:rFonts w:ascii="Arial" w:eastAsia="宋体" w:hAnsi="Arial" w:cs="Arial"/>
          <w:color w:val="262626"/>
          <w:sz w:val="18"/>
          <w:szCs w:val="18"/>
        </w:rPr>
        <w:t xml:space="preserve">cross our business, including senior-level management involvement, with board-level oversight. We also meet throughout the year with external stakeholders and experts on human rights to continue to inform and evolve our human rights policies and oversight </w:t>
      </w:r>
      <w:r>
        <w:rPr>
          <w:rFonts w:ascii="Arial" w:eastAsia="宋体" w:hAnsi="Arial" w:cs="Arial"/>
          <w:color w:val="262626"/>
          <w:sz w:val="18"/>
          <w:szCs w:val="18"/>
        </w:rPr>
        <w:t>processes. While we do not always know, nor can we control, what products our customers create or the applications end users may develop, we do not tolerate our products being used to violate human rights. When we become aware of a concern that our product</w:t>
      </w:r>
      <w:r>
        <w:rPr>
          <w:rFonts w:ascii="Arial" w:eastAsia="宋体" w:hAnsi="Arial" w:cs="Arial"/>
          <w:color w:val="262626"/>
          <w:sz w:val="18"/>
          <w:szCs w:val="18"/>
        </w:rPr>
        <w:t xml:space="preserve">s are being used by a business partner in connection with abuses of human rights, our policies require that we restrict or cease business with the third party until we have high confidence that our products are not being used to violate human rights. </w:t>
      </w:r>
    </w:p>
    <w:p w14:paraId="5A1AF6D0" w14:textId="77777777" w:rsidR="00960BB8" w:rsidRDefault="00C06650">
      <w:pPr>
        <w:spacing w:after="180"/>
      </w:pPr>
      <w:r>
        <w:rPr>
          <w:rFonts w:ascii="Arial" w:eastAsia="宋体" w:hAnsi="Arial" w:cs="Arial"/>
          <w:color w:val="262626"/>
          <w:sz w:val="18"/>
          <w:szCs w:val="18"/>
        </w:rPr>
        <w:br/>
      </w:r>
      <w:r>
        <w:rPr>
          <w:rFonts w:ascii="Arial" w:eastAsia="宋体" w:hAnsi="Arial" w:cs="Arial"/>
          <w:i/>
          <w:iCs/>
          <w:color w:val="262626"/>
          <w:sz w:val="10"/>
          <w:szCs w:val="10"/>
        </w:rPr>
        <w:t xml:space="preserve">1 </w:t>
      </w:r>
      <w:r>
        <w:rPr>
          <w:rFonts w:ascii="Arial" w:eastAsia="宋体" w:hAnsi="Arial" w:cs="Arial"/>
          <w:i/>
          <w:iCs/>
          <w:color w:val="262626"/>
          <w:sz w:val="16"/>
          <w:szCs w:val="16"/>
        </w:rPr>
        <w:t>This is a preliminary estimate. The final number will be reported in our 2022-23 Corporate Responsibility Report, to be issued later in 2023.</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960BB8" w14:paraId="5A1AF6DD" w14:textId="77777777">
        <w:tc>
          <w:tcPr>
            <w:tcW w:w="50" w:type="pct"/>
            <w:shd w:val="clear" w:color="auto" w:fill="auto"/>
            <w:vAlign w:val="bottom"/>
          </w:tcPr>
          <w:p w14:paraId="5A1AF6D1" w14:textId="77777777" w:rsidR="00960BB8" w:rsidRDefault="00960BB8">
            <w:pPr>
              <w:rPr>
                <w:rFonts w:ascii="宋体"/>
              </w:rPr>
            </w:pPr>
          </w:p>
        </w:tc>
        <w:tc>
          <w:tcPr>
            <w:tcW w:w="283" w:type="pct"/>
            <w:shd w:val="clear" w:color="auto" w:fill="auto"/>
            <w:vAlign w:val="bottom"/>
          </w:tcPr>
          <w:p w14:paraId="5A1AF6D2" w14:textId="77777777" w:rsidR="00960BB8" w:rsidRDefault="00960BB8">
            <w:pPr>
              <w:rPr>
                <w:rFonts w:ascii="宋体"/>
              </w:rPr>
            </w:pPr>
          </w:p>
        </w:tc>
        <w:tc>
          <w:tcPr>
            <w:tcW w:w="5" w:type="pct"/>
            <w:shd w:val="clear" w:color="auto" w:fill="auto"/>
            <w:vAlign w:val="bottom"/>
          </w:tcPr>
          <w:p w14:paraId="5A1AF6D3" w14:textId="77777777" w:rsidR="00960BB8" w:rsidRDefault="00960BB8">
            <w:pPr>
              <w:rPr>
                <w:rFonts w:ascii="宋体"/>
              </w:rPr>
            </w:pPr>
          </w:p>
        </w:tc>
        <w:tc>
          <w:tcPr>
            <w:tcW w:w="50" w:type="pct"/>
            <w:shd w:val="clear" w:color="auto" w:fill="auto"/>
            <w:vAlign w:val="bottom"/>
          </w:tcPr>
          <w:p w14:paraId="5A1AF6D4" w14:textId="77777777" w:rsidR="00960BB8" w:rsidRDefault="00960BB8">
            <w:pPr>
              <w:rPr>
                <w:rFonts w:ascii="宋体"/>
              </w:rPr>
            </w:pPr>
          </w:p>
        </w:tc>
        <w:tc>
          <w:tcPr>
            <w:tcW w:w="1039" w:type="pct"/>
            <w:shd w:val="clear" w:color="auto" w:fill="auto"/>
            <w:vAlign w:val="bottom"/>
          </w:tcPr>
          <w:p w14:paraId="5A1AF6D5" w14:textId="77777777" w:rsidR="00960BB8" w:rsidRDefault="00960BB8">
            <w:pPr>
              <w:rPr>
                <w:rFonts w:ascii="宋体"/>
              </w:rPr>
            </w:pPr>
          </w:p>
        </w:tc>
        <w:tc>
          <w:tcPr>
            <w:tcW w:w="5" w:type="pct"/>
            <w:shd w:val="clear" w:color="auto" w:fill="auto"/>
            <w:vAlign w:val="bottom"/>
          </w:tcPr>
          <w:p w14:paraId="5A1AF6D6" w14:textId="77777777" w:rsidR="00960BB8" w:rsidRDefault="00960BB8">
            <w:pPr>
              <w:rPr>
                <w:rFonts w:ascii="宋体"/>
              </w:rPr>
            </w:pPr>
          </w:p>
        </w:tc>
        <w:tc>
          <w:tcPr>
            <w:tcW w:w="50" w:type="pct"/>
            <w:shd w:val="clear" w:color="auto" w:fill="auto"/>
            <w:vAlign w:val="bottom"/>
          </w:tcPr>
          <w:p w14:paraId="5A1AF6D7" w14:textId="77777777" w:rsidR="00960BB8" w:rsidRDefault="00960BB8">
            <w:pPr>
              <w:rPr>
                <w:rFonts w:ascii="宋体"/>
              </w:rPr>
            </w:pPr>
          </w:p>
        </w:tc>
        <w:tc>
          <w:tcPr>
            <w:tcW w:w="1562" w:type="pct"/>
            <w:shd w:val="clear" w:color="auto" w:fill="auto"/>
            <w:vAlign w:val="bottom"/>
          </w:tcPr>
          <w:p w14:paraId="5A1AF6D8" w14:textId="77777777" w:rsidR="00960BB8" w:rsidRDefault="00960BB8">
            <w:pPr>
              <w:rPr>
                <w:rFonts w:ascii="宋体"/>
              </w:rPr>
            </w:pPr>
          </w:p>
        </w:tc>
        <w:tc>
          <w:tcPr>
            <w:tcW w:w="5" w:type="pct"/>
            <w:shd w:val="clear" w:color="auto" w:fill="auto"/>
            <w:vAlign w:val="bottom"/>
          </w:tcPr>
          <w:p w14:paraId="5A1AF6D9" w14:textId="77777777" w:rsidR="00960BB8" w:rsidRDefault="00960BB8">
            <w:pPr>
              <w:rPr>
                <w:rFonts w:ascii="宋体"/>
              </w:rPr>
            </w:pPr>
          </w:p>
        </w:tc>
        <w:tc>
          <w:tcPr>
            <w:tcW w:w="50" w:type="pct"/>
            <w:shd w:val="clear" w:color="auto" w:fill="auto"/>
            <w:vAlign w:val="bottom"/>
          </w:tcPr>
          <w:p w14:paraId="5A1AF6DA" w14:textId="77777777" w:rsidR="00960BB8" w:rsidRDefault="00960BB8">
            <w:pPr>
              <w:rPr>
                <w:rFonts w:ascii="宋体"/>
              </w:rPr>
            </w:pPr>
          </w:p>
        </w:tc>
        <w:tc>
          <w:tcPr>
            <w:tcW w:w="1894" w:type="pct"/>
            <w:shd w:val="clear" w:color="auto" w:fill="auto"/>
            <w:vAlign w:val="bottom"/>
          </w:tcPr>
          <w:p w14:paraId="5A1AF6DB" w14:textId="77777777" w:rsidR="00960BB8" w:rsidRDefault="00960BB8">
            <w:pPr>
              <w:rPr>
                <w:rFonts w:ascii="宋体"/>
              </w:rPr>
            </w:pPr>
          </w:p>
        </w:tc>
        <w:tc>
          <w:tcPr>
            <w:tcW w:w="5" w:type="pct"/>
            <w:shd w:val="clear" w:color="auto" w:fill="auto"/>
            <w:vAlign w:val="bottom"/>
          </w:tcPr>
          <w:p w14:paraId="5A1AF6DC" w14:textId="77777777" w:rsidR="00960BB8" w:rsidRDefault="00960BB8">
            <w:pPr>
              <w:rPr>
                <w:rFonts w:ascii="宋体"/>
              </w:rPr>
            </w:pPr>
          </w:p>
        </w:tc>
      </w:tr>
      <w:tr w:rsidR="00960BB8" w14:paraId="5A1AF6E2"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DE"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70" wp14:editId="5A1B4371">
                  <wp:extent cx="304800" cy="304800"/>
                  <wp:effectExtent l="0" t="0" r="0" b="0"/>
                  <wp:docPr id="51" name="图片 8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8"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DF"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AF6E0" w14:textId="77777777" w:rsidR="00960BB8" w:rsidRDefault="00C06650">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6E1" w14:textId="77777777" w:rsidR="00960BB8" w:rsidRDefault="00C06650">
            <w:pPr>
              <w:jc w:val="right"/>
              <w:textAlignment w:val="center"/>
            </w:pPr>
            <w:r>
              <w:rPr>
                <w:rFonts w:ascii="Arial" w:eastAsia="宋体" w:hAnsi="Arial" w:cs="Arial"/>
                <w:color w:val="262626"/>
                <w:sz w:val="16"/>
                <w:szCs w:val="16"/>
              </w:rPr>
              <w:t>16</w:t>
            </w:r>
          </w:p>
        </w:tc>
      </w:tr>
    </w:tbl>
    <w:p w14:paraId="5A1AF6E3" w14:textId="77777777" w:rsidR="00960BB8" w:rsidRDefault="00C06650">
      <w:r>
        <w:pict w14:anchorId="5A1B4372">
          <v:rect id="_x0000_i1042" style="width:415.3pt;height:1.5pt" o:hralign="center" o:hrstd="t" o:hr="t" fillcolor="#a0a0a0" stroked="f"/>
        </w:pict>
      </w:r>
    </w:p>
    <w:p w14:paraId="5A1AF6E4" w14:textId="77777777" w:rsidR="00960BB8" w:rsidRDefault="00C06650">
      <w:pPr>
        <w:spacing w:after="180"/>
        <w:jc w:val="right"/>
      </w:pPr>
      <w:hyperlink r:id="rId45" w:anchor="i8aaa7b4dbd2e419ca0f5c30af85a11aa_16" w:history="1">
        <w:r>
          <w:rPr>
            <w:rStyle w:val="a5"/>
            <w:rFonts w:ascii="Arial" w:eastAsia="宋体" w:hAnsi="Arial" w:cs="Arial"/>
            <w:sz w:val="18"/>
            <w:szCs w:val="18"/>
          </w:rPr>
          <w:t>Table of Contents</w:t>
        </w:r>
      </w:hyperlink>
    </w:p>
    <w:p w14:paraId="5A1AF6E5" w14:textId="77777777" w:rsidR="00960BB8" w:rsidRDefault="00C06650">
      <w:pPr>
        <w:spacing w:after="180"/>
      </w:pPr>
      <w:r>
        <w:rPr>
          <w:rFonts w:ascii="Arial" w:eastAsia="宋体" w:hAnsi="Arial" w:cs="Arial"/>
          <w:color w:val="262626"/>
          <w:sz w:val="18"/>
          <w:szCs w:val="18"/>
        </w:rPr>
        <w:br/>
      </w:r>
      <w:r>
        <w:rPr>
          <w:rFonts w:ascii="Arial" w:eastAsia="宋体" w:hAnsi="Arial" w:cs="Arial"/>
          <w:color w:val="262626"/>
          <w:sz w:val="18"/>
          <w:szCs w:val="18"/>
        </w:rPr>
        <w:br/>
      </w:r>
      <w:r>
        <w:rPr>
          <w:rFonts w:ascii="Arial" w:eastAsia="宋体" w:hAnsi="Arial" w:cs="Arial"/>
          <w:color w:val="0068B5"/>
        </w:rPr>
        <w:t>Supply Chain Responsibility</w:t>
      </w:r>
    </w:p>
    <w:p w14:paraId="5A1AF6E6" w14:textId="77777777" w:rsidR="00960BB8" w:rsidRDefault="00C06650">
      <w:pPr>
        <w:spacing w:after="180"/>
      </w:pPr>
      <w:r>
        <w:rPr>
          <w:rFonts w:ascii="Arial" w:eastAsia="宋体" w:hAnsi="Arial" w:cs="Arial"/>
          <w:color w:val="262626"/>
          <w:sz w:val="18"/>
          <w:szCs w:val="18"/>
        </w:rPr>
        <w:t xml:space="preserve">We actively manage our supply chain to help </w:t>
      </w:r>
      <w:r>
        <w:rPr>
          <w:rFonts w:ascii="Arial" w:eastAsia="宋体" w:hAnsi="Arial" w:cs="Arial"/>
          <w:color w:val="262626"/>
          <w:sz w:val="18"/>
          <w:szCs w:val="18"/>
        </w:rPr>
        <w:t>reduce risk, improve product quality, achieve environmental and social goals, and improve overall performance and value creation for Intel, our customers, and our suppliers. To drive responsible and sustainable practices throughout our supply chain, we hav</w:t>
      </w:r>
      <w:r>
        <w:rPr>
          <w:rFonts w:ascii="Arial" w:eastAsia="宋体" w:hAnsi="Arial" w:cs="Arial"/>
          <w:color w:val="262626"/>
          <w:sz w:val="18"/>
          <w:szCs w:val="18"/>
        </w:rPr>
        <w:t xml:space="preserve">e robust programs to educate and engage suppliers that support our global manufacturing operations. We actively collaborate with other companies and lead industry initiatives on key issues such as improving transparency around climate and water impacts in </w:t>
      </w:r>
      <w:r>
        <w:rPr>
          <w:rFonts w:ascii="Arial" w:eastAsia="宋体" w:hAnsi="Arial" w:cs="Arial"/>
          <w:color w:val="262626"/>
          <w:sz w:val="18"/>
          <w:szCs w:val="18"/>
        </w:rPr>
        <w:t xml:space="preserve">the global electronics supply chain and, as part of our RISE strategy, we are advancing collaboration across our industry on responsible minerals sourcing. Through these efforts we help set electronics industry-wide standards, develop audit processes, and </w:t>
      </w:r>
      <w:r>
        <w:rPr>
          <w:rFonts w:ascii="Arial" w:eastAsia="宋体" w:hAnsi="Arial" w:cs="Arial"/>
          <w:color w:val="262626"/>
          <w:sz w:val="18"/>
          <w:szCs w:val="18"/>
        </w:rPr>
        <w:t>conduct training.</w:t>
      </w:r>
    </w:p>
    <w:p w14:paraId="5A1AF6E7" w14:textId="77777777" w:rsidR="00960BB8" w:rsidRDefault="00C06650">
      <w:pPr>
        <w:spacing w:after="180"/>
      </w:pPr>
      <w:r>
        <w:rPr>
          <w:rFonts w:ascii="Arial" w:eastAsia="宋体" w:hAnsi="Arial" w:cs="Arial"/>
          <w:color w:val="262626"/>
          <w:sz w:val="18"/>
          <w:szCs w:val="18"/>
        </w:rPr>
        <w:t>Over the past decade, we have directly engaged with our suppliers to verify compliance and build capacity to address risks of forced and bonded labor and other human rights issues. We perform supplier audits and identify critical direct s</w:t>
      </w:r>
      <w:r>
        <w:rPr>
          <w:rFonts w:ascii="Arial" w:eastAsia="宋体" w:hAnsi="Arial" w:cs="Arial"/>
          <w:color w:val="262626"/>
          <w:sz w:val="18"/>
          <w:szCs w:val="18"/>
        </w:rPr>
        <w:t>uppliers to engage through capability-building programs, which help suppliers build sustainability acumen and verify compliance with the Responsible Business Alliance and our Code of Conduct. We also engage with indirect suppliers through our programs on f</w:t>
      </w:r>
      <w:r>
        <w:rPr>
          <w:rFonts w:ascii="Arial" w:eastAsia="宋体" w:hAnsi="Arial" w:cs="Arial"/>
          <w:color w:val="262626"/>
          <w:sz w:val="18"/>
          <w:szCs w:val="18"/>
        </w:rPr>
        <w:t xml:space="preserve">orced and bonded labor, responsible minerals, and supplier diversity. To achieve our RISE goals, we are significantly expanding the number of suppliers covered by our engagement activities. </w:t>
      </w:r>
      <w:r>
        <w:rPr>
          <w:rFonts w:ascii="Arial" w:eastAsia="宋体" w:hAnsi="Arial" w:cs="Arial"/>
          <w:color w:val="000000"/>
          <w:sz w:val="18"/>
          <w:szCs w:val="18"/>
        </w:rPr>
        <w:t>The supply chain environmental team is also actively engaging supp</w:t>
      </w:r>
      <w:r>
        <w:rPr>
          <w:rFonts w:ascii="Arial" w:eastAsia="宋体" w:hAnsi="Arial" w:cs="Arial"/>
          <w:color w:val="000000"/>
          <w:sz w:val="18"/>
          <w:szCs w:val="18"/>
        </w:rPr>
        <w:t>liers to measure and reduce their greenhouse gas emissions footprints, and the resulting impact on our footprint, in order to meet our long-term emissions reductions goals.</w:t>
      </w:r>
    </w:p>
    <w:p w14:paraId="5A1AF6E8" w14:textId="77777777" w:rsidR="00960BB8" w:rsidRDefault="00C06650">
      <w:pPr>
        <w:spacing w:after="180"/>
      </w:pPr>
      <w:r>
        <w:rPr>
          <w:rFonts w:ascii="Arial" w:eastAsia="宋体" w:hAnsi="Arial" w:cs="Arial"/>
          <w:color w:val="262626"/>
          <w:sz w:val="18"/>
          <w:szCs w:val="18"/>
        </w:rPr>
        <w:t>Our commitment to diversity and inclusion also extends to our suppliers. We believe</w:t>
      </w:r>
      <w:r>
        <w:rPr>
          <w:rFonts w:ascii="Arial" w:eastAsia="宋体" w:hAnsi="Arial" w:cs="Arial"/>
          <w:color w:val="262626"/>
          <w:sz w:val="18"/>
          <w:szCs w:val="18"/>
        </w:rPr>
        <w:t xml:space="preserve"> a diverse supply chain supports greater innovation and value for our business. We have set additional spending targets with women-owned suppliers outside the US and with minority-owned suppliers globally to accelerate progress toward our goal to increase </w:t>
      </w:r>
      <w:r>
        <w:rPr>
          <w:rFonts w:ascii="Arial" w:eastAsia="宋体" w:hAnsi="Arial" w:cs="Arial"/>
          <w:color w:val="262626"/>
          <w:sz w:val="18"/>
          <w:szCs w:val="18"/>
        </w:rPr>
        <w:t>global annual spending with diverse suppliers by 100% to reach $2 billion in annual spending by 2030. We continue to only retain or use outside law firms in the US that are above average on diversity for their equity partners and apply a similar rule to fi</w:t>
      </w:r>
      <w:r>
        <w:rPr>
          <w:rFonts w:ascii="Arial" w:eastAsia="宋体" w:hAnsi="Arial" w:cs="Arial"/>
          <w:color w:val="262626"/>
          <w:sz w:val="18"/>
          <w:szCs w:val="18"/>
        </w:rPr>
        <w:t>rms used by our tax department, including non-legal firms.</w:t>
      </w:r>
    </w:p>
    <w:tbl>
      <w:tblPr>
        <w:tblW w:w="10755" w:type="dxa"/>
        <w:tblCellMar>
          <w:top w:w="15" w:type="dxa"/>
          <w:left w:w="15" w:type="dxa"/>
          <w:bottom w:w="15" w:type="dxa"/>
          <w:right w:w="15" w:type="dxa"/>
        </w:tblCellMar>
        <w:tblLook w:val="04A0" w:firstRow="1" w:lastRow="0" w:firstColumn="1" w:lastColumn="0" w:noHBand="0" w:noVBand="1"/>
      </w:tblPr>
      <w:tblGrid>
        <w:gridCol w:w="37"/>
        <w:gridCol w:w="661"/>
        <w:gridCol w:w="36"/>
        <w:gridCol w:w="36"/>
        <w:gridCol w:w="4699"/>
        <w:gridCol w:w="36"/>
        <w:gridCol w:w="36"/>
        <w:gridCol w:w="124"/>
        <w:gridCol w:w="36"/>
        <w:gridCol w:w="36"/>
        <w:gridCol w:w="4815"/>
        <w:gridCol w:w="36"/>
        <w:gridCol w:w="36"/>
        <w:gridCol w:w="95"/>
        <w:gridCol w:w="36"/>
      </w:tblGrid>
      <w:tr w:rsidR="00960BB8" w14:paraId="5A1AF6F8" w14:textId="77777777">
        <w:tc>
          <w:tcPr>
            <w:tcW w:w="20" w:type="dxa"/>
            <w:shd w:val="clear" w:color="auto" w:fill="auto"/>
            <w:vAlign w:val="bottom"/>
          </w:tcPr>
          <w:p w14:paraId="5A1AF6E9" w14:textId="77777777" w:rsidR="00960BB8" w:rsidRDefault="00960BB8">
            <w:pPr>
              <w:rPr>
                <w:rFonts w:ascii="宋体"/>
              </w:rPr>
            </w:pPr>
          </w:p>
        </w:tc>
        <w:tc>
          <w:tcPr>
            <w:tcW w:w="665" w:type="dxa"/>
            <w:shd w:val="clear" w:color="auto" w:fill="auto"/>
            <w:vAlign w:val="bottom"/>
          </w:tcPr>
          <w:p w14:paraId="5A1AF6EA" w14:textId="77777777" w:rsidR="00960BB8" w:rsidRDefault="00960BB8">
            <w:pPr>
              <w:rPr>
                <w:rFonts w:ascii="宋体"/>
              </w:rPr>
            </w:pPr>
          </w:p>
        </w:tc>
        <w:tc>
          <w:tcPr>
            <w:tcW w:w="20" w:type="dxa"/>
            <w:shd w:val="clear" w:color="auto" w:fill="auto"/>
            <w:vAlign w:val="bottom"/>
          </w:tcPr>
          <w:p w14:paraId="5A1AF6EB" w14:textId="77777777" w:rsidR="00960BB8" w:rsidRDefault="00960BB8">
            <w:pPr>
              <w:rPr>
                <w:rFonts w:ascii="宋体"/>
              </w:rPr>
            </w:pPr>
          </w:p>
        </w:tc>
        <w:tc>
          <w:tcPr>
            <w:tcW w:w="20" w:type="dxa"/>
            <w:shd w:val="clear" w:color="auto" w:fill="auto"/>
            <w:vAlign w:val="bottom"/>
          </w:tcPr>
          <w:p w14:paraId="5A1AF6EC" w14:textId="77777777" w:rsidR="00960BB8" w:rsidRDefault="00960BB8">
            <w:pPr>
              <w:rPr>
                <w:rFonts w:ascii="宋体"/>
              </w:rPr>
            </w:pPr>
          </w:p>
        </w:tc>
        <w:tc>
          <w:tcPr>
            <w:tcW w:w="4775" w:type="dxa"/>
            <w:shd w:val="clear" w:color="auto" w:fill="auto"/>
            <w:vAlign w:val="bottom"/>
          </w:tcPr>
          <w:p w14:paraId="5A1AF6ED" w14:textId="77777777" w:rsidR="00960BB8" w:rsidRDefault="00960BB8">
            <w:pPr>
              <w:rPr>
                <w:rFonts w:ascii="宋体"/>
              </w:rPr>
            </w:pPr>
          </w:p>
        </w:tc>
        <w:tc>
          <w:tcPr>
            <w:tcW w:w="20" w:type="dxa"/>
            <w:shd w:val="clear" w:color="auto" w:fill="auto"/>
            <w:vAlign w:val="bottom"/>
          </w:tcPr>
          <w:p w14:paraId="5A1AF6EE" w14:textId="77777777" w:rsidR="00960BB8" w:rsidRDefault="00960BB8">
            <w:pPr>
              <w:rPr>
                <w:rFonts w:ascii="宋体"/>
              </w:rPr>
            </w:pPr>
          </w:p>
        </w:tc>
        <w:tc>
          <w:tcPr>
            <w:tcW w:w="20" w:type="dxa"/>
            <w:shd w:val="clear" w:color="auto" w:fill="auto"/>
            <w:vAlign w:val="bottom"/>
          </w:tcPr>
          <w:p w14:paraId="5A1AF6EF" w14:textId="77777777" w:rsidR="00960BB8" w:rsidRDefault="00960BB8">
            <w:pPr>
              <w:rPr>
                <w:rFonts w:ascii="宋体"/>
              </w:rPr>
            </w:pPr>
          </w:p>
        </w:tc>
        <w:tc>
          <w:tcPr>
            <w:tcW w:w="125" w:type="dxa"/>
            <w:shd w:val="clear" w:color="auto" w:fill="auto"/>
            <w:vAlign w:val="bottom"/>
          </w:tcPr>
          <w:p w14:paraId="5A1AF6F0" w14:textId="77777777" w:rsidR="00960BB8" w:rsidRDefault="00960BB8">
            <w:pPr>
              <w:rPr>
                <w:rFonts w:ascii="宋体"/>
              </w:rPr>
            </w:pPr>
          </w:p>
        </w:tc>
        <w:tc>
          <w:tcPr>
            <w:tcW w:w="20" w:type="dxa"/>
            <w:shd w:val="clear" w:color="auto" w:fill="auto"/>
            <w:vAlign w:val="bottom"/>
          </w:tcPr>
          <w:p w14:paraId="5A1AF6F1" w14:textId="77777777" w:rsidR="00960BB8" w:rsidRDefault="00960BB8">
            <w:pPr>
              <w:rPr>
                <w:rFonts w:ascii="宋体"/>
              </w:rPr>
            </w:pPr>
          </w:p>
        </w:tc>
        <w:tc>
          <w:tcPr>
            <w:tcW w:w="20" w:type="dxa"/>
            <w:shd w:val="clear" w:color="auto" w:fill="auto"/>
            <w:vAlign w:val="bottom"/>
          </w:tcPr>
          <w:p w14:paraId="5A1AF6F2" w14:textId="77777777" w:rsidR="00960BB8" w:rsidRDefault="00960BB8">
            <w:pPr>
              <w:rPr>
                <w:rFonts w:ascii="宋体"/>
              </w:rPr>
            </w:pPr>
          </w:p>
        </w:tc>
        <w:tc>
          <w:tcPr>
            <w:tcW w:w="4895" w:type="dxa"/>
            <w:shd w:val="clear" w:color="auto" w:fill="auto"/>
            <w:vAlign w:val="bottom"/>
          </w:tcPr>
          <w:p w14:paraId="5A1AF6F3" w14:textId="77777777" w:rsidR="00960BB8" w:rsidRDefault="00960BB8">
            <w:pPr>
              <w:rPr>
                <w:rFonts w:ascii="宋体"/>
              </w:rPr>
            </w:pPr>
          </w:p>
        </w:tc>
        <w:tc>
          <w:tcPr>
            <w:tcW w:w="20" w:type="dxa"/>
            <w:shd w:val="clear" w:color="auto" w:fill="auto"/>
            <w:vAlign w:val="bottom"/>
          </w:tcPr>
          <w:p w14:paraId="5A1AF6F4" w14:textId="77777777" w:rsidR="00960BB8" w:rsidRDefault="00960BB8">
            <w:pPr>
              <w:rPr>
                <w:rFonts w:ascii="宋体"/>
              </w:rPr>
            </w:pPr>
          </w:p>
        </w:tc>
        <w:tc>
          <w:tcPr>
            <w:tcW w:w="20" w:type="dxa"/>
            <w:shd w:val="clear" w:color="auto" w:fill="auto"/>
            <w:vAlign w:val="bottom"/>
          </w:tcPr>
          <w:p w14:paraId="5A1AF6F5" w14:textId="77777777" w:rsidR="00960BB8" w:rsidRDefault="00960BB8">
            <w:pPr>
              <w:rPr>
                <w:rFonts w:ascii="宋体"/>
              </w:rPr>
            </w:pPr>
          </w:p>
        </w:tc>
        <w:tc>
          <w:tcPr>
            <w:tcW w:w="95" w:type="dxa"/>
            <w:shd w:val="clear" w:color="auto" w:fill="auto"/>
            <w:vAlign w:val="bottom"/>
          </w:tcPr>
          <w:p w14:paraId="5A1AF6F6" w14:textId="77777777" w:rsidR="00960BB8" w:rsidRDefault="00960BB8">
            <w:pPr>
              <w:rPr>
                <w:rFonts w:ascii="宋体"/>
              </w:rPr>
            </w:pPr>
          </w:p>
        </w:tc>
        <w:tc>
          <w:tcPr>
            <w:tcW w:w="20" w:type="dxa"/>
            <w:shd w:val="clear" w:color="auto" w:fill="auto"/>
            <w:vAlign w:val="bottom"/>
          </w:tcPr>
          <w:p w14:paraId="5A1AF6F7" w14:textId="77777777" w:rsidR="00960BB8" w:rsidRDefault="00960BB8">
            <w:pPr>
              <w:rPr>
                <w:rFonts w:ascii="宋体"/>
              </w:rPr>
            </w:pPr>
          </w:p>
        </w:tc>
      </w:tr>
      <w:tr w:rsidR="00960BB8" w14:paraId="5A1AF6FB" w14:textId="77777777">
        <w:trPr>
          <w:trHeight w:val="600"/>
        </w:trPr>
        <w:tc>
          <w:tcPr>
            <w:tcW w:w="0" w:type="auto"/>
            <w:gridSpan w:val="3"/>
            <w:shd w:val="clear" w:color="auto" w:fill="auto"/>
            <w:tcMar>
              <w:top w:w="0" w:type="dxa"/>
              <w:left w:w="20" w:type="dxa"/>
              <w:bottom w:w="0" w:type="dxa"/>
              <w:right w:w="20" w:type="dxa"/>
            </w:tcMar>
            <w:vAlign w:val="bottom"/>
          </w:tcPr>
          <w:p w14:paraId="5A1AF6F9"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73" wp14:editId="5A1B4374">
                  <wp:extent cx="304800" cy="304800"/>
                  <wp:effectExtent l="0" t="0" r="0" b="0"/>
                  <wp:docPr id="66" name="图片 90"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0" descr="IMG_29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12"/>
            <w:shd w:val="clear" w:color="auto" w:fill="auto"/>
            <w:tcMar>
              <w:top w:w="40" w:type="dxa"/>
              <w:left w:w="20" w:type="dxa"/>
              <w:bottom w:w="40" w:type="dxa"/>
              <w:right w:w="20" w:type="dxa"/>
            </w:tcMar>
            <w:vAlign w:val="center"/>
          </w:tcPr>
          <w:p w14:paraId="5A1AF6FA" w14:textId="77777777" w:rsidR="00960BB8" w:rsidRDefault="00C06650">
            <w:pPr>
              <w:spacing w:after="120"/>
              <w:textAlignment w:val="center"/>
            </w:pPr>
            <w:r>
              <w:rPr>
                <w:rFonts w:ascii="Arial" w:eastAsia="宋体" w:hAnsi="Arial" w:cs="Arial"/>
                <w:color w:val="0068B5"/>
                <w:sz w:val="28"/>
                <w:szCs w:val="28"/>
              </w:rPr>
              <w:t>Natural Capital</w:t>
            </w:r>
          </w:p>
        </w:tc>
      </w:tr>
    </w:tbl>
    <w:p w14:paraId="5A1AF6FC" w14:textId="77777777" w:rsidR="00960BB8" w:rsidRDefault="00C06650">
      <w:pPr>
        <w:spacing w:after="180"/>
      </w:pPr>
      <w:r>
        <w:rPr>
          <w:rFonts w:ascii="Arial" w:eastAsia="宋体" w:hAnsi="Arial" w:cs="Arial"/>
          <w:color w:val="262626"/>
          <w:sz w:val="18"/>
          <w:szCs w:val="18"/>
        </w:rPr>
        <w:t>Driving to the lowest possible environmental footprint as we grow helps us create efficiencies, support our communities, and respond to the needs of our stakeholders. We invest in environmental projects and set company-wide environmental targets to drive r</w:t>
      </w:r>
      <w:r>
        <w:rPr>
          <w:rFonts w:ascii="Arial" w:eastAsia="宋体" w:hAnsi="Arial" w:cs="Arial"/>
          <w:color w:val="262626"/>
          <w:sz w:val="18"/>
          <w:szCs w:val="18"/>
        </w:rPr>
        <w:t>eductions in greenhouse gas emissions, energy and water use, and waste generation. We build energy efficiency into our products to help our customers lower their own emissions, energy usage and costs, and we collaborate with policymakers and other stakehol</w:t>
      </w:r>
      <w:r>
        <w:rPr>
          <w:rFonts w:ascii="Arial" w:eastAsia="宋体" w:hAnsi="Arial" w:cs="Arial"/>
          <w:color w:val="262626"/>
          <w:sz w:val="18"/>
          <w:szCs w:val="18"/>
        </w:rPr>
        <w:t xml:space="preserve">ders to use technology to address environmental challenges. </w:t>
      </w:r>
    </w:p>
    <w:p w14:paraId="5A1AF6FD" w14:textId="77777777" w:rsidR="00960BB8" w:rsidRDefault="00C06650">
      <w:pPr>
        <w:spacing w:after="180"/>
      </w:pPr>
      <w:r>
        <w:rPr>
          <w:rFonts w:ascii="Arial" w:eastAsia="宋体" w:hAnsi="Arial" w:cs="Arial"/>
          <w:color w:val="262626"/>
          <w:sz w:val="18"/>
          <w:szCs w:val="18"/>
        </w:rPr>
        <w:t>In April 2022, we announced our new goal to reach net-zero greenhouse gas emissions in our operations by 2040, creating an important target to strengthen our commitment to sustainable business pr</w:t>
      </w:r>
      <w:r>
        <w:rPr>
          <w:rFonts w:ascii="Arial" w:eastAsia="宋体" w:hAnsi="Arial" w:cs="Arial"/>
          <w:color w:val="262626"/>
          <w:sz w:val="18"/>
          <w:szCs w:val="18"/>
        </w:rPr>
        <w:t xml:space="preserve">actices. Our 2030 RISE goals continue to be important milestones to drive to higher levels of operational efficiency, including a goal of a 10% reduction in our greenhouse gas emissions on an absolute basis by 2030. We continue to take action on emissions </w:t>
      </w:r>
      <w:r>
        <w:rPr>
          <w:rFonts w:ascii="Arial" w:eastAsia="宋体" w:hAnsi="Arial" w:cs="Arial"/>
          <w:color w:val="262626"/>
          <w:sz w:val="18"/>
          <w:szCs w:val="18"/>
        </w:rPr>
        <w:t>reduction strategies focused on emissions abatement, additional investments in renewable electricity, process and equipment optimization, and energy conservation. Our RISE strategy also focuses on addressing climate change impacts upstream and downstream i</w:t>
      </w:r>
      <w:r>
        <w:rPr>
          <w:rFonts w:ascii="Arial" w:eastAsia="宋体" w:hAnsi="Arial" w:cs="Arial"/>
          <w:color w:val="262626"/>
          <w:sz w:val="18"/>
          <w:szCs w:val="18"/>
        </w:rPr>
        <w:t>n the value chain. This includes improving product energy efficiency and increasing our "handprint"—the ways in which Intel technologies can help others reduce their footprints, including Internet of Things solutions that enable intelligence in machines, b</w:t>
      </w:r>
      <w:r>
        <w:rPr>
          <w:rFonts w:ascii="Arial" w:eastAsia="宋体" w:hAnsi="Arial" w:cs="Arial"/>
          <w:color w:val="262626"/>
          <w:sz w:val="18"/>
          <w:szCs w:val="18"/>
        </w:rPr>
        <w:t xml:space="preserve">uildings, supply chains, and factories, and make electrical grids smarter, safer, and more efficient. </w:t>
      </w:r>
    </w:p>
    <w:p w14:paraId="5A1AF6FE" w14:textId="77777777" w:rsidR="00960BB8" w:rsidRDefault="00C06650">
      <w:pPr>
        <w:spacing w:after="180"/>
      </w:pPr>
      <w:r>
        <w:rPr>
          <w:rFonts w:ascii="Arial" w:eastAsia="宋体" w:hAnsi="Arial" w:cs="Arial"/>
          <w:color w:val="262626"/>
          <w:sz w:val="18"/>
          <w:szCs w:val="18"/>
        </w:rPr>
        <w:t>In Q3 2022, we completed our inaugural green bond issuance of $1.3 billion principal amount of senior notes. We are using the proceeds from the green bon</w:t>
      </w:r>
      <w:r>
        <w:rPr>
          <w:rFonts w:ascii="Arial" w:eastAsia="宋体" w:hAnsi="Arial" w:cs="Arial"/>
          <w:color w:val="262626"/>
          <w:sz w:val="18"/>
          <w:szCs w:val="18"/>
        </w:rPr>
        <w:t>d offering to fund projects that support our investments in sustainable operations, which can include items such as green buildings, energy efficiency, circular economy and waste management, greenhouse gas emissions reductions, water stewardship, and renew</w:t>
      </w:r>
      <w:r>
        <w:rPr>
          <w:rFonts w:ascii="Arial" w:eastAsia="宋体" w:hAnsi="Arial" w:cs="Arial"/>
          <w:color w:val="262626"/>
          <w:sz w:val="18"/>
          <w:szCs w:val="18"/>
        </w:rPr>
        <w:t>able energy. The first annual green bond impact report will be published in 2023 to provide an update on the allocation of the net proceeds.</w:t>
      </w:r>
    </w:p>
    <w:p w14:paraId="5A1AF6FF" w14:textId="77777777" w:rsidR="00960BB8" w:rsidRDefault="00C06650">
      <w:pPr>
        <w:spacing w:after="180"/>
        <w:ind w:hanging="180"/>
      </w:pPr>
      <w:r>
        <w:rPr>
          <w:rFonts w:ascii="Arial" w:eastAsia="宋体" w:hAnsi="Arial" w:cs="Arial"/>
          <w:color w:val="0068B5"/>
        </w:rPr>
        <w:t>Energy</w:t>
      </w:r>
    </w:p>
    <w:p w14:paraId="5A1AF700" w14:textId="77777777" w:rsidR="00960BB8" w:rsidRDefault="00C06650">
      <w:pPr>
        <w:spacing w:after="180"/>
      </w:pPr>
      <w:r>
        <w:rPr>
          <w:rFonts w:ascii="Arial" w:eastAsia="宋体" w:hAnsi="Arial" w:cs="Arial"/>
          <w:color w:val="262626"/>
          <w:sz w:val="18"/>
          <w:szCs w:val="18"/>
        </w:rPr>
        <w:t>We focus on reducing our own climate change impact, and over the past two decades have reduced our direct an</w:t>
      </w:r>
      <w:r>
        <w:rPr>
          <w:rFonts w:ascii="Arial" w:eastAsia="宋体" w:hAnsi="Arial" w:cs="Arial"/>
          <w:color w:val="262626"/>
          <w:sz w:val="18"/>
          <w:szCs w:val="18"/>
        </w:rPr>
        <w:t>d indirect greenhouse gas emissions associated with energy consumption. Through our RISE goals, we have committed to a goal of conserving 4 billion kWh of energy this decade. We have conserved approximately 973</w:t>
      </w:r>
      <w:r>
        <w:rPr>
          <w:rFonts w:ascii="Arial" w:eastAsia="宋体" w:hAnsi="Arial" w:cs="Arial"/>
          <w:color w:val="262626"/>
          <w:sz w:val="18"/>
          <w:szCs w:val="18"/>
          <w:shd w:val="clear" w:color="auto" w:fill="FFFFFF"/>
        </w:rPr>
        <w:t xml:space="preserve"> million</w:t>
      </w:r>
      <w:r>
        <w:rPr>
          <w:rFonts w:ascii="Arial" w:eastAsia="宋体" w:hAnsi="Arial" w:cs="Arial"/>
          <w:color w:val="262626"/>
          <w:sz w:val="18"/>
          <w:szCs w:val="18"/>
        </w:rPr>
        <w:t xml:space="preserve"> kWh</w:t>
      </w:r>
      <w:r>
        <w:rPr>
          <w:rFonts w:ascii="Arial" w:eastAsia="宋体" w:hAnsi="Arial" w:cs="Arial"/>
          <w:color w:val="262626"/>
          <w:sz w:val="11"/>
          <w:szCs w:val="11"/>
        </w:rPr>
        <w:t>1</w:t>
      </w:r>
      <w:r>
        <w:rPr>
          <w:rFonts w:ascii="Arial" w:eastAsia="宋体" w:hAnsi="Arial" w:cs="Arial"/>
          <w:color w:val="262626"/>
          <w:sz w:val="18"/>
          <w:szCs w:val="18"/>
        </w:rPr>
        <w:t xml:space="preserve"> of energy cumulatively since 2020. We also invest in renewable electricity and on-site alternative energy projects in support of our 2030 goal to achieve 100% renewable electricity use across our global operations. In 2022, continuing our practice of link</w:t>
      </w:r>
      <w:r>
        <w:rPr>
          <w:rFonts w:ascii="Arial" w:eastAsia="宋体" w:hAnsi="Arial" w:cs="Arial"/>
          <w:color w:val="262626"/>
          <w:sz w:val="18"/>
          <w:szCs w:val="18"/>
        </w:rPr>
        <w:t>ing a portion of our executive and employee performance bonus to our corporate sustainability metrics, we linked a portion of the performance bonus to our 2022 target to reach 90% renewable electricity use globally. We reached our target and achieved</w:t>
      </w:r>
      <w:r>
        <w:rPr>
          <w:rFonts w:ascii="Arial" w:eastAsia="宋体" w:hAnsi="Arial" w:cs="Arial"/>
          <w:color w:val="262626"/>
          <w:sz w:val="18"/>
          <w:szCs w:val="18"/>
          <w:shd w:val="clear" w:color="auto" w:fill="FFFFFF"/>
        </w:rPr>
        <w:t xml:space="preserve"> appro</w:t>
      </w:r>
      <w:r>
        <w:rPr>
          <w:rFonts w:ascii="Arial" w:eastAsia="宋体" w:hAnsi="Arial" w:cs="Arial"/>
          <w:color w:val="262626"/>
          <w:sz w:val="18"/>
          <w:szCs w:val="18"/>
          <w:shd w:val="clear" w:color="auto" w:fill="FFFFFF"/>
        </w:rPr>
        <w:t>ximately 91%</w:t>
      </w:r>
      <w:r>
        <w:rPr>
          <w:rFonts w:ascii="Arial" w:eastAsia="宋体" w:hAnsi="Arial" w:cs="Arial"/>
          <w:color w:val="262626"/>
          <w:sz w:val="11"/>
          <w:szCs w:val="11"/>
        </w:rPr>
        <w:t>1</w:t>
      </w:r>
      <w:r>
        <w:rPr>
          <w:rFonts w:ascii="Arial" w:eastAsia="宋体" w:hAnsi="Arial" w:cs="Arial"/>
          <w:color w:val="262626"/>
          <w:sz w:val="18"/>
          <w:szCs w:val="18"/>
        </w:rPr>
        <w:t xml:space="preserve"> renewable electricity usage globally in 2022.</w:t>
      </w:r>
    </w:p>
    <w:p w14:paraId="5A1AF701" w14:textId="77777777" w:rsidR="00960BB8" w:rsidRDefault="00960BB8">
      <w:pPr>
        <w:spacing w:after="180"/>
      </w:pPr>
    </w:p>
    <w:p w14:paraId="5A1AF702" w14:textId="77777777" w:rsidR="00960BB8" w:rsidRDefault="00960BB8">
      <w:pPr>
        <w:spacing w:after="180"/>
      </w:pPr>
    </w:p>
    <w:p w14:paraId="5A1AF703" w14:textId="77777777" w:rsidR="00960BB8" w:rsidRDefault="00960BB8">
      <w:pPr>
        <w:spacing w:after="180"/>
      </w:pPr>
    </w:p>
    <w:p w14:paraId="5A1AF704" w14:textId="77777777" w:rsidR="00960BB8" w:rsidRDefault="00C06650">
      <w:pPr>
        <w:spacing w:after="180"/>
      </w:pPr>
      <w:r>
        <w:rPr>
          <w:rFonts w:ascii="Arial" w:eastAsia="宋体" w:hAnsi="Arial" w:cs="Arial"/>
          <w:i/>
          <w:iCs/>
          <w:color w:val="262626"/>
          <w:sz w:val="10"/>
          <w:szCs w:val="10"/>
        </w:rPr>
        <w:t xml:space="preserve">1 </w:t>
      </w:r>
      <w:r>
        <w:rPr>
          <w:rFonts w:ascii="Arial" w:eastAsia="宋体" w:hAnsi="Arial" w:cs="Arial"/>
          <w:i/>
          <w:iCs/>
          <w:color w:val="262626"/>
          <w:sz w:val="16"/>
          <w:szCs w:val="16"/>
        </w:rPr>
        <w:t>This is a preliminary estimate. The final number will be reported in our 2022-23 Corporate Responsibility Report, to be issued later in 2023.</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960BB8" w14:paraId="5A1AF711" w14:textId="77777777">
        <w:tc>
          <w:tcPr>
            <w:tcW w:w="50" w:type="pct"/>
            <w:shd w:val="clear" w:color="auto" w:fill="auto"/>
            <w:vAlign w:val="bottom"/>
          </w:tcPr>
          <w:p w14:paraId="5A1AF705" w14:textId="77777777" w:rsidR="00960BB8" w:rsidRDefault="00960BB8">
            <w:pPr>
              <w:rPr>
                <w:rFonts w:ascii="宋体"/>
              </w:rPr>
            </w:pPr>
          </w:p>
        </w:tc>
        <w:tc>
          <w:tcPr>
            <w:tcW w:w="283" w:type="pct"/>
            <w:shd w:val="clear" w:color="auto" w:fill="auto"/>
            <w:vAlign w:val="bottom"/>
          </w:tcPr>
          <w:p w14:paraId="5A1AF706" w14:textId="77777777" w:rsidR="00960BB8" w:rsidRDefault="00960BB8">
            <w:pPr>
              <w:rPr>
                <w:rFonts w:ascii="宋体"/>
              </w:rPr>
            </w:pPr>
          </w:p>
        </w:tc>
        <w:tc>
          <w:tcPr>
            <w:tcW w:w="5" w:type="pct"/>
            <w:shd w:val="clear" w:color="auto" w:fill="auto"/>
            <w:vAlign w:val="bottom"/>
          </w:tcPr>
          <w:p w14:paraId="5A1AF707" w14:textId="77777777" w:rsidR="00960BB8" w:rsidRDefault="00960BB8">
            <w:pPr>
              <w:rPr>
                <w:rFonts w:ascii="宋体"/>
              </w:rPr>
            </w:pPr>
          </w:p>
        </w:tc>
        <w:tc>
          <w:tcPr>
            <w:tcW w:w="50" w:type="pct"/>
            <w:shd w:val="clear" w:color="auto" w:fill="auto"/>
            <w:vAlign w:val="bottom"/>
          </w:tcPr>
          <w:p w14:paraId="5A1AF708" w14:textId="77777777" w:rsidR="00960BB8" w:rsidRDefault="00960BB8">
            <w:pPr>
              <w:rPr>
                <w:rFonts w:ascii="宋体"/>
              </w:rPr>
            </w:pPr>
          </w:p>
        </w:tc>
        <w:tc>
          <w:tcPr>
            <w:tcW w:w="1039" w:type="pct"/>
            <w:shd w:val="clear" w:color="auto" w:fill="auto"/>
            <w:vAlign w:val="bottom"/>
          </w:tcPr>
          <w:p w14:paraId="5A1AF709" w14:textId="77777777" w:rsidR="00960BB8" w:rsidRDefault="00960BB8">
            <w:pPr>
              <w:rPr>
                <w:rFonts w:ascii="宋体"/>
              </w:rPr>
            </w:pPr>
          </w:p>
        </w:tc>
        <w:tc>
          <w:tcPr>
            <w:tcW w:w="5" w:type="pct"/>
            <w:shd w:val="clear" w:color="auto" w:fill="auto"/>
            <w:vAlign w:val="bottom"/>
          </w:tcPr>
          <w:p w14:paraId="5A1AF70A" w14:textId="77777777" w:rsidR="00960BB8" w:rsidRDefault="00960BB8">
            <w:pPr>
              <w:rPr>
                <w:rFonts w:ascii="宋体"/>
              </w:rPr>
            </w:pPr>
          </w:p>
        </w:tc>
        <w:tc>
          <w:tcPr>
            <w:tcW w:w="50" w:type="pct"/>
            <w:shd w:val="clear" w:color="auto" w:fill="auto"/>
            <w:vAlign w:val="bottom"/>
          </w:tcPr>
          <w:p w14:paraId="5A1AF70B" w14:textId="77777777" w:rsidR="00960BB8" w:rsidRDefault="00960BB8">
            <w:pPr>
              <w:rPr>
                <w:rFonts w:ascii="宋体"/>
              </w:rPr>
            </w:pPr>
          </w:p>
        </w:tc>
        <w:tc>
          <w:tcPr>
            <w:tcW w:w="1562" w:type="pct"/>
            <w:shd w:val="clear" w:color="auto" w:fill="auto"/>
            <w:vAlign w:val="bottom"/>
          </w:tcPr>
          <w:p w14:paraId="5A1AF70C" w14:textId="77777777" w:rsidR="00960BB8" w:rsidRDefault="00960BB8">
            <w:pPr>
              <w:rPr>
                <w:rFonts w:ascii="宋体"/>
              </w:rPr>
            </w:pPr>
          </w:p>
        </w:tc>
        <w:tc>
          <w:tcPr>
            <w:tcW w:w="5" w:type="pct"/>
            <w:shd w:val="clear" w:color="auto" w:fill="auto"/>
            <w:vAlign w:val="bottom"/>
          </w:tcPr>
          <w:p w14:paraId="5A1AF70D" w14:textId="77777777" w:rsidR="00960BB8" w:rsidRDefault="00960BB8">
            <w:pPr>
              <w:rPr>
                <w:rFonts w:ascii="宋体"/>
              </w:rPr>
            </w:pPr>
          </w:p>
        </w:tc>
        <w:tc>
          <w:tcPr>
            <w:tcW w:w="50" w:type="pct"/>
            <w:shd w:val="clear" w:color="auto" w:fill="auto"/>
            <w:vAlign w:val="bottom"/>
          </w:tcPr>
          <w:p w14:paraId="5A1AF70E" w14:textId="77777777" w:rsidR="00960BB8" w:rsidRDefault="00960BB8">
            <w:pPr>
              <w:rPr>
                <w:rFonts w:ascii="宋体"/>
              </w:rPr>
            </w:pPr>
          </w:p>
        </w:tc>
        <w:tc>
          <w:tcPr>
            <w:tcW w:w="1894" w:type="pct"/>
            <w:shd w:val="clear" w:color="auto" w:fill="auto"/>
            <w:vAlign w:val="bottom"/>
          </w:tcPr>
          <w:p w14:paraId="5A1AF70F" w14:textId="77777777" w:rsidR="00960BB8" w:rsidRDefault="00960BB8">
            <w:pPr>
              <w:rPr>
                <w:rFonts w:ascii="宋体"/>
              </w:rPr>
            </w:pPr>
          </w:p>
        </w:tc>
        <w:tc>
          <w:tcPr>
            <w:tcW w:w="5" w:type="pct"/>
            <w:shd w:val="clear" w:color="auto" w:fill="auto"/>
            <w:vAlign w:val="bottom"/>
          </w:tcPr>
          <w:p w14:paraId="5A1AF710" w14:textId="77777777" w:rsidR="00960BB8" w:rsidRDefault="00960BB8">
            <w:pPr>
              <w:rPr>
                <w:rFonts w:ascii="宋体"/>
              </w:rPr>
            </w:pPr>
          </w:p>
        </w:tc>
      </w:tr>
      <w:tr w:rsidR="00960BB8" w14:paraId="5A1AF716"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12"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75" wp14:editId="5A1B4376">
                  <wp:extent cx="304800" cy="304800"/>
                  <wp:effectExtent l="0" t="0" r="0" b="0"/>
                  <wp:docPr id="50" name="图片 9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13"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AF714" w14:textId="77777777" w:rsidR="00960BB8" w:rsidRDefault="00C06650">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15" w14:textId="77777777" w:rsidR="00960BB8" w:rsidRDefault="00C06650">
            <w:pPr>
              <w:jc w:val="right"/>
              <w:textAlignment w:val="center"/>
            </w:pPr>
            <w:r>
              <w:rPr>
                <w:rFonts w:ascii="Arial" w:eastAsia="宋体" w:hAnsi="Arial" w:cs="Arial"/>
                <w:color w:val="262626"/>
                <w:sz w:val="16"/>
                <w:szCs w:val="16"/>
              </w:rPr>
              <w:t>17</w:t>
            </w:r>
          </w:p>
        </w:tc>
      </w:tr>
    </w:tbl>
    <w:p w14:paraId="5A1AF717" w14:textId="77777777" w:rsidR="00960BB8" w:rsidRDefault="00C06650">
      <w:r>
        <w:pict w14:anchorId="5A1B4377">
          <v:rect id="_x0000_i1043" style="width:415.3pt;height:1.5pt" o:hralign="center" o:hrstd="t" o:hr="t" fillcolor="#a0a0a0" stroked="f"/>
        </w:pict>
      </w:r>
    </w:p>
    <w:p w14:paraId="5A1AF718" w14:textId="77777777" w:rsidR="00960BB8" w:rsidRDefault="00C06650">
      <w:pPr>
        <w:spacing w:after="180"/>
        <w:jc w:val="right"/>
      </w:pPr>
      <w:hyperlink r:id="rId46" w:anchor="i8aaa7b4dbd2e419ca0f5c30af85a11aa_16" w:history="1">
        <w:r>
          <w:rPr>
            <w:rStyle w:val="a5"/>
            <w:rFonts w:ascii="Arial" w:eastAsia="宋体" w:hAnsi="Arial" w:cs="Arial"/>
            <w:sz w:val="18"/>
            <w:szCs w:val="18"/>
          </w:rPr>
          <w:t>Table of Contents</w:t>
        </w:r>
      </w:hyperlink>
    </w:p>
    <w:p w14:paraId="5A1AF719" w14:textId="77777777" w:rsidR="00960BB8" w:rsidRDefault="00C06650">
      <w:pPr>
        <w:spacing w:after="180"/>
        <w:ind w:hanging="180"/>
      </w:pPr>
      <w:r>
        <w:rPr>
          <w:rFonts w:ascii="Arial" w:eastAsia="宋体" w:hAnsi="Arial" w:cs="Arial"/>
          <w:color w:val="0068B5"/>
        </w:rPr>
        <w:t>Water Stewardship</w:t>
      </w:r>
    </w:p>
    <w:p w14:paraId="5A1AF71A" w14:textId="77777777" w:rsidR="00960BB8" w:rsidRDefault="00C06650">
      <w:pPr>
        <w:spacing w:after="180"/>
      </w:pPr>
      <w:r>
        <w:rPr>
          <w:rFonts w:ascii="Arial" w:eastAsia="宋体" w:hAnsi="Arial" w:cs="Arial"/>
          <w:color w:val="262626"/>
          <w:sz w:val="18"/>
          <w:szCs w:val="18"/>
        </w:rPr>
        <w:t xml:space="preserve">Water is essential to the semiconductor manufacturing process. We use ultrapure water to remove impurities from our silicon </w:t>
      </w:r>
      <w:r>
        <w:rPr>
          <w:rFonts w:ascii="Arial" w:eastAsia="宋体" w:hAnsi="Arial" w:cs="Arial"/>
          <w:color w:val="262626"/>
          <w:sz w:val="18"/>
          <w:szCs w:val="18"/>
        </w:rPr>
        <w:t>wafers, and we use fresh and reclaimed water to run our manufacturing facility systems. Through our RISE goals, we have committed to achieve net positive water globally, and as part of that effort, conserve 60 billion gallons of water in this decade. Water</w:t>
      </w:r>
      <w:r>
        <w:rPr>
          <w:rFonts w:ascii="Arial" w:eastAsia="宋体" w:hAnsi="Arial" w:cs="Arial"/>
          <w:color w:val="262626"/>
          <w:sz w:val="18"/>
          <w:szCs w:val="18"/>
        </w:rPr>
        <w:t xml:space="preserve"> conservation reduces the amount of water needed from fresh water sources; we have conserve</w:t>
      </w:r>
      <w:r>
        <w:rPr>
          <w:rFonts w:ascii="Arial" w:eastAsia="宋体" w:hAnsi="Arial" w:cs="Arial"/>
          <w:color w:val="262626"/>
          <w:sz w:val="18"/>
          <w:szCs w:val="18"/>
          <w:shd w:val="clear" w:color="auto" w:fill="FFFFFF"/>
        </w:rPr>
        <w:t>d approximately 26.2 billion gallons</w:t>
      </w:r>
      <w:r>
        <w:rPr>
          <w:rFonts w:ascii="Arial" w:eastAsia="宋体" w:hAnsi="Arial" w:cs="Arial"/>
          <w:color w:val="262626"/>
          <w:sz w:val="11"/>
          <w:szCs w:val="11"/>
        </w:rPr>
        <w:t>1</w:t>
      </w:r>
      <w:r>
        <w:rPr>
          <w:rFonts w:ascii="Arial" w:eastAsia="宋体" w:hAnsi="Arial" w:cs="Arial"/>
          <w:color w:val="262626"/>
          <w:sz w:val="18"/>
          <w:szCs w:val="18"/>
          <w:shd w:val="clear" w:color="auto" w:fill="FFFFFF"/>
        </w:rPr>
        <w:t xml:space="preserve"> of water and enabled restoration of approximately 6.6 </w:t>
      </w:r>
      <w:r>
        <w:rPr>
          <w:rFonts w:ascii="Arial" w:eastAsia="宋体" w:hAnsi="Arial" w:cs="Arial"/>
          <w:color w:val="262626"/>
          <w:sz w:val="18"/>
          <w:szCs w:val="18"/>
        </w:rPr>
        <w:t>billion gallons</w:t>
      </w:r>
      <w:r>
        <w:rPr>
          <w:rFonts w:ascii="Arial" w:eastAsia="宋体" w:hAnsi="Arial" w:cs="Arial"/>
          <w:color w:val="262626"/>
          <w:sz w:val="11"/>
          <w:szCs w:val="11"/>
        </w:rPr>
        <w:t>1</w:t>
      </w:r>
      <w:r>
        <w:rPr>
          <w:rFonts w:ascii="Arial" w:eastAsia="宋体" w:hAnsi="Arial" w:cs="Arial"/>
          <w:color w:val="262626"/>
          <w:sz w:val="18"/>
          <w:szCs w:val="18"/>
        </w:rPr>
        <w:t xml:space="preserve"> of water since 2020. In 2022, we linked a portion of our</w:t>
      </w:r>
      <w:r>
        <w:rPr>
          <w:rFonts w:ascii="Arial" w:eastAsia="宋体" w:hAnsi="Arial" w:cs="Arial"/>
          <w:color w:val="262626"/>
          <w:sz w:val="18"/>
          <w:szCs w:val="18"/>
        </w:rPr>
        <w:t xml:space="preserve"> executive and employee performance bonus to our targets to conserve 8.5 billion gallons of water and restore 2.5 billion gallons of water to local watersheds, both of which we achieved.</w:t>
      </w:r>
    </w:p>
    <w:p w14:paraId="5A1AF71B" w14:textId="77777777" w:rsidR="00960BB8" w:rsidRDefault="00C06650">
      <w:pPr>
        <w:spacing w:after="180"/>
        <w:ind w:hanging="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78" wp14:editId="5A1B4379">
            <wp:extent cx="304800" cy="304800"/>
            <wp:effectExtent l="0" t="0" r="0" b="0"/>
            <wp:docPr id="48" name="图片 93"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3"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71C" w14:textId="77777777" w:rsidR="00960BB8" w:rsidRDefault="00C06650">
      <w:pPr>
        <w:spacing w:after="180"/>
      </w:pPr>
      <w:r>
        <w:rPr>
          <w:rFonts w:ascii="Arial" w:eastAsia="宋体" w:hAnsi="Arial" w:cs="Arial"/>
          <w:color w:val="0068B5"/>
        </w:rPr>
        <w:t>Circular Economy and Waste Management</w:t>
      </w:r>
    </w:p>
    <w:p w14:paraId="5A1AF71D" w14:textId="77777777" w:rsidR="00960BB8" w:rsidRDefault="00C06650">
      <w:pPr>
        <w:spacing w:after="180"/>
      </w:pPr>
      <w:r>
        <w:rPr>
          <w:rFonts w:ascii="Arial" w:eastAsia="宋体" w:hAnsi="Arial" w:cs="Arial"/>
          <w:color w:val="262626"/>
          <w:sz w:val="18"/>
          <w:szCs w:val="18"/>
        </w:rPr>
        <w:t>We have long been committed to waste management, recycling, and circular</w:t>
      </w:r>
      <w:r>
        <w:rPr>
          <w:rFonts w:ascii="Arial" w:eastAsia="宋体" w:hAnsi="Arial" w:cs="Arial"/>
          <w:color w:val="262626"/>
          <w:sz w:val="18"/>
          <w:szCs w:val="18"/>
        </w:rPr>
        <w:t xml:space="preserve"> economy strategies</w:t>
      </w:r>
      <w:r>
        <w:rPr>
          <w:rFonts w:ascii="Times New Roman" w:eastAsia="宋体" w:hAnsi="Times New Roman"/>
          <w:color w:val="262626"/>
          <w:sz w:val="12"/>
          <w:szCs w:val="12"/>
        </w:rPr>
        <w:t xml:space="preserve"> </w:t>
      </w:r>
      <w:r>
        <w:rPr>
          <w:rFonts w:ascii="Arial" w:eastAsia="宋体" w:hAnsi="Arial" w:cs="Arial"/>
          <w:color w:val="262626"/>
          <w:sz w:val="18"/>
          <w:szCs w:val="18"/>
        </w:rPr>
        <w:t>that enable the recovery and productive re-use of waste streams.</w:t>
      </w:r>
      <w:r>
        <w:rPr>
          <w:rFonts w:ascii="Arial" w:eastAsia="宋体" w:hAnsi="Arial" w:cs="Arial"/>
          <w:color w:val="262626"/>
          <w:sz w:val="18"/>
          <w:szCs w:val="18"/>
          <w:shd w:val="clear" w:color="auto" w:fill="FFFFFF"/>
        </w:rPr>
        <w:t xml:space="preserve"> Our 2030 goals include a target of zero total waste</w:t>
      </w:r>
      <w:r>
        <w:rPr>
          <w:rFonts w:ascii="Arial" w:eastAsia="宋体" w:hAnsi="Arial" w:cs="Arial"/>
          <w:color w:val="262626"/>
          <w:sz w:val="11"/>
          <w:szCs w:val="11"/>
          <w:shd w:val="clear" w:color="auto" w:fill="FFFFFF"/>
        </w:rPr>
        <w:t xml:space="preserve">2 </w:t>
      </w:r>
      <w:r>
        <w:rPr>
          <w:rFonts w:ascii="Arial" w:eastAsia="宋体" w:hAnsi="Arial" w:cs="Arial"/>
          <w:color w:val="262626"/>
          <w:sz w:val="18"/>
          <w:szCs w:val="18"/>
          <w:shd w:val="clear" w:color="auto" w:fill="FFFFFF"/>
        </w:rPr>
        <w:t xml:space="preserve">to landfill, as well as implementation of circular economy strategies for 60% of our manufacturing waste streams in partnership with our suppliers. </w:t>
      </w:r>
      <w:r>
        <w:rPr>
          <w:rFonts w:ascii="Arial" w:eastAsia="宋体" w:hAnsi="Arial" w:cs="Arial"/>
          <w:color w:val="262626"/>
          <w:sz w:val="18"/>
          <w:szCs w:val="18"/>
        </w:rPr>
        <w:t>We continue to focus on opportunities to upcycle waste by improving waste segregation practices and collabor</w:t>
      </w:r>
      <w:r>
        <w:rPr>
          <w:rFonts w:ascii="Arial" w:eastAsia="宋体" w:hAnsi="Arial" w:cs="Arial"/>
          <w:color w:val="262626"/>
          <w:sz w:val="18"/>
          <w:szCs w:val="18"/>
        </w:rPr>
        <w:t>ating with our suppliers to evaluate new technologies for waste recovery.</w:t>
      </w:r>
    </w:p>
    <w:p w14:paraId="5A1AF71E" w14:textId="77777777" w:rsidR="00960BB8" w:rsidRDefault="00C06650">
      <w:pPr>
        <w:spacing w:after="180"/>
        <w:ind w:hanging="180"/>
      </w:pPr>
      <w:r>
        <w:rPr>
          <w:rFonts w:ascii="Arial" w:eastAsia="宋体" w:hAnsi="Arial" w:cs="Arial"/>
          <w:color w:val="0068B5"/>
        </w:rPr>
        <w:t>Governance and Disclosure</w:t>
      </w:r>
    </w:p>
    <w:p w14:paraId="5A1AF71F" w14:textId="77777777" w:rsidR="00960BB8" w:rsidRDefault="00C06650">
      <w:pPr>
        <w:spacing w:after="180"/>
      </w:pPr>
      <w:r>
        <w:rPr>
          <w:rFonts w:ascii="Arial" w:eastAsia="宋体" w:hAnsi="Arial" w:cs="Arial"/>
          <w:color w:val="262626"/>
          <w:sz w:val="18"/>
          <w:szCs w:val="18"/>
        </w:rPr>
        <w:t>We are committed to transparency around our carbon footprint and climate risk, and use the framework developed by the TCFD to inform our disclosure on clima</w:t>
      </w:r>
      <w:r>
        <w:rPr>
          <w:rFonts w:ascii="Arial" w:eastAsia="宋体" w:hAnsi="Arial" w:cs="Arial"/>
          <w:color w:val="262626"/>
          <w:sz w:val="18"/>
          <w:szCs w:val="18"/>
        </w:rPr>
        <w:t xml:space="preserve">te governance, strategy, risk management, and metrics and targets. For governance and strategy, we follow an integrated approach to address climate change, with multiple teams responsible for managing climate-related activities, initiatives, and policies, </w:t>
      </w:r>
      <w:r>
        <w:rPr>
          <w:rFonts w:ascii="Arial" w:eastAsia="宋体" w:hAnsi="Arial" w:cs="Arial"/>
          <w:color w:val="262626"/>
          <w:sz w:val="18"/>
          <w:szCs w:val="18"/>
        </w:rPr>
        <w:t>with senior-level management involvement and board-level oversight, including the Corporate Governance and Nominating Committee. We describe our overall risk management processes in our Proxy Statement, and describe our climate-related risks and opportunit</w:t>
      </w:r>
      <w:r>
        <w:rPr>
          <w:rFonts w:ascii="Arial" w:eastAsia="宋体" w:hAnsi="Arial" w:cs="Arial"/>
          <w:color w:val="262626"/>
          <w:sz w:val="18"/>
          <w:szCs w:val="18"/>
        </w:rPr>
        <w:t>ies in our annual Corporate Responsibility Report, the Intel Climate Change Policy, and "Risk Factors" within this Form 10-K. In addition to what is included within this Form 10-K, information about and progress toward our RISE goals is included in our Cor</w:t>
      </w:r>
      <w:r>
        <w:rPr>
          <w:rFonts w:ascii="Arial" w:eastAsia="宋体" w:hAnsi="Arial" w:cs="Arial"/>
          <w:color w:val="262626"/>
          <w:sz w:val="18"/>
          <w:szCs w:val="18"/>
        </w:rPr>
        <w:t>porate Responsibility Report. Our Corporate Responsibility Report also includes a mapping of our disclosure to the TCFD and SASB frameworks. The Corporate Responsibility Report and our CDP Climate Change Survey are available on our website and are publishe</w:t>
      </w:r>
      <w:r>
        <w:rPr>
          <w:rFonts w:ascii="Arial" w:eastAsia="宋体" w:hAnsi="Arial" w:cs="Arial"/>
          <w:color w:val="262626"/>
          <w:sz w:val="18"/>
          <w:szCs w:val="18"/>
        </w:rPr>
        <w:t>d annually.</w:t>
      </w:r>
      <w:r>
        <w:rPr>
          <w:rFonts w:ascii="Arial" w:eastAsia="宋体" w:hAnsi="Arial" w:cs="Arial"/>
          <w:color w:val="262626"/>
          <w:sz w:val="11"/>
          <w:szCs w:val="11"/>
        </w:rPr>
        <w:t>3</w:t>
      </w:r>
      <w:r>
        <w:rPr>
          <w:rFonts w:ascii="Arial" w:eastAsia="宋体" w:hAnsi="Arial" w:cs="Arial"/>
          <w:color w:val="262626"/>
          <w:sz w:val="18"/>
          <w:szCs w:val="18"/>
        </w:rPr>
        <w:t xml:space="preserve"> </w:t>
      </w:r>
    </w:p>
    <w:p w14:paraId="5A1AF720" w14:textId="77777777" w:rsidR="00960BB8" w:rsidRDefault="00960BB8">
      <w:pPr>
        <w:ind w:hanging="180"/>
      </w:pPr>
    </w:p>
    <w:p w14:paraId="5A1AF721" w14:textId="77777777" w:rsidR="00960BB8" w:rsidRDefault="00960BB8">
      <w:pPr>
        <w:spacing w:after="60"/>
      </w:pPr>
    </w:p>
    <w:p w14:paraId="5A1AF722" w14:textId="77777777" w:rsidR="00960BB8" w:rsidRDefault="00960BB8">
      <w:pPr>
        <w:spacing w:after="60"/>
      </w:pPr>
    </w:p>
    <w:p w14:paraId="5A1AF723" w14:textId="77777777" w:rsidR="00960BB8" w:rsidRDefault="00960BB8">
      <w:pPr>
        <w:spacing w:after="60"/>
      </w:pPr>
    </w:p>
    <w:p w14:paraId="5A1AF724" w14:textId="77777777" w:rsidR="00960BB8" w:rsidRDefault="00960BB8">
      <w:pPr>
        <w:spacing w:after="60"/>
      </w:pPr>
    </w:p>
    <w:p w14:paraId="5A1AF725" w14:textId="77777777" w:rsidR="00960BB8" w:rsidRDefault="00960BB8">
      <w:pPr>
        <w:spacing w:after="60"/>
      </w:pPr>
    </w:p>
    <w:p w14:paraId="5A1AF726" w14:textId="77777777" w:rsidR="00960BB8" w:rsidRDefault="00960BB8">
      <w:pPr>
        <w:spacing w:after="60"/>
      </w:pPr>
    </w:p>
    <w:p w14:paraId="5A1AF727" w14:textId="77777777" w:rsidR="00960BB8" w:rsidRDefault="00960BB8">
      <w:pPr>
        <w:spacing w:after="60"/>
      </w:pPr>
    </w:p>
    <w:p w14:paraId="5A1AF728" w14:textId="77777777" w:rsidR="00960BB8" w:rsidRDefault="00960BB8">
      <w:pPr>
        <w:spacing w:after="60"/>
      </w:pPr>
    </w:p>
    <w:p w14:paraId="5A1AF729" w14:textId="77777777" w:rsidR="00960BB8" w:rsidRDefault="00960BB8">
      <w:pPr>
        <w:spacing w:after="60"/>
      </w:pPr>
    </w:p>
    <w:p w14:paraId="5A1AF72A" w14:textId="77777777" w:rsidR="00960BB8" w:rsidRDefault="00960BB8">
      <w:pPr>
        <w:spacing w:after="60"/>
      </w:pPr>
    </w:p>
    <w:p w14:paraId="5A1AF72B" w14:textId="77777777" w:rsidR="00960BB8" w:rsidRDefault="00960BB8">
      <w:pPr>
        <w:spacing w:after="60"/>
      </w:pPr>
    </w:p>
    <w:p w14:paraId="5A1AF72C" w14:textId="77777777" w:rsidR="00960BB8" w:rsidRDefault="00960BB8">
      <w:pPr>
        <w:spacing w:after="60"/>
      </w:pPr>
    </w:p>
    <w:p w14:paraId="5A1AF72D" w14:textId="77777777" w:rsidR="00960BB8" w:rsidRDefault="00960BB8">
      <w:pPr>
        <w:spacing w:after="60"/>
      </w:pPr>
    </w:p>
    <w:p w14:paraId="5A1AF72E" w14:textId="77777777" w:rsidR="00960BB8" w:rsidRDefault="00960BB8">
      <w:pPr>
        <w:spacing w:after="60"/>
      </w:pPr>
    </w:p>
    <w:p w14:paraId="5A1AF72F" w14:textId="77777777" w:rsidR="00960BB8" w:rsidRDefault="00960BB8">
      <w:pPr>
        <w:spacing w:after="60"/>
      </w:pPr>
    </w:p>
    <w:p w14:paraId="5A1AF730" w14:textId="77777777" w:rsidR="00960BB8" w:rsidRDefault="00960BB8">
      <w:pPr>
        <w:spacing w:after="60"/>
      </w:pPr>
    </w:p>
    <w:p w14:paraId="5A1AF731" w14:textId="77777777" w:rsidR="00960BB8" w:rsidRDefault="00960BB8">
      <w:pPr>
        <w:spacing w:after="60"/>
      </w:pPr>
    </w:p>
    <w:p w14:paraId="5A1AF732" w14:textId="77777777" w:rsidR="00960BB8" w:rsidRDefault="00960BB8">
      <w:pPr>
        <w:spacing w:after="60"/>
      </w:pPr>
    </w:p>
    <w:p w14:paraId="5A1AF733" w14:textId="77777777" w:rsidR="00960BB8" w:rsidRDefault="00960BB8">
      <w:pPr>
        <w:spacing w:after="60"/>
      </w:pPr>
    </w:p>
    <w:p w14:paraId="5A1AF734" w14:textId="77777777" w:rsidR="00960BB8" w:rsidRDefault="00960BB8">
      <w:pPr>
        <w:spacing w:after="60"/>
      </w:pPr>
    </w:p>
    <w:p w14:paraId="5A1AF735" w14:textId="77777777" w:rsidR="00960BB8" w:rsidRDefault="00960BB8">
      <w:pPr>
        <w:spacing w:after="60"/>
      </w:pPr>
    </w:p>
    <w:p w14:paraId="5A1AF736" w14:textId="77777777" w:rsidR="00960BB8" w:rsidRDefault="00C06650">
      <w:pPr>
        <w:spacing w:after="60"/>
      </w:pPr>
      <w:r>
        <w:rPr>
          <w:rFonts w:ascii="Arial" w:eastAsia="宋体" w:hAnsi="Arial" w:cs="Arial"/>
          <w:i/>
          <w:iCs/>
          <w:color w:val="262626"/>
          <w:sz w:val="10"/>
          <w:szCs w:val="10"/>
        </w:rPr>
        <w:t xml:space="preserve">1 </w:t>
      </w:r>
      <w:r>
        <w:rPr>
          <w:rFonts w:ascii="Arial" w:eastAsia="宋体" w:hAnsi="Arial" w:cs="Arial"/>
          <w:i/>
          <w:iCs/>
          <w:color w:val="262626"/>
          <w:sz w:val="16"/>
          <w:szCs w:val="16"/>
        </w:rPr>
        <w:t>This is a preliminary estimate. The final number will be reported in our 2022-23 Corporate Responsibility Report, to be issued later in 2023.</w:t>
      </w:r>
    </w:p>
    <w:p w14:paraId="5A1AF737" w14:textId="77777777" w:rsidR="00960BB8" w:rsidRDefault="00C06650">
      <w:pPr>
        <w:spacing w:after="60"/>
      </w:pPr>
      <w:r>
        <w:rPr>
          <w:rFonts w:ascii="Arial" w:eastAsia="宋体" w:hAnsi="Arial" w:cs="Arial"/>
          <w:i/>
          <w:iCs/>
          <w:color w:val="262626"/>
          <w:sz w:val="10"/>
          <w:szCs w:val="10"/>
        </w:rPr>
        <w:t>2</w:t>
      </w:r>
      <w:r>
        <w:rPr>
          <w:rFonts w:ascii="Arial" w:eastAsia="宋体" w:hAnsi="Arial" w:cs="Arial"/>
          <w:i/>
          <w:iCs/>
          <w:color w:val="262626"/>
          <w:sz w:val="16"/>
          <w:szCs w:val="16"/>
        </w:rPr>
        <w:t xml:space="preserve"> Intel defines zero waste as less than 1%.</w:t>
      </w:r>
    </w:p>
    <w:p w14:paraId="5A1AF738" w14:textId="77777777" w:rsidR="00960BB8" w:rsidRDefault="00C06650">
      <w:pPr>
        <w:spacing w:after="60"/>
        <w:ind w:hanging="90"/>
      </w:pPr>
      <w:r>
        <w:rPr>
          <w:rFonts w:ascii="Arial" w:eastAsia="宋体" w:hAnsi="Arial" w:cs="Arial"/>
          <w:i/>
          <w:iCs/>
          <w:color w:val="262626"/>
          <w:sz w:val="10"/>
          <w:szCs w:val="10"/>
        </w:rPr>
        <w:t xml:space="preserve">3 </w:t>
      </w:r>
      <w:r>
        <w:rPr>
          <w:rFonts w:ascii="Arial" w:eastAsia="宋体" w:hAnsi="Arial" w:cs="Arial"/>
          <w:i/>
          <w:iCs/>
          <w:color w:val="262626"/>
          <w:sz w:val="16"/>
          <w:szCs w:val="16"/>
        </w:rPr>
        <w:t>The contents of our website and our Corporate Responsibility Report, Climate Change Policy, and CDP Climate Change Survey are referenced for general information only and are not incorporated by reference in this</w:t>
      </w:r>
      <w:r>
        <w:rPr>
          <w:rFonts w:ascii="Arial" w:eastAsia="宋体" w:hAnsi="Arial" w:cs="Arial"/>
          <w:i/>
          <w:iCs/>
          <w:color w:val="262626"/>
          <w:sz w:val="16"/>
          <w:szCs w:val="16"/>
        </w:rPr>
        <w:t xml:space="preserve"> Form 10-K.</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960BB8" w14:paraId="5A1AF745" w14:textId="77777777">
        <w:tc>
          <w:tcPr>
            <w:tcW w:w="50" w:type="pct"/>
            <w:shd w:val="clear" w:color="auto" w:fill="auto"/>
            <w:vAlign w:val="bottom"/>
          </w:tcPr>
          <w:p w14:paraId="5A1AF739" w14:textId="77777777" w:rsidR="00960BB8" w:rsidRDefault="00960BB8">
            <w:pPr>
              <w:rPr>
                <w:rFonts w:ascii="宋体"/>
              </w:rPr>
            </w:pPr>
          </w:p>
        </w:tc>
        <w:tc>
          <w:tcPr>
            <w:tcW w:w="283" w:type="pct"/>
            <w:shd w:val="clear" w:color="auto" w:fill="auto"/>
            <w:vAlign w:val="bottom"/>
          </w:tcPr>
          <w:p w14:paraId="5A1AF73A" w14:textId="77777777" w:rsidR="00960BB8" w:rsidRDefault="00960BB8">
            <w:pPr>
              <w:rPr>
                <w:rFonts w:ascii="宋体"/>
              </w:rPr>
            </w:pPr>
          </w:p>
        </w:tc>
        <w:tc>
          <w:tcPr>
            <w:tcW w:w="5" w:type="pct"/>
            <w:shd w:val="clear" w:color="auto" w:fill="auto"/>
            <w:vAlign w:val="bottom"/>
          </w:tcPr>
          <w:p w14:paraId="5A1AF73B" w14:textId="77777777" w:rsidR="00960BB8" w:rsidRDefault="00960BB8">
            <w:pPr>
              <w:rPr>
                <w:rFonts w:ascii="宋体"/>
              </w:rPr>
            </w:pPr>
          </w:p>
        </w:tc>
        <w:tc>
          <w:tcPr>
            <w:tcW w:w="50" w:type="pct"/>
            <w:shd w:val="clear" w:color="auto" w:fill="auto"/>
            <w:vAlign w:val="bottom"/>
          </w:tcPr>
          <w:p w14:paraId="5A1AF73C" w14:textId="77777777" w:rsidR="00960BB8" w:rsidRDefault="00960BB8">
            <w:pPr>
              <w:rPr>
                <w:rFonts w:ascii="宋体"/>
              </w:rPr>
            </w:pPr>
          </w:p>
        </w:tc>
        <w:tc>
          <w:tcPr>
            <w:tcW w:w="1039" w:type="pct"/>
            <w:shd w:val="clear" w:color="auto" w:fill="auto"/>
            <w:vAlign w:val="bottom"/>
          </w:tcPr>
          <w:p w14:paraId="5A1AF73D" w14:textId="77777777" w:rsidR="00960BB8" w:rsidRDefault="00960BB8">
            <w:pPr>
              <w:rPr>
                <w:rFonts w:ascii="宋体"/>
              </w:rPr>
            </w:pPr>
          </w:p>
        </w:tc>
        <w:tc>
          <w:tcPr>
            <w:tcW w:w="5" w:type="pct"/>
            <w:shd w:val="clear" w:color="auto" w:fill="auto"/>
            <w:vAlign w:val="bottom"/>
          </w:tcPr>
          <w:p w14:paraId="5A1AF73E" w14:textId="77777777" w:rsidR="00960BB8" w:rsidRDefault="00960BB8">
            <w:pPr>
              <w:rPr>
                <w:rFonts w:ascii="宋体"/>
              </w:rPr>
            </w:pPr>
          </w:p>
        </w:tc>
        <w:tc>
          <w:tcPr>
            <w:tcW w:w="50" w:type="pct"/>
            <w:shd w:val="clear" w:color="auto" w:fill="auto"/>
            <w:vAlign w:val="bottom"/>
          </w:tcPr>
          <w:p w14:paraId="5A1AF73F" w14:textId="77777777" w:rsidR="00960BB8" w:rsidRDefault="00960BB8">
            <w:pPr>
              <w:rPr>
                <w:rFonts w:ascii="宋体"/>
              </w:rPr>
            </w:pPr>
          </w:p>
        </w:tc>
        <w:tc>
          <w:tcPr>
            <w:tcW w:w="1562" w:type="pct"/>
            <w:shd w:val="clear" w:color="auto" w:fill="auto"/>
            <w:vAlign w:val="bottom"/>
          </w:tcPr>
          <w:p w14:paraId="5A1AF740" w14:textId="77777777" w:rsidR="00960BB8" w:rsidRDefault="00960BB8">
            <w:pPr>
              <w:rPr>
                <w:rFonts w:ascii="宋体"/>
              </w:rPr>
            </w:pPr>
          </w:p>
        </w:tc>
        <w:tc>
          <w:tcPr>
            <w:tcW w:w="5" w:type="pct"/>
            <w:shd w:val="clear" w:color="auto" w:fill="auto"/>
            <w:vAlign w:val="bottom"/>
          </w:tcPr>
          <w:p w14:paraId="5A1AF741" w14:textId="77777777" w:rsidR="00960BB8" w:rsidRDefault="00960BB8">
            <w:pPr>
              <w:rPr>
                <w:rFonts w:ascii="宋体"/>
              </w:rPr>
            </w:pPr>
          </w:p>
        </w:tc>
        <w:tc>
          <w:tcPr>
            <w:tcW w:w="50" w:type="pct"/>
            <w:shd w:val="clear" w:color="auto" w:fill="auto"/>
            <w:vAlign w:val="bottom"/>
          </w:tcPr>
          <w:p w14:paraId="5A1AF742" w14:textId="77777777" w:rsidR="00960BB8" w:rsidRDefault="00960BB8">
            <w:pPr>
              <w:rPr>
                <w:rFonts w:ascii="宋体"/>
              </w:rPr>
            </w:pPr>
          </w:p>
        </w:tc>
        <w:tc>
          <w:tcPr>
            <w:tcW w:w="1894" w:type="pct"/>
            <w:shd w:val="clear" w:color="auto" w:fill="auto"/>
            <w:vAlign w:val="bottom"/>
          </w:tcPr>
          <w:p w14:paraId="5A1AF743" w14:textId="77777777" w:rsidR="00960BB8" w:rsidRDefault="00960BB8">
            <w:pPr>
              <w:rPr>
                <w:rFonts w:ascii="宋体"/>
              </w:rPr>
            </w:pPr>
          </w:p>
        </w:tc>
        <w:tc>
          <w:tcPr>
            <w:tcW w:w="5" w:type="pct"/>
            <w:shd w:val="clear" w:color="auto" w:fill="auto"/>
            <w:vAlign w:val="bottom"/>
          </w:tcPr>
          <w:p w14:paraId="5A1AF744" w14:textId="77777777" w:rsidR="00960BB8" w:rsidRDefault="00960BB8">
            <w:pPr>
              <w:rPr>
                <w:rFonts w:ascii="宋体"/>
              </w:rPr>
            </w:pPr>
          </w:p>
        </w:tc>
      </w:tr>
      <w:tr w:rsidR="00960BB8" w14:paraId="5A1AF74A"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46"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7A" wp14:editId="5A1B437B">
                  <wp:extent cx="304800" cy="304800"/>
                  <wp:effectExtent l="0" t="0" r="0" b="0"/>
                  <wp:docPr id="119" name="图片 9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47" w14:textId="77777777" w:rsidR="00960BB8" w:rsidRDefault="00C06650">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AF748" w14:textId="77777777" w:rsidR="00960BB8" w:rsidRDefault="00C06650">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49" w14:textId="77777777" w:rsidR="00960BB8" w:rsidRDefault="00C06650">
            <w:pPr>
              <w:jc w:val="right"/>
              <w:textAlignment w:val="center"/>
            </w:pPr>
            <w:r>
              <w:rPr>
                <w:rFonts w:ascii="Arial" w:eastAsia="宋体" w:hAnsi="Arial" w:cs="Arial"/>
                <w:color w:val="262626"/>
                <w:sz w:val="16"/>
                <w:szCs w:val="16"/>
              </w:rPr>
              <w:t>18</w:t>
            </w:r>
          </w:p>
        </w:tc>
      </w:tr>
    </w:tbl>
    <w:p w14:paraId="5A1AF74B" w14:textId="77777777" w:rsidR="00960BB8" w:rsidRDefault="00C06650">
      <w:r>
        <w:pict w14:anchorId="5A1B437C">
          <v:rect id="_x0000_i1044" style="width:415.3pt;height:1.5pt" o:hralign="center" o:hrstd="t" o:hr="t" fillcolor="#a0a0a0" stroked="f"/>
        </w:pict>
      </w:r>
    </w:p>
    <w:p w14:paraId="5A1AF74C" w14:textId="77777777" w:rsidR="00960BB8" w:rsidRDefault="00C06650">
      <w:pPr>
        <w:spacing w:after="180"/>
        <w:jc w:val="right"/>
      </w:pPr>
      <w:hyperlink r:id="rId47" w:anchor="i8aaa7b4dbd2e419ca0f5c30af85a11aa_16" w:history="1">
        <w:r>
          <w:rPr>
            <w:rStyle w:val="a5"/>
            <w:rFonts w:ascii="Arial" w:eastAsia="宋体" w:hAnsi="Arial" w:cs="Arial"/>
            <w:sz w:val="18"/>
            <w:szCs w:val="18"/>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AF753" w14:textId="77777777">
        <w:tc>
          <w:tcPr>
            <w:tcW w:w="50" w:type="pct"/>
            <w:shd w:val="clear" w:color="auto" w:fill="auto"/>
            <w:vAlign w:val="bottom"/>
          </w:tcPr>
          <w:p w14:paraId="5A1AF74D" w14:textId="77777777" w:rsidR="00960BB8" w:rsidRDefault="00960BB8">
            <w:pPr>
              <w:rPr>
                <w:rFonts w:ascii="宋体"/>
              </w:rPr>
            </w:pPr>
          </w:p>
        </w:tc>
        <w:tc>
          <w:tcPr>
            <w:tcW w:w="4870" w:type="pct"/>
            <w:shd w:val="clear" w:color="auto" w:fill="auto"/>
            <w:vAlign w:val="bottom"/>
          </w:tcPr>
          <w:p w14:paraId="5A1AF74E" w14:textId="77777777" w:rsidR="00960BB8" w:rsidRDefault="00960BB8">
            <w:pPr>
              <w:rPr>
                <w:rFonts w:ascii="宋体"/>
              </w:rPr>
            </w:pPr>
          </w:p>
        </w:tc>
        <w:tc>
          <w:tcPr>
            <w:tcW w:w="5" w:type="pct"/>
            <w:shd w:val="clear" w:color="auto" w:fill="auto"/>
            <w:vAlign w:val="bottom"/>
          </w:tcPr>
          <w:p w14:paraId="5A1AF74F" w14:textId="77777777" w:rsidR="00960BB8" w:rsidRDefault="00960BB8">
            <w:pPr>
              <w:rPr>
                <w:rFonts w:ascii="宋体"/>
              </w:rPr>
            </w:pPr>
          </w:p>
        </w:tc>
        <w:tc>
          <w:tcPr>
            <w:tcW w:w="5" w:type="pct"/>
            <w:shd w:val="clear" w:color="auto" w:fill="auto"/>
            <w:vAlign w:val="bottom"/>
          </w:tcPr>
          <w:p w14:paraId="5A1AF750" w14:textId="77777777" w:rsidR="00960BB8" w:rsidRDefault="00960BB8">
            <w:pPr>
              <w:rPr>
                <w:rFonts w:ascii="宋体"/>
              </w:rPr>
            </w:pPr>
          </w:p>
        </w:tc>
        <w:tc>
          <w:tcPr>
            <w:tcW w:w="64" w:type="pct"/>
            <w:shd w:val="clear" w:color="auto" w:fill="auto"/>
            <w:vAlign w:val="bottom"/>
          </w:tcPr>
          <w:p w14:paraId="5A1AF751" w14:textId="77777777" w:rsidR="00960BB8" w:rsidRDefault="00960BB8">
            <w:pPr>
              <w:rPr>
                <w:rFonts w:ascii="宋体"/>
              </w:rPr>
            </w:pPr>
          </w:p>
        </w:tc>
        <w:tc>
          <w:tcPr>
            <w:tcW w:w="5" w:type="pct"/>
            <w:shd w:val="clear" w:color="auto" w:fill="auto"/>
            <w:vAlign w:val="bottom"/>
          </w:tcPr>
          <w:p w14:paraId="5A1AF752" w14:textId="77777777" w:rsidR="00960BB8" w:rsidRDefault="00960BB8">
            <w:pPr>
              <w:rPr>
                <w:rFonts w:ascii="宋体"/>
              </w:rPr>
            </w:pPr>
          </w:p>
        </w:tc>
      </w:tr>
      <w:tr w:rsidR="00960BB8" w14:paraId="5A1AF756" w14:textId="77777777">
        <w:tc>
          <w:tcPr>
            <w:tcW w:w="0" w:type="auto"/>
            <w:gridSpan w:val="3"/>
            <w:shd w:val="clear" w:color="auto" w:fill="004A86"/>
            <w:tcMar>
              <w:top w:w="40" w:type="dxa"/>
              <w:left w:w="20" w:type="dxa"/>
              <w:bottom w:w="40" w:type="dxa"/>
              <w:right w:w="20" w:type="dxa"/>
            </w:tcMar>
            <w:vAlign w:val="center"/>
          </w:tcPr>
          <w:p w14:paraId="5A1AF754" w14:textId="77777777" w:rsidR="00960BB8" w:rsidRDefault="00C06650">
            <w:pPr>
              <w:textAlignment w:val="center"/>
            </w:pPr>
            <w:r>
              <w:rPr>
                <w:rFonts w:ascii="Arial" w:eastAsia="宋体" w:hAnsi="Arial" w:cs="Arial"/>
                <w:color w:val="FFFFFF"/>
                <w:sz w:val="36"/>
                <w:szCs w:val="36"/>
              </w:rPr>
              <w:t>Management's Discussion and Analysis</w:t>
            </w:r>
          </w:p>
        </w:tc>
        <w:tc>
          <w:tcPr>
            <w:tcW w:w="0" w:type="auto"/>
            <w:gridSpan w:val="3"/>
            <w:shd w:val="clear" w:color="auto" w:fill="auto"/>
            <w:tcMar>
              <w:top w:w="0" w:type="dxa"/>
              <w:left w:w="20" w:type="dxa"/>
              <w:bottom w:w="0" w:type="dxa"/>
              <w:right w:w="20" w:type="dxa"/>
            </w:tcMar>
            <w:vAlign w:val="bottom"/>
          </w:tcPr>
          <w:p w14:paraId="5A1AF755" w14:textId="77777777" w:rsidR="00960BB8" w:rsidRDefault="00960BB8">
            <w:pPr>
              <w:rPr>
                <w:rFonts w:ascii="宋体"/>
              </w:rPr>
            </w:pPr>
          </w:p>
        </w:tc>
      </w:tr>
      <w:tr w:rsidR="00960BB8" w14:paraId="5A1AF759" w14:textId="77777777">
        <w:trPr>
          <w:trHeight w:val="160"/>
        </w:trPr>
        <w:tc>
          <w:tcPr>
            <w:tcW w:w="0" w:type="auto"/>
            <w:gridSpan w:val="3"/>
            <w:shd w:val="clear" w:color="auto" w:fill="auto"/>
            <w:tcMar>
              <w:top w:w="0" w:type="dxa"/>
              <w:left w:w="20" w:type="dxa"/>
              <w:bottom w:w="0" w:type="dxa"/>
              <w:right w:w="20" w:type="dxa"/>
            </w:tcMar>
            <w:vAlign w:val="bottom"/>
          </w:tcPr>
          <w:p w14:paraId="5A1AF757"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AF758" w14:textId="77777777" w:rsidR="00960BB8" w:rsidRDefault="00960BB8">
            <w:pPr>
              <w:rPr>
                <w:rFonts w:ascii="宋体"/>
              </w:rPr>
            </w:pPr>
          </w:p>
        </w:tc>
      </w:tr>
    </w:tbl>
    <w:p w14:paraId="5A1AF75A" w14:textId="77777777" w:rsidR="00960BB8" w:rsidRDefault="00C06650">
      <w:pPr>
        <w:spacing w:after="180"/>
      </w:pPr>
      <w:r>
        <w:rPr>
          <w:rFonts w:ascii="Arial" w:eastAsia="宋体" w:hAnsi="Arial" w:cs="Arial"/>
          <w:color w:val="0068B5"/>
          <w:sz w:val="28"/>
          <w:szCs w:val="28"/>
        </w:rPr>
        <w:t>Our Products</w:t>
      </w:r>
    </w:p>
    <w:p w14:paraId="5A1AF75B" w14:textId="77777777" w:rsidR="00960BB8" w:rsidRDefault="00C06650">
      <w:pPr>
        <w:spacing w:after="180"/>
      </w:pPr>
      <w:r>
        <w:rPr>
          <w:rFonts w:ascii="Arial" w:eastAsia="宋体" w:hAnsi="Arial" w:cs="Arial"/>
          <w:color w:val="262626"/>
          <w:sz w:val="18"/>
          <w:szCs w:val="18"/>
        </w:rPr>
        <w:t>We are a global IDM of CPUs and related solutions that we design, develop, manufacture, market, sell, support and service. Our CPUs and related solutions are incorporated in computing and related end products and services, and utilized globally by consumer</w:t>
      </w:r>
      <w:r>
        <w:rPr>
          <w:rFonts w:ascii="Arial" w:eastAsia="宋体" w:hAnsi="Arial" w:cs="Arial"/>
          <w:color w:val="262626"/>
          <w:sz w:val="18"/>
          <w:szCs w:val="18"/>
        </w:rPr>
        <w:t xml:space="preserve">s, enterprises, governments, and educational organizations. Our customers primarily include OEMs, ODMs, cloud service providers, and other equipment manufacturers that we market and sell to directly through our global sales and marketing organizations and </w:t>
      </w:r>
      <w:r>
        <w:rPr>
          <w:rFonts w:ascii="Arial" w:eastAsia="宋体" w:hAnsi="Arial" w:cs="Arial"/>
          <w:color w:val="262626"/>
          <w:sz w:val="18"/>
          <w:szCs w:val="18"/>
        </w:rPr>
        <w:t xml:space="preserve">indirectly through channel partners. We manufacture our products at our fabrication and assembly and test facilities located throughout the world. </w:t>
      </w:r>
    </w:p>
    <w:p w14:paraId="5A1AF75C" w14:textId="77777777" w:rsidR="00960BB8" w:rsidRDefault="00C06650">
      <w:pPr>
        <w:spacing w:after="180"/>
      </w:pPr>
      <w:r>
        <w:rPr>
          <w:rFonts w:ascii="Arial" w:eastAsia="宋体" w:hAnsi="Arial" w:cs="Arial"/>
          <w:color w:val="262626"/>
          <w:sz w:val="18"/>
          <w:szCs w:val="18"/>
        </w:rPr>
        <w:t xml:space="preserve">Our CPU and related product offerings provide end-to-end solutions, scaling from edge computing to 5G </w:t>
      </w:r>
      <w:r>
        <w:rPr>
          <w:rFonts w:ascii="Arial" w:eastAsia="宋体" w:hAnsi="Arial" w:cs="Arial"/>
          <w:color w:val="262626"/>
          <w:sz w:val="18"/>
          <w:szCs w:val="18"/>
        </w:rPr>
        <w:t>networks, the cloud, and the emerging fields of AI and autonomous driving. Products, such as our gaming CPUs, may be sold directly to end consumers, or they may be further integrated by our customers into end products such as notebooks and storage servers.</w:t>
      </w:r>
      <w:r>
        <w:rPr>
          <w:rFonts w:ascii="Arial" w:eastAsia="宋体" w:hAnsi="Arial" w:cs="Arial"/>
          <w:color w:val="262626"/>
          <w:sz w:val="18"/>
          <w:szCs w:val="18"/>
        </w:rPr>
        <w:t xml:space="preserve"> Combining some of these products—for example, integrating FPGAs with Intel Xeon processors in a data center solution—enables incremental synergistic value and performance. We launched new products in 2022, such as the 12th Gen Intel Core HX</w:t>
      </w:r>
      <w:r>
        <w:rPr>
          <w:rFonts w:ascii="Arial" w:eastAsia="宋体" w:hAnsi="Arial" w:cs="Arial"/>
          <w:color w:val="262626"/>
          <w:sz w:val="11"/>
          <w:szCs w:val="11"/>
        </w:rPr>
        <w:t xml:space="preserve"> </w:t>
      </w:r>
      <w:r>
        <w:rPr>
          <w:rFonts w:ascii="Arial" w:eastAsia="宋体" w:hAnsi="Arial" w:cs="Arial"/>
          <w:color w:val="262626"/>
          <w:sz w:val="18"/>
          <w:szCs w:val="18"/>
        </w:rPr>
        <w:t>processors, th</w:t>
      </w:r>
      <w:r>
        <w:rPr>
          <w:rFonts w:ascii="Arial" w:eastAsia="宋体" w:hAnsi="Arial" w:cs="Arial"/>
          <w:color w:val="262626"/>
          <w:sz w:val="18"/>
          <w:szCs w:val="18"/>
        </w:rPr>
        <w:t>e final products in our Alder Lake family; Raptor Lake, our 13th Gen Intel 7 client product; and Sapphire Rapids, the first of our 4th Gen Intel Xeon Scalable processors. We also added to our graphics offerings with the introduction of Ponte Vecchio and Al</w:t>
      </w:r>
      <w:r>
        <w:rPr>
          <w:rFonts w:ascii="Arial" w:eastAsia="宋体" w:hAnsi="Arial" w:cs="Arial"/>
          <w:color w:val="262626"/>
          <w:sz w:val="18"/>
          <w:szCs w:val="18"/>
        </w:rPr>
        <w:t>chemist.</w:t>
      </w:r>
    </w:p>
    <w:p w14:paraId="5A1AF75D" w14:textId="77777777" w:rsidR="00960BB8" w:rsidRDefault="00960BB8"/>
    <w:p w14:paraId="5A1AF75E" w14:textId="77777777" w:rsidR="00960BB8" w:rsidRDefault="00C06650">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7D" wp14:editId="5A1B437E">
            <wp:extent cx="304800" cy="304800"/>
            <wp:effectExtent l="0" t="0" r="0" b="0"/>
            <wp:docPr id="43" name="图片 96"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6" descr="IMG_29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75F" w14:textId="77777777" w:rsidR="00960BB8" w:rsidRDefault="00960BB8">
      <w:pPr>
        <w:spacing w:after="180"/>
        <w:jc w:val="center"/>
      </w:pPr>
    </w:p>
    <w:p w14:paraId="5A1AF760" w14:textId="77777777" w:rsidR="00960BB8" w:rsidRDefault="00C06650">
      <w:pPr>
        <w:spacing w:after="180"/>
      </w:pPr>
      <w:r>
        <w:rPr>
          <w:rFonts w:ascii="Arial" w:eastAsia="宋体" w:hAnsi="Arial" w:cs="Arial"/>
          <w:color w:val="262626"/>
          <w:sz w:val="18"/>
          <w:szCs w:val="18"/>
        </w:rPr>
        <w:t>Our diverse product line includes CPU and chipset, an SoC, or a multichip package based on Intel</w:t>
      </w:r>
      <w:r>
        <w:rPr>
          <w:rFonts w:ascii="Arial" w:eastAsia="宋体" w:hAnsi="Arial" w:cs="Arial"/>
          <w:color w:val="262626"/>
          <w:sz w:val="11"/>
          <w:szCs w:val="11"/>
        </w:rPr>
        <w:t>®</w:t>
      </w:r>
      <w:r>
        <w:rPr>
          <w:rFonts w:ascii="Arial" w:eastAsia="宋体" w:hAnsi="Arial" w:cs="Arial"/>
          <w:color w:val="262626"/>
          <w:sz w:val="18"/>
          <w:szCs w:val="18"/>
        </w:rPr>
        <w:t xml:space="preserve"> a</w:t>
      </w:r>
      <w:r>
        <w:rPr>
          <w:rFonts w:ascii="Arial" w:eastAsia="宋体" w:hAnsi="Arial" w:cs="Arial"/>
          <w:color w:val="262626"/>
          <w:sz w:val="18"/>
          <w:szCs w:val="18"/>
        </w:rPr>
        <w:t>rchitecture that processes data and controls other devices in a system. The primary CPU products in CCG are our Intel Core processors, which include designs specifically for notebook and desktop applications. The primary CPU product in DCAI is our Intel Xe</w:t>
      </w:r>
      <w:r>
        <w:rPr>
          <w:rFonts w:ascii="Arial" w:eastAsia="宋体" w:hAnsi="Arial" w:cs="Arial"/>
          <w:color w:val="262626"/>
          <w:sz w:val="18"/>
          <w:szCs w:val="18"/>
        </w:rPr>
        <w:t>on processor, which includes solutions for data center compute, networking, and the intelligent edge. The primary offerings of NEX include Intel Xeon, Intel Core, and Intel Atom</w:t>
      </w:r>
      <w:r>
        <w:rPr>
          <w:rFonts w:ascii="Arial" w:eastAsia="宋体" w:hAnsi="Arial" w:cs="Arial"/>
          <w:color w:val="262626"/>
          <w:sz w:val="11"/>
          <w:szCs w:val="11"/>
        </w:rPr>
        <w:t>®</w:t>
      </w:r>
      <w:r>
        <w:rPr>
          <w:rFonts w:ascii="Arial" w:eastAsia="宋体" w:hAnsi="Arial" w:cs="Arial"/>
          <w:color w:val="262626"/>
          <w:sz w:val="18"/>
          <w:szCs w:val="18"/>
        </w:rPr>
        <w:t xml:space="preserve"> processor products. </w:t>
      </w:r>
    </w:p>
    <w:p w14:paraId="5A1AF761" w14:textId="77777777" w:rsidR="00960BB8" w:rsidRDefault="00C06650">
      <w:pPr>
        <w:spacing w:after="180"/>
      </w:pPr>
      <w:r>
        <w:rPr>
          <w:rFonts w:ascii="Arial" w:eastAsia="宋体" w:hAnsi="Arial" w:cs="Arial"/>
          <w:color w:val="262626"/>
          <w:sz w:val="18"/>
          <w:szCs w:val="18"/>
        </w:rPr>
        <w:t>During 2022, we managed our business through the operati</w:t>
      </w:r>
      <w:r>
        <w:rPr>
          <w:rFonts w:ascii="Arial" w:eastAsia="宋体" w:hAnsi="Arial" w:cs="Arial"/>
          <w:color w:val="262626"/>
          <w:sz w:val="18"/>
          <w:szCs w:val="18"/>
        </w:rPr>
        <w:t>ng segments that are presented below and have included the 2022, 2021 and 2020 financial results for each segment. "Note 3: Operating Segments” within the Notes to Consolidated Financial Statements of this Form 10-K reconciles our segment revenues presente</w:t>
      </w:r>
      <w:r>
        <w:rPr>
          <w:rFonts w:ascii="Arial" w:eastAsia="宋体" w:hAnsi="Arial" w:cs="Arial"/>
          <w:color w:val="262626"/>
          <w:sz w:val="18"/>
          <w:szCs w:val="18"/>
        </w:rPr>
        <w:t>d below to our total revenues, and our segment operating margin (loss) presented below to our total operating margin (loss), for each of the periods presented. We have also included a discussion of our 2022, 2021 and 2020 consolidated results of operations</w:t>
      </w:r>
      <w:r>
        <w:rPr>
          <w:rFonts w:ascii="Arial" w:eastAsia="宋体" w:hAnsi="Arial" w:cs="Arial"/>
          <w:color w:val="262626"/>
          <w:sz w:val="18"/>
          <w:szCs w:val="18"/>
        </w:rPr>
        <w:t xml:space="preserve"> and related information subsequent to the operating segment discussion below.</w:t>
      </w:r>
    </w:p>
    <w:p w14:paraId="5A1AF762" w14:textId="77777777" w:rsidR="00960BB8" w:rsidRDefault="00960BB8">
      <w:pPr>
        <w:spacing w:after="180"/>
      </w:pPr>
    </w:p>
    <w:p w14:paraId="5A1AF763" w14:textId="77777777" w:rsidR="00960BB8" w:rsidRDefault="00960BB8">
      <w:pPr>
        <w:jc w:val="center"/>
      </w:pP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AF76D" w14:textId="77777777">
        <w:tc>
          <w:tcPr>
            <w:tcW w:w="50" w:type="pct"/>
            <w:shd w:val="clear" w:color="auto" w:fill="auto"/>
            <w:vAlign w:val="bottom"/>
          </w:tcPr>
          <w:p w14:paraId="5A1AF764" w14:textId="77777777" w:rsidR="00960BB8" w:rsidRDefault="00960BB8">
            <w:pPr>
              <w:rPr>
                <w:rFonts w:ascii="宋体"/>
              </w:rPr>
            </w:pPr>
          </w:p>
        </w:tc>
        <w:tc>
          <w:tcPr>
            <w:tcW w:w="283" w:type="pct"/>
            <w:shd w:val="clear" w:color="auto" w:fill="auto"/>
            <w:vAlign w:val="bottom"/>
          </w:tcPr>
          <w:p w14:paraId="5A1AF765" w14:textId="77777777" w:rsidR="00960BB8" w:rsidRDefault="00960BB8">
            <w:pPr>
              <w:rPr>
                <w:rFonts w:ascii="宋体"/>
              </w:rPr>
            </w:pPr>
          </w:p>
        </w:tc>
        <w:tc>
          <w:tcPr>
            <w:tcW w:w="5" w:type="pct"/>
            <w:shd w:val="clear" w:color="auto" w:fill="auto"/>
            <w:vAlign w:val="bottom"/>
          </w:tcPr>
          <w:p w14:paraId="5A1AF766" w14:textId="77777777" w:rsidR="00960BB8" w:rsidRDefault="00960BB8">
            <w:pPr>
              <w:rPr>
                <w:rFonts w:ascii="宋体"/>
              </w:rPr>
            </w:pPr>
          </w:p>
        </w:tc>
        <w:tc>
          <w:tcPr>
            <w:tcW w:w="50" w:type="pct"/>
            <w:shd w:val="clear" w:color="auto" w:fill="auto"/>
            <w:vAlign w:val="bottom"/>
          </w:tcPr>
          <w:p w14:paraId="5A1AF767" w14:textId="77777777" w:rsidR="00960BB8" w:rsidRDefault="00960BB8">
            <w:pPr>
              <w:rPr>
                <w:rFonts w:ascii="宋体"/>
              </w:rPr>
            </w:pPr>
          </w:p>
        </w:tc>
        <w:tc>
          <w:tcPr>
            <w:tcW w:w="2656" w:type="pct"/>
            <w:shd w:val="clear" w:color="auto" w:fill="auto"/>
            <w:vAlign w:val="bottom"/>
          </w:tcPr>
          <w:p w14:paraId="5A1AF768" w14:textId="77777777" w:rsidR="00960BB8" w:rsidRDefault="00960BB8">
            <w:pPr>
              <w:rPr>
                <w:rFonts w:ascii="宋体"/>
              </w:rPr>
            </w:pPr>
          </w:p>
        </w:tc>
        <w:tc>
          <w:tcPr>
            <w:tcW w:w="5" w:type="pct"/>
            <w:shd w:val="clear" w:color="auto" w:fill="auto"/>
            <w:vAlign w:val="bottom"/>
          </w:tcPr>
          <w:p w14:paraId="5A1AF769" w14:textId="77777777" w:rsidR="00960BB8" w:rsidRDefault="00960BB8">
            <w:pPr>
              <w:rPr>
                <w:rFonts w:ascii="宋体"/>
              </w:rPr>
            </w:pPr>
          </w:p>
        </w:tc>
        <w:tc>
          <w:tcPr>
            <w:tcW w:w="50" w:type="pct"/>
            <w:shd w:val="clear" w:color="auto" w:fill="auto"/>
            <w:vAlign w:val="bottom"/>
          </w:tcPr>
          <w:p w14:paraId="5A1AF76A" w14:textId="77777777" w:rsidR="00960BB8" w:rsidRDefault="00960BB8">
            <w:pPr>
              <w:rPr>
                <w:rFonts w:ascii="宋体"/>
              </w:rPr>
            </w:pPr>
          </w:p>
        </w:tc>
        <w:tc>
          <w:tcPr>
            <w:tcW w:w="1894" w:type="pct"/>
            <w:shd w:val="clear" w:color="auto" w:fill="auto"/>
            <w:vAlign w:val="bottom"/>
          </w:tcPr>
          <w:p w14:paraId="5A1AF76B" w14:textId="77777777" w:rsidR="00960BB8" w:rsidRDefault="00960BB8">
            <w:pPr>
              <w:rPr>
                <w:rFonts w:ascii="宋体"/>
              </w:rPr>
            </w:pPr>
          </w:p>
        </w:tc>
        <w:tc>
          <w:tcPr>
            <w:tcW w:w="5" w:type="pct"/>
            <w:shd w:val="clear" w:color="auto" w:fill="auto"/>
            <w:vAlign w:val="bottom"/>
          </w:tcPr>
          <w:p w14:paraId="5A1AF76C" w14:textId="77777777" w:rsidR="00960BB8" w:rsidRDefault="00960BB8">
            <w:pPr>
              <w:rPr>
                <w:rFonts w:ascii="宋体"/>
              </w:rPr>
            </w:pPr>
          </w:p>
        </w:tc>
      </w:tr>
      <w:tr w:rsidR="00960BB8" w14:paraId="5A1AF77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76E"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7F" wp14:editId="5A1B4380">
                  <wp:extent cx="304800" cy="304800"/>
                  <wp:effectExtent l="0" t="0" r="0" b="0"/>
                  <wp:docPr id="120" name="图片 9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9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6F"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70" w14:textId="77777777" w:rsidR="00960BB8" w:rsidRDefault="00C06650">
            <w:pPr>
              <w:jc w:val="right"/>
              <w:textAlignment w:val="center"/>
            </w:pPr>
            <w:r>
              <w:rPr>
                <w:rFonts w:ascii="Arial" w:eastAsia="宋体" w:hAnsi="Arial" w:cs="Arial"/>
                <w:color w:val="262626"/>
                <w:sz w:val="16"/>
                <w:szCs w:val="16"/>
              </w:rPr>
              <w:t>19</w:t>
            </w:r>
          </w:p>
        </w:tc>
      </w:tr>
    </w:tbl>
    <w:p w14:paraId="5A1AF772" w14:textId="77777777" w:rsidR="00960BB8" w:rsidRDefault="00C06650">
      <w:r>
        <w:pict w14:anchorId="5A1B4381">
          <v:rect id="_x0000_i1045" style="width:415.3pt;height:1.5pt" o:hralign="center" o:hrstd="t" o:hr="t" fillcolor="#a0a0a0" stroked="f"/>
        </w:pict>
      </w:r>
    </w:p>
    <w:p w14:paraId="5A1AF773" w14:textId="77777777" w:rsidR="00960BB8" w:rsidRDefault="00960BB8"/>
    <w:p w14:paraId="5A1AF774"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82" wp14:editId="5A1B4383">
            <wp:extent cx="304800" cy="304800"/>
            <wp:effectExtent l="0" t="0" r="0" b="0"/>
            <wp:docPr id="57" name="图片 9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9" descr="IMG_30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775" w14:textId="77777777" w:rsidR="00960BB8" w:rsidRDefault="00960BB8"/>
    <w:tbl>
      <w:tblPr>
        <w:tblW w:w="10995" w:type="dxa"/>
        <w:tblCellMar>
          <w:top w:w="15" w:type="dxa"/>
          <w:left w:w="15" w:type="dxa"/>
          <w:bottom w:w="15" w:type="dxa"/>
          <w:right w:w="15" w:type="dxa"/>
        </w:tblCellMar>
        <w:tblLook w:val="04A0" w:firstRow="1" w:lastRow="0" w:firstColumn="1" w:lastColumn="0" w:noHBand="0" w:noVBand="1"/>
      </w:tblPr>
      <w:tblGrid>
        <w:gridCol w:w="64"/>
        <w:gridCol w:w="671"/>
        <w:gridCol w:w="64"/>
        <w:gridCol w:w="64"/>
        <w:gridCol w:w="8799"/>
        <w:gridCol w:w="64"/>
        <w:gridCol w:w="36"/>
        <w:gridCol w:w="1197"/>
        <w:gridCol w:w="36"/>
      </w:tblGrid>
      <w:tr w:rsidR="00960BB8" w14:paraId="5A1AF77F" w14:textId="77777777">
        <w:tc>
          <w:tcPr>
            <w:tcW w:w="20" w:type="dxa"/>
            <w:shd w:val="clear" w:color="auto" w:fill="auto"/>
            <w:vAlign w:val="bottom"/>
          </w:tcPr>
          <w:p w14:paraId="5A1AF776" w14:textId="77777777" w:rsidR="00960BB8" w:rsidRDefault="00960BB8">
            <w:pPr>
              <w:rPr>
                <w:rFonts w:ascii="宋体"/>
              </w:rPr>
            </w:pPr>
          </w:p>
        </w:tc>
        <w:tc>
          <w:tcPr>
            <w:tcW w:w="545" w:type="dxa"/>
            <w:shd w:val="clear" w:color="auto" w:fill="auto"/>
            <w:vAlign w:val="bottom"/>
          </w:tcPr>
          <w:p w14:paraId="5A1AF777" w14:textId="77777777" w:rsidR="00960BB8" w:rsidRDefault="00960BB8">
            <w:pPr>
              <w:rPr>
                <w:rFonts w:ascii="宋体"/>
              </w:rPr>
            </w:pPr>
          </w:p>
        </w:tc>
        <w:tc>
          <w:tcPr>
            <w:tcW w:w="20" w:type="dxa"/>
            <w:shd w:val="clear" w:color="auto" w:fill="auto"/>
            <w:vAlign w:val="bottom"/>
          </w:tcPr>
          <w:p w14:paraId="5A1AF778" w14:textId="77777777" w:rsidR="00960BB8" w:rsidRDefault="00960BB8">
            <w:pPr>
              <w:rPr>
                <w:rFonts w:ascii="宋体"/>
              </w:rPr>
            </w:pPr>
          </w:p>
        </w:tc>
        <w:tc>
          <w:tcPr>
            <w:tcW w:w="20" w:type="dxa"/>
            <w:shd w:val="clear" w:color="auto" w:fill="auto"/>
            <w:vAlign w:val="bottom"/>
          </w:tcPr>
          <w:p w14:paraId="5A1AF779" w14:textId="77777777" w:rsidR="00960BB8" w:rsidRDefault="00960BB8">
            <w:pPr>
              <w:rPr>
                <w:rFonts w:ascii="宋体"/>
              </w:rPr>
            </w:pPr>
          </w:p>
        </w:tc>
        <w:tc>
          <w:tcPr>
            <w:tcW w:w="7805" w:type="dxa"/>
            <w:shd w:val="clear" w:color="auto" w:fill="auto"/>
            <w:vAlign w:val="bottom"/>
          </w:tcPr>
          <w:p w14:paraId="5A1AF77A" w14:textId="77777777" w:rsidR="00960BB8" w:rsidRDefault="00960BB8">
            <w:pPr>
              <w:rPr>
                <w:rFonts w:ascii="宋体"/>
              </w:rPr>
            </w:pPr>
          </w:p>
        </w:tc>
        <w:tc>
          <w:tcPr>
            <w:tcW w:w="20" w:type="dxa"/>
            <w:shd w:val="clear" w:color="auto" w:fill="auto"/>
            <w:vAlign w:val="bottom"/>
          </w:tcPr>
          <w:p w14:paraId="5A1AF77B" w14:textId="77777777" w:rsidR="00960BB8" w:rsidRDefault="00960BB8">
            <w:pPr>
              <w:rPr>
                <w:rFonts w:ascii="宋体"/>
              </w:rPr>
            </w:pPr>
          </w:p>
        </w:tc>
        <w:tc>
          <w:tcPr>
            <w:tcW w:w="20" w:type="dxa"/>
            <w:shd w:val="clear" w:color="auto" w:fill="auto"/>
            <w:vAlign w:val="bottom"/>
          </w:tcPr>
          <w:p w14:paraId="5A1AF77C" w14:textId="77777777" w:rsidR="00960BB8" w:rsidRDefault="00960BB8">
            <w:pPr>
              <w:rPr>
                <w:rFonts w:ascii="宋体"/>
              </w:rPr>
            </w:pPr>
          </w:p>
        </w:tc>
        <w:tc>
          <w:tcPr>
            <w:tcW w:w="2525" w:type="dxa"/>
            <w:shd w:val="clear" w:color="auto" w:fill="auto"/>
            <w:vAlign w:val="bottom"/>
          </w:tcPr>
          <w:p w14:paraId="5A1AF77D" w14:textId="77777777" w:rsidR="00960BB8" w:rsidRDefault="00960BB8">
            <w:pPr>
              <w:rPr>
                <w:rFonts w:ascii="宋体"/>
              </w:rPr>
            </w:pPr>
          </w:p>
        </w:tc>
        <w:tc>
          <w:tcPr>
            <w:tcW w:w="20" w:type="dxa"/>
            <w:shd w:val="clear" w:color="auto" w:fill="auto"/>
            <w:vAlign w:val="bottom"/>
          </w:tcPr>
          <w:p w14:paraId="5A1AF77E" w14:textId="77777777" w:rsidR="00960BB8" w:rsidRDefault="00960BB8">
            <w:pPr>
              <w:rPr>
                <w:rFonts w:ascii="宋体"/>
              </w:rPr>
            </w:pPr>
          </w:p>
        </w:tc>
      </w:tr>
      <w:tr w:rsidR="00960BB8" w14:paraId="5A1AF782" w14:textId="77777777">
        <w:trPr>
          <w:trHeight w:val="300"/>
        </w:trPr>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5A1AF780" w14:textId="77777777" w:rsidR="00960BB8" w:rsidRDefault="00C06650">
            <w:pPr>
              <w:textAlignment w:val="bottom"/>
            </w:pPr>
            <w:r>
              <w:rPr>
                <w:rFonts w:ascii="Arial" w:eastAsia="宋体" w:hAnsi="Arial" w:cs="Arial"/>
                <w:color w:val="0068B5"/>
                <w:sz w:val="20"/>
                <w:szCs w:val="20"/>
              </w:rPr>
              <w:t>Overview</w:t>
            </w:r>
          </w:p>
        </w:tc>
        <w:tc>
          <w:tcPr>
            <w:tcW w:w="0" w:type="auto"/>
            <w:gridSpan w:val="3"/>
            <w:shd w:val="clear" w:color="auto" w:fill="auto"/>
            <w:tcMar>
              <w:top w:w="40" w:type="dxa"/>
              <w:left w:w="20" w:type="dxa"/>
              <w:bottom w:w="40" w:type="dxa"/>
              <w:right w:w="20" w:type="dxa"/>
            </w:tcMar>
            <w:vAlign w:val="center"/>
          </w:tcPr>
          <w:p w14:paraId="5A1AF781" w14:textId="77777777" w:rsidR="00960BB8" w:rsidRDefault="00C06650">
            <w:pPr>
              <w:jc w:val="center"/>
              <w:textAlignment w:val="center"/>
            </w:pPr>
            <w:r>
              <w:rPr>
                <w:rFonts w:ascii="Arial" w:eastAsia="宋体" w:hAnsi="Arial" w:cs="Arial"/>
                <w:color w:val="0068B5"/>
                <w:sz w:val="18"/>
                <w:szCs w:val="18"/>
              </w:rPr>
              <w:t>% Intel Revenue</w:t>
            </w:r>
          </w:p>
        </w:tc>
      </w:tr>
      <w:tr w:rsidR="00960BB8" w14:paraId="5A1AF786" w14:textId="77777777">
        <w:trPr>
          <w:trHeight w:val="1560"/>
        </w:trPr>
        <w:tc>
          <w:tcPr>
            <w:tcW w:w="0" w:type="auto"/>
            <w:gridSpan w:val="6"/>
            <w:tcBorders>
              <w:top w:val="single" w:sz="4" w:space="0" w:color="262626"/>
            </w:tcBorders>
            <w:shd w:val="clear" w:color="auto" w:fill="auto"/>
            <w:tcMar>
              <w:top w:w="40" w:type="dxa"/>
              <w:left w:w="20" w:type="dxa"/>
              <w:bottom w:w="40" w:type="dxa"/>
              <w:right w:w="20" w:type="dxa"/>
            </w:tcMar>
          </w:tcPr>
          <w:p w14:paraId="5A1AF783" w14:textId="77777777" w:rsidR="00960BB8" w:rsidRDefault="00C06650">
            <w:pPr>
              <w:textAlignment w:val="top"/>
            </w:pPr>
            <w:r>
              <w:rPr>
                <w:rFonts w:ascii="Arial" w:eastAsia="宋体" w:hAnsi="Arial" w:cs="Arial"/>
                <w:color w:val="000000"/>
                <w:sz w:val="18"/>
                <w:szCs w:val="18"/>
              </w:rPr>
              <w:t xml:space="preserve">We are committed to advancing PC experiences by delivering an </w:t>
            </w:r>
            <w:r>
              <w:rPr>
                <w:rFonts w:ascii="Arial" w:eastAsia="宋体" w:hAnsi="Arial" w:cs="Arial"/>
                <w:color w:val="000000"/>
                <w:sz w:val="18"/>
                <w:szCs w:val="18"/>
              </w:rPr>
              <w:t>annual cadence of leadership products and deepening our relationships with industry partners to co-engineer and deliver leading platform innovation. We engage in an intentional effort focused on long-term operating system, system architecture, hardware, an</w:t>
            </w:r>
            <w:r>
              <w:rPr>
                <w:rFonts w:ascii="Arial" w:eastAsia="宋体" w:hAnsi="Arial" w:cs="Arial"/>
                <w:color w:val="000000"/>
                <w:sz w:val="18"/>
                <w:szCs w:val="18"/>
              </w:rPr>
              <w:t>d application integration that enables industry-leading PC experiences. We will embrace these opportunities by simplifying and focusing our roadmap, ramping PC capabilities even more aggressively, and designing PC experiences even more deliberately. By doi</w:t>
            </w:r>
            <w:r>
              <w:rPr>
                <w:rFonts w:ascii="Arial" w:eastAsia="宋体" w:hAnsi="Arial" w:cs="Arial"/>
                <w:color w:val="000000"/>
                <w:sz w:val="18"/>
                <w:szCs w:val="18"/>
              </w:rPr>
              <w:t>ng this, we believe we will continue to fuel innovation across Intel, providing a growing source of IP, scale, and cash flow.</w:t>
            </w:r>
          </w:p>
          <w:p w14:paraId="5A1AF784" w14:textId="77777777" w:rsidR="00960BB8" w:rsidRDefault="00960BB8">
            <w:pPr>
              <w:textAlignment w:val="top"/>
            </w:pPr>
          </w:p>
        </w:tc>
        <w:tc>
          <w:tcPr>
            <w:tcW w:w="0" w:type="auto"/>
            <w:gridSpan w:val="3"/>
            <w:shd w:val="clear" w:color="auto" w:fill="auto"/>
            <w:tcMar>
              <w:top w:w="0" w:type="dxa"/>
              <w:left w:w="20" w:type="dxa"/>
              <w:bottom w:w="0" w:type="dxa"/>
              <w:right w:w="20" w:type="dxa"/>
            </w:tcMar>
            <w:vAlign w:val="bottom"/>
          </w:tcPr>
          <w:p w14:paraId="5A1AF785"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Viewer_files/intc-20221231_g30.jpg" \* MERG</w:instrText>
            </w:r>
            <w:r>
              <w:rPr>
                <w:rFonts w:ascii="宋体" w:eastAsia="宋体" w:hAnsi="宋体" w:cs="宋体"/>
              </w:rPr>
              <w:instrText xml:space="preserve">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84" wp14:editId="5A1B4385">
                  <wp:extent cx="304800" cy="304800"/>
                  <wp:effectExtent l="0" t="0" r="0" b="0"/>
                  <wp:docPr id="72" name="图片 100"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0" descr="IMG_30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960BB8" w14:paraId="5A1AF78A" w14:textId="77777777">
        <w:trPr>
          <w:hidden/>
        </w:trPr>
        <w:tc>
          <w:tcPr>
            <w:tcW w:w="0" w:type="auto"/>
            <w:gridSpan w:val="3"/>
            <w:shd w:val="clear" w:color="auto" w:fill="auto"/>
            <w:vAlign w:val="bottom"/>
          </w:tcPr>
          <w:p w14:paraId="5A1AF787" w14:textId="77777777" w:rsidR="00960BB8" w:rsidRDefault="00960BB8">
            <w:pPr>
              <w:rPr>
                <w:rFonts w:ascii="宋体"/>
                <w:vanish/>
              </w:rPr>
            </w:pPr>
          </w:p>
        </w:tc>
        <w:tc>
          <w:tcPr>
            <w:tcW w:w="0" w:type="auto"/>
            <w:gridSpan w:val="3"/>
            <w:shd w:val="clear" w:color="auto" w:fill="auto"/>
            <w:vAlign w:val="bottom"/>
          </w:tcPr>
          <w:p w14:paraId="5A1AF788" w14:textId="77777777" w:rsidR="00960BB8" w:rsidRDefault="00960BB8">
            <w:pPr>
              <w:rPr>
                <w:rFonts w:ascii="宋体"/>
                <w:vanish/>
              </w:rPr>
            </w:pPr>
          </w:p>
        </w:tc>
        <w:tc>
          <w:tcPr>
            <w:tcW w:w="0" w:type="auto"/>
            <w:gridSpan w:val="3"/>
            <w:shd w:val="clear" w:color="auto" w:fill="auto"/>
            <w:vAlign w:val="bottom"/>
          </w:tcPr>
          <w:p w14:paraId="5A1AF789" w14:textId="77777777" w:rsidR="00960BB8" w:rsidRDefault="00960BB8">
            <w:pPr>
              <w:rPr>
                <w:rFonts w:ascii="宋体"/>
                <w:vanish/>
              </w:rPr>
            </w:pPr>
          </w:p>
        </w:tc>
      </w:tr>
      <w:tr w:rsidR="00960BB8" w14:paraId="5A1AF78D" w14:textId="77777777">
        <w:trPr>
          <w:trHeight w:val="240"/>
        </w:trPr>
        <w:tc>
          <w:tcPr>
            <w:tcW w:w="0" w:type="auto"/>
            <w:gridSpan w:val="6"/>
            <w:shd w:val="clear" w:color="auto" w:fill="auto"/>
            <w:tcMar>
              <w:top w:w="40" w:type="dxa"/>
              <w:left w:w="20" w:type="dxa"/>
              <w:bottom w:w="40" w:type="dxa"/>
              <w:right w:w="20" w:type="dxa"/>
            </w:tcMar>
            <w:vAlign w:val="bottom"/>
          </w:tcPr>
          <w:p w14:paraId="5A1AF78B" w14:textId="77777777" w:rsidR="00960BB8" w:rsidRDefault="00C06650">
            <w:pPr>
              <w:textAlignment w:val="bottom"/>
            </w:pPr>
            <w:r>
              <w:rPr>
                <w:rFonts w:ascii="Arial" w:eastAsia="宋体" w:hAnsi="Arial" w:cs="Arial"/>
                <w:color w:val="0068B5"/>
                <w:sz w:val="20"/>
                <w:szCs w:val="20"/>
              </w:rPr>
              <w:t>Key Developments</w:t>
            </w:r>
          </w:p>
        </w:tc>
        <w:tc>
          <w:tcPr>
            <w:tcW w:w="0" w:type="auto"/>
            <w:gridSpan w:val="3"/>
            <w:shd w:val="clear" w:color="auto" w:fill="auto"/>
            <w:tcMar>
              <w:top w:w="0" w:type="dxa"/>
              <w:left w:w="20" w:type="dxa"/>
              <w:bottom w:w="0" w:type="dxa"/>
              <w:right w:w="20" w:type="dxa"/>
            </w:tcMar>
            <w:vAlign w:val="bottom"/>
          </w:tcPr>
          <w:p w14:paraId="5A1AF78C" w14:textId="77777777" w:rsidR="00960BB8" w:rsidRDefault="00960BB8">
            <w:pPr>
              <w:rPr>
                <w:rFonts w:ascii="宋体"/>
              </w:rPr>
            </w:pPr>
          </w:p>
        </w:tc>
      </w:tr>
      <w:tr w:rsidR="00960BB8" w14:paraId="5A1AF791" w14:textId="77777777">
        <w:trPr>
          <w:hidden/>
        </w:trPr>
        <w:tc>
          <w:tcPr>
            <w:tcW w:w="0" w:type="auto"/>
            <w:gridSpan w:val="3"/>
            <w:shd w:val="clear" w:color="auto" w:fill="auto"/>
            <w:vAlign w:val="bottom"/>
          </w:tcPr>
          <w:p w14:paraId="5A1AF78E" w14:textId="77777777" w:rsidR="00960BB8" w:rsidRDefault="00960BB8">
            <w:pPr>
              <w:rPr>
                <w:rFonts w:ascii="宋体"/>
                <w:vanish/>
              </w:rPr>
            </w:pPr>
          </w:p>
        </w:tc>
        <w:tc>
          <w:tcPr>
            <w:tcW w:w="0" w:type="auto"/>
            <w:gridSpan w:val="3"/>
            <w:shd w:val="clear" w:color="auto" w:fill="auto"/>
            <w:vAlign w:val="bottom"/>
          </w:tcPr>
          <w:p w14:paraId="5A1AF78F" w14:textId="77777777" w:rsidR="00960BB8" w:rsidRDefault="00960BB8">
            <w:pPr>
              <w:rPr>
                <w:rFonts w:ascii="宋体"/>
                <w:vanish/>
              </w:rPr>
            </w:pPr>
          </w:p>
        </w:tc>
        <w:tc>
          <w:tcPr>
            <w:tcW w:w="0" w:type="auto"/>
            <w:gridSpan w:val="3"/>
            <w:shd w:val="clear" w:color="auto" w:fill="auto"/>
            <w:vAlign w:val="bottom"/>
          </w:tcPr>
          <w:p w14:paraId="5A1AF790" w14:textId="77777777" w:rsidR="00960BB8" w:rsidRDefault="00960BB8">
            <w:pPr>
              <w:rPr>
                <w:rFonts w:ascii="宋体"/>
                <w:vanish/>
              </w:rPr>
            </w:pPr>
          </w:p>
        </w:tc>
      </w:tr>
      <w:tr w:rsidR="00960BB8" w14:paraId="5A1AF794" w14:textId="77777777">
        <w:trPr>
          <w:trHeight w:val="880"/>
        </w:trPr>
        <w:tc>
          <w:tcPr>
            <w:tcW w:w="0" w:type="auto"/>
            <w:gridSpan w:val="3"/>
            <w:tcBorders>
              <w:top w:val="single" w:sz="4" w:space="0" w:color="262626"/>
            </w:tcBorders>
            <w:shd w:val="clear" w:color="auto" w:fill="auto"/>
            <w:tcMar>
              <w:top w:w="40" w:type="dxa"/>
              <w:left w:w="20" w:type="dxa"/>
              <w:bottom w:w="40" w:type="dxa"/>
              <w:right w:w="20" w:type="dxa"/>
            </w:tcMar>
          </w:tcPr>
          <w:p w14:paraId="5A1AF792" w14:textId="77777777" w:rsidR="00960BB8" w:rsidRDefault="00C06650">
            <w:pPr>
              <w:jc w:val="center"/>
              <w:textAlignment w:val="top"/>
            </w:pPr>
            <w:r>
              <w:rPr>
                <w:rFonts w:ascii="Arial" w:eastAsia="宋体" w:hAnsi="Arial" w:cs="Arial"/>
                <w:color w:val="0068B5"/>
                <w:sz w:val="12"/>
                <w:szCs w:val="12"/>
              </w:rPr>
              <w:t>■</w:t>
            </w:r>
          </w:p>
        </w:tc>
        <w:tc>
          <w:tcPr>
            <w:tcW w:w="0" w:type="auto"/>
            <w:gridSpan w:val="6"/>
            <w:tcBorders>
              <w:top w:val="single" w:sz="4" w:space="0" w:color="262626"/>
            </w:tcBorders>
            <w:shd w:val="clear" w:color="auto" w:fill="auto"/>
            <w:tcMar>
              <w:top w:w="40" w:type="dxa"/>
              <w:left w:w="20" w:type="dxa"/>
              <w:bottom w:w="40" w:type="dxa"/>
              <w:right w:w="20" w:type="dxa"/>
            </w:tcMar>
          </w:tcPr>
          <w:p w14:paraId="5A1AF793" w14:textId="77777777" w:rsidR="00960BB8" w:rsidRDefault="00C06650">
            <w:pPr>
              <w:spacing w:after="180"/>
              <w:textAlignment w:val="top"/>
            </w:pPr>
            <w:r>
              <w:rPr>
                <w:rFonts w:ascii="Arial" w:eastAsia="宋体" w:hAnsi="Arial" w:cs="Arial"/>
                <w:color w:val="262626"/>
                <w:sz w:val="18"/>
                <w:szCs w:val="18"/>
              </w:rPr>
              <w:t xml:space="preserve">Our revenue was $31.7 billion, down 23% in 2022, driven by macroeconomic weakness that negatively impacted PC TAM, particularly in the consumer, education and small/medium business markets. Operating </w:t>
            </w:r>
            <w:r>
              <w:rPr>
                <w:rFonts w:ascii="Arial" w:eastAsia="宋体" w:hAnsi="Arial" w:cs="Arial"/>
                <w:color w:val="262626"/>
                <w:sz w:val="18"/>
                <w:szCs w:val="18"/>
              </w:rPr>
              <w:t>margin was $6.3 billion, down 60% year over year primarily due to lower notebook and desktop revenue, higher unit costs, increased investments in leadership products, and higher inventory reserves.</w:t>
            </w:r>
          </w:p>
        </w:tc>
      </w:tr>
      <w:tr w:rsidR="00960BB8" w14:paraId="5A1AF797" w14:textId="77777777">
        <w:trPr>
          <w:trHeight w:val="880"/>
        </w:trPr>
        <w:tc>
          <w:tcPr>
            <w:tcW w:w="0" w:type="auto"/>
            <w:gridSpan w:val="3"/>
            <w:shd w:val="clear" w:color="auto" w:fill="auto"/>
            <w:tcMar>
              <w:top w:w="40" w:type="dxa"/>
              <w:left w:w="20" w:type="dxa"/>
              <w:bottom w:w="40" w:type="dxa"/>
              <w:right w:w="20" w:type="dxa"/>
            </w:tcMar>
          </w:tcPr>
          <w:p w14:paraId="5A1AF795"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796" w14:textId="77777777" w:rsidR="00960BB8" w:rsidRDefault="00C06650">
            <w:pPr>
              <w:textAlignment w:val="top"/>
            </w:pPr>
            <w:r>
              <w:rPr>
                <w:rFonts w:ascii="Arial" w:eastAsia="宋体" w:hAnsi="Arial" w:cs="Arial"/>
                <w:color w:val="262626"/>
                <w:sz w:val="18"/>
                <w:szCs w:val="18"/>
              </w:rPr>
              <w:t>COVID-related dynamics like work- and learn-from-home s</w:t>
            </w:r>
            <w:r>
              <w:rPr>
                <w:rFonts w:ascii="Arial" w:eastAsia="宋体" w:hAnsi="Arial" w:cs="Arial"/>
                <w:color w:val="262626"/>
                <w:sz w:val="18"/>
                <w:szCs w:val="18"/>
              </w:rPr>
              <w:t>olidified the PC as an essential tool in the post-pandemic world. We launched our 12th Gen Intel Core H, S, U, and P-series processors and introduced our 13th Gen Intel Core processor family starting with our desktop processors, the second iteration of our</w:t>
            </w:r>
            <w:r>
              <w:rPr>
                <w:rFonts w:ascii="Arial" w:eastAsia="宋体" w:hAnsi="Arial" w:cs="Arial"/>
                <w:color w:val="262626"/>
                <w:sz w:val="18"/>
                <w:szCs w:val="18"/>
              </w:rPr>
              <w:t xml:space="preserve"> performance hybrid architecture built on Intel 7 process technology.</w:t>
            </w:r>
          </w:p>
        </w:tc>
      </w:tr>
      <w:tr w:rsidR="00960BB8" w14:paraId="5A1AF79A" w14:textId="77777777">
        <w:trPr>
          <w:trHeight w:val="700"/>
        </w:trPr>
        <w:tc>
          <w:tcPr>
            <w:tcW w:w="0" w:type="auto"/>
            <w:gridSpan w:val="3"/>
            <w:shd w:val="clear" w:color="auto" w:fill="auto"/>
            <w:tcMar>
              <w:top w:w="40" w:type="dxa"/>
              <w:left w:w="20" w:type="dxa"/>
              <w:bottom w:w="40" w:type="dxa"/>
              <w:right w:w="20" w:type="dxa"/>
            </w:tcMar>
          </w:tcPr>
          <w:p w14:paraId="5A1AF798"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799" w14:textId="77777777" w:rsidR="00960BB8" w:rsidRDefault="00C06650">
            <w:pPr>
              <w:spacing w:after="180"/>
              <w:textAlignment w:val="top"/>
            </w:pPr>
            <w:r>
              <w:rPr>
                <w:rFonts w:ascii="Arial" w:eastAsia="宋体" w:hAnsi="Arial" w:cs="Arial"/>
                <w:color w:val="262626"/>
                <w:sz w:val="18"/>
                <w:szCs w:val="18"/>
              </w:rPr>
              <w:t>We worked with industry partners to co-engineer and deliver more than 153 verified Intel</w:t>
            </w:r>
            <w:r>
              <w:rPr>
                <w:rFonts w:ascii="Arial" w:eastAsia="宋体" w:hAnsi="Arial" w:cs="Arial"/>
                <w:color w:val="262626"/>
                <w:sz w:val="11"/>
                <w:szCs w:val="11"/>
              </w:rPr>
              <w:t>®</w:t>
            </w:r>
            <w:r>
              <w:rPr>
                <w:rFonts w:ascii="Arial" w:eastAsia="宋体" w:hAnsi="Arial" w:cs="Arial"/>
                <w:color w:val="262626"/>
                <w:sz w:val="18"/>
                <w:szCs w:val="18"/>
              </w:rPr>
              <w:t xml:space="preserve"> Evo™ designs and grew the commercial market segment with the launch of our Intel vPro</w:t>
            </w:r>
            <w:r>
              <w:rPr>
                <w:rFonts w:ascii="Arial" w:eastAsia="宋体" w:hAnsi="Arial" w:cs="Arial"/>
                <w:color w:val="262626"/>
                <w:sz w:val="11"/>
                <w:szCs w:val="11"/>
              </w:rPr>
              <w:t>®</w:t>
            </w:r>
            <w:r>
              <w:rPr>
                <w:rFonts w:ascii="Arial" w:eastAsia="宋体" w:hAnsi="Arial" w:cs="Arial"/>
                <w:color w:val="262626"/>
                <w:sz w:val="18"/>
                <w:szCs w:val="18"/>
              </w:rPr>
              <w:t xml:space="preserve"> platform with the 12th Gen Intel Core processor and commercial offerings.</w:t>
            </w:r>
          </w:p>
        </w:tc>
      </w:tr>
    </w:tbl>
    <w:p w14:paraId="5A1AF79B" w14:textId="77777777" w:rsidR="00960BB8" w:rsidRDefault="00960BB8">
      <w:pPr>
        <w:spacing w:after="20"/>
        <w:ind w:hanging="63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7A5" w14:textId="77777777">
        <w:tc>
          <w:tcPr>
            <w:tcW w:w="50" w:type="pct"/>
            <w:shd w:val="clear" w:color="auto" w:fill="auto"/>
            <w:vAlign w:val="bottom"/>
          </w:tcPr>
          <w:p w14:paraId="5A1AF79C" w14:textId="77777777" w:rsidR="00960BB8" w:rsidRDefault="00960BB8">
            <w:pPr>
              <w:rPr>
                <w:rFonts w:ascii="宋体"/>
              </w:rPr>
            </w:pPr>
          </w:p>
        </w:tc>
        <w:tc>
          <w:tcPr>
            <w:tcW w:w="283" w:type="pct"/>
            <w:shd w:val="clear" w:color="auto" w:fill="auto"/>
            <w:vAlign w:val="bottom"/>
          </w:tcPr>
          <w:p w14:paraId="5A1AF79D" w14:textId="77777777" w:rsidR="00960BB8" w:rsidRDefault="00960BB8">
            <w:pPr>
              <w:rPr>
                <w:rFonts w:ascii="宋体"/>
              </w:rPr>
            </w:pPr>
          </w:p>
        </w:tc>
        <w:tc>
          <w:tcPr>
            <w:tcW w:w="5" w:type="pct"/>
            <w:shd w:val="clear" w:color="auto" w:fill="auto"/>
            <w:vAlign w:val="bottom"/>
          </w:tcPr>
          <w:p w14:paraId="5A1AF79E" w14:textId="77777777" w:rsidR="00960BB8" w:rsidRDefault="00960BB8">
            <w:pPr>
              <w:rPr>
                <w:rFonts w:ascii="宋体"/>
              </w:rPr>
            </w:pPr>
          </w:p>
        </w:tc>
        <w:tc>
          <w:tcPr>
            <w:tcW w:w="50" w:type="pct"/>
            <w:shd w:val="clear" w:color="auto" w:fill="auto"/>
            <w:vAlign w:val="bottom"/>
          </w:tcPr>
          <w:p w14:paraId="5A1AF79F" w14:textId="77777777" w:rsidR="00960BB8" w:rsidRDefault="00960BB8">
            <w:pPr>
              <w:rPr>
                <w:rFonts w:ascii="宋体"/>
              </w:rPr>
            </w:pPr>
          </w:p>
        </w:tc>
        <w:tc>
          <w:tcPr>
            <w:tcW w:w="2656" w:type="pct"/>
            <w:shd w:val="clear" w:color="auto" w:fill="auto"/>
            <w:vAlign w:val="bottom"/>
          </w:tcPr>
          <w:p w14:paraId="5A1AF7A0" w14:textId="77777777" w:rsidR="00960BB8" w:rsidRDefault="00960BB8">
            <w:pPr>
              <w:rPr>
                <w:rFonts w:ascii="宋体"/>
              </w:rPr>
            </w:pPr>
          </w:p>
        </w:tc>
        <w:tc>
          <w:tcPr>
            <w:tcW w:w="5" w:type="pct"/>
            <w:shd w:val="clear" w:color="auto" w:fill="auto"/>
            <w:vAlign w:val="bottom"/>
          </w:tcPr>
          <w:p w14:paraId="5A1AF7A1" w14:textId="77777777" w:rsidR="00960BB8" w:rsidRDefault="00960BB8">
            <w:pPr>
              <w:rPr>
                <w:rFonts w:ascii="宋体"/>
              </w:rPr>
            </w:pPr>
          </w:p>
        </w:tc>
        <w:tc>
          <w:tcPr>
            <w:tcW w:w="50" w:type="pct"/>
            <w:shd w:val="clear" w:color="auto" w:fill="auto"/>
            <w:vAlign w:val="bottom"/>
          </w:tcPr>
          <w:p w14:paraId="5A1AF7A2" w14:textId="77777777" w:rsidR="00960BB8" w:rsidRDefault="00960BB8">
            <w:pPr>
              <w:rPr>
                <w:rFonts w:ascii="宋体"/>
              </w:rPr>
            </w:pPr>
          </w:p>
        </w:tc>
        <w:tc>
          <w:tcPr>
            <w:tcW w:w="1894" w:type="pct"/>
            <w:shd w:val="clear" w:color="auto" w:fill="auto"/>
            <w:vAlign w:val="bottom"/>
          </w:tcPr>
          <w:p w14:paraId="5A1AF7A3" w14:textId="77777777" w:rsidR="00960BB8" w:rsidRDefault="00960BB8">
            <w:pPr>
              <w:rPr>
                <w:rFonts w:ascii="宋体"/>
              </w:rPr>
            </w:pPr>
          </w:p>
        </w:tc>
        <w:tc>
          <w:tcPr>
            <w:tcW w:w="5" w:type="pct"/>
            <w:shd w:val="clear" w:color="auto" w:fill="auto"/>
            <w:vAlign w:val="bottom"/>
          </w:tcPr>
          <w:p w14:paraId="5A1AF7A4" w14:textId="77777777" w:rsidR="00960BB8" w:rsidRDefault="00960BB8">
            <w:pPr>
              <w:rPr>
                <w:rFonts w:ascii="宋体"/>
              </w:rPr>
            </w:pPr>
          </w:p>
        </w:tc>
      </w:tr>
      <w:tr w:rsidR="00960BB8" w14:paraId="5A1AF7A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7A6"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86" wp14:editId="5A1B4387">
                  <wp:extent cx="304800" cy="304800"/>
                  <wp:effectExtent l="0" t="0" r="0" b="0"/>
                  <wp:docPr id="143" name="图片 10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0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A7"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A8" w14:textId="77777777" w:rsidR="00960BB8" w:rsidRDefault="00C06650">
            <w:pPr>
              <w:jc w:val="right"/>
              <w:textAlignment w:val="center"/>
            </w:pPr>
            <w:r>
              <w:rPr>
                <w:rFonts w:ascii="Arial" w:eastAsia="宋体" w:hAnsi="Arial" w:cs="Arial"/>
                <w:color w:val="262626"/>
                <w:sz w:val="16"/>
                <w:szCs w:val="16"/>
              </w:rPr>
              <w:t>20</w:t>
            </w:r>
          </w:p>
        </w:tc>
      </w:tr>
    </w:tbl>
    <w:p w14:paraId="5A1AF7AA" w14:textId="77777777" w:rsidR="00960BB8" w:rsidRDefault="00C06650">
      <w:r>
        <w:pict w14:anchorId="5A1B4388">
          <v:rect id="_x0000_i1046" style="width:415.3pt;height:1.5pt" o:hralign="center" o:hrstd="t" o:hr="t" fillcolor="#a0a0a0" stroked="f"/>
        </w:pict>
      </w:r>
    </w:p>
    <w:p w14:paraId="5A1AF7AB" w14:textId="77777777" w:rsidR="00960BB8" w:rsidRDefault="00C06650">
      <w:pPr>
        <w:jc w:val="right"/>
      </w:pPr>
      <w:hyperlink r:id="rId48" w:anchor="i8aaa7b4dbd2e419ca0f5c30af85a11aa_16" w:history="1">
        <w:r>
          <w:rPr>
            <w:rStyle w:val="a5"/>
            <w:rFonts w:ascii="Arial" w:eastAsia="宋体" w:hAnsi="Arial" w:cs="Arial"/>
            <w:b/>
            <w:bCs/>
            <w:sz w:val="16"/>
            <w:szCs w:val="16"/>
          </w:rPr>
          <w:t>Table of Contents</w:t>
        </w:r>
      </w:hyperlink>
    </w:p>
    <w:p w14:paraId="5A1AF7AC" w14:textId="77777777" w:rsidR="00960BB8" w:rsidRDefault="00960BB8">
      <w:pPr>
        <w:jc w:val="right"/>
      </w:pPr>
    </w:p>
    <w:p w14:paraId="5A1AF7AD" w14:textId="77777777" w:rsidR="00960BB8" w:rsidRDefault="00C06650">
      <w:pPr>
        <w:spacing w:after="180"/>
      </w:pPr>
      <w:r>
        <w:rPr>
          <w:rFonts w:ascii="Arial" w:eastAsia="宋体" w:hAnsi="Arial" w:cs="Arial"/>
          <w:color w:val="0068B5"/>
        </w:rPr>
        <w:t>Market and Business Overview</w:t>
      </w:r>
    </w:p>
    <w:p w14:paraId="5A1AF7AE" w14:textId="77777777" w:rsidR="00960BB8" w:rsidRDefault="00C06650">
      <w:pPr>
        <w:spacing w:after="120"/>
      </w:pPr>
      <w:r>
        <w:rPr>
          <w:rFonts w:ascii="Arial" w:eastAsia="宋体" w:hAnsi="Arial" w:cs="Arial"/>
          <w:color w:val="0068B5"/>
          <w:sz w:val="20"/>
          <w:szCs w:val="20"/>
        </w:rPr>
        <w:t>Market Trends and Strategy</w:t>
      </w:r>
    </w:p>
    <w:p w14:paraId="5A1AF7AF" w14:textId="77777777" w:rsidR="00960BB8" w:rsidRDefault="00C06650">
      <w:pPr>
        <w:spacing w:after="180"/>
      </w:pPr>
      <w:r>
        <w:rPr>
          <w:rFonts w:ascii="Arial" w:eastAsia="宋体" w:hAnsi="Arial" w:cs="Arial"/>
          <w:color w:val="262626"/>
          <w:sz w:val="18"/>
          <w:szCs w:val="18"/>
        </w:rPr>
        <w:t xml:space="preserve">In 2022, the PC </w:t>
      </w:r>
      <w:r>
        <w:rPr>
          <w:rFonts w:ascii="Arial" w:eastAsia="宋体" w:hAnsi="Arial" w:cs="Arial"/>
          <w:color w:val="262626"/>
          <w:sz w:val="18"/>
          <w:szCs w:val="18"/>
        </w:rPr>
        <w:t>business experienced one of the most challenging years in recent history, resulting from a softening macroeconomic environment and inflationary pressures. Despite these headwinds in 2022—which resulted in a double-digit TAM decline</w:t>
      </w:r>
      <w:r>
        <w:rPr>
          <w:rFonts w:ascii="Arial" w:eastAsia="宋体" w:hAnsi="Arial" w:cs="Arial"/>
          <w:color w:val="262626"/>
          <w:sz w:val="11"/>
          <w:szCs w:val="11"/>
        </w:rPr>
        <w:t>1</w:t>
      </w:r>
      <w:r>
        <w:rPr>
          <w:rFonts w:ascii="Arial" w:eastAsia="宋体" w:hAnsi="Arial" w:cs="Arial"/>
          <w:color w:val="262626"/>
          <w:sz w:val="18"/>
          <w:szCs w:val="18"/>
        </w:rPr>
        <w:t>—PC usage remains strong</w:t>
      </w:r>
      <w:r>
        <w:rPr>
          <w:rFonts w:ascii="Arial" w:eastAsia="宋体" w:hAnsi="Arial" w:cs="Arial"/>
          <w:color w:val="262626"/>
          <w:sz w:val="18"/>
          <w:szCs w:val="18"/>
        </w:rPr>
        <w:t xml:space="preserve">, demonstrating the increased utility and value of the PC and we believe ultimately supporting a TAM well above pre-pandemic levels, once this period of adjustment subsides. The significant behavior changes that took shape amid the pandemic solidified the </w:t>
      </w:r>
      <w:r>
        <w:rPr>
          <w:rFonts w:ascii="Arial" w:eastAsia="宋体" w:hAnsi="Arial" w:cs="Arial"/>
          <w:color w:val="262626"/>
          <w:sz w:val="18"/>
          <w:szCs w:val="18"/>
        </w:rPr>
        <w:t xml:space="preserve">PC as an essential tool in people's lives. </w:t>
      </w:r>
    </w:p>
    <w:p w14:paraId="5A1AF7B0" w14:textId="77777777" w:rsidR="00960BB8" w:rsidRDefault="00C06650">
      <w:pPr>
        <w:spacing w:after="180"/>
      </w:pPr>
      <w:r>
        <w:rPr>
          <w:rFonts w:ascii="Arial" w:eastAsia="宋体" w:hAnsi="Arial" w:cs="Arial"/>
          <w:color w:val="262626"/>
          <w:sz w:val="18"/>
          <w:szCs w:val="18"/>
        </w:rPr>
        <w:t>PC density, including PCs per household, increased during the pandemic, which irreversibly changed the way we focus, create, connect, and care for each other</w:t>
      </w:r>
      <w:r>
        <w:rPr>
          <w:rFonts w:ascii="Arial" w:eastAsia="宋体" w:hAnsi="Arial" w:cs="Arial"/>
          <w:color w:val="262626"/>
          <w:sz w:val="11"/>
          <w:szCs w:val="11"/>
        </w:rPr>
        <w:t>2</w:t>
      </w:r>
      <w:r>
        <w:rPr>
          <w:rFonts w:ascii="Arial" w:eastAsia="宋体" w:hAnsi="Arial" w:cs="Arial"/>
          <w:color w:val="262626"/>
          <w:sz w:val="18"/>
          <w:szCs w:val="18"/>
        </w:rPr>
        <w:t>. In addition, the installed base of PCs per student c</w:t>
      </w:r>
      <w:r>
        <w:rPr>
          <w:rFonts w:ascii="Arial" w:eastAsia="宋体" w:hAnsi="Arial" w:cs="Arial"/>
          <w:color w:val="262626"/>
          <w:sz w:val="18"/>
          <w:szCs w:val="18"/>
        </w:rPr>
        <w:t>ontinues to grow compared to pre-pandemic levels. Commercial growth opportunities also remain as corporations expand the size of their PC fleets, while also replacing older devices. Currently, approximately 200 million commercial devices are more than four</w:t>
      </w:r>
      <w:r>
        <w:rPr>
          <w:rFonts w:ascii="Arial" w:eastAsia="宋体" w:hAnsi="Arial" w:cs="Arial"/>
          <w:color w:val="262626"/>
          <w:sz w:val="18"/>
          <w:szCs w:val="18"/>
        </w:rPr>
        <w:t xml:space="preserve"> years old</w:t>
      </w:r>
      <w:r>
        <w:rPr>
          <w:rFonts w:ascii="Arial" w:eastAsia="宋体" w:hAnsi="Arial" w:cs="Arial"/>
          <w:color w:val="262626"/>
          <w:sz w:val="11"/>
          <w:szCs w:val="11"/>
        </w:rPr>
        <w:t>3</w:t>
      </w:r>
      <w:r>
        <w:rPr>
          <w:rFonts w:ascii="Arial" w:eastAsia="宋体" w:hAnsi="Arial" w:cs="Arial"/>
          <w:color w:val="262626"/>
          <w:sz w:val="18"/>
          <w:szCs w:val="18"/>
        </w:rPr>
        <w:t>. The experience and capabilities delivered on new PCs are dramatically better today, reinforcing the opportunity to drive a refresh cycle among enterprise customers.</w:t>
      </w:r>
    </w:p>
    <w:p w14:paraId="5A1AF7B1" w14:textId="77777777" w:rsidR="00960BB8" w:rsidRDefault="00C06650">
      <w:pPr>
        <w:spacing w:after="180"/>
      </w:pPr>
      <w:r>
        <w:rPr>
          <w:rFonts w:ascii="Arial" w:eastAsia="宋体" w:hAnsi="Arial" w:cs="Arial"/>
          <w:color w:val="262626"/>
          <w:sz w:val="18"/>
          <w:szCs w:val="18"/>
        </w:rPr>
        <w:t>As we continue on our strategy to develop more competitive products and more c</w:t>
      </w:r>
      <w:r>
        <w:rPr>
          <w:rFonts w:ascii="Arial" w:eastAsia="宋体" w:hAnsi="Arial" w:cs="Arial"/>
          <w:color w:val="262626"/>
          <w:sz w:val="18"/>
          <w:szCs w:val="18"/>
        </w:rPr>
        <w:t>apabilities for customers, we are designing our product roadmap to drive product leadership grounded in a philosophy of openness and choice. We deliver value to our customers by leveraging our engineering capabilities and working with our partners across a</w:t>
      </w:r>
      <w:r>
        <w:rPr>
          <w:rFonts w:ascii="Arial" w:eastAsia="宋体" w:hAnsi="Arial" w:cs="Arial"/>
          <w:color w:val="262626"/>
          <w:sz w:val="18"/>
          <w:szCs w:val="18"/>
        </w:rPr>
        <w:t xml:space="preserve">n open, innovative ecosystem to deliver technology that drives every major vector of the computing experience, including performance, battery life, connectivity, graphics, and form factors to create the most advanced PC platforms. </w:t>
      </w:r>
    </w:p>
    <w:p w14:paraId="5A1AF7B2" w14:textId="77777777" w:rsidR="00960BB8" w:rsidRDefault="00C06650">
      <w:r>
        <w:rPr>
          <w:rFonts w:ascii="宋体" w:eastAsia="宋体" w:hAnsi="宋体" w:cs="宋体"/>
        </w:rPr>
        <w:fldChar w:fldCharType="begin"/>
      </w:r>
      <w:r>
        <w:rPr>
          <w:rFonts w:ascii="宋体" w:eastAsia="宋体" w:hAnsi="宋体" w:cs="宋体"/>
        </w:rPr>
        <w:instrText>INCLUDEPICTURE \d "/User</w:instrText>
      </w:r>
      <w:r>
        <w:rPr>
          <w:rFonts w:ascii="宋体" w:eastAsia="宋体" w:hAnsi="宋体" w:cs="宋体"/>
        </w:rPr>
        <w:instrText xml:space="preserve">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Viewer_files/intc-20221231_g31.jpg"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89" wp14:editId="5A1B438A">
            <wp:extent cx="304800" cy="304800"/>
            <wp:effectExtent l="0" t="0" r="0" b="0"/>
            <wp:docPr id="92" name="图片 103"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03" descr="IMG_30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7B3" w14:textId="77777777" w:rsidR="00960BB8" w:rsidRDefault="00C06650">
      <w:pPr>
        <w:spacing w:before="180" w:after="120"/>
      </w:pPr>
      <w:r>
        <w:rPr>
          <w:rFonts w:ascii="Arial" w:eastAsia="宋体" w:hAnsi="Arial" w:cs="Arial"/>
          <w:color w:val="0068B5"/>
          <w:sz w:val="20"/>
          <w:szCs w:val="20"/>
        </w:rPr>
        <w:t>Products and Competition</w:t>
      </w:r>
    </w:p>
    <w:p w14:paraId="5A1AF7B4" w14:textId="77777777" w:rsidR="00960BB8" w:rsidRDefault="00C06650">
      <w:pPr>
        <w:spacing w:after="180"/>
      </w:pPr>
      <w:r>
        <w:rPr>
          <w:rFonts w:ascii="Arial" w:eastAsia="宋体" w:hAnsi="Arial" w:cs="Arial"/>
          <w:color w:val="262626"/>
          <w:sz w:val="18"/>
          <w:szCs w:val="18"/>
        </w:rPr>
        <w:t>We released our 13th Gen Intel Core desktop processors, the second generation of our performance hybrid archi</w:t>
      </w:r>
      <w:r>
        <w:rPr>
          <w:rFonts w:ascii="Arial" w:eastAsia="宋体" w:hAnsi="Arial" w:cs="Arial"/>
          <w:color w:val="262626"/>
          <w:sz w:val="18"/>
          <w:szCs w:val="18"/>
        </w:rPr>
        <w:t>tecture, which combines efficient-cores and performance-cores to deliver performance and experiences that are scalable across all PC market segments. The 13th Gen processor family is expected to deliver uncompromised computing performance for every PC segm</w:t>
      </w:r>
      <w:r>
        <w:rPr>
          <w:rFonts w:ascii="Arial" w:eastAsia="宋体" w:hAnsi="Arial" w:cs="Arial"/>
          <w:color w:val="262626"/>
          <w:sz w:val="18"/>
          <w:szCs w:val="18"/>
        </w:rPr>
        <w:t>ent and out to the edge. In total, we expect to deliver more than 500 designs from partners across major multinational corporations and leading manufacturers.</w:t>
      </w:r>
    </w:p>
    <w:p w14:paraId="5A1AF7B5" w14:textId="77777777" w:rsidR="00960BB8" w:rsidRDefault="00C06650">
      <w:pPr>
        <w:spacing w:after="180"/>
      </w:pPr>
      <w:r>
        <w:rPr>
          <w:rFonts w:ascii="Arial" w:eastAsia="宋体" w:hAnsi="Arial" w:cs="Arial"/>
          <w:color w:val="262626"/>
          <w:sz w:val="18"/>
          <w:szCs w:val="18"/>
        </w:rPr>
        <w:t>We operate in a particularly competitive market. In processors, we compete with AMD and vendors w</w:t>
      </w:r>
      <w:r>
        <w:rPr>
          <w:rFonts w:ascii="Arial" w:eastAsia="宋体" w:hAnsi="Arial" w:cs="Arial"/>
          <w:color w:val="262626"/>
          <w:sz w:val="18"/>
          <w:szCs w:val="18"/>
        </w:rPr>
        <w:t>ho design applications processors based on ARM architecture, such as Qualcomm Inc. (Qualcomm), and, increasingly, Apple Inc. (Apple), with its M1 and M2 products. We expect this competitive environment to continue to intensify in 2023.</w:t>
      </w:r>
    </w:p>
    <w:p w14:paraId="5A1AF7B6" w14:textId="77777777" w:rsidR="00960BB8" w:rsidRDefault="00C06650">
      <w:pPr>
        <w:spacing w:after="180"/>
      </w:pPr>
      <w:r>
        <w:rPr>
          <w:rFonts w:ascii="Arial" w:eastAsia="宋体" w:hAnsi="Arial" w:cs="Arial"/>
          <w:color w:val="262626"/>
          <w:sz w:val="18"/>
          <w:szCs w:val="18"/>
        </w:rPr>
        <w:t>Our role as a techno</w:t>
      </w:r>
      <w:r>
        <w:rPr>
          <w:rFonts w:ascii="Arial" w:eastAsia="宋体" w:hAnsi="Arial" w:cs="Arial"/>
          <w:color w:val="262626"/>
          <w:sz w:val="18"/>
          <w:szCs w:val="18"/>
        </w:rPr>
        <w:t xml:space="preserve">logy leader is more important than ever, and our commitment to creating an open ecosystem is critical to delivering on our ambition. This is why we embrace and collaborate with a vibrant ecosystem of OEM partners to identify innovation vectors and deliver </w:t>
      </w:r>
      <w:r>
        <w:rPr>
          <w:rFonts w:ascii="Arial" w:eastAsia="宋体" w:hAnsi="Arial" w:cs="Arial"/>
          <w:color w:val="262626"/>
          <w:sz w:val="18"/>
          <w:szCs w:val="18"/>
        </w:rPr>
        <w:t>leadership technologies together. The breadth of a robust ecosystem like Microsoft Windows/x86 is a powerful combination, bringing together hundreds of companies around the globe and creative and innovative advancements that are not possible for one compan</w:t>
      </w:r>
      <w:r>
        <w:rPr>
          <w:rFonts w:ascii="Arial" w:eastAsia="宋体" w:hAnsi="Arial" w:cs="Arial"/>
          <w:color w:val="262626"/>
          <w:sz w:val="18"/>
          <w:szCs w:val="18"/>
        </w:rPr>
        <w:t>y to deliver alone.</w:t>
      </w:r>
    </w:p>
    <w:p w14:paraId="5A1AF7B7" w14:textId="77777777" w:rsidR="00960BB8" w:rsidRDefault="00C06650">
      <w:pPr>
        <w:spacing w:after="180"/>
      </w:pPr>
      <w:r>
        <w:rPr>
          <w:rFonts w:ascii="Arial" w:eastAsia="宋体" w:hAnsi="Arial" w:cs="Arial"/>
          <w:color w:val="262626"/>
          <w:sz w:val="18"/>
          <w:szCs w:val="18"/>
        </w:rPr>
        <w:t>Unique to Intel, we innovate beyond the CPU to deliver premium PC experiences with Intel Evo and Intel vPro platforms. More than 150 advanced laptop designs have been built on the Intel Evo platform, and we test and verify these to conf</w:t>
      </w:r>
      <w:r>
        <w:rPr>
          <w:rFonts w:ascii="Arial" w:eastAsia="宋体" w:hAnsi="Arial" w:cs="Arial"/>
          <w:color w:val="262626"/>
          <w:sz w:val="18"/>
          <w:szCs w:val="18"/>
        </w:rPr>
        <w:t>irm they deliver key experience indicators such as responsiveness, battery life, instant wake, and connectivity. Intel vPro is designed for enterprise needs and delivers increased productivity improvements, connectivity, security features, and remote manag</w:t>
      </w:r>
      <w:r>
        <w:rPr>
          <w:rFonts w:ascii="Arial" w:eastAsia="宋体" w:hAnsi="Arial" w:cs="Arial"/>
          <w:color w:val="262626"/>
          <w:sz w:val="18"/>
          <w:szCs w:val="18"/>
        </w:rPr>
        <w:t>eability.</w:t>
      </w:r>
    </w:p>
    <w:p w14:paraId="5A1AF7B8" w14:textId="77777777" w:rsidR="00960BB8" w:rsidRDefault="00C06650">
      <w:pPr>
        <w:spacing w:after="180"/>
      </w:pPr>
      <w:r>
        <w:rPr>
          <w:rFonts w:ascii="Arial" w:eastAsia="宋体" w:hAnsi="Arial" w:cs="Arial"/>
          <w:color w:val="262626"/>
          <w:sz w:val="18"/>
          <w:szCs w:val="18"/>
        </w:rPr>
        <w:t>Through our efforts to increase internal and external capacity, supply availability for our products has improved, which enables us to service our customers in a more consistent and responsive manner. We have also seen near-term improvements in i</w:t>
      </w:r>
      <w:r>
        <w:rPr>
          <w:rFonts w:ascii="Arial" w:eastAsia="宋体" w:hAnsi="Arial" w:cs="Arial"/>
          <w:color w:val="262626"/>
          <w:sz w:val="18"/>
          <w:szCs w:val="18"/>
        </w:rPr>
        <w:t>ndustry-wide constraints, which include improvements in third-party component availability and a stabilization of lead times for those components. We remain committed to further remove bottlenecks of third-party components and prepare for longer term deman</w:t>
      </w:r>
      <w:r>
        <w:rPr>
          <w:rFonts w:ascii="Arial" w:eastAsia="宋体" w:hAnsi="Arial" w:cs="Arial"/>
          <w:color w:val="262626"/>
          <w:sz w:val="18"/>
          <w:szCs w:val="18"/>
        </w:rPr>
        <w:t xml:space="preserve">d growth. </w:t>
      </w:r>
    </w:p>
    <w:p w14:paraId="5A1AF7B9" w14:textId="77777777" w:rsidR="00960BB8" w:rsidRDefault="00960BB8">
      <w:pPr>
        <w:ind w:hanging="180"/>
      </w:pPr>
    </w:p>
    <w:p w14:paraId="5A1AF7BA" w14:textId="77777777" w:rsidR="00960BB8" w:rsidRDefault="00960BB8">
      <w:pPr>
        <w:ind w:hanging="180"/>
      </w:pPr>
    </w:p>
    <w:p w14:paraId="5A1AF7BB" w14:textId="77777777" w:rsidR="00960BB8" w:rsidRDefault="00C06650">
      <w:pPr>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Source: Intel calculated 2022 TAM derived from industry analyst reports.</w:t>
      </w:r>
    </w:p>
    <w:p w14:paraId="5A1AF7BC" w14:textId="77777777" w:rsidR="00960BB8" w:rsidRDefault="00C06650">
      <w:pPr>
        <w:ind w:hanging="180"/>
      </w:pPr>
      <w:r>
        <w:rPr>
          <w:rFonts w:ascii="Arial" w:eastAsia="宋体" w:hAnsi="Arial" w:cs="Arial"/>
          <w:i/>
          <w:iCs/>
          <w:color w:val="262626"/>
          <w:sz w:val="10"/>
          <w:szCs w:val="10"/>
        </w:rPr>
        <w:t xml:space="preserve">2 </w:t>
      </w:r>
      <w:r>
        <w:rPr>
          <w:rFonts w:ascii="Arial" w:eastAsia="宋体" w:hAnsi="Arial" w:cs="Arial"/>
          <w:i/>
          <w:iCs/>
          <w:color w:val="262626"/>
          <w:sz w:val="16"/>
          <w:szCs w:val="16"/>
        </w:rPr>
        <w:t>Source. Intel calculated PC density from industry analyst reports.</w:t>
      </w:r>
    </w:p>
    <w:p w14:paraId="5A1AF7BD" w14:textId="77777777" w:rsidR="00960BB8" w:rsidRDefault="00C06650">
      <w:r>
        <w:rPr>
          <w:rFonts w:ascii="Arial" w:eastAsia="宋体" w:hAnsi="Arial" w:cs="Arial"/>
          <w:i/>
          <w:iCs/>
          <w:color w:val="262626"/>
          <w:sz w:val="10"/>
          <w:szCs w:val="10"/>
        </w:rPr>
        <w:t xml:space="preserve">3 </w:t>
      </w:r>
      <w:r>
        <w:rPr>
          <w:rFonts w:ascii="Arial" w:eastAsia="宋体" w:hAnsi="Arial" w:cs="Arial"/>
          <w:i/>
          <w:iCs/>
          <w:color w:val="262626"/>
          <w:sz w:val="16"/>
          <w:szCs w:val="16"/>
        </w:rPr>
        <w:t xml:space="preserve">Source: Intel calculated volume of devices over four years old from industry analyst </w:t>
      </w:r>
      <w:r>
        <w:rPr>
          <w:rFonts w:ascii="Arial" w:eastAsia="宋体" w:hAnsi="Arial" w:cs="Arial"/>
          <w:i/>
          <w:iCs/>
          <w:color w:val="262626"/>
          <w:sz w:val="16"/>
          <w:szCs w:val="16"/>
        </w:rPr>
        <w:t>reports and internal data.</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7C7" w14:textId="77777777">
        <w:tc>
          <w:tcPr>
            <w:tcW w:w="50" w:type="pct"/>
            <w:shd w:val="clear" w:color="auto" w:fill="auto"/>
            <w:vAlign w:val="bottom"/>
          </w:tcPr>
          <w:p w14:paraId="5A1AF7BE" w14:textId="77777777" w:rsidR="00960BB8" w:rsidRDefault="00960BB8">
            <w:pPr>
              <w:rPr>
                <w:rFonts w:ascii="宋体"/>
              </w:rPr>
            </w:pPr>
          </w:p>
        </w:tc>
        <w:tc>
          <w:tcPr>
            <w:tcW w:w="283" w:type="pct"/>
            <w:shd w:val="clear" w:color="auto" w:fill="auto"/>
            <w:vAlign w:val="bottom"/>
          </w:tcPr>
          <w:p w14:paraId="5A1AF7BF" w14:textId="77777777" w:rsidR="00960BB8" w:rsidRDefault="00960BB8">
            <w:pPr>
              <w:rPr>
                <w:rFonts w:ascii="宋体"/>
              </w:rPr>
            </w:pPr>
          </w:p>
        </w:tc>
        <w:tc>
          <w:tcPr>
            <w:tcW w:w="5" w:type="pct"/>
            <w:shd w:val="clear" w:color="auto" w:fill="auto"/>
            <w:vAlign w:val="bottom"/>
          </w:tcPr>
          <w:p w14:paraId="5A1AF7C0" w14:textId="77777777" w:rsidR="00960BB8" w:rsidRDefault="00960BB8">
            <w:pPr>
              <w:rPr>
                <w:rFonts w:ascii="宋体"/>
              </w:rPr>
            </w:pPr>
          </w:p>
        </w:tc>
        <w:tc>
          <w:tcPr>
            <w:tcW w:w="50" w:type="pct"/>
            <w:shd w:val="clear" w:color="auto" w:fill="auto"/>
            <w:vAlign w:val="bottom"/>
          </w:tcPr>
          <w:p w14:paraId="5A1AF7C1" w14:textId="77777777" w:rsidR="00960BB8" w:rsidRDefault="00960BB8">
            <w:pPr>
              <w:rPr>
                <w:rFonts w:ascii="宋体"/>
              </w:rPr>
            </w:pPr>
          </w:p>
        </w:tc>
        <w:tc>
          <w:tcPr>
            <w:tcW w:w="2656" w:type="pct"/>
            <w:shd w:val="clear" w:color="auto" w:fill="auto"/>
            <w:vAlign w:val="bottom"/>
          </w:tcPr>
          <w:p w14:paraId="5A1AF7C2" w14:textId="77777777" w:rsidR="00960BB8" w:rsidRDefault="00960BB8">
            <w:pPr>
              <w:rPr>
                <w:rFonts w:ascii="宋体"/>
              </w:rPr>
            </w:pPr>
          </w:p>
        </w:tc>
        <w:tc>
          <w:tcPr>
            <w:tcW w:w="5" w:type="pct"/>
            <w:shd w:val="clear" w:color="auto" w:fill="auto"/>
            <w:vAlign w:val="bottom"/>
          </w:tcPr>
          <w:p w14:paraId="5A1AF7C3" w14:textId="77777777" w:rsidR="00960BB8" w:rsidRDefault="00960BB8">
            <w:pPr>
              <w:rPr>
                <w:rFonts w:ascii="宋体"/>
              </w:rPr>
            </w:pPr>
          </w:p>
        </w:tc>
        <w:tc>
          <w:tcPr>
            <w:tcW w:w="50" w:type="pct"/>
            <w:shd w:val="clear" w:color="auto" w:fill="auto"/>
            <w:vAlign w:val="bottom"/>
          </w:tcPr>
          <w:p w14:paraId="5A1AF7C4" w14:textId="77777777" w:rsidR="00960BB8" w:rsidRDefault="00960BB8">
            <w:pPr>
              <w:rPr>
                <w:rFonts w:ascii="宋体"/>
              </w:rPr>
            </w:pPr>
          </w:p>
        </w:tc>
        <w:tc>
          <w:tcPr>
            <w:tcW w:w="1894" w:type="pct"/>
            <w:shd w:val="clear" w:color="auto" w:fill="auto"/>
            <w:vAlign w:val="bottom"/>
          </w:tcPr>
          <w:p w14:paraId="5A1AF7C5" w14:textId="77777777" w:rsidR="00960BB8" w:rsidRDefault="00960BB8">
            <w:pPr>
              <w:rPr>
                <w:rFonts w:ascii="宋体"/>
              </w:rPr>
            </w:pPr>
          </w:p>
        </w:tc>
        <w:tc>
          <w:tcPr>
            <w:tcW w:w="5" w:type="pct"/>
            <w:shd w:val="clear" w:color="auto" w:fill="auto"/>
            <w:vAlign w:val="bottom"/>
          </w:tcPr>
          <w:p w14:paraId="5A1AF7C6" w14:textId="77777777" w:rsidR="00960BB8" w:rsidRDefault="00960BB8">
            <w:pPr>
              <w:rPr>
                <w:rFonts w:ascii="宋体"/>
              </w:rPr>
            </w:pPr>
          </w:p>
        </w:tc>
      </w:tr>
      <w:tr w:rsidR="00960BB8" w14:paraId="5A1AF7C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7C8"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8B" wp14:editId="5A1B438C">
                  <wp:extent cx="304800" cy="304800"/>
                  <wp:effectExtent l="0" t="0" r="0" b="0"/>
                  <wp:docPr id="124" name="图片 10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0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C9"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7CA" w14:textId="77777777" w:rsidR="00960BB8" w:rsidRDefault="00C06650">
            <w:pPr>
              <w:jc w:val="right"/>
              <w:textAlignment w:val="center"/>
            </w:pPr>
            <w:r>
              <w:rPr>
                <w:rFonts w:ascii="Arial" w:eastAsia="宋体" w:hAnsi="Arial" w:cs="Arial"/>
                <w:color w:val="262626"/>
                <w:sz w:val="16"/>
                <w:szCs w:val="16"/>
              </w:rPr>
              <w:t>21</w:t>
            </w:r>
          </w:p>
        </w:tc>
      </w:tr>
    </w:tbl>
    <w:p w14:paraId="5A1AF7CC" w14:textId="77777777" w:rsidR="00960BB8" w:rsidRDefault="00C06650">
      <w:r>
        <w:pict w14:anchorId="5A1B438D">
          <v:rect id="_x0000_i1047" style="width:415.3pt;height:1.5pt" o:hralign="center" o:hrstd="t" o:hr="t" fillcolor="#a0a0a0" stroked="f"/>
        </w:pict>
      </w:r>
    </w:p>
    <w:p w14:paraId="5A1AF7CD" w14:textId="77777777" w:rsidR="00960BB8" w:rsidRDefault="00C06650">
      <w:pPr>
        <w:jc w:val="right"/>
      </w:pPr>
      <w:hyperlink r:id="rId49" w:anchor="i8aaa7b4dbd2e419ca0f5c30af85a11aa_16" w:history="1">
        <w:r>
          <w:rPr>
            <w:rStyle w:val="a5"/>
            <w:rFonts w:ascii="Arial" w:eastAsia="宋体" w:hAnsi="Arial" w:cs="Arial"/>
            <w:b/>
            <w:bCs/>
            <w:sz w:val="16"/>
            <w:szCs w:val="16"/>
          </w:rPr>
          <w:t>Table of Contents</w:t>
        </w:r>
      </w:hyperlink>
    </w:p>
    <w:p w14:paraId="5A1AF7CE" w14:textId="77777777" w:rsidR="00960BB8" w:rsidRDefault="00960BB8">
      <w:pPr>
        <w:jc w:val="right"/>
      </w:pPr>
    </w:p>
    <w:p w14:paraId="5A1AF7CF" w14:textId="77777777" w:rsidR="00960BB8" w:rsidRDefault="00C06650">
      <w:pPr>
        <w:spacing w:after="180"/>
      </w:pPr>
      <w:r>
        <w:rPr>
          <w:rFonts w:ascii="Arial" w:eastAsia="宋体" w:hAnsi="Arial" w:cs="Arial"/>
          <w:color w:val="0068B5"/>
        </w:rPr>
        <w:t>Financial Performance</w:t>
      </w:r>
    </w:p>
    <w:tbl>
      <w:tblPr>
        <w:tblW w:w="10800" w:type="dxa"/>
        <w:tblCellMar>
          <w:top w:w="15" w:type="dxa"/>
          <w:left w:w="15" w:type="dxa"/>
          <w:bottom w:w="15" w:type="dxa"/>
          <w:right w:w="15" w:type="dxa"/>
        </w:tblCellMar>
        <w:tblLook w:val="04A0" w:firstRow="1" w:lastRow="0" w:firstColumn="1" w:lastColumn="0" w:noHBand="0" w:noVBand="1"/>
      </w:tblPr>
      <w:tblGrid>
        <w:gridCol w:w="36"/>
        <w:gridCol w:w="123"/>
        <w:gridCol w:w="36"/>
        <w:gridCol w:w="36"/>
        <w:gridCol w:w="4747"/>
        <w:gridCol w:w="36"/>
        <w:gridCol w:w="36"/>
        <w:gridCol w:w="683"/>
        <w:gridCol w:w="36"/>
        <w:gridCol w:w="36"/>
        <w:gridCol w:w="4498"/>
        <w:gridCol w:w="36"/>
        <w:gridCol w:w="36"/>
        <w:gridCol w:w="389"/>
        <w:gridCol w:w="36"/>
      </w:tblGrid>
      <w:tr w:rsidR="00960BB8" w14:paraId="5A1AF7DF" w14:textId="77777777">
        <w:tc>
          <w:tcPr>
            <w:tcW w:w="20" w:type="dxa"/>
            <w:shd w:val="clear" w:color="auto" w:fill="auto"/>
            <w:vAlign w:val="bottom"/>
          </w:tcPr>
          <w:p w14:paraId="5A1AF7D0" w14:textId="77777777" w:rsidR="00960BB8" w:rsidRDefault="00960BB8">
            <w:pPr>
              <w:rPr>
                <w:rFonts w:ascii="宋体"/>
              </w:rPr>
            </w:pPr>
          </w:p>
        </w:tc>
        <w:tc>
          <w:tcPr>
            <w:tcW w:w="125" w:type="dxa"/>
            <w:shd w:val="clear" w:color="auto" w:fill="auto"/>
            <w:vAlign w:val="bottom"/>
          </w:tcPr>
          <w:p w14:paraId="5A1AF7D1" w14:textId="77777777" w:rsidR="00960BB8" w:rsidRDefault="00960BB8">
            <w:pPr>
              <w:rPr>
                <w:rFonts w:ascii="宋体"/>
              </w:rPr>
            </w:pPr>
          </w:p>
        </w:tc>
        <w:tc>
          <w:tcPr>
            <w:tcW w:w="20" w:type="dxa"/>
            <w:shd w:val="clear" w:color="auto" w:fill="auto"/>
            <w:vAlign w:val="bottom"/>
          </w:tcPr>
          <w:p w14:paraId="5A1AF7D2" w14:textId="77777777" w:rsidR="00960BB8" w:rsidRDefault="00960BB8">
            <w:pPr>
              <w:rPr>
                <w:rFonts w:ascii="宋体"/>
              </w:rPr>
            </w:pPr>
          </w:p>
        </w:tc>
        <w:tc>
          <w:tcPr>
            <w:tcW w:w="20" w:type="dxa"/>
            <w:shd w:val="clear" w:color="auto" w:fill="auto"/>
            <w:vAlign w:val="bottom"/>
          </w:tcPr>
          <w:p w14:paraId="5A1AF7D3" w14:textId="77777777" w:rsidR="00960BB8" w:rsidRDefault="00960BB8">
            <w:pPr>
              <w:rPr>
                <w:rFonts w:ascii="宋体"/>
              </w:rPr>
            </w:pPr>
          </w:p>
        </w:tc>
        <w:tc>
          <w:tcPr>
            <w:tcW w:w="4820" w:type="dxa"/>
            <w:shd w:val="clear" w:color="auto" w:fill="auto"/>
            <w:vAlign w:val="bottom"/>
          </w:tcPr>
          <w:p w14:paraId="5A1AF7D4" w14:textId="77777777" w:rsidR="00960BB8" w:rsidRDefault="00960BB8">
            <w:pPr>
              <w:rPr>
                <w:rFonts w:ascii="宋体"/>
              </w:rPr>
            </w:pPr>
          </w:p>
        </w:tc>
        <w:tc>
          <w:tcPr>
            <w:tcW w:w="20" w:type="dxa"/>
            <w:shd w:val="clear" w:color="auto" w:fill="auto"/>
            <w:vAlign w:val="bottom"/>
          </w:tcPr>
          <w:p w14:paraId="5A1AF7D5" w14:textId="77777777" w:rsidR="00960BB8" w:rsidRDefault="00960BB8">
            <w:pPr>
              <w:rPr>
                <w:rFonts w:ascii="宋体"/>
              </w:rPr>
            </w:pPr>
          </w:p>
        </w:tc>
        <w:tc>
          <w:tcPr>
            <w:tcW w:w="20" w:type="dxa"/>
            <w:shd w:val="clear" w:color="auto" w:fill="auto"/>
            <w:vAlign w:val="bottom"/>
          </w:tcPr>
          <w:p w14:paraId="5A1AF7D6" w14:textId="77777777" w:rsidR="00960BB8" w:rsidRDefault="00960BB8">
            <w:pPr>
              <w:rPr>
                <w:rFonts w:ascii="宋体"/>
              </w:rPr>
            </w:pPr>
          </w:p>
        </w:tc>
        <w:tc>
          <w:tcPr>
            <w:tcW w:w="695" w:type="dxa"/>
            <w:shd w:val="clear" w:color="auto" w:fill="auto"/>
            <w:vAlign w:val="bottom"/>
          </w:tcPr>
          <w:p w14:paraId="5A1AF7D7" w14:textId="77777777" w:rsidR="00960BB8" w:rsidRDefault="00960BB8">
            <w:pPr>
              <w:rPr>
                <w:rFonts w:ascii="宋体"/>
              </w:rPr>
            </w:pPr>
          </w:p>
        </w:tc>
        <w:tc>
          <w:tcPr>
            <w:tcW w:w="20" w:type="dxa"/>
            <w:shd w:val="clear" w:color="auto" w:fill="auto"/>
            <w:vAlign w:val="bottom"/>
          </w:tcPr>
          <w:p w14:paraId="5A1AF7D8" w14:textId="77777777" w:rsidR="00960BB8" w:rsidRDefault="00960BB8">
            <w:pPr>
              <w:rPr>
                <w:rFonts w:ascii="宋体"/>
              </w:rPr>
            </w:pPr>
          </w:p>
        </w:tc>
        <w:tc>
          <w:tcPr>
            <w:tcW w:w="20" w:type="dxa"/>
            <w:shd w:val="clear" w:color="auto" w:fill="auto"/>
            <w:vAlign w:val="bottom"/>
          </w:tcPr>
          <w:p w14:paraId="5A1AF7D9" w14:textId="77777777" w:rsidR="00960BB8" w:rsidRDefault="00960BB8">
            <w:pPr>
              <w:rPr>
                <w:rFonts w:ascii="宋体"/>
              </w:rPr>
            </w:pPr>
          </w:p>
        </w:tc>
        <w:tc>
          <w:tcPr>
            <w:tcW w:w="4565" w:type="dxa"/>
            <w:shd w:val="clear" w:color="auto" w:fill="auto"/>
            <w:vAlign w:val="bottom"/>
          </w:tcPr>
          <w:p w14:paraId="5A1AF7DA" w14:textId="77777777" w:rsidR="00960BB8" w:rsidRDefault="00960BB8">
            <w:pPr>
              <w:rPr>
                <w:rFonts w:ascii="宋体"/>
              </w:rPr>
            </w:pPr>
          </w:p>
        </w:tc>
        <w:tc>
          <w:tcPr>
            <w:tcW w:w="20" w:type="dxa"/>
            <w:shd w:val="clear" w:color="auto" w:fill="auto"/>
            <w:vAlign w:val="bottom"/>
          </w:tcPr>
          <w:p w14:paraId="5A1AF7DB" w14:textId="77777777" w:rsidR="00960BB8" w:rsidRDefault="00960BB8">
            <w:pPr>
              <w:rPr>
                <w:rFonts w:ascii="宋体"/>
              </w:rPr>
            </w:pPr>
          </w:p>
        </w:tc>
        <w:tc>
          <w:tcPr>
            <w:tcW w:w="20" w:type="dxa"/>
            <w:shd w:val="clear" w:color="auto" w:fill="auto"/>
            <w:vAlign w:val="bottom"/>
          </w:tcPr>
          <w:p w14:paraId="5A1AF7DC" w14:textId="77777777" w:rsidR="00960BB8" w:rsidRDefault="00960BB8">
            <w:pPr>
              <w:rPr>
                <w:rFonts w:ascii="宋体"/>
              </w:rPr>
            </w:pPr>
          </w:p>
        </w:tc>
        <w:tc>
          <w:tcPr>
            <w:tcW w:w="395" w:type="dxa"/>
            <w:shd w:val="clear" w:color="auto" w:fill="auto"/>
            <w:vAlign w:val="bottom"/>
          </w:tcPr>
          <w:p w14:paraId="5A1AF7DD" w14:textId="77777777" w:rsidR="00960BB8" w:rsidRDefault="00960BB8">
            <w:pPr>
              <w:rPr>
                <w:rFonts w:ascii="宋体"/>
              </w:rPr>
            </w:pPr>
          </w:p>
        </w:tc>
        <w:tc>
          <w:tcPr>
            <w:tcW w:w="20" w:type="dxa"/>
            <w:shd w:val="clear" w:color="auto" w:fill="auto"/>
            <w:vAlign w:val="bottom"/>
          </w:tcPr>
          <w:p w14:paraId="5A1AF7DE" w14:textId="77777777" w:rsidR="00960BB8" w:rsidRDefault="00960BB8">
            <w:pPr>
              <w:rPr>
                <w:rFonts w:ascii="宋体"/>
              </w:rPr>
            </w:pPr>
          </w:p>
        </w:tc>
      </w:tr>
      <w:tr w:rsidR="00960BB8" w14:paraId="5A1AF7E5" w14:textId="77777777">
        <w:trPr>
          <w:trHeight w:val="280"/>
        </w:trPr>
        <w:tc>
          <w:tcPr>
            <w:tcW w:w="0" w:type="auto"/>
            <w:gridSpan w:val="3"/>
            <w:shd w:val="clear" w:color="auto" w:fill="auto"/>
            <w:tcMar>
              <w:top w:w="0" w:type="dxa"/>
              <w:left w:w="20" w:type="dxa"/>
              <w:bottom w:w="0" w:type="dxa"/>
              <w:right w:w="20" w:type="dxa"/>
            </w:tcMar>
            <w:vAlign w:val="bottom"/>
          </w:tcPr>
          <w:p w14:paraId="5A1AF7E0"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7E1" w14:textId="77777777" w:rsidR="00960BB8" w:rsidRDefault="00C06650">
            <w:pPr>
              <w:jc w:val="center"/>
              <w:textAlignment w:val="bottom"/>
            </w:pPr>
            <w:r>
              <w:rPr>
                <w:rFonts w:ascii="Arial" w:eastAsia="宋体" w:hAnsi="Arial" w:cs="Arial"/>
                <w:color w:val="0068B5"/>
                <w:sz w:val="20"/>
                <w:szCs w:val="20"/>
              </w:rPr>
              <w:t>CCG Revenue $B</w:t>
            </w:r>
          </w:p>
        </w:tc>
        <w:tc>
          <w:tcPr>
            <w:tcW w:w="0" w:type="auto"/>
            <w:gridSpan w:val="3"/>
            <w:shd w:val="clear" w:color="auto" w:fill="auto"/>
            <w:tcMar>
              <w:top w:w="0" w:type="dxa"/>
              <w:left w:w="20" w:type="dxa"/>
              <w:bottom w:w="0" w:type="dxa"/>
              <w:right w:w="20" w:type="dxa"/>
            </w:tcMar>
            <w:vAlign w:val="bottom"/>
          </w:tcPr>
          <w:p w14:paraId="5A1AF7E2"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7E3" w14:textId="77777777" w:rsidR="00960BB8" w:rsidRDefault="00C06650">
            <w:pPr>
              <w:jc w:val="center"/>
              <w:textAlignment w:val="bottom"/>
            </w:pPr>
            <w:r>
              <w:rPr>
                <w:rFonts w:ascii="Arial" w:eastAsia="宋体" w:hAnsi="Arial" w:cs="Arial"/>
                <w:color w:val="0068B5"/>
                <w:sz w:val="20"/>
                <w:szCs w:val="20"/>
              </w:rPr>
              <w:t>CCG Operating Income $B</w:t>
            </w:r>
          </w:p>
        </w:tc>
        <w:tc>
          <w:tcPr>
            <w:tcW w:w="0" w:type="auto"/>
            <w:gridSpan w:val="3"/>
            <w:shd w:val="clear" w:color="auto" w:fill="auto"/>
            <w:tcMar>
              <w:top w:w="0" w:type="dxa"/>
              <w:left w:w="20" w:type="dxa"/>
              <w:bottom w:w="0" w:type="dxa"/>
              <w:right w:w="20" w:type="dxa"/>
            </w:tcMar>
            <w:vAlign w:val="bottom"/>
          </w:tcPr>
          <w:p w14:paraId="5A1AF7E4" w14:textId="77777777" w:rsidR="00960BB8" w:rsidRDefault="00960BB8">
            <w:pPr>
              <w:rPr>
                <w:rFonts w:ascii="宋体"/>
              </w:rPr>
            </w:pPr>
          </w:p>
        </w:tc>
      </w:tr>
    </w:tbl>
    <w:p w14:paraId="5A1AF7E6"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Viewer_files/intc-20221231_g32.jpg"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8E" wp14:editId="5A1B438F">
            <wp:extent cx="304800" cy="304800"/>
            <wp:effectExtent l="0" t="0" r="0" b="0"/>
            <wp:docPr id="123" name="图片 106"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6" descr="IMG_30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Viewer_files/intc-2022123</w:instrText>
      </w:r>
      <w:r>
        <w:rPr>
          <w:rFonts w:ascii="宋体" w:eastAsia="宋体" w:hAnsi="宋体" w:cs="宋体"/>
        </w:rPr>
        <w:instrText xml:space="preserve">1_g33.jpg"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90" wp14:editId="5A1B4391">
            <wp:extent cx="304800" cy="304800"/>
            <wp:effectExtent l="0" t="0" r="0" b="0"/>
            <wp:docPr id="41" name="图片 107"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7" descr="IMG_30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590" w:type="dxa"/>
        <w:tblCellMar>
          <w:top w:w="15" w:type="dxa"/>
          <w:left w:w="15" w:type="dxa"/>
          <w:bottom w:w="15" w:type="dxa"/>
          <w:right w:w="15" w:type="dxa"/>
        </w:tblCellMar>
        <w:tblLook w:val="04A0" w:firstRow="1" w:lastRow="0" w:firstColumn="1" w:lastColumn="0" w:noHBand="0" w:noVBand="1"/>
      </w:tblPr>
      <w:tblGrid>
        <w:gridCol w:w="36"/>
        <w:gridCol w:w="792"/>
        <w:gridCol w:w="36"/>
        <w:gridCol w:w="36"/>
        <w:gridCol w:w="790"/>
        <w:gridCol w:w="36"/>
        <w:gridCol w:w="36"/>
        <w:gridCol w:w="1164"/>
        <w:gridCol w:w="36"/>
        <w:gridCol w:w="36"/>
        <w:gridCol w:w="1160"/>
        <w:gridCol w:w="36"/>
        <w:gridCol w:w="36"/>
        <w:gridCol w:w="6324"/>
        <w:gridCol w:w="36"/>
      </w:tblGrid>
      <w:tr w:rsidR="00960BB8" w14:paraId="5A1AF7F6" w14:textId="77777777">
        <w:tc>
          <w:tcPr>
            <w:tcW w:w="20" w:type="dxa"/>
            <w:shd w:val="clear" w:color="auto" w:fill="auto"/>
            <w:vAlign w:val="bottom"/>
          </w:tcPr>
          <w:p w14:paraId="5A1AF7E7" w14:textId="77777777" w:rsidR="00960BB8" w:rsidRDefault="00960BB8">
            <w:pPr>
              <w:rPr>
                <w:rFonts w:ascii="宋体"/>
              </w:rPr>
            </w:pPr>
          </w:p>
        </w:tc>
        <w:tc>
          <w:tcPr>
            <w:tcW w:w="800" w:type="dxa"/>
            <w:shd w:val="clear" w:color="auto" w:fill="auto"/>
            <w:vAlign w:val="bottom"/>
          </w:tcPr>
          <w:p w14:paraId="5A1AF7E8" w14:textId="77777777" w:rsidR="00960BB8" w:rsidRDefault="00960BB8">
            <w:pPr>
              <w:rPr>
                <w:rFonts w:ascii="宋体"/>
              </w:rPr>
            </w:pPr>
          </w:p>
        </w:tc>
        <w:tc>
          <w:tcPr>
            <w:tcW w:w="20" w:type="dxa"/>
            <w:shd w:val="clear" w:color="auto" w:fill="auto"/>
            <w:vAlign w:val="bottom"/>
          </w:tcPr>
          <w:p w14:paraId="5A1AF7E9" w14:textId="77777777" w:rsidR="00960BB8" w:rsidRDefault="00960BB8">
            <w:pPr>
              <w:rPr>
                <w:rFonts w:ascii="宋体"/>
              </w:rPr>
            </w:pPr>
          </w:p>
        </w:tc>
        <w:tc>
          <w:tcPr>
            <w:tcW w:w="20" w:type="dxa"/>
            <w:shd w:val="clear" w:color="auto" w:fill="auto"/>
            <w:vAlign w:val="bottom"/>
          </w:tcPr>
          <w:p w14:paraId="5A1AF7EA" w14:textId="77777777" w:rsidR="00960BB8" w:rsidRDefault="00960BB8">
            <w:pPr>
              <w:rPr>
                <w:rFonts w:ascii="宋体"/>
              </w:rPr>
            </w:pPr>
          </w:p>
        </w:tc>
        <w:tc>
          <w:tcPr>
            <w:tcW w:w="800" w:type="dxa"/>
            <w:shd w:val="clear" w:color="auto" w:fill="auto"/>
            <w:vAlign w:val="bottom"/>
          </w:tcPr>
          <w:p w14:paraId="5A1AF7EB" w14:textId="77777777" w:rsidR="00960BB8" w:rsidRDefault="00960BB8">
            <w:pPr>
              <w:rPr>
                <w:rFonts w:ascii="宋体"/>
              </w:rPr>
            </w:pPr>
          </w:p>
        </w:tc>
        <w:tc>
          <w:tcPr>
            <w:tcW w:w="20" w:type="dxa"/>
            <w:shd w:val="clear" w:color="auto" w:fill="auto"/>
            <w:vAlign w:val="bottom"/>
          </w:tcPr>
          <w:p w14:paraId="5A1AF7EC" w14:textId="77777777" w:rsidR="00960BB8" w:rsidRDefault="00960BB8">
            <w:pPr>
              <w:rPr>
                <w:rFonts w:ascii="宋体"/>
              </w:rPr>
            </w:pPr>
          </w:p>
        </w:tc>
        <w:tc>
          <w:tcPr>
            <w:tcW w:w="20" w:type="dxa"/>
            <w:shd w:val="clear" w:color="auto" w:fill="auto"/>
            <w:vAlign w:val="bottom"/>
          </w:tcPr>
          <w:p w14:paraId="5A1AF7ED" w14:textId="77777777" w:rsidR="00960BB8" w:rsidRDefault="00960BB8">
            <w:pPr>
              <w:rPr>
                <w:rFonts w:ascii="宋体"/>
              </w:rPr>
            </w:pPr>
          </w:p>
        </w:tc>
        <w:tc>
          <w:tcPr>
            <w:tcW w:w="1175" w:type="dxa"/>
            <w:shd w:val="clear" w:color="auto" w:fill="auto"/>
            <w:vAlign w:val="bottom"/>
          </w:tcPr>
          <w:p w14:paraId="5A1AF7EE" w14:textId="77777777" w:rsidR="00960BB8" w:rsidRDefault="00960BB8">
            <w:pPr>
              <w:rPr>
                <w:rFonts w:ascii="宋体"/>
              </w:rPr>
            </w:pPr>
          </w:p>
        </w:tc>
        <w:tc>
          <w:tcPr>
            <w:tcW w:w="20" w:type="dxa"/>
            <w:shd w:val="clear" w:color="auto" w:fill="auto"/>
            <w:vAlign w:val="bottom"/>
          </w:tcPr>
          <w:p w14:paraId="5A1AF7EF" w14:textId="77777777" w:rsidR="00960BB8" w:rsidRDefault="00960BB8">
            <w:pPr>
              <w:rPr>
                <w:rFonts w:ascii="宋体"/>
              </w:rPr>
            </w:pPr>
          </w:p>
        </w:tc>
        <w:tc>
          <w:tcPr>
            <w:tcW w:w="20" w:type="dxa"/>
            <w:shd w:val="clear" w:color="auto" w:fill="auto"/>
            <w:vAlign w:val="bottom"/>
          </w:tcPr>
          <w:p w14:paraId="5A1AF7F0" w14:textId="77777777" w:rsidR="00960BB8" w:rsidRDefault="00960BB8">
            <w:pPr>
              <w:rPr>
                <w:rFonts w:ascii="宋体"/>
              </w:rPr>
            </w:pPr>
          </w:p>
        </w:tc>
        <w:tc>
          <w:tcPr>
            <w:tcW w:w="1175" w:type="dxa"/>
            <w:shd w:val="clear" w:color="auto" w:fill="auto"/>
            <w:vAlign w:val="bottom"/>
          </w:tcPr>
          <w:p w14:paraId="5A1AF7F1" w14:textId="77777777" w:rsidR="00960BB8" w:rsidRDefault="00960BB8">
            <w:pPr>
              <w:rPr>
                <w:rFonts w:ascii="宋体"/>
              </w:rPr>
            </w:pPr>
          </w:p>
        </w:tc>
        <w:tc>
          <w:tcPr>
            <w:tcW w:w="20" w:type="dxa"/>
            <w:shd w:val="clear" w:color="auto" w:fill="auto"/>
            <w:vAlign w:val="bottom"/>
          </w:tcPr>
          <w:p w14:paraId="5A1AF7F2" w14:textId="77777777" w:rsidR="00960BB8" w:rsidRDefault="00960BB8">
            <w:pPr>
              <w:rPr>
                <w:rFonts w:ascii="宋体"/>
              </w:rPr>
            </w:pPr>
          </w:p>
        </w:tc>
        <w:tc>
          <w:tcPr>
            <w:tcW w:w="20" w:type="dxa"/>
            <w:shd w:val="clear" w:color="auto" w:fill="auto"/>
            <w:vAlign w:val="bottom"/>
          </w:tcPr>
          <w:p w14:paraId="5A1AF7F3" w14:textId="77777777" w:rsidR="00960BB8" w:rsidRDefault="00960BB8">
            <w:pPr>
              <w:rPr>
                <w:rFonts w:ascii="宋体"/>
              </w:rPr>
            </w:pPr>
          </w:p>
        </w:tc>
        <w:tc>
          <w:tcPr>
            <w:tcW w:w="6440" w:type="dxa"/>
            <w:shd w:val="clear" w:color="auto" w:fill="auto"/>
            <w:vAlign w:val="bottom"/>
          </w:tcPr>
          <w:p w14:paraId="5A1AF7F4" w14:textId="77777777" w:rsidR="00960BB8" w:rsidRDefault="00960BB8">
            <w:pPr>
              <w:rPr>
                <w:rFonts w:ascii="宋体"/>
              </w:rPr>
            </w:pPr>
          </w:p>
        </w:tc>
        <w:tc>
          <w:tcPr>
            <w:tcW w:w="20" w:type="dxa"/>
            <w:shd w:val="clear" w:color="auto" w:fill="auto"/>
            <w:vAlign w:val="bottom"/>
          </w:tcPr>
          <w:p w14:paraId="5A1AF7F5" w14:textId="77777777" w:rsidR="00960BB8" w:rsidRDefault="00960BB8">
            <w:pPr>
              <w:rPr>
                <w:rFonts w:ascii="宋体"/>
              </w:rPr>
            </w:pPr>
          </w:p>
        </w:tc>
      </w:tr>
      <w:tr w:rsidR="00960BB8" w14:paraId="5A1AF7FB" w14:textId="77777777">
        <w:trPr>
          <w:trHeight w:val="480"/>
        </w:trPr>
        <w:tc>
          <w:tcPr>
            <w:tcW w:w="0" w:type="auto"/>
            <w:gridSpan w:val="6"/>
            <w:shd w:val="clear" w:color="auto" w:fill="auto"/>
            <w:tcMar>
              <w:top w:w="40" w:type="dxa"/>
              <w:left w:w="20" w:type="dxa"/>
              <w:bottom w:w="40" w:type="dxa"/>
              <w:right w:w="20" w:type="dxa"/>
            </w:tcMar>
            <w:vAlign w:val="center"/>
          </w:tcPr>
          <w:p w14:paraId="5A1AF7F7" w14:textId="77777777" w:rsidR="00960BB8" w:rsidRDefault="00C06650">
            <w:pPr>
              <w:jc w:val="right"/>
              <w:textAlignment w:val="center"/>
            </w:pPr>
            <w:r>
              <w:rPr>
                <w:rFonts w:ascii="Arial" w:eastAsia="宋体" w:hAnsi="Arial" w:cs="Arial"/>
                <w:color w:val="004A86"/>
                <w:sz w:val="16"/>
                <w:szCs w:val="16"/>
              </w:rPr>
              <w:t xml:space="preserve">■ </w:t>
            </w:r>
            <w:r>
              <w:rPr>
                <w:rFonts w:ascii="Arial" w:eastAsia="宋体" w:hAnsi="Arial" w:cs="Arial"/>
                <w:color w:val="000000"/>
                <w:sz w:val="16"/>
                <w:szCs w:val="16"/>
              </w:rPr>
              <w:t>|</w:t>
            </w:r>
            <w:r>
              <w:rPr>
                <w:rFonts w:ascii="Arial" w:eastAsia="宋体" w:hAnsi="Arial" w:cs="Arial"/>
                <w:color w:val="262626"/>
                <w:sz w:val="16"/>
                <w:szCs w:val="16"/>
              </w:rPr>
              <w:t xml:space="preserve"> </w:t>
            </w:r>
            <w:r>
              <w:rPr>
                <w:rFonts w:ascii="Arial" w:eastAsia="宋体" w:hAnsi="Arial" w:cs="Arial"/>
                <w:color w:val="929292"/>
                <w:sz w:val="16"/>
                <w:szCs w:val="16"/>
              </w:rPr>
              <w:t>■</w:t>
            </w:r>
            <w:r>
              <w:rPr>
                <w:rFonts w:ascii="Arial" w:eastAsia="宋体" w:hAnsi="Arial" w:cs="Arial"/>
                <w:color w:val="004A86"/>
                <w:sz w:val="16"/>
                <w:szCs w:val="16"/>
              </w:rPr>
              <w:t xml:space="preserve"> </w:t>
            </w:r>
            <w:r>
              <w:rPr>
                <w:rFonts w:ascii="Arial" w:eastAsia="宋体" w:hAnsi="Arial" w:cs="Arial"/>
                <w:color w:val="262626"/>
                <w:sz w:val="16"/>
                <w:szCs w:val="16"/>
              </w:rPr>
              <w:t>Notebook</w:t>
            </w:r>
          </w:p>
        </w:tc>
        <w:tc>
          <w:tcPr>
            <w:tcW w:w="0" w:type="auto"/>
            <w:gridSpan w:val="3"/>
            <w:shd w:val="clear" w:color="auto" w:fill="auto"/>
            <w:tcMar>
              <w:top w:w="40" w:type="dxa"/>
              <w:left w:w="20" w:type="dxa"/>
              <w:bottom w:w="40" w:type="dxa"/>
              <w:right w:w="20" w:type="dxa"/>
            </w:tcMar>
            <w:vAlign w:val="center"/>
          </w:tcPr>
          <w:p w14:paraId="5A1AF7F8" w14:textId="77777777" w:rsidR="00960BB8" w:rsidRDefault="00C06650">
            <w:pPr>
              <w:jc w:val="center"/>
              <w:textAlignment w:val="center"/>
            </w:pPr>
            <w:r>
              <w:rPr>
                <w:rFonts w:ascii="Arial" w:eastAsia="宋体" w:hAnsi="Arial" w:cs="Arial"/>
                <w:color w:val="00A3F6"/>
                <w:sz w:val="18"/>
                <w:szCs w:val="18"/>
              </w:rPr>
              <w:t xml:space="preserve">  ■ </w:t>
            </w:r>
            <w:r>
              <w:rPr>
                <w:rFonts w:ascii="Arial" w:eastAsia="宋体" w:hAnsi="Arial" w:cs="Arial"/>
                <w:color w:val="000000"/>
                <w:sz w:val="18"/>
                <w:szCs w:val="18"/>
              </w:rPr>
              <w:t>|</w:t>
            </w:r>
            <w:r>
              <w:rPr>
                <w:rFonts w:ascii="Arial" w:eastAsia="宋体" w:hAnsi="Arial" w:cs="Arial"/>
                <w:color w:val="00A3F6"/>
                <w:sz w:val="18"/>
                <w:szCs w:val="18"/>
              </w:rPr>
              <w:t xml:space="preserve"> </w:t>
            </w:r>
            <w:r>
              <w:rPr>
                <w:rFonts w:ascii="Arial" w:eastAsia="宋体" w:hAnsi="Arial" w:cs="Arial"/>
                <w:color w:val="DBDBDB"/>
                <w:sz w:val="18"/>
                <w:szCs w:val="18"/>
              </w:rPr>
              <w:t>■</w:t>
            </w:r>
            <w:r>
              <w:rPr>
                <w:rFonts w:ascii="Arial" w:eastAsia="宋体" w:hAnsi="Arial" w:cs="Arial"/>
                <w:color w:val="00A3F6"/>
                <w:sz w:val="18"/>
                <w:szCs w:val="18"/>
              </w:rPr>
              <w:t xml:space="preserve"> </w:t>
            </w:r>
            <w:r>
              <w:rPr>
                <w:rFonts w:ascii="Arial" w:eastAsia="宋体" w:hAnsi="Arial" w:cs="Arial"/>
                <w:color w:val="262626"/>
                <w:sz w:val="16"/>
                <w:szCs w:val="16"/>
              </w:rPr>
              <w:t>Desktop</w:t>
            </w:r>
          </w:p>
        </w:tc>
        <w:tc>
          <w:tcPr>
            <w:tcW w:w="0" w:type="auto"/>
            <w:gridSpan w:val="3"/>
            <w:shd w:val="clear" w:color="auto" w:fill="auto"/>
            <w:tcMar>
              <w:top w:w="40" w:type="dxa"/>
              <w:left w:w="20" w:type="dxa"/>
              <w:bottom w:w="40" w:type="dxa"/>
              <w:right w:w="20" w:type="dxa"/>
            </w:tcMar>
            <w:vAlign w:val="center"/>
          </w:tcPr>
          <w:p w14:paraId="5A1AF7F9" w14:textId="77777777" w:rsidR="00960BB8" w:rsidRDefault="00C06650">
            <w:pPr>
              <w:textAlignment w:val="center"/>
            </w:pPr>
            <w:r>
              <w:rPr>
                <w:rFonts w:ascii="Arial" w:eastAsia="宋体" w:hAnsi="Arial" w:cs="Arial"/>
                <w:color w:val="FF8F51"/>
                <w:sz w:val="18"/>
                <w:szCs w:val="18"/>
              </w:rPr>
              <w:t xml:space="preserve">  ■ </w:t>
            </w:r>
            <w:r>
              <w:rPr>
                <w:rFonts w:ascii="Arial" w:eastAsia="宋体" w:hAnsi="Arial" w:cs="Arial"/>
                <w:color w:val="000000"/>
                <w:sz w:val="18"/>
                <w:szCs w:val="18"/>
              </w:rPr>
              <w:t>|</w:t>
            </w:r>
            <w:r>
              <w:rPr>
                <w:rFonts w:ascii="Arial" w:eastAsia="宋体" w:hAnsi="Arial" w:cs="Arial"/>
                <w:color w:val="FF8F51"/>
                <w:sz w:val="18"/>
                <w:szCs w:val="18"/>
              </w:rPr>
              <w:t xml:space="preserve"> </w:t>
            </w:r>
            <w:r>
              <w:rPr>
                <w:rFonts w:ascii="Arial" w:eastAsia="宋体" w:hAnsi="Arial" w:cs="Arial"/>
                <w:color w:val="FAAC1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Other</w:t>
            </w:r>
          </w:p>
        </w:tc>
        <w:tc>
          <w:tcPr>
            <w:tcW w:w="0" w:type="auto"/>
            <w:gridSpan w:val="3"/>
            <w:shd w:val="clear" w:color="auto" w:fill="auto"/>
            <w:tcMar>
              <w:top w:w="0" w:type="dxa"/>
              <w:left w:w="20" w:type="dxa"/>
              <w:bottom w:w="0" w:type="dxa"/>
              <w:right w:w="20" w:type="dxa"/>
            </w:tcMar>
            <w:vAlign w:val="bottom"/>
          </w:tcPr>
          <w:p w14:paraId="5A1AF7FA" w14:textId="77777777" w:rsidR="00960BB8" w:rsidRDefault="00960BB8">
            <w:pPr>
              <w:rPr>
                <w:rFonts w:ascii="宋体"/>
              </w:rPr>
            </w:pPr>
          </w:p>
        </w:tc>
      </w:tr>
    </w:tbl>
    <w:p w14:paraId="5A1AF7FC"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800" w14:textId="77777777">
        <w:tc>
          <w:tcPr>
            <w:tcW w:w="50" w:type="pct"/>
            <w:shd w:val="clear" w:color="auto" w:fill="auto"/>
            <w:vAlign w:val="bottom"/>
          </w:tcPr>
          <w:p w14:paraId="5A1AF7FD" w14:textId="77777777" w:rsidR="00960BB8" w:rsidRDefault="00960BB8">
            <w:pPr>
              <w:rPr>
                <w:rFonts w:ascii="宋体"/>
              </w:rPr>
            </w:pPr>
          </w:p>
        </w:tc>
        <w:tc>
          <w:tcPr>
            <w:tcW w:w="4945" w:type="pct"/>
            <w:shd w:val="clear" w:color="auto" w:fill="auto"/>
            <w:vAlign w:val="bottom"/>
          </w:tcPr>
          <w:p w14:paraId="5A1AF7FE" w14:textId="77777777" w:rsidR="00960BB8" w:rsidRDefault="00960BB8">
            <w:pPr>
              <w:rPr>
                <w:rFonts w:ascii="宋体"/>
              </w:rPr>
            </w:pPr>
          </w:p>
        </w:tc>
        <w:tc>
          <w:tcPr>
            <w:tcW w:w="5" w:type="pct"/>
            <w:shd w:val="clear" w:color="auto" w:fill="auto"/>
            <w:vAlign w:val="bottom"/>
          </w:tcPr>
          <w:p w14:paraId="5A1AF7FF" w14:textId="77777777" w:rsidR="00960BB8" w:rsidRDefault="00960BB8">
            <w:pPr>
              <w:rPr>
                <w:rFonts w:ascii="宋体"/>
              </w:rPr>
            </w:pPr>
          </w:p>
        </w:tc>
      </w:tr>
      <w:tr w:rsidR="00960BB8" w14:paraId="5A1AF802"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801" w14:textId="77777777" w:rsidR="00960BB8" w:rsidRDefault="00C06650">
            <w:pPr>
              <w:textAlignment w:val="bottom"/>
            </w:pPr>
            <w:r>
              <w:rPr>
                <w:rFonts w:ascii="Arial" w:eastAsia="宋体" w:hAnsi="Arial" w:cs="Arial"/>
                <w:color w:val="0068B5"/>
                <w:sz w:val="20"/>
                <w:szCs w:val="20"/>
              </w:rPr>
              <w:t>Revenue Summary</w:t>
            </w:r>
          </w:p>
        </w:tc>
      </w:tr>
    </w:tbl>
    <w:p w14:paraId="5A1AF803" w14:textId="77777777" w:rsidR="00960BB8" w:rsidRDefault="00C06650">
      <w:pPr>
        <w:spacing w:after="120"/>
      </w:pPr>
      <w:r>
        <w:rPr>
          <w:rFonts w:ascii="Arial" w:eastAsia="宋体" w:hAnsi="Arial" w:cs="Arial"/>
          <w:color w:val="0068B5"/>
          <w:sz w:val="20"/>
          <w:szCs w:val="20"/>
        </w:rPr>
        <w:t>2022 vs. 2021</w:t>
      </w:r>
    </w:p>
    <w:p w14:paraId="5A1AF804" w14:textId="77777777" w:rsidR="00960BB8" w:rsidRDefault="00C06650">
      <w:pPr>
        <w:spacing w:after="60"/>
        <w:ind w:hanging="180"/>
      </w:pPr>
      <w:r>
        <w:rPr>
          <w:rFonts w:ascii="Arial" w:eastAsia="宋体" w:hAnsi="Arial" w:cs="Arial"/>
          <w:b/>
          <w:bCs/>
          <w:color w:val="0068B5"/>
          <w:sz w:val="18"/>
          <w:szCs w:val="18"/>
        </w:rPr>
        <w:t>▪</w:t>
      </w:r>
      <w:r>
        <w:rPr>
          <w:rFonts w:ascii="Arial" w:eastAsia="宋体" w:hAnsi="Arial" w:cs="Arial"/>
          <w:color w:val="262626"/>
          <w:sz w:val="18"/>
          <w:szCs w:val="18"/>
        </w:rPr>
        <w:t xml:space="preserve">Notebook revenue was $18.8 billion, down $6.7 billion from 2021. Notebook unit sales decreased 36%, driven by lower </w:t>
      </w:r>
      <w:r>
        <w:rPr>
          <w:rFonts w:ascii="Arial" w:eastAsia="宋体" w:hAnsi="Arial" w:cs="Arial"/>
          <w:color w:val="262626"/>
          <w:sz w:val="18"/>
          <w:szCs w:val="18"/>
        </w:rPr>
        <w:t>demand in the consumer and education market segments, and notebook ASPs increased 15% due to an increased mix of commercial and consumer products and a lower mix of education products.</w:t>
      </w:r>
    </w:p>
    <w:p w14:paraId="5A1AF805" w14:textId="77777777" w:rsidR="00960BB8" w:rsidRDefault="00C06650">
      <w:pPr>
        <w:spacing w:after="60"/>
        <w:ind w:hanging="180"/>
      </w:pPr>
      <w:r>
        <w:rPr>
          <w:rFonts w:ascii="Arial" w:eastAsia="宋体" w:hAnsi="Arial" w:cs="Arial"/>
          <w:b/>
          <w:bCs/>
          <w:color w:val="0068B5"/>
          <w:sz w:val="18"/>
          <w:szCs w:val="18"/>
        </w:rPr>
        <w:t>▪</w:t>
      </w:r>
      <w:r>
        <w:rPr>
          <w:rFonts w:ascii="Arial" w:eastAsia="宋体" w:hAnsi="Arial" w:cs="Arial"/>
          <w:color w:val="262626"/>
          <w:sz w:val="18"/>
          <w:szCs w:val="18"/>
        </w:rPr>
        <w:t>Desktop revenue was $10.7 billion, down $1.8 billion from 2021. Deskto</w:t>
      </w:r>
      <w:r>
        <w:rPr>
          <w:rFonts w:ascii="Arial" w:eastAsia="宋体" w:hAnsi="Arial" w:cs="Arial"/>
          <w:color w:val="262626"/>
          <w:sz w:val="18"/>
          <w:szCs w:val="18"/>
        </w:rPr>
        <w:t>p unit sales decreased 19%, driven by lower demand in the consumer and education market segments, and desktop ASPs increased 5%, primarily from an increased mix of commercial products.</w:t>
      </w:r>
    </w:p>
    <w:p w14:paraId="5A1AF806" w14:textId="77777777" w:rsidR="00960BB8" w:rsidRDefault="00C06650">
      <w:pPr>
        <w:spacing w:after="120"/>
        <w:ind w:hanging="180"/>
      </w:pPr>
      <w:r>
        <w:rPr>
          <w:rFonts w:ascii="Arial" w:eastAsia="宋体" w:hAnsi="Arial" w:cs="Arial"/>
          <w:b/>
          <w:bCs/>
          <w:color w:val="0068B5"/>
          <w:sz w:val="18"/>
          <w:szCs w:val="18"/>
        </w:rPr>
        <w:t>▪</w:t>
      </w:r>
      <w:r>
        <w:rPr>
          <w:rFonts w:ascii="Arial" w:eastAsia="宋体" w:hAnsi="Arial" w:cs="Arial"/>
          <w:color w:val="262626"/>
          <w:sz w:val="18"/>
          <w:szCs w:val="18"/>
        </w:rPr>
        <w:t>Other revenue was $2.3 billion, down $923 million from 2021, primarily</w:t>
      </w:r>
      <w:r>
        <w:rPr>
          <w:rFonts w:ascii="Arial" w:eastAsia="宋体" w:hAnsi="Arial" w:cs="Arial"/>
          <w:color w:val="262626"/>
          <w:sz w:val="18"/>
          <w:szCs w:val="18"/>
        </w:rPr>
        <w:t xml:space="preserve"> driven by the continued ramp down from the exit of our 5G smartphone modem business and lower demand for our wireless and connectivity products.</w:t>
      </w:r>
    </w:p>
    <w:p w14:paraId="5A1AF807" w14:textId="77777777" w:rsidR="00960BB8" w:rsidRDefault="00C06650">
      <w:pPr>
        <w:spacing w:after="120"/>
      </w:pPr>
      <w:r>
        <w:rPr>
          <w:rFonts w:ascii="Arial" w:eastAsia="宋体" w:hAnsi="Arial" w:cs="Arial"/>
          <w:color w:val="0068B5"/>
          <w:sz w:val="20"/>
          <w:szCs w:val="20"/>
        </w:rPr>
        <w:t>2021 vs. 2020</w:t>
      </w:r>
    </w:p>
    <w:p w14:paraId="5A1AF808" w14:textId="77777777" w:rsidR="00960BB8" w:rsidRDefault="00C06650">
      <w:pPr>
        <w:spacing w:after="60"/>
        <w:ind w:hanging="180"/>
      </w:pPr>
      <w:r>
        <w:rPr>
          <w:rFonts w:ascii="Arial" w:eastAsia="宋体" w:hAnsi="Arial" w:cs="Arial"/>
          <w:b/>
          <w:bCs/>
          <w:color w:val="0071C5"/>
          <w:sz w:val="18"/>
          <w:szCs w:val="18"/>
        </w:rPr>
        <w:t>▪</w:t>
      </w:r>
      <w:r>
        <w:rPr>
          <w:rFonts w:ascii="Arial" w:eastAsia="宋体" w:hAnsi="Arial" w:cs="Arial"/>
          <w:color w:val="262626"/>
          <w:sz w:val="18"/>
          <w:szCs w:val="18"/>
        </w:rPr>
        <w:t>Notebook revenue increased $546 million. Notebook unit sales increased 8%, driven by consumer a</w:t>
      </w:r>
      <w:r>
        <w:rPr>
          <w:rFonts w:ascii="Arial" w:eastAsia="宋体" w:hAnsi="Arial" w:cs="Arial"/>
          <w:color w:val="262626"/>
          <w:sz w:val="18"/>
          <w:szCs w:val="18"/>
        </w:rPr>
        <w:t>nd commercial recovery from COVID-19 lows offset by 6% lower ASPs due to strength in consumer and education market segments.</w:t>
      </w:r>
    </w:p>
    <w:p w14:paraId="5A1AF809" w14:textId="77777777" w:rsidR="00960BB8" w:rsidRDefault="00C06650">
      <w:pPr>
        <w:spacing w:after="60"/>
        <w:ind w:hanging="180"/>
      </w:pPr>
      <w:r>
        <w:rPr>
          <w:rFonts w:ascii="Arial" w:eastAsia="宋体" w:hAnsi="Arial" w:cs="Arial"/>
          <w:b/>
          <w:bCs/>
          <w:color w:val="0071C5"/>
          <w:sz w:val="18"/>
          <w:szCs w:val="18"/>
        </w:rPr>
        <w:t>▪</w:t>
      </w:r>
      <w:r>
        <w:rPr>
          <w:rFonts w:ascii="Arial" w:eastAsia="宋体" w:hAnsi="Arial" w:cs="Arial"/>
          <w:color w:val="262626"/>
          <w:sz w:val="18"/>
          <w:szCs w:val="18"/>
        </w:rPr>
        <w:t>Desktop revenue increased $1.3 billion. Desktop unit sales increased 8%, driven by recovery in desktop demand driven by consumer a</w:t>
      </w:r>
      <w:r>
        <w:rPr>
          <w:rFonts w:ascii="Arial" w:eastAsia="宋体" w:hAnsi="Arial" w:cs="Arial"/>
          <w:color w:val="262626"/>
          <w:sz w:val="18"/>
          <w:szCs w:val="18"/>
        </w:rPr>
        <w:t>nd commercial recovery from COVID-19 lows, and ASP increased 3%, driven by commercial recovery from COVID-19.</w:t>
      </w:r>
    </w:p>
    <w:p w14:paraId="5A1AF80A" w14:textId="77777777" w:rsidR="00960BB8" w:rsidRDefault="00C06650">
      <w:pPr>
        <w:spacing w:after="60"/>
        <w:ind w:hanging="180"/>
      </w:pPr>
      <w:r>
        <w:rPr>
          <w:rFonts w:ascii="Arial" w:eastAsia="宋体" w:hAnsi="Arial" w:cs="Arial"/>
          <w:b/>
          <w:bCs/>
          <w:color w:val="0071C5"/>
          <w:sz w:val="18"/>
          <w:szCs w:val="18"/>
        </w:rPr>
        <w:t>▪</w:t>
      </w:r>
      <w:r>
        <w:rPr>
          <w:rFonts w:ascii="Arial" w:eastAsia="宋体" w:hAnsi="Arial" w:cs="Arial"/>
          <w:color w:val="262626"/>
          <w:sz w:val="18"/>
          <w:szCs w:val="18"/>
        </w:rPr>
        <w:t xml:space="preserve">Other revenue decreased $1.3 billion, primarily driven by the continued ramp down from the exit of our 5G smartphone modem and Home </w:t>
      </w:r>
      <w:r>
        <w:rPr>
          <w:rFonts w:ascii="Arial" w:eastAsia="宋体" w:hAnsi="Arial" w:cs="Arial"/>
          <w:color w:val="262626"/>
          <w:sz w:val="18"/>
          <w:szCs w:val="18"/>
        </w:rPr>
        <w:t>Gateway Platform businesses, partially offset by strength in wireless and connectivity.</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814" w14:textId="77777777">
        <w:tc>
          <w:tcPr>
            <w:tcW w:w="50" w:type="pct"/>
            <w:shd w:val="clear" w:color="auto" w:fill="auto"/>
            <w:vAlign w:val="bottom"/>
          </w:tcPr>
          <w:p w14:paraId="5A1AF80B" w14:textId="77777777" w:rsidR="00960BB8" w:rsidRDefault="00960BB8">
            <w:pPr>
              <w:rPr>
                <w:rFonts w:ascii="宋体"/>
              </w:rPr>
            </w:pPr>
          </w:p>
        </w:tc>
        <w:tc>
          <w:tcPr>
            <w:tcW w:w="283" w:type="pct"/>
            <w:shd w:val="clear" w:color="auto" w:fill="auto"/>
            <w:vAlign w:val="bottom"/>
          </w:tcPr>
          <w:p w14:paraId="5A1AF80C" w14:textId="77777777" w:rsidR="00960BB8" w:rsidRDefault="00960BB8">
            <w:pPr>
              <w:rPr>
                <w:rFonts w:ascii="宋体"/>
              </w:rPr>
            </w:pPr>
          </w:p>
        </w:tc>
        <w:tc>
          <w:tcPr>
            <w:tcW w:w="5" w:type="pct"/>
            <w:shd w:val="clear" w:color="auto" w:fill="auto"/>
            <w:vAlign w:val="bottom"/>
          </w:tcPr>
          <w:p w14:paraId="5A1AF80D" w14:textId="77777777" w:rsidR="00960BB8" w:rsidRDefault="00960BB8">
            <w:pPr>
              <w:rPr>
                <w:rFonts w:ascii="宋体"/>
              </w:rPr>
            </w:pPr>
          </w:p>
        </w:tc>
        <w:tc>
          <w:tcPr>
            <w:tcW w:w="50" w:type="pct"/>
            <w:shd w:val="clear" w:color="auto" w:fill="auto"/>
            <w:vAlign w:val="bottom"/>
          </w:tcPr>
          <w:p w14:paraId="5A1AF80E" w14:textId="77777777" w:rsidR="00960BB8" w:rsidRDefault="00960BB8">
            <w:pPr>
              <w:rPr>
                <w:rFonts w:ascii="宋体"/>
              </w:rPr>
            </w:pPr>
          </w:p>
        </w:tc>
        <w:tc>
          <w:tcPr>
            <w:tcW w:w="2656" w:type="pct"/>
            <w:shd w:val="clear" w:color="auto" w:fill="auto"/>
            <w:vAlign w:val="bottom"/>
          </w:tcPr>
          <w:p w14:paraId="5A1AF80F" w14:textId="77777777" w:rsidR="00960BB8" w:rsidRDefault="00960BB8">
            <w:pPr>
              <w:rPr>
                <w:rFonts w:ascii="宋体"/>
              </w:rPr>
            </w:pPr>
          </w:p>
        </w:tc>
        <w:tc>
          <w:tcPr>
            <w:tcW w:w="5" w:type="pct"/>
            <w:shd w:val="clear" w:color="auto" w:fill="auto"/>
            <w:vAlign w:val="bottom"/>
          </w:tcPr>
          <w:p w14:paraId="5A1AF810" w14:textId="77777777" w:rsidR="00960BB8" w:rsidRDefault="00960BB8">
            <w:pPr>
              <w:rPr>
                <w:rFonts w:ascii="宋体"/>
              </w:rPr>
            </w:pPr>
          </w:p>
        </w:tc>
        <w:tc>
          <w:tcPr>
            <w:tcW w:w="50" w:type="pct"/>
            <w:shd w:val="clear" w:color="auto" w:fill="auto"/>
            <w:vAlign w:val="bottom"/>
          </w:tcPr>
          <w:p w14:paraId="5A1AF811" w14:textId="77777777" w:rsidR="00960BB8" w:rsidRDefault="00960BB8">
            <w:pPr>
              <w:rPr>
                <w:rFonts w:ascii="宋体"/>
              </w:rPr>
            </w:pPr>
          </w:p>
        </w:tc>
        <w:tc>
          <w:tcPr>
            <w:tcW w:w="1894" w:type="pct"/>
            <w:shd w:val="clear" w:color="auto" w:fill="auto"/>
            <w:vAlign w:val="bottom"/>
          </w:tcPr>
          <w:p w14:paraId="5A1AF812" w14:textId="77777777" w:rsidR="00960BB8" w:rsidRDefault="00960BB8">
            <w:pPr>
              <w:rPr>
                <w:rFonts w:ascii="宋体"/>
              </w:rPr>
            </w:pPr>
          </w:p>
        </w:tc>
        <w:tc>
          <w:tcPr>
            <w:tcW w:w="5" w:type="pct"/>
            <w:shd w:val="clear" w:color="auto" w:fill="auto"/>
            <w:vAlign w:val="bottom"/>
          </w:tcPr>
          <w:p w14:paraId="5A1AF813" w14:textId="77777777" w:rsidR="00960BB8" w:rsidRDefault="00960BB8">
            <w:pPr>
              <w:rPr>
                <w:rFonts w:ascii="宋体"/>
              </w:rPr>
            </w:pPr>
          </w:p>
        </w:tc>
      </w:tr>
      <w:tr w:rsidR="00960BB8" w14:paraId="5A1AF81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815"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92" wp14:editId="5A1B4393">
                  <wp:extent cx="304800" cy="304800"/>
                  <wp:effectExtent l="0" t="0" r="0" b="0"/>
                  <wp:docPr id="121" name="图片 10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8"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816"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817" w14:textId="77777777" w:rsidR="00960BB8" w:rsidRDefault="00C06650">
            <w:pPr>
              <w:jc w:val="right"/>
              <w:textAlignment w:val="center"/>
            </w:pPr>
            <w:r>
              <w:rPr>
                <w:rFonts w:ascii="Arial" w:eastAsia="宋体" w:hAnsi="Arial" w:cs="Arial"/>
                <w:color w:val="262626"/>
                <w:sz w:val="16"/>
                <w:szCs w:val="16"/>
              </w:rPr>
              <w:t>22</w:t>
            </w:r>
          </w:p>
        </w:tc>
      </w:tr>
    </w:tbl>
    <w:p w14:paraId="5A1AF819" w14:textId="77777777" w:rsidR="00960BB8" w:rsidRDefault="00C06650">
      <w:r>
        <w:pict w14:anchorId="5A1B4394">
          <v:rect id="_x0000_i1048" style="width:415.3pt;height:1.5pt" o:hralign="center" o:hrstd="t" o:hr="t" fillcolor="#a0a0a0" stroked="f"/>
        </w:pict>
      </w:r>
    </w:p>
    <w:p w14:paraId="5A1AF81A" w14:textId="77777777" w:rsidR="00960BB8" w:rsidRDefault="00C06650">
      <w:pPr>
        <w:jc w:val="right"/>
      </w:pPr>
      <w:hyperlink r:id="rId50" w:anchor="i8aaa7b4dbd2e419ca0f5c30af85a11aa_16" w:history="1">
        <w:r>
          <w:rPr>
            <w:rStyle w:val="a5"/>
            <w:rFonts w:ascii="Arial" w:eastAsia="宋体" w:hAnsi="Arial" w:cs="Arial"/>
            <w:b/>
            <w:bCs/>
            <w:sz w:val="16"/>
            <w:szCs w:val="16"/>
          </w:rPr>
          <w:t>Table of Contents</w:t>
        </w:r>
      </w:hyperlink>
    </w:p>
    <w:p w14:paraId="5A1AF81B"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81F" w14:textId="77777777">
        <w:tc>
          <w:tcPr>
            <w:tcW w:w="50" w:type="pct"/>
            <w:shd w:val="clear" w:color="auto" w:fill="auto"/>
            <w:vAlign w:val="bottom"/>
          </w:tcPr>
          <w:p w14:paraId="5A1AF81C" w14:textId="77777777" w:rsidR="00960BB8" w:rsidRDefault="00960BB8">
            <w:pPr>
              <w:rPr>
                <w:rFonts w:ascii="宋体"/>
              </w:rPr>
            </w:pPr>
          </w:p>
        </w:tc>
        <w:tc>
          <w:tcPr>
            <w:tcW w:w="4945" w:type="pct"/>
            <w:shd w:val="clear" w:color="auto" w:fill="auto"/>
            <w:vAlign w:val="bottom"/>
          </w:tcPr>
          <w:p w14:paraId="5A1AF81D" w14:textId="77777777" w:rsidR="00960BB8" w:rsidRDefault="00960BB8">
            <w:pPr>
              <w:rPr>
                <w:rFonts w:ascii="宋体"/>
              </w:rPr>
            </w:pPr>
          </w:p>
        </w:tc>
        <w:tc>
          <w:tcPr>
            <w:tcW w:w="5" w:type="pct"/>
            <w:shd w:val="clear" w:color="auto" w:fill="auto"/>
            <w:vAlign w:val="bottom"/>
          </w:tcPr>
          <w:p w14:paraId="5A1AF81E" w14:textId="77777777" w:rsidR="00960BB8" w:rsidRDefault="00960BB8">
            <w:pPr>
              <w:rPr>
                <w:rFonts w:ascii="宋体"/>
              </w:rPr>
            </w:pPr>
          </w:p>
        </w:tc>
      </w:tr>
      <w:tr w:rsidR="00960BB8" w14:paraId="5A1AF821"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820" w14:textId="77777777" w:rsidR="00960BB8" w:rsidRDefault="00C06650">
            <w:pPr>
              <w:textAlignment w:val="bottom"/>
            </w:pPr>
            <w:r>
              <w:rPr>
                <w:rFonts w:ascii="Arial" w:eastAsia="宋体" w:hAnsi="Arial" w:cs="Arial"/>
                <w:color w:val="0068B5"/>
                <w:sz w:val="20"/>
                <w:szCs w:val="20"/>
              </w:rPr>
              <w:t>Operating Income Summary</w:t>
            </w:r>
          </w:p>
        </w:tc>
      </w:tr>
    </w:tbl>
    <w:p w14:paraId="5A1AF822" w14:textId="77777777" w:rsidR="00960BB8" w:rsidRDefault="00C06650">
      <w:pPr>
        <w:spacing w:after="180"/>
      </w:pPr>
      <w:r>
        <w:rPr>
          <w:rFonts w:ascii="Arial" w:eastAsia="宋体" w:hAnsi="Arial" w:cs="Arial"/>
          <w:color w:val="262626"/>
          <w:sz w:val="18"/>
          <w:szCs w:val="18"/>
        </w:rPr>
        <w:t xml:space="preserve">Operating income decreased 60% year over year, and </w:t>
      </w:r>
      <w:r>
        <w:rPr>
          <w:rFonts w:ascii="Arial" w:eastAsia="宋体" w:hAnsi="Arial" w:cs="Arial"/>
          <w:color w:val="262626"/>
          <w:sz w:val="18"/>
          <w:szCs w:val="18"/>
        </w:rPr>
        <w:t>operating margin was 20% in 2022 and 38% in 2021.</w:t>
      </w:r>
    </w:p>
    <w:tbl>
      <w:tblPr>
        <w:tblW w:w="5000" w:type="pct"/>
        <w:tblCellMar>
          <w:top w:w="15" w:type="dxa"/>
          <w:left w:w="15" w:type="dxa"/>
          <w:bottom w:w="15" w:type="dxa"/>
          <w:right w:w="15" w:type="dxa"/>
        </w:tblCellMar>
        <w:tblLook w:val="04A0" w:firstRow="1" w:lastRow="0" w:firstColumn="1" w:lastColumn="0" w:noHBand="0" w:noVBand="1"/>
      </w:tblPr>
      <w:tblGrid>
        <w:gridCol w:w="122"/>
        <w:gridCol w:w="679"/>
        <w:gridCol w:w="36"/>
        <w:gridCol w:w="36"/>
        <w:gridCol w:w="36"/>
        <w:gridCol w:w="36"/>
        <w:gridCol w:w="39"/>
        <w:gridCol w:w="5592"/>
        <w:gridCol w:w="38"/>
        <w:gridCol w:w="53"/>
        <w:gridCol w:w="772"/>
        <w:gridCol w:w="36"/>
        <w:gridCol w:w="53"/>
        <w:gridCol w:w="772"/>
        <w:gridCol w:w="36"/>
      </w:tblGrid>
      <w:tr w:rsidR="00960BB8" w14:paraId="5A1AF832" w14:textId="77777777">
        <w:tc>
          <w:tcPr>
            <w:tcW w:w="50" w:type="pct"/>
            <w:shd w:val="clear" w:color="auto" w:fill="auto"/>
            <w:vAlign w:val="bottom"/>
          </w:tcPr>
          <w:p w14:paraId="5A1AF823" w14:textId="77777777" w:rsidR="00960BB8" w:rsidRDefault="00960BB8">
            <w:pPr>
              <w:rPr>
                <w:rFonts w:ascii="宋体"/>
              </w:rPr>
            </w:pPr>
          </w:p>
        </w:tc>
        <w:tc>
          <w:tcPr>
            <w:tcW w:w="411" w:type="pct"/>
            <w:shd w:val="clear" w:color="auto" w:fill="auto"/>
            <w:vAlign w:val="bottom"/>
          </w:tcPr>
          <w:p w14:paraId="5A1AF824" w14:textId="77777777" w:rsidR="00960BB8" w:rsidRDefault="00960BB8">
            <w:pPr>
              <w:rPr>
                <w:rFonts w:ascii="宋体"/>
              </w:rPr>
            </w:pPr>
          </w:p>
        </w:tc>
        <w:tc>
          <w:tcPr>
            <w:tcW w:w="5" w:type="pct"/>
            <w:shd w:val="clear" w:color="auto" w:fill="auto"/>
            <w:vAlign w:val="bottom"/>
          </w:tcPr>
          <w:p w14:paraId="5A1AF825" w14:textId="77777777" w:rsidR="00960BB8" w:rsidRDefault="00960BB8">
            <w:pPr>
              <w:rPr>
                <w:rFonts w:ascii="宋体"/>
              </w:rPr>
            </w:pPr>
          </w:p>
        </w:tc>
        <w:tc>
          <w:tcPr>
            <w:tcW w:w="5" w:type="pct"/>
            <w:shd w:val="clear" w:color="auto" w:fill="auto"/>
            <w:vAlign w:val="bottom"/>
          </w:tcPr>
          <w:p w14:paraId="5A1AF826" w14:textId="77777777" w:rsidR="00960BB8" w:rsidRDefault="00960BB8">
            <w:pPr>
              <w:rPr>
                <w:rFonts w:ascii="宋体"/>
              </w:rPr>
            </w:pPr>
          </w:p>
        </w:tc>
        <w:tc>
          <w:tcPr>
            <w:tcW w:w="16" w:type="pct"/>
            <w:shd w:val="clear" w:color="auto" w:fill="auto"/>
            <w:vAlign w:val="bottom"/>
          </w:tcPr>
          <w:p w14:paraId="5A1AF827" w14:textId="77777777" w:rsidR="00960BB8" w:rsidRDefault="00960BB8">
            <w:pPr>
              <w:rPr>
                <w:rFonts w:ascii="宋体"/>
              </w:rPr>
            </w:pPr>
          </w:p>
        </w:tc>
        <w:tc>
          <w:tcPr>
            <w:tcW w:w="5" w:type="pct"/>
            <w:shd w:val="clear" w:color="auto" w:fill="auto"/>
            <w:vAlign w:val="bottom"/>
          </w:tcPr>
          <w:p w14:paraId="5A1AF828" w14:textId="77777777" w:rsidR="00960BB8" w:rsidRDefault="00960BB8">
            <w:pPr>
              <w:rPr>
                <w:rFonts w:ascii="宋体"/>
              </w:rPr>
            </w:pPr>
          </w:p>
        </w:tc>
        <w:tc>
          <w:tcPr>
            <w:tcW w:w="50" w:type="pct"/>
            <w:shd w:val="clear" w:color="auto" w:fill="auto"/>
            <w:vAlign w:val="bottom"/>
          </w:tcPr>
          <w:p w14:paraId="5A1AF829" w14:textId="77777777" w:rsidR="00960BB8" w:rsidRDefault="00960BB8">
            <w:pPr>
              <w:rPr>
                <w:rFonts w:ascii="宋体"/>
              </w:rPr>
            </w:pPr>
          </w:p>
        </w:tc>
        <w:tc>
          <w:tcPr>
            <w:tcW w:w="3378" w:type="pct"/>
            <w:shd w:val="clear" w:color="auto" w:fill="auto"/>
            <w:vAlign w:val="bottom"/>
          </w:tcPr>
          <w:p w14:paraId="5A1AF82A" w14:textId="77777777" w:rsidR="00960BB8" w:rsidRDefault="00960BB8">
            <w:pPr>
              <w:rPr>
                <w:rFonts w:ascii="宋体"/>
              </w:rPr>
            </w:pPr>
          </w:p>
        </w:tc>
        <w:tc>
          <w:tcPr>
            <w:tcW w:w="5" w:type="pct"/>
            <w:shd w:val="clear" w:color="auto" w:fill="auto"/>
            <w:vAlign w:val="bottom"/>
          </w:tcPr>
          <w:p w14:paraId="5A1AF82B" w14:textId="77777777" w:rsidR="00960BB8" w:rsidRDefault="00960BB8">
            <w:pPr>
              <w:rPr>
                <w:rFonts w:ascii="宋体"/>
              </w:rPr>
            </w:pPr>
          </w:p>
        </w:tc>
        <w:tc>
          <w:tcPr>
            <w:tcW w:w="50" w:type="pct"/>
            <w:shd w:val="clear" w:color="auto" w:fill="auto"/>
            <w:vAlign w:val="bottom"/>
          </w:tcPr>
          <w:p w14:paraId="5A1AF82C" w14:textId="77777777" w:rsidR="00960BB8" w:rsidRDefault="00960BB8">
            <w:pPr>
              <w:rPr>
                <w:rFonts w:ascii="宋体"/>
              </w:rPr>
            </w:pPr>
          </w:p>
        </w:tc>
        <w:tc>
          <w:tcPr>
            <w:tcW w:w="481" w:type="pct"/>
            <w:shd w:val="clear" w:color="auto" w:fill="auto"/>
            <w:vAlign w:val="bottom"/>
          </w:tcPr>
          <w:p w14:paraId="5A1AF82D" w14:textId="77777777" w:rsidR="00960BB8" w:rsidRDefault="00960BB8">
            <w:pPr>
              <w:rPr>
                <w:rFonts w:ascii="宋体"/>
              </w:rPr>
            </w:pPr>
          </w:p>
        </w:tc>
        <w:tc>
          <w:tcPr>
            <w:tcW w:w="5" w:type="pct"/>
            <w:shd w:val="clear" w:color="auto" w:fill="auto"/>
            <w:vAlign w:val="bottom"/>
          </w:tcPr>
          <w:p w14:paraId="5A1AF82E" w14:textId="77777777" w:rsidR="00960BB8" w:rsidRDefault="00960BB8">
            <w:pPr>
              <w:rPr>
                <w:rFonts w:ascii="宋体"/>
              </w:rPr>
            </w:pPr>
          </w:p>
        </w:tc>
        <w:tc>
          <w:tcPr>
            <w:tcW w:w="50" w:type="pct"/>
            <w:shd w:val="clear" w:color="auto" w:fill="auto"/>
            <w:vAlign w:val="bottom"/>
          </w:tcPr>
          <w:p w14:paraId="5A1AF82F" w14:textId="77777777" w:rsidR="00960BB8" w:rsidRDefault="00960BB8">
            <w:pPr>
              <w:rPr>
                <w:rFonts w:ascii="宋体"/>
              </w:rPr>
            </w:pPr>
          </w:p>
        </w:tc>
        <w:tc>
          <w:tcPr>
            <w:tcW w:w="481" w:type="pct"/>
            <w:shd w:val="clear" w:color="auto" w:fill="auto"/>
            <w:vAlign w:val="bottom"/>
          </w:tcPr>
          <w:p w14:paraId="5A1AF830" w14:textId="77777777" w:rsidR="00960BB8" w:rsidRDefault="00960BB8">
            <w:pPr>
              <w:rPr>
                <w:rFonts w:ascii="宋体"/>
              </w:rPr>
            </w:pPr>
          </w:p>
        </w:tc>
        <w:tc>
          <w:tcPr>
            <w:tcW w:w="5" w:type="pct"/>
            <w:shd w:val="clear" w:color="auto" w:fill="auto"/>
            <w:vAlign w:val="bottom"/>
          </w:tcPr>
          <w:p w14:paraId="5A1AF831" w14:textId="77777777" w:rsidR="00960BB8" w:rsidRDefault="00960BB8">
            <w:pPr>
              <w:rPr>
                <w:rFonts w:ascii="宋体"/>
              </w:rPr>
            </w:pPr>
          </w:p>
        </w:tc>
      </w:tr>
      <w:tr w:rsidR="00960BB8" w14:paraId="5A1AF838" w14:textId="77777777">
        <w:tc>
          <w:tcPr>
            <w:tcW w:w="0" w:type="auto"/>
            <w:gridSpan w:val="3"/>
            <w:shd w:val="clear" w:color="auto" w:fill="auto"/>
            <w:tcMar>
              <w:top w:w="40" w:type="dxa"/>
              <w:left w:w="20" w:type="dxa"/>
              <w:bottom w:w="40" w:type="dxa"/>
              <w:right w:w="20" w:type="dxa"/>
            </w:tcMar>
            <w:vAlign w:val="bottom"/>
          </w:tcPr>
          <w:p w14:paraId="5A1AF833"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AF83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3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3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37" w14:textId="77777777" w:rsidR="00960BB8" w:rsidRDefault="00960BB8">
            <w:pPr>
              <w:rPr>
                <w:rFonts w:ascii="宋体"/>
              </w:rPr>
            </w:pPr>
          </w:p>
        </w:tc>
      </w:tr>
      <w:tr w:rsidR="00960BB8" w14:paraId="5A1AF840" w14:textId="77777777">
        <w:tc>
          <w:tcPr>
            <w:tcW w:w="0" w:type="auto"/>
            <w:tcBorders>
              <w:top w:val="single" w:sz="8" w:space="0" w:color="0068B5"/>
            </w:tcBorders>
            <w:shd w:val="clear" w:color="auto" w:fill="auto"/>
            <w:tcMar>
              <w:top w:w="40" w:type="dxa"/>
              <w:left w:w="20" w:type="dxa"/>
              <w:bottom w:w="40" w:type="dxa"/>
              <w:right w:w="0" w:type="dxa"/>
            </w:tcMar>
            <w:vAlign w:val="center"/>
          </w:tcPr>
          <w:p w14:paraId="5A1AF839" w14:textId="77777777" w:rsidR="00960BB8" w:rsidRDefault="00C06650">
            <w:pPr>
              <w:textAlignment w:val="center"/>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center"/>
          </w:tcPr>
          <w:p w14:paraId="5A1AF83A" w14:textId="77777777" w:rsidR="00960BB8" w:rsidRDefault="00C06650">
            <w:pPr>
              <w:jc w:val="right"/>
              <w:textAlignment w:val="center"/>
            </w:pPr>
            <w:r>
              <w:rPr>
                <w:rFonts w:ascii="Arial" w:eastAsia="宋体" w:hAnsi="Arial" w:cs="Arial"/>
                <w:b/>
                <w:bCs/>
                <w:color w:val="0068B5"/>
                <w:sz w:val="18"/>
                <w:szCs w:val="18"/>
              </w:rPr>
              <w:t>6,266</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center"/>
          </w:tcPr>
          <w:p w14:paraId="5A1AF83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3C"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A1AF83D" w14:textId="77777777" w:rsidR="00960BB8" w:rsidRDefault="00C06650">
            <w:pPr>
              <w:textAlignment w:val="center"/>
            </w:pPr>
            <w:r>
              <w:rPr>
                <w:rFonts w:ascii="Arial" w:eastAsia="宋体" w:hAnsi="Arial" w:cs="Arial"/>
                <w:b/>
                <w:bCs/>
                <w:color w:val="262626"/>
                <w:sz w:val="18"/>
                <w:szCs w:val="18"/>
              </w:rPr>
              <w:t>2022 Operating Income</w:t>
            </w:r>
          </w:p>
        </w:tc>
        <w:tc>
          <w:tcPr>
            <w:tcW w:w="0" w:type="auto"/>
            <w:gridSpan w:val="3"/>
            <w:shd w:val="clear" w:color="auto" w:fill="auto"/>
            <w:tcMar>
              <w:top w:w="0" w:type="dxa"/>
              <w:left w:w="20" w:type="dxa"/>
              <w:bottom w:w="0" w:type="dxa"/>
              <w:right w:w="20" w:type="dxa"/>
            </w:tcMar>
            <w:vAlign w:val="bottom"/>
          </w:tcPr>
          <w:p w14:paraId="5A1AF83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3F" w14:textId="77777777" w:rsidR="00960BB8" w:rsidRDefault="00960BB8">
            <w:pPr>
              <w:rPr>
                <w:rFonts w:ascii="宋体"/>
              </w:rPr>
            </w:pPr>
          </w:p>
        </w:tc>
      </w:tr>
      <w:tr w:rsidR="00960BB8" w14:paraId="5A1AF847" w14:textId="77777777">
        <w:tc>
          <w:tcPr>
            <w:tcW w:w="0" w:type="auto"/>
            <w:gridSpan w:val="2"/>
            <w:tcBorders>
              <w:top w:val="single" w:sz="4" w:space="0" w:color="262626"/>
            </w:tcBorders>
            <w:shd w:val="clear" w:color="auto" w:fill="auto"/>
            <w:tcMar>
              <w:top w:w="40" w:type="dxa"/>
              <w:left w:w="20" w:type="dxa"/>
              <w:bottom w:w="40" w:type="dxa"/>
              <w:right w:w="0" w:type="dxa"/>
            </w:tcMar>
            <w:vAlign w:val="center"/>
          </w:tcPr>
          <w:p w14:paraId="5A1AF841" w14:textId="77777777" w:rsidR="00960BB8" w:rsidRDefault="00C06650">
            <w:pPr>
              <w:jc w:val="right"/>
              <w:textAlignment w:val="center"/>
            </w:pPr>
            <w:r>
              <w:rPr>
                <w:rFonts w:ascii="Arial" w:eastAsia="宋体" w:hAnsi="Arial" w:cs="Arial"/>
                <w:color w:val="0068B5"/>
                <w:sz w:val="18"/>
                <w:szCs w:val="18"/>
              </w:rPr>
              <w:t>(3,047)</w:t>
            </w:r>
          </w:p>
        </w:tc>
        <w:tc>
          <w:tcPr>
            <w:tcW w:w="0" w:type="auto"/>
            <w:tcBorders>
              <w:top w:val="single" w:sz="4" w:space="0" w:color="262626"/>
            </w:tcBorders>
            <w:shd w:val="clear" w:color="auto" w:fill="auto"/>
            <w:tcMar>
              <w:top w:w="40" w:type="dxa"/>
              <w:left w:w="0" w:type="dxa"/>
              <w:bottom w:w="40" w:type="dxa"/>
              <w:right w:w="20" w:type="dxa"/>
            </w:tcMar>
            <w:vAlign w:val="center"/>
          </w:tcPr>
          <w:p w14:paraId="5A1AF84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43"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center"/>
          </w:tcPr>
          <w:p w14:paraId="5A1AF844" w14:textId="77777777" w:rsidR="00960BB8" w:rsidRDefault="00C06650">
            <w:pPr>
              <w:textAlignment w:val="center"/>
            </w:pPr>
            <w:r>
              <w:rPr>
                <w:rFonts w:ascii="Arial" w:eastAsia="宋体" w:hAnsi="Arial" w:cs="Arial"/>
                <w:color w:val="000000"/>
                <w:sz w:val="18"/>
                <w:szCs w:val="18"/>
              </w:rPr>
              <w:t>Lower gross margin from notebook revenue</w:t>
            </w:r>
          </w:p>
        </w:tc>
        <w:tc>
          <w:tcPr>
            <w:tcW w:w="0" w:type="auto"/>
            <w:gridSpan w:val="3"/>
            <w:shd w:val="clear" w:color="auto" w:fill="auto"/>
            <w:tcMar>
              <w:top w:w="0" w:type="dxa"/>
              <w:left w:w="20" w:type="dxa"/>
              <w:bottom w:w="0" w:type="dxa"/>
              <w:right w:w="20" w:type="dxa"/>
            </w:tcMar>
            <w:vAlign w:val="bottom"/>
          </w:tcPr>
          <w:p w14:paraId="5A1AF84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46" w14:textId="77777777" w:rsidR="00960BB8" w:rsidRDefault="00960BB8">
            <w:pPr>
              <w:rPr>
                <w:rFonts w:ascii="宋体"/>
              </w:rPr>
            </w:pPr>
          </w:p>
        </w:tc>
      </w:tr>
      <w:tr w:rsidR="00960BB8" w14:paraId="5A1AF84E" w14:textId="77777777">
        <w:tc>
          <w:tcPr>
            <w:tcW w:w="0" w:type="auto"/>
            <w:gridSpan w:val="2"/>
            <w:shd w:val="clear" w:color="auto" w:fill="auto"/>
            <w:tcMar>
              <w:top w:w="40" w:type="dxa"/>
              <w:left w:w="20" w:type="dxa"/>
              <w:bottom w:w="40" w:type="dxa"/>
              <w:right w:w="0" w:type="dxa"/>
            </w:tcMar>
            <w:vAlign w:val="center"/>
          </w:tcPr>
          <w:p w14:paraId="5A1AF848" w14:textId="77777777" w:rsidR="00960BB8" w:rsidRDefault="00C06650">
            <w:pPr>
              <w:jc w:val="right"/>
              <w:textAlignment w:val="center"/>
            </w:pPr>
            <w:r>
              <w:rPr>
                <w:rFonts w:ascii="Arial" w:eastAsia="宋体" w:hAnsi="Arial" w:cs="Arial"/>
                <w:color w:val="0068B5"/>
                <w:sz w:val="18"/>
                <w:szCs w:val="18"/>
              </w:rPr>
              <w:t>(2,183)</w:t>
            </w:r>
          </w:p>
        </w:tc>
        <w:tc>
          <w:tcPr>
            <w:tcW w:w="0" w:type="auto"/>
            <w:shd w:val="clear" w:color="auto" w:fill="auto"/>
            <w:tcMar>
              <w:top w:w="40" w:type="dxa"/>
              <w:left w:w="0" w:type="dxa"/>
              <w:bottom w:w="40" w:type="dxa"/>
              <w:right w:w="20" w:type="dxa"/>
            </w:tcMar>
            <w:vAlign w:val="center"/>
          </w:tcPr>
          <w:p w14:paraId="5A1AF84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4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84B" w14:textId="77777777" w:rsidR="00960BB8" w:rsidRDefault="00C06650">
            <w:pPr>
              <w:textAlignment w:val="center"/>
            </w:pPr>
            <w:r>
              <w:rPr>
                <w:rFonts w:ascii="Arial" w:eastAsia="宋体" w:hAnsi="Arial" w:cs="Arial"/>
                <w:color w:val="000000"/>
                <w:sz w:val="18"/>
                <w:szCs w:val="18"/>
              </w:rPr>
              <w:t xml:space="preserve">Higher notebook and desktop unit cost primarily from increased mix of </w:t>
            </w:r>
            <w:r>
              <w:rPr>
                <w:rFonts w:ascii="Arial" w:eastAsia="宋体" w:hAnsi="Arial" w:cs="Arial"/>
                <w:color w:val="000000"/>
                <w:sz w:val="18"/>
                <w:szCs w:val="18"/>
              </w:rPr>
              <w:t>Intel 7 products</w:t>
            </w:r>
          </w:p>
        </w:tc>
        <w:tc>
          <w:tcPr>
            <w:tcW w:w="0" w:type="auto"/>
            <w:gridSpan w:val="3"/>
            <w:shd w:val="clear" w:color="auto" w:fill="auto"/>
            <w:tcMar>
              <w:top w:w="0" w:type="dxa"/>
              <w:left w:w="20" w:type="dxa"/>
              <w:bottom w:w="0" w:type="dxa"/>
              <w:right w:w="20" w:type="dxa"/>
            </w:tcMar>
            <w:vAlign w:val="bottom"/>
          </w:tcPr>
          <w:p w14:paraId="5A1AF84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4D" w14:textId="77777777" w:rsidR="00960BB8" w:rsidRDefault="00960BB8">
            <w:pPr>
              <w:rPr>
                <w:rFonts w:ascii="宋体"/>
              </w:rPr>
            </w:pPr>
          </w:p>
        </w:tc>
      </w:tr>
      <w:tr w:rsidR="00960BB8" w14:paraId="5A1AF855" w14:textId="77777777">
        <w:tc>
          <w:tcPr>
            <w:tcW w:w="0" w:type="auto"/>
            <w:gridSpan w:val="2"/>
            <w:shd w:val="clear" w:color="auto" w:fill="auto"/>
            <w:tcMar>
              <w:top w:w="40" w:type="dxa"/>
              <w:left w:w="20" w:type="dxa"/>
              <w:bottom w:w="40" w:type="dxa"/>
              <w:right w:w="0" w:type="dxa"/>
            </w:tcMar>
            <w:vAlign w:val="center"/>
          </w:tcPr>
          <w:p w14:paraId="5A1AF84F" w14:textId="77777777" w:rsidR="00960BB8" w:rsidRDefault="00C06650">
            <w:pPr>
              <w:jc w:val="right"/>
              <w:textAlignment w:val="center"/>
            </w:pPr>
            <w:r>
              <w:rPr>
                <w:rFonts w:ascii="Arial" w:eastAsia="宋体" w:hAnsi="Arial" w:cs="Arial"/>
                <w:color w:val="0068B5"/>
                <w:sz w:val="18"/>
                <w:szCs w:val="18"/>
              </w:rPr>
              <w:t>(1,306)</w:t>
            </w:r>
          </w:p>
        </w:tc>
        <w:tc>
          <w:tcPr>
            <w:tcW w:w="0" w:type="auto"/>
            <w:shd w:val="clear" w:color="auto" w:fill="auto"/>
            <w:tcMar>
              <w:top w:w="40" w:type="dxa"/>
              <w:left w:w="0" w:type="dxa"/>
              <w:bottom w:w="40" w:type="dxa"/>
              <w:right w:w="20" w:type="dxa"/>
            </w:tcMar>
            <w:vAlign w:val="center"/>
          </w:tcPr>
          <w:p w14:paraId="5A1AF85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5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852" w14:textId="77777777" w:rsidR="00960BB8" w:rsidRDefault="00C06650">
            <w:pPr>
              <w:textAlignment w:val="center"/>
            </w:pPr>
            <w:r>
              <w:rPr>
                <w:rFonts w:ascii="Arial" w:eastAsia="宋体" w:hAnsi="Arial" w:cs="Arial"/>
                <w:color w:val="000000"/>
                <w:sz w:val="18"/>
                <w:szCs w:val="18"/>
              </w:rPr>
              <w:t>Lower gross margin from desktop revenue</w:t>
            </w:r>
          </w:p>
        </w:tc>
        <w:tc>
          <w:tcPr>
            <w:tcW w:w="0" w:type="auto"/>
            <w:gridSpan w:val="3"/>
            <w:shd w:val="clear" w:color="auto" w:fill="auto"/>
            <w:tcMar>
              <w:top w:w="0" w:type="dxa"/>
              <w:left w:w="20" w:type="dxa"/>
              <w:bottom w:w="0" w:type="dxa"/>
              <w:right w:w="20" w:type="dxa"/>
            </w:tcMar>
            <w:vAlign w:val="bottom"/>
          </w:tcPr>
          <w:p w14:paraId="5A1AF85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54" w14:textId="77777777" w:rsidR="00960BB8" w:rsidRDefault="00960BB8">
            <w:pPr>
              <w:rPr>
                <w:rFonts w:ascii="宋体"/>
              </w:rPr>
            </w:pPr>
          </w:p>
        </w:tc>
      </w:tr>
      <w:tr w:rsidR="00960BB8" w14:paraId="5A1AF85C" w14:textId="77777777">
        <w:tc>
          <w:tcPr>
            <w:tcW w:w="0" w:type="auto"/>
            <w:gridSpan w:val="2"/>
            <w:shd w:val="clear" w:color="auto" w:fill="FFFFFF"/>
            <w:tcMar>
              <w:top w:w="40" w:type="dxa"/>
              <w:left w:w="20" w:type="dxa"/>
              <w:bottom w:w="40" w:type="dxa"/>
              <w:right w:w="0" w:type="dxa"/>
            </w:tcMar>
            <w:vAlign w:val="center"/>
          </w:tcPr>
          <w:p w14:paraId="5A1AF856" w14:textId="77777777" w:rsidR="00960BB8" w:rsidRDefault="00C06650">
            <w:pPr>
              <w:jc w:val="right"/>
              <w:textAlignment w:val="center"/>
            </w:pPr>
            <w:r>
              <w:rPr>
                <w:rFonts w:ascii="Arial" w:eastAsia="宋体" w:hAnsi="Arial" w:cs="Arial"/>
                <w:color w:val="0068B5"/>
                <w:sz w:val="18"/>
                <w:szCs w:val="18"/>
              </w:rPr>
              <w:t>(1,284)</w:t>
            </w:r>
          </w:p>
        </w:tc>
        <w:tc>
          <w:tcPr>
            <w:tcW w:w="0" w:type="auto"/>
            <w:shd w:val="clear" w:color="auto" w:fill="FFFFFF"/>
            <w:tcMar>
              <w:top w:w="40" w:type="dxa"/>
              <w:left w:w="0" w:type="dxa"/>
              <w:bottom w:w="40" w:type="dxa"/>
              <w:right w:w="20" w:type="dxa"/>
            </w:tcMar>
            <w:vAlign w:val="center"/>
          </w:tcPr>
          <w:p w14:paraId="5A1AF85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58"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center"/>
          </w:tcPr>
          <w:p w14:paraId="5A1AF859" w14:textId="77777777" w:rsidR="00960BB8" w:rsidRDefault="00C06650">
            <w:pPr>
              <w:textAlignment w:val="center"/>
            </w:pPr>
            <w:r>
              <w:rPr>
                <w:rFonts w:ascii="Arial" w:eastAsia="宋体" w:hAnsi="Arial" w:cs="Arial"/>
                <w:color w:val="000000"/>
                <w:sz w:val="18"/>
                <w:szCs w:val="18"/>
              </w:rPr>
              <w:t>Higher operating expenses driven by increased investments in leadership products</w:t>
            </w:r>
          </w:p>
        </w:tc>
        <w:tc>
          <w:tcPr>
            <w:tcW w:w="0" w:type="auto"/>
            <w:gridSpan w:val="3"/>
            <w:shd w:val="clear" w:color="auto" w:fill="auto"/>
            <w:tcMar>
              <w:top w:w="0" w:type="dxa"/>
              <w:left w:w="20" w:type="dxa"/>
              <w:bottom w:w="0" w:type="dxa"/>
              <w:right w:w="20" w:type="dxa"/>
            </w:tcMar>
            <w:vAlign w:val="bottom"/>
          </w:tcPr>
          <w:p w14:paraId="5A1AF85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5B" w14:textId="77777777" w:rsidR="00960BB8" w:rsidRDefault="00960BB8">
            <w:pPr>
              <w:rPr>
                <w:rFonts w:ascii="宋体"/>
              </w:rPr>
            </w:pPr>
          </w:p>
        </w:tc>
      </w:tr>
      <w:tr w:rsidR="00960BB8" w14:paraId="5A1AF863" w14:textId="77777777">
        <w:tc>
          <w:tcPr>
            <w:tcW w:w="0" w:type="auto"/>
            <w:gridSpan w:val="2"/>
            <w:shd w:val="clear" w:color="auto" w:fill="FFFFFF"/>
            <w:tcMar>
              <w:top w:w="40" w:type="dxa"/>
              <w:left w:w="20" w:type="dxa"/>
              <w:bottom w:w="40" w:type="dxa"/>
              <w:right w:w="0" w:type="dxa"/>
            </w:tcMar>
            <w:vAlign w:val="center"/>
          </w:tcPr>
          <w:p w14:paraId="5A1AF85D" w14:textId="77777777" w:rsidR="00960BB8" w:rsidRDefault="00C06650">
            <w:pPr>
              <w:jc w:val="right"/>
              <w:textAlignment w:val="center"/>
            </w:pPr>
            <w:r>
              <w:rPr>
                <w:rFonts w:ascii="Arial" w:eastAsia="宋体" w:hAnsi="Arial" w:cs="Arial"/>
                <w:color w:val="0068B5"/>
                <w:sz w:val="18"/>
                <w:szCs w:val="18"/>
              </w:rPr>
              <w:t>(969)</w:t>
            </w:r>
          </w:p>
        </w:tc>
        <w:tc>
          <w:tcPr>
            <w:tcW w:w="0" w:type="auto"/>
            <w:shd w:val="clear" w:color="auto" w:fill="FFFFFF"/>
            <w:tcMar>
              <w:top w:w="40" w:type="dxa"/>
              <w:left w:w="0" w:type="dxa"/>
              <w:bottom w:w="40" w:type="dxa"/>
              <w:right w:w="20" w:type="dxa"/>
            </w:tcMar>
            <w:vAlign w:val="center"/>
          </w:tcPr>
          <w:p w14:paraId="5A1AF85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5F"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center"/>
          </w:tcPr>
          <w:p w14:paraId="5A1AF860" w14:textId="77777777" w:rsidR="00960BB8" w:rsidRDefault="00C06650">
            <w:pPr>
              <w:textAlignment w:val="center"/>
            </w:pPr>
            <w:r>
              <w:rPr>
                <w:rFonts w:ascii="Arial" w:eastAsia="宋体" w:hAnsi="Arial" w:cs="Arial"/>
                <w:color w:val="000000"/>
                <w:sz w:val="18"/>
                <w:szCs w:val="18"/>
              </w:rPr>
              <w:t>Higher period charges primarily driven by inventory reserves taken in 2022</w:t>
            </w:r>
          </w:p>
        </w:tc>
        <w:tc>
          <w:tcPr>
            <w:tcW w:w="0" w:type="auto"/>
            <w:gridSpan w:val="3"/>
            <w:shd w:val="clear" w:color="auto" w:fill="auto"/>
            <w:tcMar>
              <w:top w:w="0" w:type="dxa"/>
              <w:left w:w="20" w:type="dxa"/>
              <w:bottom w:w="0" w:type="dxa"/>
              <w:right w:w="20" w:type="dxa"/>
            </w:tcMar>
            <w:vAlign w:val="bottom"/>
          </w:tcPr>
          <w:p w14:paraId="5A1AF86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62" w14:textId="77777777" w:rsidR="00960BB8" w:rsidRDefault="00960BB8">
            <w:pPr>
              <w:rPr>
                <w:rFonts w:ascii="宋体"/>
              </w:rPr>
            </w:pPr>
          </w:p>
        </w:tc>
      </w:tr>
      <w:tr w:rsidR="00960BB8" w14:paraId="5A1AF86A" w14:textId="77777777">
        <w:tc>
          <w:tcPr>
            <w:tcW w:w="0" w:type="auto"/>
            <w:gridSpan w:val="2"/>
            <w:shd w:val="clear" w:color="auto" w:fill="FFFFFF"/>
            <w:tcMar>
              <w:top w:w="40" w:type="dxa"/>
              <w:left w:w="20" w:type="dxa"/>
              <w:bottom w:w="40" w:type="dxa"/>
              <w:right w:w="0" w:type="dxa"/>
            </w:tcMar>
            <w:vAlign w:val="center"/>
          </w:tcPr>
          <w:p w14:paraId="5A1AF864" w14:textId="77777777" w:rsidR="00960BB8" w:rsidRDefault="00C06650">
            <w:pPr>
              <w:jc w:val="right"/>
              <w:textAlignment w:val="center"/>
            </w:pPr>
            <w:r>
              <w:rPr>
                <w:rFonts w:ascii="Arial" w:eastAsia="宋体" w:hAnsi="Arial" w:cs="Arial"/>
                <w:color w:val="0068B5"/>
                <w:sz w:val="18"/>
                <w:szCs w:val="18"/>
              </w:rPr>
              <w:t>(320)</w:t>
            </w:r>
          </w:p>
        </w:tc>
        <w:tc>
          <w:tcPr>
            <w:tcW w:w="0" w:type="auto"/>
            <w:shd w:val="clear" w:color="auto" w:fill="FFFFFF"/>
            <w:tcMar>
              <w:top w:w="40" w:type="dxa"/>
              <w:left w:w="0" w:type="dxa"/>
              <w:bottom w:w="40" w:type="dxa"/>
              <w:right w:w="20" w:type="dxa"/>
            </w:tcMar>
            <w:vAlign w:val="center"/>
          </w:tcPr>
          <w:p w14:paraId="5A1AF86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66"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center"/>
          </w:tcPr>
          <w:p w14:paraId="5A1AF867" w14:textId="77777777" w:rsidR="00960BB8" w:rsidRDefault="00C06650">
            <w:pPr>
              <w:textAlignment w:val="center"/>
            </w:pPr>
            <w:r>
              <w:rPr>
                <w:rFonts w:ascii="Arial" w:eastAsia="宋体" w:hAnsi="Arial" w:cs="Arial"/>
                <w:color w:val="000000"/>
                <w:sz w:val="18"/>
                <w:szCs w:val="18"/>
              </w:rPr>
              <w:t>Lower CCG other product gross margin driven by lower demand for our wireless and connectivity products and the continued ramp down from the exit of our 5G smartphone modem business</w:t>
            </w:r>
          </w:p>
        </w:tc>
        <w:tc>
          <w:tcPr>
            <w:tcW w:w="0" w:type="auto"/>
            <w:gridSpan w:val="3"/>
            <w:shd w:val="clear" w:color="auto" w:fill="auto"/>
            <w:tcMar>
              <w:top w:w="0" w:type="dxa"/>
              <w:left w:w="20" w:type="dxa"/>
              <w:bottom w:w="0" w:type="dxa"/>
              <w:right w:w="20" w:type="dxa"/>
            </w:tcMar>
            <w:vAlign w:val="bottom"/>
          </w:tcPr>
          <w:p w14:paraId="5A1AF86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69" w14:textId="77777777" w:rsidR="00960BB8" w:rsidRDefault="00960BB8">
            <w:pPr>
              <w:rPr>
                <w:rFonts w:ascii="宋体"/>
              </w:rPr>
            </w:pPr>
          </w:p>
        </w:tc>
      </w:tr>
      <w:tr w:rsidR="00960BB8" w14:paraId="5A1AF871" w14:textId="77777777">
        <w:tc>
          <w:tcPr>
            <w:tcW w:w="0" w:type="auto"/>
            <w:gridSpan w:val="2"/>
            <w:shd w:val="clear" w:color="auto" w:fill="FFFFFF"/>
            <w:tcMar>
              <w:top w:w="40" w:type="dxa"/>
              <w:left w:w="20" w:type="dxa"/>
              <w:bottom w:w="40" w:type="dxa"/>
              <w:right w:w="0" w:type="dxa"/>
            </w:tcMar>
            <w:vAlign w:val="center"/>
          </w:tcPr>
          <w:p w14:paraId="5A1AF86B" w14:textId="77777777" w:rsidR="00960BB8" w:rsidRDefault="00C06650">
            <w:pPr>
              <w:jc w:val="right"/>
              <w:textAlignment w:val="center"/>
            </w:pPr>
            <w:r>
              <w:rPr>
                <w:rFonts w:ascii="Arial" w:eastAsia="宋体" w:hAnsi="Arial" w:cs="Arial"/>
                <w:color w:val="0068B5"/>
                <w:sz w:val="18"/>
                <w:szCs w:val="18"/>
              </w:rPr>
              <w:t>(262)</w:t>
            </w:r>
          </w:p>
        </w:tc>
        <w:tc>
          <w:tcPr>
            <w:tcW w:w="0" w:type="auto"/>
            <w:shd w:val="clear" w:color="auto" w:fill="FFFFFF"/>
            <w:tcMar>
              <w:top w:w="40" w:type="dxa"/>
              <w:left w:w="0" w:type="dxa"/>
              <w:bottom w:w="40" w:type="dxa"/>
              <w:right w:w="20" w:type="dxa"/>
            </w:tcMar>
            <w:vAlign w:val="center"/>
          </w:tcPr>
          <w:p w14:paraId="5A1AF86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6D"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center"/>
          </w:tcPr>
          <w:p w14:paraId="5A1AF86E" w14:textId="77777777" w:rsidR="00960BB8" w:rsidRDefault="00C06650">
            <w:pPr>
              <w:textAlignment w:val="center"/>
            </w:pPr>
            <w:r>
              <w:rPr>
                <w:rFonts w:ascii="Arial" w:eastAsia="宋体" w:hAnsi="Arial" w:cs="Arial"/>
                <w:color w:val="000000"/>
                <w:sz w:val="18"/>
                <w:szCs w:val="18"/>
              </w:rPr>
              <w:t xml:space="preserve">Higher period charges primarily associated with the </w:t>
            </w:r>
            <w:r>
              <w:rPr>
                <w:rFonts w:ascii="Arial" w:eastAsia="宋体" w:hAnsi="Arial" w:cs="Arial"/>
                <w:color w:val="000000"/>
                <w:sz w:val="18"/>
                <w:szCs w:val="18"/>
              </w:rPr>
              <w:t>ramp of Intel 4</w:t>
            </w:r>
          </w:p>
        </w:tc>
        <w:tc>
          <w:tcPr>
            <w:tcW w:w="0" w:type="auto"/>
            <w:gridSpan w:val="3"/>
            <w:shd w:val="clear" w:color="auto" w:fill="auto"/>
            <w:tcMar>
              <w:top w:w="0" w:type="dxa"/>
              <w:left w:w="20" w:type="dxa"/>
              <w:bottom w:w="0" w:type="dxa"/>
              <w:right w:w="20" w:type="dxa"/>
            </w:tcMar>
            <w:vAlign w:val="bottom"/>
          </w:tcPr>
          <w:p w14:paraId="5A1AF86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70" w14:textId="77777777" w:rsidR="00960BB8" w:rsidRDefault="00960BB8">
            <w:pPr>
              <w:rPr>
                <w:rFonts w:ascii="宋体"/>
              </w:rPr>
            </w:pPr>
          </w:p>
        </w:tc>
      </w:tr>
      <w:tr w:rsidR="00960BB8" w14:paraId="5A1AF878" w14:textId="77777777">
        <w:tc>
          <w:tcPr>
            <w:tcW w:w="0" w:type="auto"/>
            <w:gridSpan w:val="2"/>
            <w:shd w:val="clear" w:color="auto" w:fill="FFFFFF"/>
            <w:tcMar>
              <w:top w:w="40" w:type="dxa"/>
              <w:left w:w="20" w:type="dxa"/>
              <w:bottom w:w="40" w:type="dxa"/>
              <w:right w:w="0" w:type="dxa"/>
            </w:tcMar>
            <w:vAlign w:val="center"/>
          </w:tcPr>
          <w:p w14:paraId="5A1AF872" w14:textId="77777777" w:rsidR="00960BB8" w:rsidRDefault="00C06650">
            <w:pPr>
              <w:jc w:val="right"/>
              <w:textAlignment w:val="center"/>
            </w:pPr>
            <w:r>
              <w:rPr>
                <w:rFonts w:ascii="Arial" w:eastAsia="宋体" w:hAnsi="Arial" w:cs="Arial"/>
                <w:color w:val="0068B5"/>
                <w:sz w:val="18"/>
                <w:szCs w:val="18"/>
              </w:rPr>
              <w:t>(162)</w:t>
            </w:r>
          </w:p>
        </w:tc>
        <w:tc>
          <w:tcPr>
            <w:tcW w:w="0" w:type="auto"/>
            <w:shd w:val="clear" w:color="auto" w:fill="FFFFFF"/>
            <w:tcMar>
              <w:top w:w="40" w:type="dxa"/>
              <w:left w:w="0" w:type="dxa"/>
              <w:bottom w:w="40" w:type="dxa"/>
              <w:right w:w="20" w:type="dxa"/>
            </w:tcMar>
            <w:vAlign w:val="center"/>
          </w:tcPr>
          <w:p w14:paraId="5A1AF87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74"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center"/>
          </w:tcPr>
          <w:p w14:paraId="5A1AF875" w14:textId="77777777" w:rsidR="00960BB8" w:rsidRDefault="00C06650">
            <w:pPr>
              <w:textAlignment w:val="center"/>
            </w:pPr>
            <w:r>
              <w:rPr>
                <w:rFonts w:ascii="Arial" w:eastAsia="宋体" w:hAnsi="Arial" w:cs="Arial"/>
                <w:color w:val="000000"/>
                <w:sz w:val="18"/>
                <w:szCs w:val="18"/>
              </w:rPr>
              <w:t>Higher period charges related excess capacity charges</w:t>
            </w:r>
          </w:p>
        </w:tc>
        <w:tc>
          <w:tcPr>
            <w:tcW w:w="0" w:type="auto"/>
            <w:gridSpan w:val="3"/>
            <w:shd w:val="clear" w:color="auto" w:fill="auto"/>
            <w:tcMar>
              <w:top w:w="0" w:type="dxa"/>
              <w:left w:w="20" w:type="dxa"/>
              <w:bottom w:w="0" w:type="dxa"/>
              <w:right w:w="20" w:type="dxa"/>
            </w:tcMar>
            <w:vAlign w:val="bottom"/>
          </w:tcPr>
          <w:p w14:paraId="5A1AF87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77" w14:textId="77777777" w:rsidR="00960BB8" w:rsidRDefault="00960BB8">
            <w:pPr>
              <w:rPr>
                <w:rFonts w:ascii="宋体"/>
              </w:rPr>
            </w:pPr>
          </w:p>
        </w:tc>
      </w:tr>
      <w:tr w:rsidR="00960BB8" w14:paraId="5A1AF87F" w14:textId="77777777">
        <w:tc>
          <w:tcPr>
            <w:tcW w:w="0" w:type="auto"/>
            <w:gridSpan w:val="2"/>
            <w:shd w:val="clear" w:color="auto" w:fill="FFFFFF"/>
            <w:tcMar>
              <w:top w:w="40" w:type="dxa"/>
              <w:left w:w="20" w:type="dxa"/>
              <w:bottom w:w="40" w:type="dxa"/>
              <w:right w:w="0" w:type="dxa"/>
            </w:tcMar>
            <w:vAlign w:val="center"/>
          </w:tcPr>
          <w:p w14:paraId="5A1AF879" w14:textId="77777777" w:rsidR="00960BB8" w:rsidRDefault="00C06650">
            <w:pPr>
              <w:jc w:val="right"/>
              <w:textAlignment w:val="center"/>
            </w:pPr>
            <w:r>
              <w:rPr>
                <w:rFonts w:ascii="Arial" w:eastAsia="宋体" w:hAnsi="Arial" w:cs="Arial"/>
                <w:color w:val="0068B5"/>
                <w:sz w:val="18"/>
                <w:szCs w:val="18"/>
              </w:rPr>
              <w:t>192 </w:t>
            </w:r>
          </w:p>
        </w:tc>
        <w:tc>
          <w:tcPr>
            <w:tcW w:w="0" w:type="auto"/>
            <w:shd w:val="clear" w:color="auto" w:fill="FFFFFF"/>
            <w:tcMar>
              <w:top w:w="40" w:type="dxa"/>
              <w:left w:w="0" w:type="dxa"/>
              <w:bottom w:w="40" w:type="dxa"/>
              <w:right w:w="20" w:type="dxa"/>
            </w:tcMar>
            <w:vAlign w:val="center"/>
          </w:tcPr>
          <w:p w14:paraId="5A1AF87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7B"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center"/>
          </w:tcPr>
          <w:p w14:paraId="5A1AF87C" w14:textId="77777777" w:rsidR="00960BB8" w:rsidRDefault="00C06650">
            <w:pPr>
              <w:textAlignment w:val="center"/>
            </w:pPr>
            <w:r>
              <w:rPr>
                <w:rFonts w:ascii="Arial" w:eastAsia="宋体" w:hAnsi="Arial" w:cs="Arial"/>
                <w:color w:val="000000"/>
                <w:sz w:val="18"/>
                <w:szCs w:val="18"/>
              </w:rPr>
              <w:t>Lower period charges due to a benefit related to insurance proceeds received for business interruption and property damage that occurred in 2020</w:t>
            </w:r>
          </w:p>
        </w:tc>
        <w:tc>
          <w:tcPr>
            <w:tcW w:w="0" w:type="auto"/>
            <w:gridSpan w:val="3"/>
            <w:shd w:val="clear" w:color="auto" w:fill="auto"/>
            <w:tcMar>
              <w:top w:w="0" w:type="dxa"/>
              <w:left w:w="20" w:type="dxa"/>
              <w:bottom w:w="0" w:type="dxa"/>
              <w:right w:w="20" w:type="dxa"/>
            </w:tcMar>
            <w:vAlign w:val="bottom"/>
          </w:tcPr>
          <w:p w14:paraId="5A1AF87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7E" w14:textId="77777777" w:rsidR="00960BB8" w:rsidRDefault="00960BB8">
            <w:pPr>
              <w:rPr>
                <w:rFonts w:ascii="宋体"/>
              </w:rPr>
            </w:pPr>
          </w:p>
        </w:tc>
      </w:tr>
      <w:tr w:rsidR="00960BB8" w14:paraId="5A1AF886" w14:textId="77777777">
        <w:tc>
          <w:tcPr>
            <w:tcW w:w="0" w:type="auto"/>
            <w:gridSpan w:val="2"/>
            <w:shd w:val="clear" w:color="auto" w:fill="FFFFFF"/>
            <w:tcMar>
              <w:top w:w="40" w:type="dxa"/>
              <w:left w:w="20" w:type="dxa"/>
              <w:bottom w:w="40" w:type="dxa"/>
              <w:right w:w="0" w:type="dxa"/>
            </w:tcMar>
            <w:vAlign w:val="center"/>
          </w:tcPr>
          <w:p w14:paraId="5A1AF880" w14:textId="77777777" w:rsidR="00960BB8" w:rsidRDefault="00C06650">
            <w:pPr>
              <w:jc w:val="right"/>
              <w:textAlignment w:val="center"/>
            </w:pPr>
            <w:r>
              <w:rPr>
                <w:rFonts w:ascii="Arial" w:eastAsia="宋体" w:hAnsi="Arial" w:cs="Arial"/>
                <w:color w:val="0068B5"/>
                <w:sz w:val="18"/>
                <w:szCs w:val="18"/>
              </w:rPr>
              <w:t>(97)</w:t>
            </w:r>
          </w:p>
        </w:tc>
        <w:tc>
          <w:tcPr>
            <w:tcW w:w="0" w:type="auto"/>
            <w:shd w:val="clear" w:color="auto" w:fill="FFFFFF"/>
            <w:tcMar>
              <w:top w:w="40" w:type="dxa"/>
              <w:left w:w="0" w:type="dxa"/>
              <w:bottom w:w="40" w:type="dxa"/>
              <w:right w:w="20" w:type="dxa"/>
            </w:tcMar>
            <w:vAlign w:val="center"/>
          </w:tcPr>
          <w:p w14:paraId="5A1AF881"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882"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center"/>
          </w:tcPr>
          <w:p w14:paraId="5A1AF883" w14:textId="77777777" w:rsidR="00960BB8" w:rsidRDefault="00C06650">
            <w:pPr>
              <w:textAlignment w:val="center"/>
            </w:pPr>
            <w:r>
              <w:rPr>
                <w:rFonts w:ascii="Arial" w:eastAsia="宋体" w:hAnsi="Arial" w:cs="Arial"/>
                <w:color w:val="000000"/>
                <w:sz w:val="18"/>
                <w:szCs w:val="18"/>
              </w:rPr>
              <w:t>Other</w:t>
            </w:r>
          </w:p>
        </w:tc>
        <w:tc>
          <w:tcPr>
            <w:tcW w:w="0" w:type="auto"/>
            <w:gridSpan w:val="3"/>
            <w:shd w:val="clear" w:color="auto" w:fill="auto"/>
            <w:tcMar>
              <w:top w:w="0" w:type="dxa"/>
              <w:left w:w="20" w:type="dxa"/>
              <w:bottom w:w="0" w:type="dxa"/>
              <w:right w:w="20" w:type="dxa"/>
            </w:tcMar>
            <w:vAlign w:val="bottom"/>
          </w:tcPr>
          <w:p w14:paraId="5A1AF88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85" w14:textId="77777777" w:rsidR="00960BB8" w:rsidRDefault="00960BB8">
            <w:pPr>
              <w:rPr>
                <w:rFonts w:ascii="宋体"/>
              </w:rPr>
            </w:pPr>
          </w:p>
        </w:tc>
      </w:tr>
      <w:tr w:rsidR="00960BB8" w14:paraId="5A1AF88E" w14:textId="77777777">
        <w:tc>
          <w:tcPr>
            <w:tcW w:w="0" w:type="auto"/>
            <w:tcBorders>
              <w:top w:val="single" w:sz="4" w:space="0" w:color="262626"/>
            </w:tcBorders>
            <w:shd w:val="clear" w:color="auto" w:fill="auto"/>
            <w:tcMar>
              <w:top w:w="40" w:type="dxa"/>
              <w:left w:w="20" w:type="dxa"/>
              <w:bottom w:w="40" w:type="dxa"/>
              <w:right w:w="0" w:type="dxa"/>
            </w:tcMar>
            <w:vAlign w:val="center"/>
          </w:tcPr>
          <w:p w14:paraId="5A1AF887" w14:textId="77777777" w:rsidR="00960BB8" w:rsidRDefault="00C06650">
            <w:pPr>
              <w:textAlignment w:val="center"/>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center"/>
          </w:tcPr>
          <w:p w14:paraId="5A1AF888" w14:textId="77777777" w:rsidR="00960BB8" w:rsidRDefault="00C06650">
            <w:pPr>
              <w:jc w:val="right"/>
              <w:textAlignment w:val="center"/>
            </w:pPr>
            <w:r>
              <w:rPr>
                <w:rFonts w:ascii="Arial" w:eastAsia="宋体" w:hAnsi="Arial" w:cs="Arial"/>
                <w:b/>
                <w:bCs/>
                <w:color w:val="262626"/>
                <w:sz w:val="18"/>
                <w:szCs w:val="18"/>
              </w:rPr>
              <w:t>15,704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5A1AF88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8A" w14:textId="77777777" w:rsidR="00960BB8" w:rsidRDefault="00960BB8">
            <w:pPr>
              <w:rPr>
                <w:rFonts w:ascii="宋体"/>
              </w:rPr>
            </w:pPr>
          </w:p>
        </w:tc>
        <w:tc>
          <w:tcPr>
            <w:tcW w:w="0" w:type="auto"/>
            <w:gridSpan w:val="3"/>
            <w:tcBorders>
              <w:top w:val="single" w:sz="8" w:space="0" w:color="6D6D6D"/>
            </w:tcBorders>
            <w:shd w:val="clear" w:color="auto" w:fill="auto"/>
            <w:tcMar>
              <w:top w:w="40" w:type="dxa"/>
              <w:left w:w="20" w:type="dxa"/>
              <w:bottom w:w="40" w:type="dxa"/>
              <w:right w:w="20" w:type="dxa"/>
            </w:tcMar>
            <w:vAlign w:val="center"/>
          </w:tcPr>
          <w:p w14:paraId="5A1AF88B" w14:textId="77777777" w:rsidR="00960BB8" w:rsidRDefault="00C06650">
            <w:pPr>
              <w:textAlignment w:val="center"/>
            </w:pPr>
            <w:r>
              <w:rPr>
                <w:rFonts w:ascii="Arial" w:eastAsia="宋体" w:hAnsi="Arial" w:cs="Arial"/>
                <w:b/>
                <w:bCs/>
                <w:color w:val="262626"/>
                <w:sz w:val="18"/>
                <w:szCs w:val="18"/>
              </w:rPr>
              <w:t>2021 Operating Income</w:t>
            </w:r>
          </w:p>
        </w:tc>
        <w:tc>
          <w:tcPr>
            <w:tcW w:w="0" w:type="auto"/>
            <w:gridSpan w:val="3"/>
            <w:shd w:val="clear" w:color="auto" w:fill="auto"/>
            <w:tcMar>
              <w:top w:w="0" w:type="dxa"/>
              <w:left w:w="20" w:type="dxa"/>
              <w:bottom w:w="0" w:type="dxa"/>
              <w:right w:w="20" w:type="dxa"/>
            </w:tcMar>
            <w:vAlign w:val="bottom"/>
          </w:tcPr>
          <w:p w14:paraId="5A1AF88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8D" w14:textId="77777777" w:rsidR="00960BB8" w:rsidRDefault="00960BB8">
            <w:pPr>
              <w:rPr>
                <w:rFonts w:ascii="宋体"/>
              </w:rPr>
            </w:pPr>
          </w:p>
        </w:tc>
      </w:tr>
      <w:tr w:rsidR="00960BB8" w14:paraId="5A1AF895" w14:textId="77777777">
        <w:tc>
          <w:tcPr>
            <w:tcW w:w="0" w:type="auto"/>
            <w:gridSpan w:val="2"/>
            <w:tcBorders>
              <w:top w:val="single" w:sz="4" w:space="0" w:color="262626"/>
            </w:tcBorders>
            <w:shd w:val="clear" w:color="auto" w:fill="auto"/>
            <w:tcMar>
              <w:top w:w="40" w:type="dxa"/>
              <w:left w:w="20" w:type="dxa"/>
              <w:bottom w:w="40" w:type="dxa"/>
              <w:right w:w="0" w:type="dxa"/>
            </w:tcMar>
            <w:vAlign w:val="center"/>
          </w:tcPr>
          <w:p w14:paraId="5A1AF88F" w14:textId="77777777" w:rsidR="00960BB8" w:rsidRDefault="00C06650">
            <w:pPr>
              <w:jc w:val="right"/>
              <w:textAlignment w:val="center"/>
            </w:pPr>
            <w:r>
              <w:rPr>
                <w:rFonts w:ascii="Arial" w:eastAsia="宋体" w:hAnsi="Arial" w:cs="Arial"/>
                <w:color w:val="262626"/>
                <w:sz w:val="18"/>
                <w:szCs w:val="18"/>
              </w:rPr>
              <w:t>(840)</w:t>
            </w:r>
          </w:p>
        </w:tc>
        <w:tc>
          <w:tcPr>
            <w:tcW w:w="0" w:type="auto"/>
            <w:tcBorders>
              <w:top w:val="single" w:sz="4" w:space="0" w:color="262626"/>
            </w:tcBorders>
            <w:shd w:val="clear" w:color="auto" w:fill="auto"/>
            <w:tcMar>
              <w:top w:w="40" w:type="dxa"/>
              <w:left w:w="0" w:type="dxa"/>
              <w:bottom w:w="40" w:type="dxa"/>
              <w:right w:w="20" w:type="dxa"/>
            </w:tcMar>
            <w:vAlign w:val="center"/>
          </w:tcPr>
          <w:p w14:paraId="5A1AF89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91" w14:textId="77777777" w:rsidR="00960BB8" w:rsidRDefault="00960BB8">
            <w:pPr>
              <w:rPr>
                <w:rFonts w:ascii="宋体"/>
              </w:rPr>
            </w:pPr>
          </w:p>
        </w:tc>
        <w:tc>
          <w:tcPr>
            <w:tcW w:w="0" w:type="auto"/>
            <w:gridSpan w:val="3"/>
            <w:tcBorders>
              <w:top w:val="single" w:sz="8" w:space="0" w:color="6D6D6D"/>
            </w:tcBorders>
            <w:shd w:val="clear" w:color="auto" w:fill="auto"/>
            <w:tcMar>
              <w:top w:w="40" w:type="dxa"/>
              <w:left w:w="20" w:type="dxa"/>
              <w:bottom w:w="40" w:type="dxa"/>
              <w:right w:w="20" w:type="dxa"/>
            </w:tcMar>
            <w:vAlign w:val="center"/>
          </w:tcPr>
          <w:p w14:paraId="5A1AF892" w14:textId="77777777" w:rsidR="00960BB8" w:rsidRDefault="00C06650">
            <w:pPr>
              <w:textAlignment w:val="center"/>
            </w:pPr>
            <w:r>
              <w:rPr>
                <w:rFonts w:ascii="Arial" w:eastAsia="宋体" w:hAnsi="Arial" w:cs="Arial"/>
                <w:color w:val="262626"/>
                <w:sz w:val="18"/>
                <w:szCs w:val="18"/>
              </w:rPr>
              <w:t>Higher period charges primarily associated with ramp up of Intel 4 and subsequent ramp down of 14nm</w:t>
            </w:r>
          </w:p>
        </w:tc>
        <w:tc>
          <w:tcPr>
            <w:tcW w:w="0" w:type="auto"/>
            <w:gridSpan w:val="3"/>
            <w:shd w:val="clear" w:color="auto" w:fill="auto"/>
            <w:tcMar>
              <w:top w:w="0" w:type="dxa"/>
              <w:left w:w="20" w:type="dxa"/>
              <w:bottom w:w="0" w:type="dxa"/>
              <w:right w:w="20" w:type="dxa"/>
            </w:tcMar>
            <w:vAlign w:val="bottom"/>
          </w:tcPr>
          <w:p w14:paraId="5A1AF89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94" w14:textId="77777777" w:rsidR="00960BB8" w:rsidRDefault="00960BB8">
            <w:pPr>
              <w:rPr>
                <w:rFonts w:ascii="宋体"/>
              </w:rPr>
            </w:pPr>
          </w:p>
        </w:tc>
      </w:tr>
      <w:tr w:rsidR="00960BB8" w14:paraId="5A1AF89C" w14:textId="77777777">
        <w:tc>
          <w:tcPr>
            <w:tcW w:w="0" w:type="auto"/>
            <w:gridSpan w:val="2"/>
            <w:shd w:val="clear" w:color="auto" w:fill="auto"/>
            <w:tcMar>
              <w:top w:w="40" w:type="dxa"/>
              <w:left w:w="20" w:type="dxa"/>
              <w:bottom w:w="40" w:type="dxa"/>
              <w:right w:w="0" w:type="dxa"/>
            </w:tcMar>
            <w:vAlign w:val="center"/>
          </w:tcPr>
          <w:p w14:paraId="5A1AF896" w14:textId="77777777" w:rsidR="00960BB8" w:rsidRDefault="00C06650">
            <w:pPr>
              <w:jc w:val="right"/>
              <w:textAlignment w:val="center"/>
            </w:pPr>
            <w:r>
              <w:rPr>
                <w:rFonts w:ascii="Arial" w:eastAsia="宋体" w:hAnsi="Arial" w:cs="Arial"/>
                <w:color w:val="262626"/>
                <w:sz w:val="18"/>
                <w:szCs w:val="18"/>
              </w:rPr>
              <w:t>(675)</w:t>
            </w:r>
          </w:p>
        </w:tc>
        <w:tc>
          <w:tcPr>
            <w:tcW w:w="0" w:type="auto"/>
            <w:shd w:val="clear" w:color="auto" w:fill="auto"/>
            <w:tcMar>
              <w:top w:w="40" w:type="dxa"/>
              <w:left w:w="0" w:type="dxa"/>
              <w:bottom w:w="40" w:type="dxa"/>
              <w:right w:w="20" w:type="dxa"/>
            </w:tcMar>
            <w:vAlign w:val="center"/>
          </w:tcPr>
          <w:p w14:paraId="5A1AF89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9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899" w14:textId="77777777" w:rsidR="00960BB8" w:rsidRDefault="00C06650">
            <w:pPr>
              <w:textAlignment w:val="center"/>
            </w:pPr>
            <w:r>
              <w:rPr>
                <w:rFonts w:ascii="Arial" w:eastAsia="宋体" w:hAnsi="Arial" w:cs="Arial"/>
                <w:color w:val="262626"/>
                <w:sz w:val="18"/>
                <w:szCs w:val="18"/>
              </w:rPr>
              <w:t>Higher operating expenses driven by increased investment in leadership products</w:t>
            </w:r>
          </w:p>
        </w:tc>
        <w:tc>
          <w:tcPr>
            <w:tcW w:w="0" w:type="auto"/>
            <w:gridSpan w:val="3"/>
            <w:shd w:val="clear" w:color="auto" w:fill="auto"/>
            <w:tcMar>
              <w:top w:w="0" w:type="dxa"/>
              <w:left w:w="20" w:type="dxa"/>
              <w:bottom w:w="0" w:type="dxa"/>
              <w:right w:w="20" w:type="dxa"/>
            </w:tcMar>
            <w:vAlign w:val="bottom"/>
          </w:tcPr>
          <w:p w14:paraId="5A1AF89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9B" w14:textId="77777777" w:rsidR="00960BB8" w:rsidRDefault="00960BB8">
            <w:pPr>
              <w:rPr>
                <w:rFonts w:ascii="宋体"/>
              </w:rPr>
            </w:pPr>
          </w:p>
        </w:tc>
      </w:tr>
      <w:tr w:rsidR="00960BB8" w14:paraId="5A1AF8A3" w14:textId="77777777">
        <w:tc>
          <w:tcPr>
            <w:tcW w:w="0" w:type="auto"/>
            <w:gridSpan w:val="2"/>
            <w:shd w:val="clear" w:color="auto" w:fill="auto"/>
            <w:tcMar>
              <w:top w:w="40" w:type="dxa"/>
              <w:left w:w="20" w:type="dxa"/>
              <w:bottom w:w="40" w:type="dxa"/>
              <w:right w:w="0" w:type="dxa"/>
            </w:tcMar>
            <w:vAlign w:val="center"/>
          </w:tcPr>
          <w:p w14:paraId="5A1AF89D" w14:textId="77777777" w:rsidR="00960BB8" w:rsidRDefault="00C06650">
            <w:pPr>
              <w:jc w:val="right"/>
              <w:textAlignment w:val="center"/>
            </w:pPr>
            <w:r>
              <w:rPr>
                <w:rFonts w:ascii="Arial" w:eastAsia="宋体" w:hAnsi="Arial" w:cs="Arial"/>
                <w:color w:val="262626"/>
                <w:sz w:val="18"/>
                <w:szCs w:val="18"/>
              </w:rPr>
              <w:t>(290)</w:t>
            </w:r>
          </w:p>
        </w:tc>
        <w:tc>
          <w:tcPr>
            <w:tcW w:w="0" w:type="auto"/>
            <w:shd w:val="clear" w:color="auto" w:fill="auto"/>
            <w:tcMar>
              <w:top w:w="40" w:type="dxa"/>
              <w:left w:w="0" w:type="dxa"/>
              <w:bottom w:w="40" w:type="dxa"/>
              <w:right w:w="20" w:type="dxa"/>
            </w:tcMar>
            <w:vAlign w:val="center"/>
          </w:tcPr>
          <w:p w14:paraId="5A1AF89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9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8A0" w14:textId="77777777" w:rsidR="00960BB8" w:rsidRDefault="00C06650">
            <w:pPr>
              <w:textAlignment w:val="center"/>
            </w:pPr>
            <w:r>
              <w:rPr>
                <w:rFonts w:ascii="Arial" w:eastAsia="宋体" w:hAnsi="Arial" w:cs="Arial"/>
                <w:color w:val="262626"/>
                <w:sz w:val="18"/>
                <w:szCs w:val="18"/>
              </w:rPr>
              <w:t xml:space="preserve">Lower gross margin from notebook revenue </w:t>
            </w:r>
          </w:p>
        </w:tc>
        <w:tc>
          <w:tcPr>
            <w:tcW w:w="0" w:type="auto"/>
            <w:gridSpan w:val="3"/>
            <w:shd w:val="clear" w:color="auto" w:fill="auto"/>
            <w:tcMar>
              <w:top w:w="0" w:type="dxa"/>
              <w:left w:w="20" w:type="dxa"/>
              <w:bottom w:w="0" w:type="dxa"/>
              <w:right w:w="20" w:type="dxa"/>
            </w:tcMar>
            <w:vAlign w:val="bottom"/>
          </w:tcPr>
          <w:p w14:paraId="5A1AF8A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A2" w14:textId="77777777" w:rsidR="00960BB8" w:rsidRDefault="00960BB8">
            <w:pPr>
              <w:rPr>
                <w:rFonts w:ascii="宋体"/>
              </w:rPr>
            </w:pPr>
          </w:p>
        </w:tc>
      </w:tr>
      <w:tr w:rsidR="00960BB8" w14:paraId="5A1AF8AA" w14:textId="77777777">
        <w:tc>
          <w:tcPr>
            <w:tcW w:w="0" w:type="auto"/>
            <w:gridSpan w:val="2"/>
            <w:shd w:val="clear" w:color="auto" w:fill="auto"/>
            <w:tcMar>
              <w:top w:w="40" w:type="dxa"/>
              <w:left w:w="20" w:type="dxa"/>
              <w:bottom w:w="40" w:type="dxa"/>
              <w:right w:w="0" w:type="dxa"/>
            </w:tcMar>
            <w:vAlign w:val="center"/>
          </w:tcPr>
          <w:p w14:paraId="5A1AF8A4" w14:textId="77777777" w:rsidR="00960BB8" w:rsidRDefault="00C06650">
            <w:pPr>
              <w:jc w:val="right"/>
              <w:textAlignment w:val="center"/>
            </w:pPr>
            <w:r>
              <w:rPr>
                <w:rFonts w:ascii="Arial" w:eastAsia="宋体" w:hAnsi="Arial" w:cs="Arial"/>
                <w:color w:val="262626"/>
                <w:sz w:val="18"/>
                <w:szCs w:val="18"/>
              </w:rPr>
              <w:t>(140)</w:t>
            </w:r>
          </w:p>
        </w:tc>
        <w:tc>
          <w:tcPr>
            <w:tcW w:w="0" w:type="auto"/>
            <w:shd w:val="clear" w:color="auto" w:fill="auto"/>
            <w:tcMar>
              <w:top w:w="40" w:type="dxa"/>
              <w:left w:w="0" w:type="dxa"/>
              <w:bottom w:w="40" w:type="dxa"/>
              <w:right w:w="20" w:type="dxa"/>
            </w:tcMar>
            <w:vAlign w:val="center"/>
          </w:tcPr>
          <w:p w14:paraId="5A1AF8A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A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8A7" w14:textId="77777777" w:rsidR="00960BB8" w:rsidRDefault="00C06650">
            <w:pPr>
              <w:textAlignment w:val="center"/>
            </w:pPr>
            <w:r>
              <w:rPr>
                <w:rFonts w:ascii="Arial" w:eastAsia="宋体" w:hAnsi="Arial" w:cs="Arial"/>
                <w:color w:val="262626"/>
                <w:sz w:val="18"/>
                <w:szCs w:val="18"/>
              </w:rPr>
              <w:t>Higher period charges driven by less sell-through of reserves on products in 2021 as compared to in 2020, and additional reserves taken in 2021</w:t>
            </w:r>
          </w:p>
        </w:tc>
        <w:tc>
          <w:tcPr>
            <w:tcW w:w="0" w:type="auto"/>
            <w:gridSpan w:val="3"/>
            <w:shd w:val="clear" w:color="auto" w:fill="auto"/>
            <w:tcMar>
              <w:top w:w="0" w:type="dxa"/>
              <w:left w:w="20" w:type="dxa"/>
              <w:bottom w:w="0" w:type="dxa"/>
              <w:right w:w="20" w:type="dxa"/>
            </w:tcMar>
            <w:vAlign w:val="bottom"/>
          </w:tcPr>
          <w:p w14:paraId="5A1AF8A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A9" w14:textId="77777777" w:rsidR="00960BB8" w:rsidRDefault="00960BB8">
            <w:pPr>
              <w:rPr>
                <w:rFonts w:ascii="宋体"/>
              </w:rPr>
            </w:pPr>
          </w:p>
        </w:tc>
      </w:tr>
      <w:tr w:rsidR="00960BB8" w14:paraId="5A1AF8B1" w14:textId="77777777">
        <w:tc>
          <w:tcPr>
            <w:tcW w:w="0" w:type="auto"/>
            <w:gridSpan w:val="2"/>
            <w:shd w:val="clear" w:color="auto" w:fill="auto"/>
            <w:tcMar>
              <w:top w:w="40" w:type="dxa"/>
              <w:left w:w="20" w:type="dxa"/>
              <w:bottom w:w="40" w:type="dxa"/>
              <w:right w:w="0" w:type="dxa"/>
            </w:tcMar>
            <w:vAlign w:val="center"/>
          </w:tcPr>
          <w:p w14:paraId="5A1AF8AB" w14:textId="77777777" w:rsidR="00960BB8" w:rsidRDefault="00C06650">
            <w:pPr>
              <w:jc w:val="right"/>
              <w:textAlignment w:val="center"/>
            </w:pPr>
            <w:r>
              <w:rPr>
                <w:rFonts w:ascii="Arial" w:eastAsia="宋体" w:hAnsi="Arial" w:cs="Arial"/>
                <w:color w:val="262626"/>
                <w:sz w:val="18"/>
                <w:szCs w:val="18"/>
              </w:rPr>
              <w:t>1,080 </w:t>
            </w:r>
          </w:p>
        </w:tc>
        <w:tc>
          <w:tcPr>
            <w:tcW w:w="0" w:type="auto"/>
            <w:shd w:val="clear" w:color="auto" w:fill="auto"/>
            <w:tcMar>
              <w:top w:w="40" w:type="dxa"/>
              <w:left w:w="0" w:type="dxa"/>
              <w:bottom w:w="40" w:type="dxa"/>
              <w:right w:w="20" w:type="dxa"/>
            </w:tcMar>
            <w:vAlign w:val="center"/>
          </w:tcPr>
          <w:p w14:paraId="5A1AF8A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A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8AE" w14:textId="77777777" w:rsidR="00960BB8" w:rsidRDefault="00C06650">
            <w:pPr>
              <w:textAlignment w:val="center"/>
            </w:pPr>
            <w:r>
              <w:rPr>
                <w:rFonts w:ascii="Arial" w:eastAsia="宋体" w:hAnsi="Arial" w:cs="Arial"/>
                <w:color w:val="262626"/>
                <w:sz w:val="18"/>
                <w:szCs w:val="18"/>
              </w:rPr>
              <w:t>Higher gross margin from desktop revenue</w:t>
            </w:r>
          </w:p>
        </w:tc>
        <w:tc>
          <w:tcPr>
            <w:tcW w:w="0" w:type="auto"/>
            <w:gridSpan w:val="3"/>
            <w:shd w:val="clear" w:color="auto" w:fill="auto"/>
            <w:tcMar>
              <w:top w:w="0" w:type="dxa"/>
              <w:left w:w="20" w:type="dxa"/>
              <w:bottom w:w="0" w:type="dxa"/>
              <w:right w:w="20" w:type="dxa"/>
            </w:tcMar>
            <w:vAlign w:val="bottom"/>
          </w:tcPr>
          <w:p w14:paraId="5A1AF8A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B0" w14:textId="77777777" w:rsidR="00960BB8" w:rsidRDefault="00960BB8">
            <w:pPr>
              <w:rPr>
                <w:rFonts w:ascii="宋体"/>
              </w:rPr>
            </w:pPr>
          </w:p>
        </w:tc>
      </w:tr>
      <w:tr w:rsidR="00960BB8" w14:paraId="5A1AF8B8" w14:textId="77777777">
        <w:tc>
          <w:tcPr>
            <w:tcW w:w="0" w:type="auto"/>
            <w:gridSpan w:val="2"/>
            <w:shd w:val="clear" w:color="auto" w:fill="auto"/>
            <w:tcMar>
              <w:top w:w="40" w:type="dxa"/>
              <w:left w:w="20" w:type="dxa"/>
              <w:bottom w:w="40" w:type="dxa"/>
              <w:right w:w="0" w:type="dxa"/>
            </w:tcMar>
            <w:vAlign w:val="center"/>
          </w:tcPr>
          <w:p w14:paraId="5A1AF8B2" w14:textId="77777777" w:rsidR="00960BB8" w:rsidRDefault="00C06650">
            <w:pPr>
              <w:jc w:val="right"/>
              <w:textAlignment w:val="center"/>
            </w:pPr>
            <w:r>
              <w:rPr>
                <w:rFonts w:ascii="Arial" w:eastAsia="宋体" w:hAnsi="Arial" w:cs="Arial"/>
                <w:color w:val="262626"/>
                <w:sz w:val="18"/>
                <w:szCs w:val="18"/>
              </w:rPr>
              <w:t>660 </w:t>
            </w:r>
          </w:p>
        </w:tc>
        <w:tc>
          <w:tcPr>
            <w:tcW w:w="0" w:type="auto"/>
            <w:shd w:val="clear" w:color="auto" w:fill="auto"/>
            <w:tcMar>
              <w:top w:w="40" w:type="dxa"/>
              <w:left w:w="0" w:type="dxa"/>
              <w:bottom w:w="40" w:type="dxa"/>
              <w:right w:w="20" w:type="dxa"/>
            </w:tcMar>
            <w:vAlign w:val="center"/>
          </w:tcPr>
          <w:p w14:paraId="5A1AF8B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B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8B5" w14:textId="77777777" w:rsidR="00960BB8" w:rsidRDefault="00C06650">
            <w:pPr>
              <w:textAlignment w:val="center"/>
            </w:pPr>
            <w:r>
              <w:rPr>
                <w:rFonts w:ascii="Arial" w:eastAsia="宋体" w:hAnsi="Arial" w:cs="Arial"/>
                <w:color w:val="262626"/>
                <w:sz w:val="18"/>
                <w:szCs w:val="18"/>
              </w:rPr>
              <w:t>Lower unit cost primarily due to cost improvements in 10nm SuperFin</w:t>
            </w:r>
          </w:p>
        </w:tc>
        <w:tc>
          <w:tcPr>
            <w:tcW w:w="0" w:type="auto"/>
            <w:gridSpan w:val="3"/>
            <w:shd w:val="clear" w:color="auto" w:fill="auto"/>
            <w:tcMar>
              <w:top w:w="0" w:type="dxa"/>
              <w:left w:w="20" w:type="dxa"/>
              <w:bottom w:w="0" w:type="dxa"/>
              <w:right w:w="20" w:type="dxa"/>
            </w:tcMar>
            <w:vAlign w:val="bottom"/>
          </w:tcPr>
          <w:p w14:paraId="5A1AF8B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B7" w14:textId="77777777" w:rsidR="00960BB8" w:rsidRDefault="00960BB8">
            <w:pPr>
              <w:rPr>
                <w:rFonts w:ascii="宋体"/>
              </w:rPr>
            </w:pPr>
          </w:p>
        </w:tc>
      </w:tr>
      <w:tr w:rsidR="00960BB8" w14:paraId="5A1AF8BF" w14:textId="77777777">
        <w:tc>
          <w:tcPr>
            <w:tcW w:w="0" w:type="auto"/>
            <w:gridSpan w:val="2"/>
            <w:shd w:val="clear" w:color="auto" w:fill="auto"/>
            <w:tcMar>
              <w:top w:w="40" w:type="dxa"/>
              <w:left w:w="20" w:type="dxa"/>
              <w:bottom w:w="40" w:type="dxa"/>
              <w:right w:w="0" w:type="dxa"/>
            </w:tcMar>
            <w:vAlign w:val="center"/>
          </w:tcPr>
          <w:p w14:paraId="5A1AF8B9" w14:textId="77777777" w:rsidR="00960BB8" w:rsidRDefault="00C06650">
            <w:pPr>
              <w:jc w:val="right"/>
              <w:textAlignment w:val="center"/>
            </w:pPr>
            <w:r>
              <w:rPr>
                <w:rFonts w:ascii="Arial" w:eastAsia="宋体" w:hAnsi="Arial" w:cs="Arial"/>
                <w:color w:val="262626"/>
                <w:sz w:val="18"/>
                <w:szCs w:val="18"/>
              </w:rPr>
              <w:t>165 </w:t>
            </w:r>
          </w:p>
        </w:tc>
        <w:tc>
          <w:tcPr>
            <w:tcW w:w="0" w:type="auto"/>
            <w:shd w:val="clear" w:color="auto" w:fill="auto"/>
            <w:tcMar>
              <w:top w:w="40" w:type="dxa"/>
              <w:left w:w="0" w:type="dxa"/>
              <w:bottom w:w="40" w:type="dxa"/>
              <w:right w:w="20" w:type="dxa"/>
            </w:tcMar>
            <w:vAlign w:val="center"/>
          </w:tcPr>
          <w:p w14:paraId="5A1AF8B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B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8BC" w14:textId="77777777" w:rsidR="00960BB8" w:rsidRDefault="00C06650">
            <w:pPr>
              <w:textAlignment w:val="top"/>
            </w:pPr>
            <w:r>
              <w:rPr>
                <w:rFonts w:ascii="Arial" w:eastAsia="宋体" w:hAnsi="Arial" w:cs="Arial"/>
                <w:color w:val="262626"/>
                <w:sz w:val="18"/>
                <w:szCs w:val="18"/>
              </w:rPr>
              <w:t>Lower period charges primarily driven by a decrease in engineering samples</w:t>
            </w:r>
          </w:p>
        </w:tc>
        <w:tc>
          <w:tcPr>
            <w:tcW w:w="0" w:type="auto"/>
            <w:gridSpan w:val="3"/>
            <w:shd w:val="clear" w:color="auto" w:fill="auto"/>
            <w:tcMar>
              <w:top w:w="0" w:type="dxa"/>
              <w:left w:w="20" w:type="dxa"/>
              <w:bottom w:w="0" w:type="dxa"/>
              <w:right w:w="20" w:type="dxa"/>
            </w:tcMar>
            <w:vAlign w:val="bottom"/>
          </w:tcPr>
          <w:p w14:paraId="5A1AF8B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BE" w14:textId="77777777" w:rsidR="00960BB8" w:rsidRDefault="00960BB8">
            <w:pPr>
              <w:rPr>
                <w:rFonts w:ascii="宋体"/>
              </w:rPr>
            </w:pPr>
          </w:p>
        </w:tc>
      </w:tr>
      <w:tr w:rsidR="00960BB8" w14:paraId="5A1AF8C6" w14:textId="77777777">
        <w:tc>
          <w:tcPr>
            <w:tcW w:w="0" w:type="auto"/>
            <w:gridSpan w:val="2"/>
            <w:shd w:val="clear" w:color="auto" w:fill="auto"/>
            <w:tcMar>
              <w:top w:w="40" w:type="dxa"/>
              <w:left w:w="20" w:type="dxa"/>
              <w:bottom w:w="40" w:type="dxa"/>
              <w:right w:w="0" w:type="dxa"/>
            </w:tcMar>
            <w:vAlign w:val="center"/>
          </w:tcPr>
          <w:p w14:paraId="5A1AF8C0" w14:textId="77777777" w:rsidR="00960BB8" w:rsidRDefault="00C06650">
            <w:pPr>
              <w:jc w:val="right"/>
              <w:textAlignment w:val="center"/>
            </w:pPr>
            <w:r>
              <w:rPr>
                <w:rFonts w:ascii="Arial" w:eastAsia="宋体" w:hAnsi="Arial" w:cs="Arial"/>
                <w:color w:val="262626"/>
                <w:sz w:val="18"/>
                <w:szCs w:val="18"/>
              </w:rPr>
              <w:t>(56)</w:t>
            </w:r>
          </w:p>
        </w:tc>
        <w:tc>
          <w:tcPr>
            <w:tcW w:w="0" w:type="auto"/>
            <w:shd w:val="clear" w:color="auto" w:fill="auto"/>
            <w:tcMar>
              <w:top w:w="40" w:type="dxa"/>
              <w:left w:w="0" w:type="dxa"/>
              <w:bottom w:w="40" w:type="dxa"/>
              <w:right w:w="20" w:type="dxa"/>
            </w:tcMar>
            <w:vAlign w:val="center"/>
          </w:tcPr>
          <w:p w14:paraId="5A1AF8C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C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8C3" w14:textId="77777777" w:rsidR="00960BB8" w:rsidRDefault="00C06650">
            <w:pPr>
              <w:textAlignment w:val="center"/>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5A1AF8C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C5" w14:textId="77777777" w:rsidR="00960BB8" w:rsidRDefault="00960BB8">
            <w:pPr>
              <w:rPr>
                <w:rFonts w:ascii="宋体"/>
              </w:rPr>
            </w:pPr>
          </w:p>
        </w:tc>
      </w:tr>
      <w:tr w:rsidR="00960BB8" w14:paraId="5A1AF8CE"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center"/>
          </w:tcPr>
          <w:p w14:paraId="5A1AF8C7" w14:textId="77777777" w:rsidR="00960BB8" w:rsidRDefault="00C06650">
            <w:pPr>
              <w:textAlignment w:val="center"/>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center"/>
          </w:tcPr>
          <w:p w14:paraId="5A1AF8C8" w14:textId="77777777" w:rsidR="00960BB8" w:rsidRDefault="00C06650">
            <w:pPr>
              <w:jc w:val="right"/>
              <w:textAlignment w:val="center"/>
            </w:pPr>
            <w:r>
              <w:rPr>
                <w:rFonts w:ascii="Arial" w:eastAsia="宋体" w:hAnsi="Arial" w:cs="Arial"/>
                <w:b/>
                <w:bCs/>
                <w:color w:val="262626"/>
                <w:sz w:val="18"/>
                <w:szCs w:val="18"/>
              </w:rPr>
              <w:t>15,800</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center"/>
          </w:tcPr>
          <w:p w14:paraId="5A1AF8C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8CA" w14:textId="77777777" w:rsidR="00960BB8" w:rsidRDefault="00960BB8">
            <w:pPr>
              <w:rPr>
                <w:rFonts w:ascii="宋体"/>
              </w:rPr>
            </w:pPr>
          </w:p>
        </w:tc>
        <w:tc>
          <w:tcPr>
            <w:tcW w:w="0" w:type="auto"/>
            <w:gridSpan w:val="3"/>
            <w:tcBorders>
              <w:top w:val="single" w:sz="8" w:space="0" w:color="6D6D6D"/>
              <w:bottom w:val="single" w:sz="8" w:space="0" w:color="6D6D6D"/>
            </w:tcBorders>
            <w:shd w:val="clear" w:color="auto" w:fill="auto"/>
            <w:tcMar>
              <w:top w:w="40" w:type="dxa"/>
              <w:left w:w="20" w:type="dxa"/>
              <w:bottom w:w="40" w:type="dxa"/>
              <w:right w:w="20" w:type="dxa"/>
            </w:tcMar>
            <w:vAlign w:val="center"/>
          </w:tcPr>
          <w:p w14:paraId="5A1AF8CB" w14:textId="77777777" w:rsidR="00960BB8" w:rsidRDefault="00C06650">
            <w:pPr>
              <w:textAlignment w:val="center"/>
            </w:pPr>
            <w:r>
              <w:rPr>
                <w:rFonts w:ascii="Arial" w:eastAsia="宋体" w:hAnsi="Arial" w:cs="Arial"/>
                <w:b/>
                <w:bCs/>
                <w:color w:val="262626"/>
                <w:sz w:val="18"/>
                <w:szCs w:val="18"/>
              </w:rPr>
              <w:t>2020 Operating Income</w:t>
            </w:r>
          </w:p>
        </w:tc>
        <w:tc>
          <w:tcPr>
            <w:tcW w:w="0" w:type="auto"/>
            <w:gridSpan w:val="3"/>
            <w:shd w:val="clear" w:color="auto" w:fill="auto"/>
            <w:tcMar>
              <w:top w:w="0" w:type="dxa"/>
              <w:left w:w="20" w:type="dxa"/>
              <w:bottom w:w="0" w:type="dxa"/>
              <w:right w:w="20" w:type="dxa"/>
            </w:tcMar>
            <w:vAlign w:val="bottom"/>
          </w:tcPr>
          <w:p w14:paraId="5A1AF8C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CD" w14:textId="77777777" w:rsidR="00960BB8" w:rsidRDefault="00960BB8">
            <w:pPr>
              <w:rPr>
                <w:rFonts w:ascii="宋体"/>
              </w:rPr>
            </w:pPr>
          </w:p>
        </w:tc>
      </w:tr>
    </w:tbl>
    <w:p w14:paraId="5A1AF8CF"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8D9" w14:textId="77777777">
        <w:tc>
          <w:tcPr>
            <w:tcW w:w="50" w:type="pct"/>
            <w:shd w:val="clear" w:color="auto" w:fill="auto"/>
            <w:vAlign w:val="bottom"/>
          </w:tcPr>
          <w:p w14:paraId="5A1AF8D0" w14:textId="77777777" w:rsidR="00960BB8" w:rsidRDefault="00960BB8">
            <w:pPr>
              <w:rPr>
                <w:rFonts w:ascii="宋体"/>
              </w:rPr>
            </w:pPr>
          </w:p>
        </w:tc>
        <w:tc>
          <w:tcPr>
            <w:tcW w:w="283" w:type="pct"/>
            <w:shd w:val="clear" w:color="auto" w:fill="auto"/>
            <w:vAlign w:val="bottom"/>
          </w:tcPr>
          <w:p w14:paraId="5A1AF8D1" w14:textId="77777777" w:rsidR="00960BB8" w:rsidRDefault="00960BB8">
            <w:pPr>
              <w:rPr>
                <w:rFonts w:ascii="宋体"/>
              </w:rPr>
            </w:pPr>
          </w:p>
        </w:tc>
        <w:tc>
          <w:tcPr>
            <w:tcW w:w="5" w:type="pct"/>
            <w:shd w:val="clear" w:color="auto" w:fill="auto"/>
            <w:vAlign w:val="bottom"/>
          </w:tcPr>
          <w:p w14:paraId="5A1AF8D2" w14:textId="77777777" w:rsidR="00960BB8" w:rsidRDefault="00960BB8">
            <w:pPr>
              <w:rPr>
                <w:rFonts w:ascii="宋体"/>
              </w:rPr>
            </w:pPr>
          </w:p>
        </w:tc>
        <w:tc>
          <w:tcPr>
            <w:tcW w:w="50" w:type="pct"/>
            <w:shd w:val="clear" w:color="auto" w:fill="auto"/>
            <w:vAlign w:val="bottom"/>
          </w:tcPr>
          <w:p w14:paraId="5A1AF8D3" w14:textId="77777777" w:rsidR="00960BB8" w:rsidRDefault="00960BB8">
            <w:pPr>
              <w:rPr>
                <w:rFonts w:ascii="宋体"/>
              </w:rPr>
            </w:pPr>
          </w:p>
        </w:tc>
        <w:tc>
          <w:tcPr>
            <w:tcW w:w="2656" w:type="pct"/>
            <w:shd w:val="clear" w:color="auto" w:fill="auto"/>
            <w:vAlign w:val="bottom"/>
          </w:tcPr>
          <w:p w14:paraId="5A1AF8D4" w14:textId="77777777" w:rsidR="00960BB8" w:rsidRDefault="00960BB8">
            <w:pPr>
              <w:rPr>
                <w:rFonts w:ascii="宋体"/>
              </w:rPr>
            </w:pPr>
          </w:p>
        </w:tc>
        <w:tc>
          <w:tcPr>
            <w:tcW w:w="5" w:type="pct"/>
            <w:shd w:val="clear" w:color="auto" w:fill="auto"/>
            <w:vAlign w:val="bottom"/>
          </w:tcPr>
          <w:p w14:paraId="5A1AF8D5" w14:textId="77777777" w:rsidR="00960BB8" w:rsidRDefault="00960BB8">
            <w:pPr>
              <w:rPr>
                <w:rFonts w:ascii="宋体"/>
              </w:rPr>
            </w:pPr>
          </w:p>
        </w:tc>
        <w:tc>
          <w:tcPr>
            <w:tcW w:w="50" w:type="pct"/>
            <w:shd w:val="clear" w:color="auto" w:fill="auto"/>
            <w:vAlign w:val="bottom"/>
          </w:tcPr>
          <w:p w14:paraId="5A1AF8D6" w14:textId="77777777" w:rsidR="00960BB8" w:rsidRDefault="00960BB8">
            <w:pPr>
              <w:rPr>
                <w:rFonts w:ascii="宋体"/>
              </w:rPr>
            </w:pPr>
          </w:p>
        </w:tc>
        <w:tc>
          <w:tcPr>
            <w:tcW w:w="1894" w:type="pct"/>
            <w:shd w:val="clear" w:color="auto" w:fill="auto"/>
            <w:vAlign w:val="bottom"/>
          </w:tcPr>
          <w:p w14:paraId="5A1AF8D7" w14:textId="77777777" w:rsidR="00960BB8" w:rsidRDefault="00960BB8">
            <w:pPr>
              <w:rPr>
                <w:rFonts w:ascii="宋体"/>
              </w:rPr>
            </w:pPr>
          </w:p>
        </w:tc>
        <w:tc>
          <w:tcPr>
            <w:tcW w:w="5" w:type="pct"/>
            <w:shd w:val="clear" w:color="auto" w:fill="auto"/>
            <w:vAlign w:val="bottom"/>
          </w:tcPr>
          <w:p w14:paraId="5A1AF8D8" w14:textId="77777777" w:rsidR="00960BB8" w:rsidRDefault="00960BB8">
            <w:pPr>
              <w:rPr>
                <w:rFonts w:ascii="宋体"/>
              </w:rPr>
            </w:pPr>
          </w:p>
        </w:tc>
      </w:tr>
      <w:tr w:rsidR="00960BB8" w14:paraId="5A1AF8D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8DA"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95" wp14:editId="5A1B4396">
                  <wp:extent cx="304800" cy="304800"/>
                  <wp:effectExtent l="0" t="0" r="0" b="0"/>
                  <wp:docPr id="97" name="图片 11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0"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8DB"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8DC" w14:textId="77777777" w:rsidR="00960BB8" w:rsidRDefault="00C06650">
            <w:pPr>
              <w:jc w:val="right"/>
              <w:textAlignment w:val="center"/>
            </w:pPr>
            <w:r>
              <w:rPr>
                <w:rFonts w:ascii="Arial" w:eastAsia="宋体" w:hAnsi="Arial" w:cs="Arial"/>
                <w:color w:val="262626"/>
                <w:sz w:val="16"/>
                <w:szCs w:val="16"/>
              </w:rPr>
              <w:t>23</w:t>
            </w:r>
          </w:p>
        </w:tc>
      </w:tr>
    </w:tbl>
    <w:p w14:paraId="5A1AF8DE" w14:textId="77777777" w:rsidR="00960BB8" w:rsidRDefault="00C06650">
      <w:r>
        <w:pict w14:anchorId="5A1B4397">
          <v:rect id="_x0000_i1049" style="width:415.3pt;height:1.5pt" o:hralign="center" o:hrstd="t" o:hr="t" fillcolor="#a0a0a0" stroked="f"/>
        </w:pict>
      </w:r>
    </w:p>
    <w:p w14:paraId="5A1AF8DF" w14:textId="77777777" w:rsidR="00960BB8" w:rsidRDefault="00960BB8"/>
    <w:p w14:paraId="5A1AF8E0" w14:textId="77777777" w:rsidR="00960BB8" w:rsidRDefault="00C06650">
      <w:pPr>
        <w:ind w:hanging="63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Viewer_files/intc-20221231_g34.jpg"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98" wp14:editId="5A1B4399">
            <wp:extent cx="304800" cy="304800"/>
            <wp:effectExtent l="0" t="0" r="0" b="0"/>
            <wp:docPr id="39" name="图片 112"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2" descr="IMG_30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8E1" w14:textId="77777777" w:rsidR="00960BB8" w:rsidRDefault="00960BB8">
      <w:pPr>
        <w:ind w:hanging="630"/>
      </w:pPr>
    </w:p>
    <w:p w14:paraId="5A1AF8E2" w14:textId="77777777" w:rsidR="00960BB8" w:rsidRDefault="00960BB8">
      <w:pPr>
        <w:ind w:hanging="630"/>
      </w:pPr>
    </w:p>
    <w:tbl>
      <w:tblPr>
        <w:tblW w:w="10980" w:type="dxa"/>
        <w:tblCellMar>
          <w:top w:w="15" w:type="dxa"/>
          <w:left w:w="15" w:type="dxa"/>
          <w:bottom w:w="15" w:type="dxa"/>
          <w:right w:w="15" w:type="dxa"/>
        </w:tblCellMar>
        <w:tblLook w:val="04A0" w:firstRow="1" w:lastRow="0" w:firstColumn="1" w:lastColumn="0" w:noHBand="0" w:noVBand="1"/>
      </w:tblPr>
      <w:tblGrid>
        <w:gridCol w:w="64"/>
        <w:gridCol w:w="689"/>
        <w:gridCol w:w="63"/>
        <w:gridCol w:w="63"/>
        <w:gridCol w:w="8747"/>
        <w:gridCol w:w="63"/>
        <w:gridCol w:w="36"/>
        <w:gridCol w:w="1219"/>
        <w:gridCol w:w="36"/>
      </w:tblGrid>
      <w:tr w:rsidR="00960BB8" w14:paraId="5A1AF8EC" w14:textId="77777777">
        <w:tc>
          <w:tcPr>
            <w:tcW w:w="20" w:type="dxa"/>
            <w:shd w:val="clear" w:color="auto" w:fill="auto"/>
            <w:vAlign w:val="bottom"/>
          </w:tcPr>
          <w:p w14:paraId="5A1AF8E3" w14:textId="77777777" w:rsidR="00960BB8" w:rsidRDefault="00960BB8">
            <w:pPr>
              <w:rPr>
                <w:rFonts w:ascii="宋体"/>
              </w:rPr>
            </w:pPr>
          </w:p>
        </w:tc>
        <w:tc>
          <w:tcPr>
            <w:tcW w:w="545" w:type="dxa"/>
            <w:shd w:val="clear" w:color="auto" w:fill="auto"/>
            <w:vAlign w:val="bottom"/>
          </w:tcPr>
          <w:p w14:paraId="5A1AF8E4" w14:textId="77777777" w:rsidR="00960BB8" w:rsidRDefault="00960BB8">
            <w:pPr>
              <w:rPr>
                <w:rFonts w:ascii="宋体"/>
              </w:rPr>
            </w:pPr>
          </w:p>
        </w:tc>
        <w:tc>
          <w:tcPr>
            <w:tcW w:w="20" w:type="dxa"/>
            <w:shd w:val="clear" w:color="auto" w:fill="auto"/>
            <w:vAlign w:val="bottom"/>
          </w:tcPr>
          <w:p w14:paraId="5A1AF8E5" w14:textId="77777777" w:rsidR="00960BB8" w:rsidRDefault="00960BB8">
            <w:pPr>
              <w:rPr>
                <w:rFonts w:ascii="宋体"/>
              </w:rPr>
            </w:pPr>
          </w:p>
        </w:tc>
        <w:tc>
          <w:tcPr>
            <w:tcW w:w="20" w:type="dxa"/>
            <w:shd w:val="clear" w:color="auto" w:fill="auto"/>
            <w:vAlign w:val="bottom"/>
          </w:tcPr>
          <w:p w14:paraId="5A1AF8E6" w14:textId="77777777" w:rsidR="00960BB8" w:rsidRDefault="00960BB8">
            <w:pPr>
              <w:rPr>
                <w:rFonts w:ascii="宋体"/>
              </w:rPr>
            </w:pPr>
          </w:p>
        </w:tc>
        <w:tc>
          <w:tcPr>
            <w:tcW w:w="7655" w:type="dxa"/>
            <w:shd w:val="clear" w:color="auto" w:fill="auto"/>
            <w:vAlign w:val="bottom"/>
          </w:tcPr>
          <w:p w14:paraId="5A1AF8E7" w14:textId="77777777" w:rsidR="00960BB8" w:rsidRDefault="00960BB8">
            <w:pPr>
              <w:rPr>
                <w:rFonts w:ascii="宋体"/>
              </w:rPr>
            </w:pPr>
          </w:p>
        </w:tc>
        <w:tc>
          <w:tcPr>
            <w:tcW w:w="20" w:type="dxa"/>
            <w:shd w:val="clear" w:color="auto" w:fill="auto"/>
            <w:vAlign w:val="bottom"/>
          </w:tcPr>
          <w:p w14:paraId="5A1AF8E8" w14:textId="77777777" w:rsidR="00960BB8" w:rsidRDefault="00960BB8">
            <w:pPr>
              <w:rPr>
                <w:rFonts w:ascii="宋体"/>
              </w:rPr>
            </w:pPr>
          </w:p>
        </w:tc>
        <w:tc>
          <w:tcPr>
            <w:tcW w:w="20" w:type="dxa"/>
            <w:shd w:val="clear" w:color="auto" w:fill="auto"/>
            <w:vAlign w:val="bottom"/>
          </w:tcPr>
          <w:p w14:paraId="5A1AF8E9" w14:textId="77777777" w:rsidR="00960BB8" w:rsidRDefault="00960BB8">
            <w:pPr>
              <w:rPr>
                <w:rFonts w:ascii="宋体"/>
              </w:rPr>
            </w:pPr>
          </w:p>
        </w:tc>
        <w:tc>
          <w:tcPr>
            <w:tcW w:w="2660" w:type="dxa"/>
            <w:shd w:val="clear" w:color="auto" w:fill="auto"/>
            <w:vAlign w:val="bottom"/>
          </w:tcPr>
          <w:p w14:paraId="5A1AF8EA" w14:textId="77777777" w:rsidR="00960BB8" w:rsidRDefault="00960BB8">
            <w:pPr>
              <w:rPr>
                <w:rFonts w:ascii="宋体"/>
              </w:rPr>
            </w:pPr>
          </w:p>
        </w:tc>
        <w:tc>
          <w:tcPr>
            <w:tcW w:w="20" w:type="dxa"/>
            <w:shd w:val="clear" w:color="auto" w:fill="auto"/>
            <w:vAlign w:val="bottom"/>
          </w:tcPr>
          <w:p w14:paraId="5A1AF8EB" w14:textId="77777777" w:rsidR="00960BB8" w:rsidRDefault="00960BB8">
            <w:pPr>
              <w:rPr>
                <w:rFonts w:ascii="宋体"/>
              </w:rPr>
            </w:pPr>
          </w:p>
        </w:tc>
      </w:tr>
      <w:tr w:rsidR="00960BB8" w14:paraId="5A1AF8EF" w14:textId="77777777">
        <w:trPr>
          <w:trHeight w:val="280"/>
        </w:trPr>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5A1AF8ED" w14:textId="77777777" w:rsidR="00960BB8" w:rsidRDefault="00C06650">
            <w:pPr>
              <w:textAlignment w:val="bottom"/>
            </w:pPr>
            <w:r>
              <w:rPr>
                <w:rFonts w:ascii="Arial" w:eastAsia="宋体" w:hAnsi="Arial" w:cs="Arial"/>
                <w:color w:val="0068B5"/>
                <w:sz w:val="20"/>
                <w:szCs w:val="20"/>
              </w:rPr>
              <w:t>Overview</w:t>
            </w:r>
          </w:p>
        </w:tc>
        <w:tc>
          <w:tcPr>
            <w:tcW w:w="0" w:type="auto"/>
            <w:gridSpan w:val="3"/>
            <w:shd w:val="clear" w:color="auto" w:fill="auto"/>
            <w:tcMar>
              <w:top w:w="40" w:type="dxa"/>
              <w:left w:w="20" w:type="dxa"/>
              <w:bottom w:w="40" w:type="dxa"/>
              <w:right w:w="20" w:type="dxa"/>
            </w:tcMar>
            <w:vAlign w:val="center"/>
          </w:tcPr>
          <w:p w14:paraId="5A1AF8EE" w14:textId="77777777" w:rsidR="00960BB8" w:rsidRDefault="00C06650">
            <w:pPr>
              <w:jc w:val="center"/>
              <w:textAlignment w:val="center"/>
            </w:pPr>
            <w:r>
              <w:rPr>
                <w:rFonts w:ascii="Arial" w:eastAsia="宋体" w:hAnsi="Arial" w:cs="Arial"/>
                <w:color w:val="0068B5"/>
                <w:sz w:val="18"/>
                <w:szCs w:val="18"/>
              </w:rPr>
              <w:t>% Intel Revenue</w:t>
            </w:r>
          </w:p>
        </w:tc>
      </w:tr>
      <w:tr w:rsidR="00960BB8" w14:paraId="5A1AF8F2" w14:textId="77777777">
        <w:trPr>
          <w:trHeight w:val="1680"/>
        </w:trPr>
        <w:tc>
          <w:tcPr>
            <w:tcW w:w="0" w:type="auto"/>
            <w:gridSpan w:val="6"/>
            <w:tcBorders>
              <w:top w:val="single" w:sz="4" w:space="0" w:color="262626"/>
            </w:tcBorders>
            <w:shd w:val="clear" w:color="auto" w:fill="auto"/>
            <w:tcMar>
              <w:top w:w="40" w:type="dxa"/>
              <w:left w:w="20" w:type="dxa"/>
              <w:bottom w:w="40" w:type="dxa"/>
              <w:right w:w="20" w:type="dxa"/>
            </w:tcMar>
          </w:tcPr>
          <w:p w14:paraId="5A1AF8F0" w14:textId="77777777" w:rsidR="00960BB8" w:rsidRDefault="00C06650">
            <w:pPr>
              <w:textAlignment w:val="top"/>
            </w:pPr>
            <w:r>
              <w:rPr>
                <w:rFonts w:ascii="Arial" w:eastAsia="宋体" w:hAnsi="Arial" w:cs="Arial"/>
                <w:color w:val="262626"/>
                <w:sz w:val="18"/>
                <w:szCs w:val="18"/>
              </w:rPr>
              <w:t xml:space="preserve">DCAI delivers industry-leading workload-optimized solutions to </w:t>
            </w:r>
            <w:r>
              <w:rPr>
                <w:rFonts w:ascii="Arial" w:eastAsia="宋体" w:hAnsi="Arial" w:cs="Arial"/>
                <w:color w:val="262626"/>
                <w:sz w:val="18"/>
                <w:szCs w:val="18"/>
              </w:rPr>
              <w:t>cloud service providers and enterprise customers, along with silicon devices for communications service providers and high-performance computing customers. We are uniquely positioned to deliver solutions to help solve our customers’ most complex challenges</w:t>
            </w:r>
            <w:r>
              <w:rPr>
                <w:rFonts w:ascii="Arial" w:eastAsia="宋体" w:hAnsi="Arial" w:cs="Arial"/>
                <w:color w:val="262626"/>
                <w:sz w:val="18"/>
                <w:szCs w:val="18"/>
              </w:rPr>
              <w:t xml:space="preserve"> with the depth and breadth of our hardware and software portfolio combined with silicon and platforms, advanced packaging, and at-scale manufacturing made possible by being the world’s only IDM at scale. Our customers and partners include cloud hyperscale</w:t>
            </w:r>
            <w:r>
              <w:rPr>
                <w:rFonts w:ascii="Arial" w:eastAsia="宋体" w:hAnsi="Arial" w:cs="Arial"/>
                <w:color w:val="262626"/>
                <w:sz w:val="18"/>
                <w:szCs w:val="18"/>
              </w:rPr>
              <w:t>rs, MNCs, small and medium-sized businesses, independent software vendors, systems integrators, communications service providers, and governments around the world.</w:t>
            </w:r>
          </w:p>
        </w:tc>
        <w:tc>
          <w:tcPr>
            <w:tcW w:w="0" w:type="auto"/>
            <w:gridSpan w:val="3"/>
            <w:shd w:val="clear" w:color="auto" w:fill="auto"/>
            <w:tcMar>
              <w:top w:w="0" w:type="dxa"/>
              <w:left w:w="20" w:type="dxa"/>
              <w:bottom w:w="0" w:type="dxa"/>
              <w:right w:w="20" w:type="dxa"/>
            </w:tcMar>
            <w:vAlign w:val="bottom"/>
          </w:tcPr>
          <w:p w14:paraId="5A1AF8F1"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w:instrText>
            </w:r>
            <w:r>
              <w:rPr>
                <w:rFonts w:ascii="宋体" w:eastAsia="宋体" w:hAnsi="宋体" w:cs="宋体"/>
              </w:rPr>
              <w:instrText xml:space="preserve">_files/intc-20221231_g35.jpg"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9A" wp14:editId="5A1B439B">
                  <wp:extent cx="304800" cy="304800"/>
                  <wp:effectExtent l="0" t="0" r="0" b="0"/>
                  <wp:docPr id="52" name="图片 113"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3" descr="IMG_31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960BB8" w14:paraId="5A1AF8F6" w14:textId="77777777">
        <w:trPr>
          <w:trHeight w:val="60"/>
        </w:trPr>
        <w:tc>
          <w:tcPr>
            <w:tcW w:w="0" w:type="auto"/>
            <w:gridSpan w:val="3"/>
            <w:shd w:val="clear" w:color="auto" w:fill="auto"/>
            <w:tcMar>
              <w:top w:w="0" w:type="dxa"/>
              <w:left w:w="20" w:type="dxa"/>
              <w:bottom w:w="0" w:type="dxa"/>
              <w:right w:w="20" w:type="dxa"/>
            </w:tcMar>
            <w:vAlign w:val="bottom"/>
          </w:tcPr>
          <w:p w14:paraId="5A1AF8F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F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F5" w14:textId="77777777" w:rsidR="00960BB8" w:rsidRDefault="00960BB8">
            <w:pPr>
              <w:rPr>
                <w:rFonts w:ascii="宋体"/>
              </w:rPr>
            </w:pPr>
          </w:p>
        </w:tc>
      </w:tr>
      <w:tr w:rsidR="00960BB8" w14:paraId="5A1AF8F9" w14:textId="77777777">
        <w:trPr>
          <w:trHeight w:val="240"/>
        </w:trPr>
        <w:tc>
          <w:tcPr>
            <w:tcW w:w="0" w:type="auto"/>
            <w:gridSpan w:val="6"/>
            <w:shd w:val="clear" w:color="auto" w:fill="auto"/>
            <w:tcMar>
              <w:top w:w="40" w:type="dxa"/>
              <w:left w:w="20" w:type="dxa"/>
              <w:bottom w:w="40" w:type="dxa"/>
              <w:right w:w="20" w:type="dxa"/>
            </w:tcMar>
            <w:vAlign w:val="bottom"/>
          </w:tcPr>
          <w:p w14:paraId="5A1AF8F7" w14:textId="77777777" w:rsidR="00960BB8" w:rsidRDefault="00C06650">
            <w:pPr>
              <w:textAlignment w:val="bottom"/>
            </w:pPr>
            <w:r>
              <w:rPr>
                <w:rFonts w:ascii="Arial" w:eastAsia="宋体" w:hAnsi="Arial" w:cs="Arial"/>
                <w:color w:val="0068B5"/>
                <w:sz w:val="20"/>
                <w:szCs w:val="20"/>
              </w:rPr>
              <w:t>Key Developments</w:t>
            </w:r>
          </w:p>
        </w:tc>
        <w:tc>
          <w:tcPr>
            <w:tcW w:w="0" w:type="auto"/>
            <w:gridSpan w:val="3"/>
            <w:shd w:val="clear" w:color="auto" w:fill="auto"/>
            <w:tcMar>
              <w:top w:w="0" w:type="dxa"/>
              <w:left w:w="20" w:type="dxa"/>
              <w:bottom w:w="0" w:type="dxa"/>
              <w:right w:w="20" w:type="dxa"/>
            </w:tcMar>
            <w:vAlign w:val="bottom"/>
          </w:tcPr>
          <w:p w14:paraId="5A1AF8F8" w14:textId="77777777" w:rsidR="00960BB8" w:rsidRDefault="00960BB8">
            <w:pPr>
              <w:rPr>
                <w:rFonts w:ascii="宋体"/>
              </w:rPr>
            </w:pPr>
          </w:p>
        </w:tc>
      </w:tr>
      <w:tr w:rsidR="00960BB8" w14:paraId="5A1AF8FD" w14:textId="77777777">
        <w:trPr>
          <w:trHeight w:val="6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8FA"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8F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8FC" w14:textId="77777777" w:rsidR="00960BB8" w:rsidRDefault="00960BB8">
            <w:pPr>
              <w:rPr>
                <w:rFonts w:ascii="宋体"/>
              </w:rPr>
            </w:pPr>
          </w:p>
        </w:tc>
      </w:tr>
      <w:tr w:rsidR="00960BB8" w14:paraId="5A1AF900" w14:textId="77777777">
        <w:trPr>
          <w:trHeight w:val="940"/>
        </w:trPr>
        <w:tc>
          <w:tcPr>
            <w:tcW w:w="0" w:type="auto"/>
            <w:gridSpan w:val="3"/>
            <w:shd w:val="clear" w:color="auto" w:fill="auto"/>
            <w:tcMar>
              <w:top w:w="40" w:type="dxa"/>
              <w:left w:w="20" w:type="dxa"/>
              <w:bottom w:w="40" w:type="dxa"/>
              <w:right w:w="20" w:type="dxa"/>
            </w:tcMar>
          </w:tcPr>
          <w:p w14:paraId="5A1AF8FE"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8FF" w14:textId="77777777" w:rsidR="00960BB8" w:rsidRDefault="00C06650">
            <w:pPr>
              <w:textAlignment w:val="top"/>
            </w:pPr>
            <w:r>
              <w:rPr>
                <w:rFonts w:ascii="Arial" w:eastAsia="宋体" w:hAnsi="Arial" w:cs="Arial"/>
                <w:color w:val="000000"/>
                <w:sz w:val="18"/>
                <w:szCs w:val="18"/>
              </w:rPr>
              <w:t xml:space="preserve">Our revenue was $19.2 billion, down 15% in 2022, driven by challenging macroeconomic conditions and industry supply constraints, that both negatively impacted TAM, in </w:t>
            </w:r>
            <w:r>
              <w:rPr>
                <w:rFonts w:ascii="Arial" w:eastAsia="宋体" w:hAnsi="Arial" w:cs="Arial"/>
                <w:color w:val="000000"/>
                <w:sz w:val="18"/>
                <w:szCs w:val="18"/>
              </w:rPr>
              <w:t>addition to competitive pressures and product execution delays. Operating margin was $2.3 billion, down 73% year over year, primarily due to top-line headwinds paired with process node acceleration and increased investments in leadership products.</w:t>
            </w:r>
          </w:p>
        </w:tc>
      </w:tr>
      <w:tr w:rsidR="00960BB8" w14:paraId="5A1AF903" w14:textId="77777777">
        <w:trPr>
          <w:trHeight w:val="480"/>
        </w:trPr>
        <w:tc>
          <w:tcPr>
            <w:tcW w:w="0" w:type="auto"/>
            <w:gridSpan w:val="3"/>
            <w:shd w:val="clear" w:color="auto" w:fill="auto"/>
            <w:tcMar>
              <w:top w:w="40" w:type="dxa"/>
              <w:left w:w="20" w:type="dxa"/>
              <w:bottom w:w="40" w:type="dxa"/>
              <w:right w:w="20" w:type="dxa"/>
            </w:tcMar>
          </w:tcPr>
          <w:p w14:paraId="5A1AF901"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902" w14:textId="77777777" w:rsidR="00960BB8" w:rsidRDefault="00C06650">
            <w:pPr>
              <w:textAlignment w:val="top"/>
            </w:pPr>
            <w:r>
              <w:rPr>
                <w:rFonts w:ascii="Arial" w:eastAsia="宋体" w:hAnsi="Arial" w:cs="Arial"/>
                <w:color w:val="000000"/>
                <w:sz w:val="18"/>
                <w:szCs w:val="18"/>
              </w:rPr>
              <w:t xml:space="preserve">We </w:t>
            </w:r>
            <w:r>
              <w:rPr>
                <w:rFonts w:ascii="Arial" w:eastAsia="宋体" w:hAnsi="Arial" w:cs="Arial"/>
                <w:color w:val="000000"/>
                <w:sz w:val="18"/>
                <w:szCs w:val="18"/>
              </w:rPr>
              <w:t>began high-volume manufacturing of 4th Gen Intel Xeon Scalable processors and started shipping to customers, including Amazon Web Services and Google Cloud.</w:t>
            </w:r>
          </w:p>
        </w:tc>
      </w:tr>
      <w:tr w:rsidR="00960BB8" w14:paraId="5A1AF906" w14:textId="77777777">
        <w:trPr>
          <w:trHeight w:val="720"/>
        </w:trPr>
        <w:tc>
          <w:tcPr>
            <w:tcW w:w="0" w:type="auto"/>
            <w:gridSpan w:val="3"/>
            <w:shd w:val="clear" w:color="auto" w:fill="auto"/>
            <w:tcMar>
              <w:top w:w="40" w:type="dxa"/>
              <w:left w:w="20" w:type="dxa"/>
              <w:bottom w:w="40" w:type="dxa"/>
              <w:right w:w="20" w:type="dxa"/>
            </w:tcMar>
          </w:tcPr>
          <w:p w14:paraId="5A1AF904"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905" w14:textId="77777777" w:rsidR="00960BB8" w:rsidRDefault="00C06650">
            <w:pPr>
              <w:spacing w:after="180"/>
              <w:textAlignment w:val="top"/>
            </w:pPr>
            <w:r>
              <w:rPr>
                <w:rFonts w:ascii="Arial" w:eastAsia="宋体" w:hAnsi="Arial" w:cs="Arial"/>
                <w:color w:val="000000"/>
                <w:sz w:val="18"/>
                <w:szCs w:val="18"/>
              </w:rPr>
              <w:t>We launched five new Intel FPGA products, including the Intel</w:t>
            </w:r>
            <w:r>
              <w:rPr>
                <w:rFonts w:ascii="Arial" w:eastAsia="宋体" w:hAnsi="Arial" w:cs="Arial"/>
                <w:color w:val="000000"/>
                <w:sz w:val="11"/>
                <w:szCs w:val="11"/>
              </w:rPr>
              <w:t>®</w:t>
            </w:r>
            <w:r>
              <w:rPr>
                <w:rFonts w:ascii="Arial" w:eastAsia="宋体" w:hAnsi="Arial" w:cs="Arial"/>
                <w:color w:val="000000"/>
                <w:sz w:val="18"/>
                <w:szCs w:val="18"/>
              </w:rPr>
              <w:t xml:space="preserve"> Agilex™ FPGA, which extends capabilities to cost-optimized, lower-power, and small-form factor applications, including embedded and edge. We also launched Habana Gaudi2 and Habana Greco, our second-generation deep-learning processors for training and infe</w:t>
            </w:r>
            <w:r>
              <w:rPr>
                <w:rFonts w:ascii="Arial" w:eastAsia="宋体" w:hAnsi="Arial" w:cs="Arial"/>
                <w:color w:val="000000"/>
                <w:sz w:val="18"/>
                <w:szCs w:val="18"/>
              </w:rPr>
              <w:t xml:space="preserve">rence. </w:t>
            </w:r>
          </w:p>
        </w:tc>
      </w:tr>
      <w:tr w:rsidR="00960BB8" w14:paraId="5A1AF909" w14:textId="77777777">
        <w:trPr>
          <w:trHeight w:val="720"/>
        </w:trPr>
        <w:tc>
          <w:tcPr>
            <w:tcW w:w="0" w:type="auto"/>
            <w:gridSpan w:val="3"/>
            <w:shd w:val="clear" w:color="auto" w:fill="auto"/>
            <w:tcMar>
              <w:top w:w="40" w:type="dxa"/>
              <w:left w:w="20" w:type="dxa"/>
              <w:bottom w:w="40" w:type="dxa"/>
              <w:right w:w="20" w:type="dxa"/>
            </w:tcMar>
          </w:tcPr>
          <w:p w14:paraId="5A1AF907"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908" w14:textId="77777777" w:rsidR="00960BB8" w:rsidRDefault="00C06650">
            <w:pPr>
              <w:textAlignment w:val="top"/>
            </w:pPr>
            <w:r>
              <w:rPr>
                <w:rFonts w:ascii="Arial" w:eastAsia="宋体" w:hAnsi="Arial" w:cs="Arial"/>
                <w:color w:val="000000"/>
                <w:sz w:val="18"/>
                <w:szCs w:val="18"/>
              </w:rPr>
              <w:t>We introduced an innovative service-based security implementation, named Project Amber, which provides customers and partners with a secure foundation for confidential computing, secure and responsible AI, and quantum-resistant crypto in the qua</w:t>
            </w:r>
            <w:r>
              <w:rPr>
                <w:rFonts w:ascii="Arial" w:eastAsia="宋体" w:hAnsi="Arial" w:cs="Arial"/>
                <w:color w:val="000000"/>
                <w:sz w:val="18"/>
                <w:szCs w:val="18"/>
              </w:rPr>
              <w:t>ntum era.</w:t>
            </w:r>
          </w:p>
        </w:tc>
      </w:tr>
      <w:tr w:rsidR="00960BB8" w14:paraId="5A1AF90D" w14:textId="77777777">
        <w:trPr>
          <w:hidden/>
        </w:trPr>
        <w:tc>
          <w:tcPr>
            <w:tcW w:w="0" w:type="auto"/>
            <w:gridSpan w:val="3"/>
            <w:shd w:val="clear" w:color="auto" w:fill="auto"/>
            <w:vAlign w:val="bottom"/>
          </w:tcPr>
          <w:p w14:paraId="5A1AF90A" w14:textId="77777777" w:rsidR="00960BB8" w:rsidRDefault="00960BB8">
            <w:pPr>
              <w:rPr>
                <w:rFonts w:ascii="宋体"/>
                <w:vanish/>
              </w:rPr>
            </w:pPr>
          </w:p>
        </w:tc>
        <w:tc>
          <w:tcPr>
            <w:tcW w:w="0" w:type="auto"/>
            <w:gridSpan w:val="3"/>
            <w:shd w:val="clear" w:color="auto" w:fill="auto"/>
            <w:vAlign w:val="bottom"/>
          </w:tcPr>
          <w:p w14:paraId="5A1AF90B" w14:textId="77777777" w:rsidR="00960BB8" w:rsidRDefault="00960BB8">
            <w:pPr>
              <w:rPr>
                <w:rFonts w:ascii="宋体"/>
                <w:vanish/>
              </w:rPr>
            </w:pPr>
          </w:p>
        </w:tc>
        <w:tc>
          <w:tcPr>
            <w:tcW w:w="0" w:type="auto"/>
            <w:gridSpan w:val="3"/>
            <w:shd w:val="clear" w:color="auto" w:fill="auto"/>
            <w:vAlign w:val="bottom"/>
          </w:tcPr>
          <w:p w14:paraId="5A1AF90C" w14:textId="77777777" w:rsidR="00960BB8" w:rsidRDefault="00960BB8">
            <w:pPr>
              <w:rPr>
                <w:rFonts w:ascii="宋体"/>
                <w:vanish/>
              </w:rPr>
            </w:pPr>
          </w:p>
        </w:tc>
      </w:tr>
      <w:tr w:rsidR="00960BB8" w14:paraId="5A1AF911" w14:textId="77777777">
        <w:trPr>
          <w:hidden/>
        </w:trPr>
        <w:tc>
          <w:tcPr>
            <w:tcW w:w="0" w:type="auto"/>
            <w:gridSpan w:val="3"/>
            <w:shd w:val="clear" w:color="auto" w:fill="auto"/>
            <w:vAlign w:val="bottom"/>
          </w:tcPr>
          <w:p w14:paraId="5A1AF90E" w14:textId="77777777" w:rsidR="00960BB8" w:rsidRDefault="00960BB8">
            <w:pPr>
              <w:rPr>
                <w:rFonts w:ascii="宋体"/>
                <w:vanish/>
              </w:rPr>
            </w:pPr>
          </w:p>
        </w:tc>
        <w:tc>
          <w:tcPr>
            <w:tcW w:w="0" w:type="auto"/>
            <w:gridSpan w:val="3"/>
            <w:shd w:val="clear" w:color="auto" w:fill="auto"/>
            <w:vAlign w:val="bottom"/>
          </w:tcPr>
          <w:p w14:paraId="5A1AF90F" w14:textId="77777777" w:rsidR="00960BB8" w:rsidRDefault="00960BB8">
            <w:pPr>
              <w:rPr>
                <w:rFonts w:ascii="宋体"/>
                <w:vanish/>
              </w:rPr>
            </w:pPr>
          </w:p>
        </w:tc>
        <w:tc>
          <w:tcPr>
            <w:tcW w:w="0" w:type="auto"/>
            <w:gridSpan w:val="3"/>
            <w:shd w:val="clear" w:color="auto" w:fill="auto"/>
            <w:vAlign w:val="bottom"/>
          </w:tcPr>
          <w:p w14:paraId="5A1AF910" w14:textId="77777777" w:rsidR="00960BB8" w:rsidRDefault="00960BB8">
            <w:pPr>
              <w:rPr>
                <w:rFonts w:ascii="宋体"/>
                <w:vanish/>
              </w:rPr>
            </w:pPr>
          </w:p>
        </w:tc>
      </w:tr>
    </w:tbl>
    <w:p w14:paraId="5A1AF912" w14:textId="77777777" w:rsidR="00960BB8" w:rsidRDefault="00960BB8">
      <w:pPr>
        <w:spacing w:after="80"/>
      </w:pPr>
    </w:p>
    <w:p w14:paraId="5A1AF913" w14:textId="77777777" w:rsidR="00960BB8" w:rsidRDefault="00960BB8"/>
    <w:p w14:paraId="5A1AF914"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91E" w14:textId="77777777">
        <w:tc>
          <w:tcPr>
            <w:tcW w:w="50" w:type="pct"/>
            <w:shd w:val="clear" w:color="auto" w:fill="auto"/>
            <w:vAlign w:val="bottom"/>
          </w:tcPr>
          <w:p w14:paraId="5A1AF915" w14:textId="77777777" w:rsidR="00960BB8" w:rsidRDefault="00960BB8">
            <w:pPr>
              <w:rPr>
                <w:rFonts w:ascii="宋体"/>
              </w:rPr>
            </w:pPr>
          </w:p>
        </w:tc>
        <w:tc>
          <w:tcPr>
            <w:tcW w:w="283" w:type="pct"/>
            <w:shd w:val="clear" w:color="auto" w:fill="auto"/>
            <w:vAlign w:val="bottom"/>
          </w:tcPr>
          <w:p w14:paraId="5A1AF916" w14:textId="77777777" w:rsidR="00960BB8" w:rsidRDefault="00960BB8">
            <w:pPr>
              <w:rPr>
                <w:rFonts w:ascii="宋体"/>
              </w:rPr>
            </w:pPr>
          </w:p>
        </w:tc>
        <w:tc>
          <w:tcPr>
            <w:tcW w:w="5" w:type="pct"/>
            <w:shd w:val="clear" w:color="auto" w:fill="auto"/>
            <w:vAlign w:val="bottom"/>
          </w:tcPr>
          <w:p w14:paraId="5A1AF917" w14:textId="77777777" w:rsidR="00960BB8" w:rsidRDefault="00960BB8">
            <w:pPr>
              <w:rPr>
                <w:rFonts w:ascii="宋体"/>
              </w:rPr>
            </w:pPr>
          </w:p>
        </w:tc>
        <w:tc>
          <w:tcPr>
            <w:tcW w:w="50" w:type="pct"/>
            <w:shd w:val="clear" w:color="auto" w:fill="auto"/>
            <w:vAlign w:val="bottom"/>
          </w:tcPr>
          <w:p w14:paraId="5A1AF918" w14:textId="77777777" w:rsidR="00960BB8" w:rsidRDefault="00960BB8">
            <w:pPr>
              <w:rPr>
                <w:rFonts w:ascii="宋体"/>
              </w:rPr>
            </w:pPr>
          </w:p>
        </w:tc>
        <w:tc>
          <w:tcPr>
            <w:tcW w:w="2656" w:type="pct"/>
            <w:shd w:val="clear" w:color="auto" w:fill="auto"/>
            <w:vAlign w:val="bottom"/>
          </w:tcPr>
          <w:p w14:paraId="5A1AF919" w14:textId="77777777" w:rsidR="00960BB8" w:rsidRDefault="00960BB8">
            <w:pPr>
              <w:rPr>
                <w:rFonts w:ascii="宋体"/>
              </w:rPr>
            </w:pPr>
          </w:p>
        </w:tc>
        <w:tc>
          <w:tcPr>
            <w:tcW w:w="5" w:type="pct"/>
            <w:shd w:val="clear" w:color="auto" w:fill="auto"/>
            <w:vAlign w:val="bottom"/>
          </w:tcPr>
          <w:p w14:paraId="5A1AF91A" w14:textId="77777777" w:rsidR="00960BB8" w:rsidRDefault="00960BB8">
            <w:pPr>
              <w:rPr>
                <w:rFonts w:ascii="宋体"/>
              </w:rPr>
            </w:pPr>
          </w:p>
        </w:tc>
        <w:tc>
          <w:tcPr>
            <w:tcW w:w="50" w:type="pct"/>
            <w:shd w:val="clear" w:color="auto" w:fill="auto"/>
            <w:vAlign w:val="bottom"/>
          </w:tcPr>
          <w:p w14:paraId="5A1AF91B" w14:textId="77777777" w:rsidR="00960BB8" w:rsidRDefault="00960BB8">
            <w:pPr>
              <w:rPr>
                <w:rFonts w:ascii="宋体"/>
              </w:rPr>
            </w:pPr>
          </w:p>
        </w:tc>
        <w:tc>
          <w:tcPr>
            <w:tcW w:w="1894" w:type="pct"/>
            <w:shd w:val="clear" w:color="auto" w:fill="auto"/>
            <w:vAlign w:val="bottom"/>
          </w:tcPr>
          <w:p w14:paraId="5A1AF91C" w14:textId="77777777" w:rsidR="00960BB8" w:rsidRDefault="00960BB8">
            <w:pPr>
              <w:rPr>
                <w:rFonts w:ascii="宋体"/>
              </w:rPr>
            </w:pPr>
          </w:p>
        </w:tc>
        <w:tc>
          <w:tcPr>
            <w:tcW w:w="5" w:type="pct"/>
            <w:shd w:val="clear" w:color="auto" w:fill="auto"/>
            <w:vAlign w:val="bottom"/>
          </w:tcPr>
          <w:p w14:paraId="5A1AF91D" w14:textId="77777777" w:rsidR="00960BB8" w:rsidRDefault="00960BB8">
            <w:pPr>
              <w:rPr>
                <w:rFonts w:ascii="宋体"/>
              </w:rPr>
            </w:pPr>
          </w:p>
        </w:tc>
      </w:tr>
      <w:tr w:rsidR="00960BB8" w14:paraId="5A1AF92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91F"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9C" wp14:editId="5A1B439D">
                  <wp:extent cx="304800" cy="304800"/>
                  <wp:effectExtent l="0" t="0" r="0" b="0"/>
                  <wp:docPr id="73" name="图片 11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920"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921" w14:textId="77777777" w:rsidR="00960BB8" w:rsidRDefault="00C06650">
            <w:pPr>
              <w:jc w:val="right"/>
              <w:textAlignment w:val="center"/>
            </w:pPr>
            <w:r>
              <w:rPr>
                <w:rFonts w:ascii="Arial" w:eastAsia="宋体" w:hAnsi="Arial" w:cs="Arial"/>
                <w:color w:val="262626"/>
                <w:sz w:val="16"/>
                <w:szCs w:val="16"/>
              </w:rPr>
              <w:t>24</w:t>
            </w:r>
          </w:p>
        </w:tc>
      </w:tr>
    </w:tbl>
    <w:p w14:paraId="5A1AF923" w14:textId="77777777" w:rsidR="00960BB8" w:rsidRDefault="00C06650">
      <w:r>
        <w:pict w14:anchorId="5A1B439E">
          <v:rect id="_x0000_i1050" style="width:415.3pt;height:1.5pt" o:hralign="center" o:hrstd="t" o:hr="t" fillcolor="#a0a0a0" stroked="f"/>
        </w:pict>
      </w:r>
    </w:p>
    <w:p w14:paraId="5A1AF924" w14:textId="77777777" w:rsidR="00960BB8" w:rsidRDefault="00C06650">
      <w:pPr>
        <w:jc w:val="right"/>
      </w:pPr>
      <w:hyperlink r:id="rId51" w:anchor="i8aaa7b4dbd2e419ca0f5c30af85a11aa_16" w:history="1">
        <w:r>
          <w:rPr>
            <w:rStyle w:val="a5"/>
            <w:rFonts w:ascii="Arial" w:eastAsia="宋体" w:hAnsi="Arial" w:cs="Arial"/>
            <w:b/>
            <w:bCs/>
            <w:sz w:val="16"/>
            <w:szCs w:val="16"/>
          </w:rPr>
          <w:t>Table of Contents</w:t>
        </w:r>
      </w:hyperlink>
    </w:p>
    <w:p w14:paraId="5A1AF925" w14:textId="77777777" w:rsidR="00960BB8" w:rsidRDefault="00C06650">
      <w:pPr>
        <w:spacing w:after="180"/>
      </w:pPr>
      <w:r>
        <w:rPr>
          <w:rFonts w:ascii="Arial" w:eastAsia="宋体" w:hAnsi="Arial" w:cs="Arial"/>
          <w:color w:val="0068B5"/>
        </w:rPr>
        <w:t>Market and Business Overview</w:t>
      </w:r>
    </w:p>
    <w:p w14:paraId="5A1AF926" w14:textId="77777777" w:rsidR="00960BB8" w:rsidRDefault="00C06650">
      <w:pPr>
        <w:spacing w:after="120"/>
      </w:pPr>
      <w:r>
        <w:rPr>
          <w:rFonts w:ascii="Arial" w:eastAsia="宋体" w:hAnsi="Arial" w:cs="Arial"/>
          <w:color w:val="0068B5"/>
          <w:sz w:val="20"/>
          <w:szCs w:val="20"/>
        </w:rPr>
        <w:t>Market Trends and Strategy</w:t>
      </w:r>
    </w:p>
    <w:p w14:paraId="5A1AF927" w14:textId="77777777" w:rsidR="00960BB8" w:rsidRDefault="00C06650">
      <w:pPr>
        <w:spacing w:after="180"/>
      </w:pPr>
      <w:r>
        <w:rPr>
          <w:rFonts w:ascii="Arial" w:eastAsia="宋体" w:hAnsi="Arial" w:cs="Arial"/>
          <w:color w:val="262626"/>
          <w:sz w:val="18"/>
          <w:szCs w:val="18"/>
        </w:rPr>
        <w:t xml:space="preserve">Data is a </w:t>
      </w:r>
      <w:r>
        <w:rPr>
          <w:rFonts w:ascii="Arial" w:eastAsia="宋体" w:hAnsi="Arial" w:cs="Arial"/>
          <w:color w:val="262626"/>
          <w:sz w:val="18"/>
          <w:szCs w:val="18"/>
        </w:rPr>
        <w:t>significant force in society and is generated daily at an unprecedented pace. The desire to harness insights from data to drive better outcomes for businesses and society is ever-expanding. AI is nearly pervasive in all applications, creating the potential</w:t>
      </w:r>
      <w:r>
        <w:rPr>
          <w:rFonts w:ascii="Arial" w:eastAsia="宋体" w:hAnsi="Arial" w:cs="Arial"/>
          <w:color w:val="262626"/>
          <w:sz w:val="18"/>
          <w:szCs w:val="18"/>
        </w:rPr>
        <w:t xml:space="preserve"> for intelligence everywhere, and enabling powerful new uses of compute resources across all market segments. The installed base of Intel Xeon processors combined with our rich portfolio of heterogeneous compute solutions (FPGAs, GPUs, IPUs, and AI acceler</w:t>
      </w:r>
      <w:r>
        <w:rPr>
          <w:rFonts w:ascii="Arial" w:eastAsia="宋体" w:hAnsi="Arial" w:cs="Arial"/>
          <w:color w:val="262626"/>
          <w:sz w:val="18"/>
          <w:szCs w:val="18"/>
        </w:rPr>
        <w:t>ators) position us to lead in this high-growth area. DCAI is integral to our growth in AI through deep investments in the AI ecosystem, developer tools, frameworks, technologies, and open standards to drive a scalable path forward.</w:t>
      </w:r>
    </w:p>
    <w:p w14:paraId="5A1AF928" w14:textId="77777777" w:rsidR="00960BB8" w:rsidRDefault="00C06650">
      <w:r>
        <w:rPr>
          <w:rFonts w:ascii="Arial" w:eastAsia="宋体" w:hAnsi="Arial" w:cs="Arial"/>
          <w:color w:val="262626"/>
          <w:sz w:val="18"/>
          <w:szCs w:val="18"/>
        </w:rPr>
        <w:t>We take a system-level a</w:t>
      </w:r>
      <w:r>
        <w:rPr>
          <w:rFonts w:ascii="Arial" w:eastAsia="宋体" w:hAnsi="Arial" w:cs="Arial"/>
          <w:color w:val="262626"/>
          <w:sz w:val="18"/>
          <w:szCs w:val="18"/>
        </w:rPr>
        <w:t xml:space="preserve">pproach that supplies the necessary hardware and software that are optimized for power and performance. </w:t>
      </w:r>
    </w:p>
    <w:p w14:paraId="5A1AF929" w14:textId="77777777" w:rsidR="00960BB8" w:rsidRDefault="00C06650">
      <w:pPr>
        <w:spacing w:after="180"/>
      </w:pPr>
      <w:r>
        <w:rPr>
          <w:rFonts w:ascii="Arial" w:eastAsia="宋体" w:hAnsi="Arial" w:cs="Arial"/>
          <w:color w:val="262626"/>
          <w:sz w:val="18"/>
          <w:szCs w:val="18"/>
        </w:rPr>
        <w:t>Our technology is differentiated at the system level and in high-growth workloads based on our integrated hardware acceleration engines and software. F</w:t>
      </w:r>
      <w:r>
        <w:rPr>
          <w:rFonts w:ascii="Arial" w:eastAsia="宋体" w:hAnsi="Arial" w:cs="Arial"/>
          <w:color w:val="262626"/>
          <w:sz w:val="18"/>
          <w:szCs w:val="18"/>
        </w:rPr>
        <w:t>or example, architected into our Intel Xeon processors are Intel</w:t>
      </w:r>
      <w:r>
        <w:rPr>
          <w:rFonts w:ascii="Arial" w:eastAsia="宋体" w:hAnsi="Arial" w:cs="Arial"/>
          <w:color w:val="262626"/>
          <w:sz w:val="11"/>
          <w:szCs w:val="11"/>
        </w:rPr>
        <w:t>®</w:t>
      </w:r>
      <w:r>
        <w:rPr>
          <w:rFonts w:ascii="Arial" w:eastAsia="宋体" w:hAnsi="Arial" w:cs="Arial"/>
          <w:color w:val="262626"/>
          <w:sz w:val="18"/>
          <w:szCs w:val="18"/>
        </w:rPr>
        <w:t xml:space="preserve"> Advanced Matrix Extensions (Intel</w:t>
      </w:r>
      <w:r>
        <w:rPr>
          <w:rFonts w:ascii="Arial" w:eastAsia="宋体" w:hAnsi="Arial" w:cs="Arial"/>
          <w:color w:val="262626"/>
          <w:sz w:val="11"/>
          <w:szCs w:val="11"/>
        </w:rPr>
        <w:t>®</w:t>
      </w:r>
      <w:r>
        <w:rPr>
          <w:rFonts w:ascii="Arial" w:eastAsia="宋体" w:hAnsi="Arial" w:cs="Arial"/>
          <w:color w:val="262626"/>
          <w:sz w:val="18"/>
          <w:szCs w:val="18"/>
        </w:rPr>
        <w:t xml:space="preserve"> AMX) for AI acceleration; Intel</w:t>
      </w:r>
      <w:r>
        <w:rPr>
          <w:rFonts w:ascii="Arial" w:eastAsia="宋体" w:hAnsi="Arial" w:cs="Arial"/>
          <w:color w:val="262626"/>
          <w:sz w:val="11"/>
          <w:szCs w:val="11"/>
        </w:rPr>
        <w:t>®</w:t>
      </w:r>
      <w:r>
        <w:rPr>
          <w:rFonts w:ascii="Arial" w:eastAsia="宋体" w:hAnsi="Arial" w:cs="Arial"/>
          <w:color w:val="262626"/>
          <w:sz w:val="18"/>
          <w:szCs w:val="18"/>
        </w:rPr>
        <w:t xml:space="preserve"> Software Guard Extensions (Intel</w:t>
      </w:r>
      <w:r>
        <w:rPr>
          <w:rFonts w:ascii="Arial" w:eastAsia="宋体" w:hAnsi="Arial" w:cs="Arial"/>
          <w:color w:val="262626"/>
          <w:sz w:val="11"/>
          <w:szCs w:val="11"/>
        </w:rPr>
        <w:t>®</w:t>
      </w:r>
      <w:r>
        <w:rPr>
          <w:rFonts w:ascii="Arial" w:eastAsia="宋体" w:hAnsi="Arial" w:cs="Arial"/>
          <w:color w:val="262626"/>
          <w:sz w:val="18"/>
          <w:szCs w:val="18"/>
        </w:rPr>
        <w:t xml:space="preserve"> SGX), providing enclaves of protected memory to deliver enhanced security for sensitive </w:t>
      </w:r>
      <w:r>
        <w:rPr>
          <w:rFonts w:ascii="Arial" w:eastAsia="宋体" w:hAnsi="Arial" w:cs="Arial"/>
          <w:color w:val="262626"/>
          <w:sz w:val="18"/>
          <w:szCs w:val="18"/>
        </w:rPr>
        <w:t>data; and Intel</w:t>
      </w:r>
      <w:r>
        <w:rPr>
          <w:rFonts w:ascii="Arial" w:eastAsia="宋体" w:hAnsi="Arial" w:cs="Arial"/>
          <w:color w:val="262626"/>
          <w:sz w:val="11"/>
          <w:szCs w:val="11"/>
        </w:rPr>
        <w:t>®</w:t>
      </w:r>
      <w:r>
        <w:rPr>
          <w:rFonts w:ascii="Arial" w:eastAsia="宋体" w:hAnsi="Arial" w:cs="Arial"/>
          <w:color w:val="262626"/>
          <w:sz w:val="18"/>
          <w:szCs w:val="18"/>
        </w:rPr>
        <w:t xml:space="preserve"> Crypto Acceleration that delivers breakthrough performance across a host of important cryptographic algorithms. This is the type of acceleration and differentiated performance that we believe will continue to drive our value and growth acr</w:t>
      </w:r>
      <w:r>
        <w:rPr>
          <w:rFonts w:ascii="Arial" w:eastAsia="宋体" w:hAnsi="Arial" w:cs="Arial"/>
          <w:color w:val="262626"/>
          <w:sz w:val="18"/>
          <w:szCs w:val="18"/>
        </w:rPr>
        <w:t>oss our customer base.</w:t>
      </w:r>
    </w:p>
    <w:p w14:paraId="5A1AF92A" w14:textId="77777777" w:rsidR="00960BB8" w:rsidRDefault="00C06650">
      <w:pPr>
        <w:spacing w:after="120"/>
      </w:pPr>
      <w:r>
        <w:rPr>
          <w:rFonts w:ascii="Arial" w:eastAsia="宋体" w:hAnsi="Arial" w:cs="Arial"/>
          <w:color w:val="0068B5"/>
          <w:sz w:val="20"/>
          <w:szCs w:val="20"/>
        </w:rPr>
        <w:t>Products and Competition</w:t>
      </w:r>
    </w:p>
    <w:p w14:paraId="5A1AF92B" w14:textId="77777777" w:rsidR="00960BB8" w:rsidRDefault="00C06650">
      <w:pPr>
        <w:spacing w:after="180"/>
      </w:pPr>
      <w:r>
        <w:rPr>
          <w:rFonts w:ascii="Arial" w:eastAsia="宋体" w:hAnsi="Arial" w:cs="Arial"/>
          <w:color w:val="262626"/>
          <w:sz w:val="18"/>
          <w:szCs w:val="18"/>
        </w:rPr>
        <w:t>Our products and services include:</w:t>
      </w:r>
    </w:p>
    <w:tbl>
      <w:tblPr>
        <w:tblW w:w="4993" w:type="pct"/>
        <w:tblCellMar>
          <w:top w:w="15" w:type="dxa"/>
          <w:left w:w="15" w:type="dxa"/>
          <w:bottom w:w="15" w:type="dxa"/>
          <w:right w:w="15" w:type="dxa"/>
        </w:tblCellMar>
        <w:tblLook w:val="04A0" w:firstRow="1" w:lastRow="0" w:firstColumn="1" w:lastColumn="0" w:noHBand="0" w:noVBand="1"/>
      </w:tblPr>
      <w:tblGrid>
        <w:gridCol w:w="37"/>
        <w:gridCol w:w="100"/>
        <w:gridCol w:w="36"/>
        <w:gridCol w:w="46"/>
        <w:gridCol w:w="8068"/>
        <w:gridCol w:w="37"/>
      </w:tblGrid>
      <w:tr w:rsidR="00960BB8" w14:paraId="5A1AF932" w14:textId="77777777">
        <w:tc>
          <w:tcPr>
            <w:tcW w:w="5" w:type="pct"/>
            <w:shd w:val="clear" w:color="auto" w:fill="auto"/>
            <w:vAlign w:val="bottom"/>
          </w:tcPr>
          <w:p w14:paraId="5A1AF92C" w14:textId="77777777" w:rsidR="00960BB8" w:rsidRDefault="00960BB8">
            <w:pPr>
              <w:rPr>
                <w:rFonts w:ascii="宋体"/>
              </w:rPr>
            </w:pPr>
          </w:p>
        </w:tc>
        <w:tc>
          <w:tcPr>
            <w:tcW w:w="72" w:type="pct"/>
            <w:shd w:val="clear" w:color="auto" w:fill="auto"/>
            <w:vAlign w:val="bottom"/>
          </w:tcPr>
          <w:p w14:paraId="5A1AF92D" w14:textId="77777777" w:rsidR="00960BB8" w:rsidRDefault="00960BB8">
            <w:pPr>
              <w:rPr>
                <w:rFonts w:ascii="宋体"/>
              </w:rPr>
            </w:pPr>
          </w:p>
        </w:tc>
        <w:tc>
          <w:tcPr>
            <w:tcW w:w="5" w:type="pct"/>
            <w:shd w:val="clear" w:color="auto" w:fill="auto"/>
            <w:vAlign w:val="bottom"/>
          </w:tcPr>
          <w:p w14:paraId="5A1AF92E" w14:textId="77777777" w:rsidR="00960BB8" w:rsidRDefault="00960BB8">
            <w:pPr>
              <w:rPr>
                <w:rFonts w:ascii="宋体"/>
              </w:rPr>
            </w:pPr>
          </w:p>
        </w:tc>
        <w:tc>
          <w:tcPr>
            <w:tcW w:w="50" w:type="pct"/>
            <w:shd w:val="clear" w:color="auto" w:fill="auto"/>
            <w:vAlign w:val="bottom"/>
          </w:tcPr>
          <w:p w14:paraId="5A1AF92F" w14:textId="77777777" w:rsidR="00960BB8" w:rsidRDefault="00960BB8">
            <w:pPr>
              <w:rPr>
                <w:rFonts w:ascii="宋体"/>
              </w:rPr>
            </w:pPr>
          </w:p>
        </w:tc>
        <w:tc>
          <w:tcPr>
            <w:tcW w:w="4862" w:type="pct"/>
            <w:shd w:val="clear" w:color="auto" w:fill="auto"/>
            <w:vAlign w:val="bottom"/>
          </w:tcPr>
          <w:p w14:paraId="5A1AF930" w14:textId="77777777" w:rsidR="00960BB8" w:rsidRDefault="00960BB8">
            <w:pPr>
              <w:rPr>
                <w:rFonts w:ascii="宋体"/>
              </w:rPr>
            </w:pPr>
          </w:p>
        </w:tc>
        <w:tc>
          <w:tcPr>
            <w:tcW w:w="5" w:type="pct"/>
            <w:shd w:val="clear" w:color="auto" w:fill="auto"/>
            <w:vAlign w:val="bottom"/>
          </w:tcPr>
          <w:p w14:paraId="5A1AF931" w14:textId="77777777" w:rsidR="00960BB8" w:rsidRDefault="00960BB8">
            <w:pPr>
              <w:rPr>
                <w:rFonts w:ascii="宋体"/>
              </w:rPr>
            </w:pPr>
          </w:p>
        </w:tc>
      </w:tr>
      <w:tr w:rsidR="00960BB8" w14:paraId="5A1AF935" w14:textId="77777777">
        <w:tc>
          <w:tcPr>
            <w:tcW w:w="0" w:type="auto"/>
            <w:gridSpan w:val="3"/>
            <w:shd w:val="clear" w:color="auto" w:fill="auto"/>
            <w:tcMar>
              <w:top w:w="40" w:type="dxa"/>
              <w:left w:w="20" w:type="dxa"/>
              <w:bottom w:w="40" w:type="dxa"/>
              <w:right w:w="20" w:type="dxa"/>
            </w:tcMar>
          </w:tcPr>
          <w:p w14:paraId="5A1AF933" w14:textId="77777777" w:rsidR="00960BB8" w:rsidRDefault="00C06650">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vAlign w:val="bottom"/>
          </w:tcPr>
          <w:p w14:paraId="5A1AF934" w14:textId="77777777" w:rsidR="00960BB8" w:rsidRDefault="00C06650">
            <w:pPr>
              <w:spacing w:after="180"/>
              <w:textAlignment w:val="bottom"/>
            </w:pPr>
            <w:r>
              <w:rPr>
                <w:rFonts w:ascii="Arial" w:eastAsia="宋体" w:hAnsi="Arial" w:cs="Arial"/>
                <w:color w:val="262626"/>
                <w:sz w:val="18"/>
                <w:szCs w:val="18"/>
              </w:rPr>
              <w:t>A portfolio of hardware, including Intel Xeon processors, Intel Agilex and Intel</w:t>
            </w:r>
            <w:r>
              <w:rPr>
                <w:rFonts w:ascii="Arial" w:eastAsia="宋体" w:hAnsi="Arial" w:cs="Arial"/>
                <w:color w:val="262626"/>
                <w:sz w:val="11"/>
                <w:szCs w:val="11"/>
              </w:rPr>
              <w:t>®</w:t>
            </w:r>
            <w:r>
              <w:rPr>
                <w:rFonts w:ascii="Arial" w:eastAsia="宋体" w:hAnsi="Arial" w:cs="Arial"/>
                <w:color w:val="262626"/>
                <w:sz w:val="18"/>
                <w:szCs w:val="18"/>
              </w:rPr>
              <w:t xml:space="preserve"> Stratix</w:t>
            </w:r>
            <w:r>
              <w:rPr>
                <w:rFonts w:ascii="Arial" w:eastAsia="宋体" w:hAnsi="Arial" w:cs="Arial"/>
                <w:color w:val="262626"/>
                <w:sz w:val="11"/>
                <w:szCs w:val="11"/>
              </w:rPr>
              <w:t>®</w:t>
            </w:r>
            <w:r>
              <w:rPr>
                <w:rFonts w:ascii="Arial" w:eastAsia="宋体" w:hAnsi="Arial" w:cs="Arial"/>
                <w:color w:val="262626"/>
                <w:sz w:val="18"/>
                <w:szCs w:val="18"/>
              </w:rPr>
              <w:t xml:space="preserve"> FPGAs, Intel</w:t>
            </w:r>
            <w:r>
              <w:rPr>
                <w:rFonts w:ascii="Arial" w:eastAsia="宋体" w:hAnsi="Arial" w:cs="Arial"/>
                <w:color w:val="262626"/>
                <w:sz w:val="11"/>
                <w:szCs w:val="11"/>
              </w:rPr>
              <w:t>®</w:t>
            </w:r>
            <w:r>
              <w:rPr>
                <w:rFonts w:ascii="Arial" w:eastAsia="宋体" w:hAnsi="Arial" w:cs="Arial"/>
                <w:color w:val="262626"/>
                <w:sz w:val="18"/>
                <w:szCs w:val="18"/>
              </w:rPr>
              <w:t xml:space="preserve"> eASIC™ devices, Habana Gaudi and Habana Greco AI accelerators.</w:t>
            </w:r>
          </w:p>
        </w:tc>
      </w:tr>
      <w:tr w:rsidR="00960BB8" w14:paraId="5A1AF938" w14:textId="77777777">
        <w:tc>
          <w:tcPr>
            <w:tcW w:w="0" w:type="auto"/>
            <w:gridSpan w:val="3"/>
            <w:shd w:val="clear" w:color="auto" w:fill="auto"/>
            <w:tcMar>
              <w:top w:w="40" w:type="dxa"/>
              <w:left w:w="20" w:type="dxa"/>
              <w:bottom w:w="40" w:type="dxa"/>
              <w:right w:w="20" w:type="dxa"/>
            </w:tcMar>
          </w:tcPr>
          <w:p w14:paraId="5A1AF936" w14:textId="77777777" w:rsidR="00960BB8" w:rsidRDefault="00C06650">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vAlign w:val="bottom"/>
          </w:tcPr>
          <w:p w14:paraId="5A1AF937" w14:textId="77777777" w:rsidR="00960BB8" w:rsidRDefault="00C06650">
            <w:pPr>
              <w:textAlignment w:val="bottom"/>
            </w:pPr>
            <w:r>
              <w:rPr>
                <w:rFonts w:ascii="Arial" w:eastAsia="宋体" w:hAnsi="Arial" w:cs="Arial"/>
                <w:color w:val="262626"/>
                <w:sz w:val="18"/>
                <w:szCs w:val="18"/>
              </w:rPr>
              <w:t>Platform enabling and validation in partnership with ODMs, OEMs, and independent software vendors.</w:t>
            </w:r>
          </w:p>
        </w:tc>
      </w:tr>
      <w:tr w:rsidR="00960BB8" w14:paraId="5A1AF93B" w14:textId="77777777">
        <w:tc>
          <w:tcPr>
            <w:tcW w:w="0" w:type="auto"/>
            <w:gridSpan w:val="3"/>
            <w:shd w:val="clear" w:color="auto" w:fill="auto"/>
            <w:tcMar>
              <w:top w:w="40" w:type="dxa"/>
              <w:left w:w="20" w:type="dxa"/>
              <w:bottom w:w="40" w:type="dxa"/>
              <w:right w:w="20" w:type="dxa"/>
            </w:tcMar>
          </w:tcPr>
          <w:p w14:paraId="5A1AF939" w14:textId="77777777" w:rsidR="00960BB8" w:rsidRDefault="00C06650">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vAlign w:val="bottom"/>
          </w:tcPr>
          <w:p w14:paraId="5A1AF93A" w14:textId="77777777" w:rsidR="00960BB8" w:rsidRDefault="00C06650">
            <w:pPr>
              <w:textAlignment w:val="bottom"/>
            </w:pPr>
            <w:r>
              <w:rPr>
                <w:rFonts w:ascii="Arial" w:eastAsia="宋体" w:hAnsi="Arial" w:cs="Arial"/>
                <w:color w:val="262626"/>
                <w:sz w:val="18"/>
                <w:szCs w:val="18"/>
              </w:rPr>
              <w:t xml:space="preserve">Optimized solutions for leading workloads such as AI, cryptography, security, and </w:t>
            </w:r>
            <w:r>
              <w:rPr>
                <w:rFonts w:ascii="Arial" w:eastAsia="宋体" w:hAnsi="Arial" w:cs="Arial"/>
                <w:color w:val="262626"/>
                <w:sz w:val="18"/>
                <w:szCs w:val="18"/>
              </w:rPr>
              <w:t>networking, leveraging differentiated features supporting diverse compute environments.</w:t>
            </w:r>
          </w:p>
        </w:tc>
      </w:tr>
    </w:tbl>
    <w:p w14:paraId="5A1AF93C" w14:textId="77777777" w:rsidR="00960BB8" w:rsidRDefault="00C06650">
      <w:pPr>
        <w:spacing w:after="180"/>
      </w:pPr>
      <w:r>
        <w:rPr>
          <w:rFonts w:ascii="Arial" w:eastAsia="宋体" w:hAnsi="Arial" w:cs="Arial"/>
          <w:color w:val="262626"/>
          <w:sz w:val="18"/>
          <w:szCs w:val="18"/>
        </w:rPr>
        <w:t>We offer customers a broad portfolio of silicon and software designed to provide workload-optimized performance. Our hardware portfolio comprises CPUs, domain-specific</w:t>
      </w:r>
      <w:r>
        <w:rPr>
          <w:rFonts w:ascii="Arial" w:eastAsia="宋体" w:hAnsi="Arial" w:cs="Arial"/>
          <w:color w:val="262626"/>
          <w:sz w:val="18"/>
          <w:szCs w:val="18"/>
        </w:rPr>
        <w:t xml:space="preserve"> accelerators, and FPGAs. Each of these is designed to support the performance, agility, and security that our customers demand. This hardware portfolio strategy and investment in complementary software enable users to execute their workloads with low late</w:t>
      </w:r>
      <w:r>
        <w:rPr>
          <w:rFonts w:ascii="Arial" w:eastAsia="宋体" w:hAnsi="Arial" w:cs="Arial"/>
          <w:color w:val="262626"/>
          <w:sz w:val="18"/>
          <w:szCs w:val="18"/>
        </w:rPr>
        <w:t>ncy and on the most appropriate hardware for their needs.</w:t>
      </w:r>
    </w:p>
    <w:p w14:paraId="5A1AF93D" w14:textId="77777777" w:rsidR="00960BB8" w:rsidRDefault="00C06650">
      <w:pPr>
        <w:spacing w:after="180"/>
      </w:pPr>
      <w:r>
        <w:rPr>
          <w:rFonts w:ascii="Arial" w:eastAsia="宋体" w:hAnsi="Arial" w:cs="Arial"/>
          <w:color w:val="262626"/>
          <w:sz w:val="18"/>
          <w:szCs w:val="18"/>
        </w:rPr>
        <w:t>Our competitors include AMD, providers of GPU products such as NVIDIA, companies developing their own custom silicon, and new entrants developing ARM- and RISC-V-based products customized for specif</w:t>
      </w:r>
      <w:r>
        <w:rPr>
          <w:rFonts w:ascii="Arial" w:eastAsia="宋体" w:hAnsi="Arial" w:cs="Arial"/>
          <w:color w:val="262626"/>
          <w:sz w:val="18"/>
          <w:szCs w:val="18"/>
        </w:rPr>
        <w:t>ic data center workloads. We expect this competitive landscape to continue.</w:t>
      </w:r>
    </w:p>
    <w:p w14:paraId="5A1AF93E" w14:textId="77777777" w:rsidR="00960BB8" w:rsidRDefault="00C06650">
      <w:pPr>
        <w:spacing w:after="180"/>
      </w:pPr>
      <w:r>
        <w:rPr>
          <w:rFonts w:ascii="Arial" w:eastAsia="宋体" w:hAnsi="Arial" w:cs="Arial"/>
          <w:color w:val="262626"/>
          <w:sz w:val="18"/>
          <w:szCs w:val="18"/>
        </w:rPr>
        <w:t>The Intel Xeon Scalable processor family delivers advanced CPUs for the data center, the network, and edge, driving industry-leading performance, manageability, and security with d</w:t>
      </w:r>
      <w:r>
        <w:rPr>
          <w:rFonts w:ascii="Arial" w:eastAsia="宋体" w:hAnsi="Arial" w:cs="Arial"/>
          <w:color w:val="262626"/>
          <w:sz w:val="18"/>
          <w:szCs w:val="18"/>
        </w:rPr>
        <w:t>ifferentiated features and capabilities. All major hyperscale customers have deployed services using 3rd Gen Intel Xeon processors. The 4th Gen Intel Xeon Scalable processors will ramp up throughout 2023. Our 4th generation introduces new accelerators to p</w:t>
      </w:r>
      <w:r>
        <w:rPr>
          <w:rFonts w:ascii="Arial" w:eastAsia="宋体" w:hAnsi="Arial" w:cs="Arial"/>
          <w:color w:val="262626"/>
          <w:sz w:val="18"/>
          <w:szCs w:val="18"/>
        </w:rPr>
        <w:t>rovide more options for developers to adapt to changes and optimize for workloads, such as AI, analytics, networking, storage, and high-performance computing.</w:t>
      </w:r>
    </w:p>
    <w:p w14:paraId="5A1AF93F" w14:textId="77777777" w:rsidR="00960BB8" w:rsidRDefault="00C06650">
      <w:pPr>
        <w:spacing w:after="180"/>
      </w:pPr>
      <w:r>
        <w:rPr>
          <w:rFonts w:ascii="Arial" w:eastAsia="宋体" w:hAnsi="Arial" w:cs="Arial"/>
          <w:color w:val="262626"/>
          <w:sz w:val="18"/>
          <w:szCs w:val="18"/>
        </w:rPr>
        <w:t>Our Habana Gaudi AI training accelerator is at the forefront of AI solutions for data centers and</w:t>
      </w:r>
      <w:r>
        <w:rPr>
          <w:rFonts w:ascii="Arial" w:eastAsia="宋体" w:hAnsi="Arial" w:cs="Arial"/>
          <w:color w:val="262626"/>
          <w:sz w:val="18"/>
          <w:szCs w:val="18"/>
        </w:rPr>
        <w:t xml:space="preserve"> in 2022, the second generation of deep learning processors for training and inference were launched with Habana Gaudi2 and Habana Greco. These new processors address an industry gap by providing customers with high-performance, high-efficiency deep learni</w:t>
      </w:r>
      <w:r>
        <w:rPr>
          <w:rFonts w:ascii="Arial" w:eastAsia="宋体" w:hAnsi="Arial" w:cs="Arial"/>
          <w:color w:val="262626"/>
          <w:sz w:val="18"/>
          <w:szCs w:val="18"/>
        </w:rPr>
        <w:t>ng compute choices for both training workloads and inference deployments in the data center while lowering the AI barrier to entry for companies of all sizes.</w:t>
      </w:r>
    </w:p>
    <w:p w14:paraId="5A1AF940" w14:textId="77777777" w:rsidR="00960BB8" w:rsidRDefault="00C06650">
      <w:pPr>
        <w:spacing w:after="180"/>
      </w:pPr>
      <w:r>
        <w:rPr>
          <w:rFonts w:ascii="Arial" w:eastAsia="宋体" w:hAnsi="Arial" w:cs="Arial"/>
          <w:color w:val="262626"/>
          <w:sz w:val="18"/>
          <w:szCs w:val="18"/>
        </w:rPr>
        <w:t>Our FPGA and structured ASIC portfolio enhances Intel’s ability to meet the needs of customers in</w:t>
      </w:r>
      <w:r>
        <w:rPr>
          <w:rFonts w:ascii="Arial" w:eastAsia="宋体" w:hAnsi="Arial" w:cs="Arial"/>
          <w:color w:val="262626"/>
          <w:sz w:val="18"/>
          <w:szCs w:val="18"/>
        </w:rPr>
        <w:t xml:space="preserve"> the data center, across the network, and at the edge. We are shipping our Intel Agilex FPGA family, featuring industry-leading FPGA fabric performance, power efficiency, and transceiver performance. We released our Intel eASIC N5X device family (Diamond M</w:t>
      </w:r>
      <w:r>
        <w:rPr>
          <w:rFonts w:ascii="Arial" w:eastAsia="宋体" w:hAnsi="Arial" w:cs="Arial"/>
          <w:color w:val="262626"/>
          <w:sz w:val="18"/>
          <w:szCs w:val="18"/>
        </w:rPr>
        <w:t>esa) for low-latency 5G network acceleration, hyperscale acceleration and storage, AI, and edge applications. We also introduced an FPGA-based IPU (Oak Springs Canyon) that enables superior security capabilities and allows our hyperscale customers to isola</w:t>
      </w:r>
      <w:r>
        <w:rPr>
          <w:rFonts w:ascii="Arial" w:eastAsia="宋体" w:hAnsi="Arial" w:cs="Arial"/>
          <w:color w:val="262626"/>
          <w:sz w:val="18"/>
          <w:szCs w:val="18"/>
        </w:rPr>
        <w:t>te the infrastructure from the tenant workloads running on Intel Xeon.</w:t>
      </w:r>
    </w:p>
    <w:p w14:paraId="5A1AF941" w14:textId="77777777" w:rsidR="00960BB8" w:rsidRDefault="00C06650">
      <w:pPr>
        <w:spacing w:after="180"/>
      </w:pPr>
      <w:r>
        <w:rPr>
          <w:rFonts w:ascii="Arial" w:eastAsia="宋体" w:hAnsi="Arial" w:cs="Arial"/>
          <w:color w:val="262626"/>
          <w:sz w:val="18"/>
          <w:szCs w:val="18"/>
        </w:rPr>
        <w:t>The ubiquity of Intel Xeon in the installed base, along with our heterogeneous compute solutions combined with software that unlocks the value of our hardware, enable our customers to d</w:t>
      </w:r>
      <w:r>
        <w:rPr>
          <w:rFonts w:ascii="Arial" w:eastAsia="宋体" w:hAnsi="Arial" w:cs="Arial"/>
          <w:color w:val="262626"/>
          <w:sz w:val="18"/>
          <w:szCs w:val="18"/>
        </w:rPr>
        <w:t>evelop highly differentiated solutions. Our integrated approach has created significant value for Intel, our customers and our partners by helping us mitigate risks, reduce costs, build brand value, and identify new market opportunities to apply our techno</w:t>
      </w:r>
      <w:r>
        <w:rPr>
          <w:rFonts w:ascii="Arial" w:eastAsia="宋体" w:hAnsi="Arial" w:cs="Arial"/>
          <w:color w:val="262626"/>
          <w:sz w:val="18"/>
          <w:szCs w:val="18"/>
        </w:rPr>
        <w:t>logy to address our customers' and society’s most complex issues.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94B" w14:textId="77777777">
        <w:tc>
          <w:tcPr>
            <w:tcW w:w="50" w:type="pct"/>
            <w:shd w:val="clear" w:color="auto" w:fill="auto"/>
            <w:vAlign w:val="bottom"/>
          </w:tcPr>
          <w:p w14:paraId="5A1AF942" w14:textId="77777777" w:rsidR="00960BB8" w:rsidRDefault="00960BB8">
            <w:pPr>
              <w:rPr>
                <w:rFonts w:ascii="宋体"/>
              </w:rPr>
            </w:pPr>
          </w:p>
        </w:tc>
        <w:tc>
          <w:tcPr>
            <w:tcW w:w="283" w:type="pct"/>
            <w:shd w:val="clear" w:color="auto" w:fill="auto"/>
            <w:vAlign w:val="bottom"/>
          </w:tcPr>
          <w:p w14:paraId="5A1AF943" w14:textId="77777777" w:rsidR="00960BB8" w:rsidRDefault="00960BB8">
            <w:pPr>
              <w:rPr>
                <w:rFonts w:ascii="宋体"/>
              </w:rPr>
            </w:pPr>
          </w:p>
        </w:tc>
        <w:tc>
          <w:tcPr>
            <w:tcW w:w="5" w:type="pct"/>
            <w:shd w:val="clear" w:color="auto" w:fill="auto"/>
            <w:vAlign w:val="bottom"/>
          </w:tcPr>
          <w:p w14:paraId="5A1AF944" w14:textId="77777777" w:rsidR="00960BB8" w:rsidRDefault="00960BB8">
            <w:pPr>
              <w:rPr>
                <w:rFonts w:ascii="宋体"/>
              </w:rPr>
            </w:pPr>
          </w:p>
        </w:tc>
        <w:tc>
          <w:tcPr>
            <w:tcW w:w="50" w:type="pct"/>
            <w:shd w:val="clear" w:color="auto" w:fill="auto"/>
            <w:vAlign w:val="bottom"/>
          </w:tcPr>
          <w:p w14:paraId="5A1AF945" w14:textId="77777777" w:rsidR="00960BB8" w:rsidRDefault="00960BB8">
            <w:pPr>
              <w:rPr>
                <w:rFonts w:ascii="宋体"/>
              </w:rPr>
            </w:pPr>
          </w:p>
        </w:tc>
        <w:tc>
          <w:tcPr>
            <w:tcW w:w="2656" w:type="pct"/>
            <w:shd w:val="clear" w:color="auto" w:fill="auto"/>
            <w:vAlign w:val="bottom"/>
          </w:tcPr>
          <w:p w14:paraId="5A1AF946" w14:textId="77777777" w:rsidR="00960BB8" w:rsidRDefault="00960BB8">
            <w:pPr>
              <w:rPr>
                <w:rFonts w:ascii="宋体"/>
              </w:rPr>
            </w:pPr>
          </w:p>
        </w:tc>
        <w:tc>
          <w:tcPr>
            <w:tcW w:w="5" w:type="pct"/>
            <w:shd w:val="clear" w:color="auto" w:fill="auto"/>
            <w:vAlign w:val="bottom"/>
          </w:tcPr>
          <w:p w14:paraId="5A1AF947" w14:textId="77777777" w:rsidR="00960BB8" w:rsidRDefault="00960BB8">
            <w:pPr>
              <w:rPr>
                <w:rFonts w:ascii="宋体"/>
              </w:rPr>
            </w:pPr>
          </w:p>
        </w:tc>
        <w:tc>
          <w:tcPr>
            <w:tcW w:w="50" w:type="pct"/>
            <w:shd w:val="clear" w:color="auto" w:fill="auto"/>
            <w:vAlign w:val="bottom"/>
          </w:tcPr>
          <w:p w14:paraId="5A1AF948" w14:textId="77777777" w:rsidR="00960BB8" w:rsidRDefault="00960BB8">
            <w:pPr>
              <w:rPr>
                <w:rFonts w:ascii="宋体"/>
              </w:rPr>
            </w:pPr>
          </w:p>
        </w:tc>
        <w:tc>
          <w:tcPr>
            <w:tcW w:w="1894" w:type="pct"/>
            <w:shd w:val="clear" w:color="auto" w:fill="auto"/>
            <w:vAlign w:val="bottom"/>
          </w:tcPr>
          <w:p w14:paraId="5A1AF949" w14:textId="77777777" w:rsidR="00960BB8" w:rsidRDefault="00960BB8">
            <w:pPr>
              <w:rPr>
                <w:rFonts w:ascii="宋体"/>
              </w:rPr>
            </w:pPr>
          </w:p>
        </w:tc>
        <w:tc>
          <w:tcPr>
            <w:tcW w:w="5" w:type="pct"/>
            <w:shd w:val="clear" w:color="auto" w:fill="auto"/>
            <w:vAlign w:val="bottom"/>
          </w:tcPr>
          <w:p w14:paraId="5A1AF94A" w14:textId="77777777" w:rsidR="00960BB8" w:rsidRDefault="00960BB8">
            <w:pPr>
              <w:rPr>
                <w:rFonts w:ascii="宋体"/>
              </w:rPr>
            </w:pPr>
          </w:p>
        </w:tc>
      </w:tr>
      <w:tr w:rsidR="00960BB8" w14:paraId="5A1AF94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94C"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9F" wp14:editId="5A1B43A0">
                  <wp:extent cx="304800" cy="304800"/>
                  <wp:effectExtent l="0" t="0" r="0" b="0"/>
                  <wp:docPr id="98" name="图片 11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94D"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94E" w14:textId="77777777" w:rsidR="00960BB8" w:rsidRDefault="00C06650">
            <w:pPr>
              <w:jc w:val="right"/>
              <w:textAlignment w:val="center"/>
            </w:pPr>
            <w:r>
              <w:rPr>
                <w:rFonts w:ascii="Arial" w:eastAsia="宋体" w:hAnsi="Arial" w:cs="Arial"/>
                <w:color w:val="262626"/>
                <w:sz w:val="16"/>
                <w:szCs w:val="16"/>
              </w:rPr>
              <w:t>25</w:t>
            </w:r>
          </w:p>
        </w:tc>
      </w:tr>
    </w:tbl>
    <w:p w14:paraId="5A1AF950" w14:textId="77777777" w:rsidR="00960BB8" w:rsidRDefault="00C06650">
      <w:r>
        <w:pict w14:anchorId="5A1B43A1">
          <v:rect id="_x0000_i1051" style="width:415.3pt;height:1.5pt" o:hralign="center" o:hrstd="t" o:hr="t" fillcolor="#a0a0a0" stroked="f"/>
        </w:pict>
      </w:r>
    </w:p>
    <w:p w14:paraId="5A1AF951" w14:textId="77777777" w:rsidR="00960BB8" w:rsidRDefault="00C06650">
      <w:pPr>
        <w:jc w:val="right"/>
      </w:pPr>
      <w:hyperlink r:id="rId52" w:anchor="i8aaa7b4dbd2e419ca0f5c30af85a11aa_16" w:history="1">
        <w:r>
          <w:rPr>
            <w:rStyle w:val="a5"/>
            <w:rFonts w:ascii="Arial" w:eastAsia="宋体" w:hAnsi="Arial" w:cs="Arial"/>
            <w:b/>
            <w:bCs/>
            <w:sz w:val="16"/>
            <w:szCs w:val="16"/>
          </w:rPr>
          <w:t>Table of Contents</w:t>
        </w:r>
      </w:hyperlink>
    </w:p>
    <w:p w14:paraId="5A1AF952" w14:textId="77777777" w:rsidR="00960BB8" w:rsidRDefault="00C06650">
      <w:pPr>
        <w:spacing w:after="180"/>
      </w:pPr>
      <w:r>
        <w:rPr>
          <w:rFonts w:ascii="Arial" w:eastAsia="宋体" w:hAnsi="Arial" w:cs="Arial"/>
          <w:color w:val="0068B5"/>
        </w:rPr>
        <w:t>Financial Performance</w:t>
      </w:r>
    </w:p>
    <w:tbl>
      <w:tblPr>
        <w:tblW w:w="10965" w:type="dxa"/>
        <w:tblCellMar>
          <w:top w:w="15" w:type="dxa"/>
          <w:left w:w="15" w:type="dxa"/>
          <w:bottom w:w="15" w:type="dxa"/>
          <w:right w:w="15" w:type="dxa"/>
        </w:tblCellMar>
        <w:tblLook w:val="04A0" w:firstRow="1" w:lastRow="0" w:firstColumn="1" w:lastColumn="0" w:noHBand="0" w:noVBand="1"/>
      </w:tblPr>
      <w:tblGrid>
        <w:gridCol w:w="36"/>
        <w:gridCol w:w="256"/>
        <w:gridCol w:w="36"/>
        <w:gridCol w:w="36"/>
        <w:gridCol w:w="4527"/>
        <w:gridCol w:w="36"/>
        <w:gridCol w:w="36"/>
        <w:gridCol w:w="860"/>
        <w:gridCol w:w="36"/>
        <w:gridCol w:w="36"/>
        <w:gridCol w:w="4470"/>
        <w:gridCol w:w="36"/>
        <w:gridCol w:w="36"/>
        <w:gridCol w:w="492"/>
        <w:gridCol w:w="36"/>
      </w:tblGrid>
      <w:tr w:rsidR="00960BB8" w14:paraId="5A1AF962" w14:textId="77777777">
        <w:tc>
          <w:tcPr>
            <w:tcW w:w="20" w:type="dxa"/>
            <w:shd w:val="clear" w:color="auto" w:fill="auto"/>
            <w:vAlign w:val="bottom"/>
          </w:tcPr>
          <w:p w14:paraId="5A1AF953" w14:textId="77777777" w:rsidR="00960BB8" w:rsidRDefault="00960BB8">
            <w:pPr>
              <w:rPr>
                <w:rFonts w:ascii="宋体"/>
              </w:rPr>
            </w:pPr>
          </w:p>
        </w:tc>
        <w:tc>
          <w:tcPr>
            <w:tcW w:w="260" w:type="dxa"/>
            <w:shd w:val="clear" w:color="auto" w:fill="auto"/>
            <w:vAlign w:val="bottom"/>
          </w:tcPr>
          <w:p w14:paraId="5A1AF954" w14:textId="77777777" w:rsidR="00960BB8" w:rsidRDefault="00960BB8">
            <w:pPr>
              <w:rPr>
                <w:rFonts w:ascii="宋体"/>
              </w:rPr>
            </w:pPr>
          </w:p>
        </w:tc>
        <w:tc>
          <w:tcPr>
            <w:tcW w:w="20" w:type="dxa"/>
            <w:shd w:val="clear" w:color="auto" w:fill="auto"/>
            <w:vAlign w:val="bottom"/>
          </w:tcPr>
          <w:p w14:paraId="5A1AF955" w14:textId="77777777" w:rsidR="00960BB8" w:rsidRDefault="00960BB8">
            <w:pPr>
              <w:rPr>
                <w:rFonts w:ascii="宋体"/>
              </w:rPr>
            </w:pPr>
          </w:p>
        </w:tc>
        <w:tc>
          <w:tcPr>
            <w:tcW w:w="20" w:type="dxa"/>
            <w:shd w:val="clear" w:color="auto" w:fill="auto"/>
            <w:vAlign w:val="bottom"/>
          </w:tcPr>
          <w:p w14:paraId="5A1AF956" w14:textId="77777777" w:rsidR="00960BB8" w:rsidRDefault="00960BB8">
            <w:pPr>
              <w:rPr>
                <w:rFonts w:ascii="宋体"/>
              </w:rPr>
            </w:pPr>
          </w:p>
        </w:tc>
        <w:tc>
          <w:tcPr>
            <w:tcW w:w="4595" w:type="dxa"/>
            <w:shd w:val="clear" w:color="auto" w:fill="auto"/>
            <w:vAlign w:val="bottom"/>
          </w:tcPr>
          <w:p w14:paraId="5A1AF957" w14:textId="77777777" w:rsidR="00960BB8" w:rsidRDefault="00960BB8">
            <w:pPr>
              <w:rPr>
                <w:rFonts w:ascii="宋体"/>
              </w:rPr>
            </w:pPr>
          </w:p>
        </w:tc>
        <w:tc>
          <w:tcPr>
            <w:tcW w:w="20" w:type="dxa"/>
            <w:shd w:val="clear" w:color="auto" w:fill="auto"/>
            <w:vAlign w:val="bottom"/>
          </w:tcPr>
          <w:p w14:paraId="5A1AF958" w14:textId="77777777" w:rsidR="00960BB8" w:rsidRDefault="00960BB8">
            <w:pPr>
              <w:rPr>
                <w:rFonts w:ascii="宋体"/>
              </w:rPr>
            </w:pPr>
          </w:p>
        </w:tc>
        <w:tc>
          <w:tcPr>
            <w:tcW w:w="20" w:type="dxa"/>
            <w:shd w:val="clear" w:color="auto" w:fill="auto"/>
            <w:vAlign w:val="bottom"/>
          </w:tcPr>
          <w:p w14:paraId="5A1AF959" w14:textId="77777777" w:rsidR="00960BB8" w:rsidRDefault="00960BB8">
            <w:pPr>
              <w:rPr>
                <w:rFonts w:ascii="宋体"/>
              </w:rPr>
            </w:pPr>
          </w:p>
        </w:tc>
        <w:tc>
          <w:tcPr>
            <w:tcW w:w="875" w:type="dxa"/>
            <w:shd w:val="clear" w:color="auto" w:fill="auto"/>
            <w:vAlign w:val="bottom"/>
          </w:tcPr>
          <w:p w14:paraId="5A1AF95A" w14:textId="77777777" w:rsidR="00960BB8" w:rsidRDefault="00960BB8">
            <w:pPr>
              <w:rPr>
                <w:rFonts w:ascii="宋体"/>
              </w:rPr>
            </w:pPr>
          </w:p>
        </w:tc>
        <w:tc>
          <w:tcPr>
            <w:tcW w:w="20" w:type="dxa"/>
            <w:shd w:val="clear" w:color="auto" w:fill="auto"/>
            <w:vAlign w:val="bottom"/>
          </w:tcPr>
          <w:p w14:paraId="5A1AF95B" w14:textId="77777777" w:rsidR="00960BB8" w:rsidRDefault="00960BB8">
            <w:pPr>
              <w:rPr>
                <w:rFonts w:ascii="宋体"/>
              </w:rPr>
            </w:pPr>
          </w:p>
        </w:tc>
        <w:tc>
          <w:tcPr>
            <w:tcW w:w="20" w:type="dxa"/>
            <w:shd w:val="clear" w:color="auto" w:fill="auto"/>
            <w:vAlign w:val="bottom"/>
          </w:tcPr>
          <w:p w14:paraId="5A1AF95C" w14:textId="77777777" w:rsidR="00960BB8" w:rsidRDefault="00960BB8">
            <w:pPr>
              <w:rPr>
                <w:rFonts w:ascii="宋体"/>
              </w:rPr>
            </w:pPr>
          </w:p>
        </w:tc>
        <w:tc>
          <w:tcPr>
            <w:tcW w:w="4535" w:type="dxa"/>
            <w:shd w:val="clear" w:color="auto" w:fill="auto"/>
            <w:vAlign w:val="bottom"/>
          </w:tcPr>
          <w:p w14:paraId="5A1AF95D" w14:textId="77777777" w:rsidR="00960BB8" w:rsidRDefault="00960BB8">
            <w:pPr>
              <w:rPr>
                <w:rFonts w:ascii="宋体"/>
              </w:rPr>
            </w:pPr>
          </w:p>
        </w:tc>
        <w:tc>
          <w:tcPr>
            <w:tcW w:w="20" w:type="dxa"/>
            <w:shd w:val="clear" w:color="auto" w:fill="auto"/>
            <w:vAlign w:val="bottom"/>
          </w:tcPr>
          <w:p w14:paraId="5A1AF95E" w14:textId="77777777" w:rsidR="00960BB8" w:rsidRDefault="00960BB8">
            <w:pPr>
              <w:rPr>
                <w:rFonts w:ascii="宋体"/>
              </w:rPr>
            </w:pPr>
          </w:p>
        </w:tc>
        <w:tc>
          <w:tcPr>
            <w:tcW w:w="20" w:type="dxa"/>
            <w:shd w:val="clear" w:color="auto" w:fill="auto"/>
            <w:vAlign w:val="bottom"/>
          </w:tcPr>
          <w:p w14:paraId="5A1AF95F" w14:textId="77777777" w:rsidR="00960BB8" w:rsidRDefault="00960BB8">
            <w:pPr>
              <w:rPr>
                <w:rFonts w:ascii="宋体"/>
              </w:rPr>
            </w:pPr>
          </w:p>
        </w:tc>
        <w:tc>
          <w:tcPr>
            <w:tcW w:w="500" w:type="dxa"/>
            <w:shd w:val="clear" w:color="auto" w:fill="auto"/>
            <w:vAlign w:val="bottom"/>
          </w:tcPr>
          <w:p w14:paraId="5A1AF960" w14:textId="77777777" w:rsidR="00960BB8" w:rsidRDefault="00960BB8">
            <w:pPr>
              <w:rPr>
                <w:rFonts w:ascii="宋体"/>
              </w:rPr>
            </w:pPr>
          </w:p>
        </w:tc>
        <w:tc>
          <w:tcPr>
            <w:tcW w:w="20" w:type="dxa"/>
            <w:shd w:val="clear" w:color="auto" w:fill="auto"/>
            <w:vAlign w:val="bottom"/>
          </w:tcPr>
          <w:p w14:paraId="5A1AF961" w14:textId="77777777" w:rsidR="00960BB8" w:rsidRDefault="00960BB8">
            <w:pPr>
              <w:rPr>
                <w:rFonts w:ascii="宋体"/>
              </w:rPr>
            </w:pPr>
          </w:p>
        </w:tc>
      </w:tr>
      <w:tr w:rsidR="00960BB8" w14:paraId="5A1AF968" w14:textId="77777777">
        <w:trPr>
          <w:trHeight w:val="280"/>
        </w:trPr>
        <w:tc>
          <w:tcPr>
            <w:tcW w:w="0" w:type="auto"/>
            <w:gridSpan w:val="3"/>
            <w:shd w:val="clear" w:color="auto" w:fill="auto"/>
            <w:tcMar>
              <w:top w:w="0" w:type="dxa"/>
              <w:left w:w="20" w:type="dxa"/>
              <w:bottom w:w="0" w:type="dxa"/>
              <w:right w:w="20" w:type="dxa"/>
            </w:tcMar>
            <w:vAlign w:val="bottom"/>
          </w:tcPr>
          <w:p w14:paraId="5A1AF963"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964" w14:textId="77777777" w:rsidR="00960BB8" w:rsidRDefault="00C06650">
            <w:pPr>
              <w:jc w:val="center"/>
              <w:textAlignment w:val="bottom"/>
            </w:pPr>
            <w:r>
              <w:rPr>
                <w:rFonts w:ascii="Arial" w:eastAsia="宋体" w:hAnsi="Arial" w:cs="Arial"/>
                <w:color w:val="0068B5"/>
                <w:sz w:val="20"/>
                <w:szCs w:val="20"/>
              </w:rPr>
              <w:t>DCAI Revenue $B</w:t>
            </w:r>
          </w:p>
        </w:tc>
        <w:tc>
          <w:tcPr>
            <w:tcW w:w="0" w:type="auto"/>
            <w:gridSpan w:val="3"/>
            <w:shd w:val="clear" w:color="auto" w:fill="auto"/>
            <w:tcMar>
              <w:top w:w="0" w:type="dxa"/>
              <w:left w:w="20" w:type="dxa"/>
              <w:bottom w:w="0" w:type="dxa"/>
              <w:right w:w="20" w:type="dxa"/>
            </w:tcMar>
            <w:vAlign w:val="bottom"/>
          </w:tcPr>
          <w:p w14:paraId="5A1AF965"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966" w14:textId="77777777" w:rsidR="00960BB8" w:rsidRDefault="00C06650">
            <w:pPr>
              <w:jc w:val="center"/>
              <w:textAlignment w:val="bottom"/>
            </w:pPr>
            <w:r>
              <w:rPr>
                <w:rFonts w:ascii="Arial" w:eastAsia="宋体" w:hAnsi="Arial" w:cs="Arial"/>
                <w:color w:val="0068B5"/>
                <w:sz w:val="20"/>
                <w:szCs w:val="20"/>
              </w:rPr>
              <w:t>DCAI Operating Income $B</w:t>
            </w:r>
          </w:p>
        </w:tc>
        <w:tc>
          <w:tcPr>
            <w:tcW w:w="0" w:type="auto"/>
            <w:gridSpan w:val="3"/>
            <w:shd w:val="clear" w:color="auto" w:fill="auto"/>
            <w:tcMar>
              <w:top w:w="0" w:type="dxa"/>
              <w:left w:w="20" w:type="dxa"/>
              <w:bottom w:w="0" w:type="dxa"/>
              <w:right w:w="20" w:type="dxa"/>
            </w:tcMar>
            <w:vAlign w:val="bottom"/>
          </w:tcPr>
          <w:p w14:paraId="5A1AF967" w14:textId="77777777" w:rsidR="00960BB8" w:rsidRDefault="00960BB8">
            <w:pPr>
              <w:rPr>
                <w:rFonts w:ascii="宋体"/>
              </w:rPr>
            </w:pPr>
          </w:p>
        </w:tc>
      </w:tr>
    </w:tbl>
    <w:p w14:paraId="5A1AF969"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A2" wp14:editId="5A1B43A3">
            <wp:extent cx="304800" cy="304800"/>
            <wp:effectExtent l="0" t="0" r="0" b="0"/>
            <wp:docPr id="40" name="图片 11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8" descr="IMG_31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Viewer_files/intc-2022123</w:instrText>
      </w:r>
      <w:r>
        <w:rPr>
          <w:rFonts w:ascii="宋体" w:eastAsia="宋体" w:hAnsi="宋体" w:cs="宋体"/>
        </w:rPr>
        <w:instrText xml:space="preserve">1_g37.jpg"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A4" wp14:editId="5A1B43A5">
            <wp:extent cx="304800" cy="304800"/>
            <wp:effectExtent l="0" t="0" r="0" b="0"/>
            <wp:docPr id="53" name="图片 11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9" descr="IMG_31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96A"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96E" w14:textId="77777777">
        <w:tc>
          <w:tcPr>
            <w:tcW w:w="50" w:type="pct"/>
            <w:shd w:val="clear" w:color="auto" w:fill="auto"/>
            <w:vAlign w:val="bottom"/>
          </w:tcPr>
          <w:p w14:paraId="5A1AF96B" w14:textId="77777777" w:rsidR="00960BB8" w:rsidRDefault="00960BB8">
            <w:pPr>
              <w:rPr>
                <w:rFonts w:ascii="宋体"/>
              </w:rPr>
            </w:pPr>
          </w:p>
        </w:tc>
        <w:tc>
          <w:tcPr>
            <w:tcW w:w="4945" w:type="pct"/>
            <w:shd w:val="clear" w:color="auto" w:fill="auto"/>
            <w:vAlign w:val="bottom"/>
          </w:tcPr>
          <w:p w14:paraId="5A1AF96C" w14:textId="77777777" w:rsidR="00960BB8" w:rsidRDefault="00960BB8">
            <w:pPr>
              <w:rPr>
                <w:rFonts w:ascii="宋体"/>
              </w:rPr>
            </w:pPr>
          </w:p>
        </w:tc>
        <w:tc>
          <w:tcPr>
            <w:tcW w:w="5" w:type="pct"/>
            <w:shd w:val="clear" w:color="auto" w:fill="auto"/>
            <w:vAlign w:val="bottom"/>
          </w:tcPr>
          <w:p w14:paraId="5A1AF96D" w14:textId="77777777" w:rsidR="00960BB8" w:rsidRDefault="00960BB8">
            <w:pPr>
              <w:rPr>
                <w:rFonts w:ascii="宋体"/>
              </w:rPr>
            </w:pPr>
          </w:p>
        </w:tc>
      </w:tr>
      <w:tr w:rsidR="00960BB8" w14:paraId="5A1AF970"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96F" w14:textId="77777777" w:rsidR="00960BB8" w:rsidRDefault="00C06650">
            <w:pPr>
              <w:textAlignment w:val="bottom"/>
            </w:pPr>
            <w:r>
              <w:rPr>
                <w:rFonts w:ascii="Arial" w:eastAsia="宋体" w:hAnsi="Arial" w:cs="Arial"/>
                <w:color w:val="0068B5"/>
                <w:sz w:val="20"/>
                <w:szCs w:val="20"/>
              </w:rPr>
              <w:t>Revenue Summary</w:t>
            </w:r>
          </w:p>
        </w:tc>
      </w:tr>
    </w:tbl>
    <w:p w14:paraId="5A1AF971" w14:textId="77777777" w:rsidR="00960BB8" w:rsidRDefault="00C06650">
      <w:pPr>
        <w:spacing w:after="120"/>
      </w:pPr>
      <w:r>
        <w:rPr>
          <w:rFonts w:ascii="Arial" w:eastAsia="宋体" w:hAnsi="Arial" w:cs="Arial"/>
          <w:color w:val="0068B5"/>
          <w:sz w:val="20"/>
          <w:szCs w:val="20"/>
        </w:rPr>
        <w:t>2022 vs. 2021</w:t>
      </w:r>
    </w:p>
    <w:p w14:paraId="5A1AF972" w14:textId="77777777" w:rsidR="00960BB8" w:rsidRDefault="00C06650">
      <w:pPr>
        <w:spacing w:after="180"/>
      </w:pPr>
      <w:r>
        <w:rPr>
          <w:rFonts w:ascii="Arial" w:eastAsia="宋体" w:hAnsi="Arial" w:cs="Arial"/>
          <w:color w:val="262626"/>
          <w:sz w:val="18"/>
          <w:szCs w:val="18"/>
        </w:rPr>
        <w:t xml:space="preserve">Revenue was $19.2 billion, down $3.5 billion from 2021, due to a decrease in server revenue, partially offset by higher other DCAI revenue. Server volume decreased 16% from 2021, led </w:t>
      </w:r>
      <w:r>
        <w:rPr>
          <w:rFonts w:ascii="Arial" w:eastAsia="宋体" w:hAnsi="Arial" w:cs="Arial"/>
          <w:color w:val="262626"/>
          <w:sz w:val="18"/>
          <w:szCs w:val="18"/>
        </w:rPr>
        <w:t>by enterprise customers in a competitive environment, and due to customers tempering purchases to reduce existing inventories in a softening data center market. Server ASPs decreased 5% from 2021, driven by a higher mix of revenue from hyperscale customers</w:t>
      </w:r>
      <w:r>
        <w:rPr>
          <w:rFonts w:ascii="Arial" w:eastAsia="宋体" w:hAnsi="Arial" w:cs="Arial"/>
          <w:color w:val="262626"/>
          <w:sz w:val="18"/>
          <w:szCs w:val="18"/>
        </w:rPr>
        <w:t>. Other DCAI revenue increased 14% due to growth in our FPGA business.</w:t>
      </w:r>
    </w:p>
    <w:p w14:paraId="5A1AF973" w14:textId="77777777" w:rsidR="00960BB8" w:rsidRDefault="00C06650">
      <w:pPr>
        <w:spacing w:after="120"/>
      </w:pPr>
      <w:r>
        <w:rPr>
          <w:rFonts w:ascii="Arial" w:eastAsia="宋体" w:hAnsi="Arial" w:cs="Arial"/>
          <w:color w:val="0068B5"/>
          <w:sz w:val="20"/>
          <w:szCs w:val="20"/>
        </w:rPr>
        <w:t>2021 vs. 2020</w:t>
      </w:r>
    </w:p>
    <w:p w14:paraId="5A1AF974" w14:textId="77777777" w:rsidR="00960BB8" w:rsidRDefault="00C06650">
      <w:pPr>
        <w:spacing w:after="180"/>
      </w:pPr>
      <w:r>
        <w:rPr>
          <w:rFonts w:ascii="Arial" w:eastAsia="宋体" w:hAnsi="Arial" w:cs="Arial"/>
          <w:color w:val="262626"/>
          <w:sz w:val="18"/>
          <w:szCs w:val="18"/>
        </w:rPr>
        <w:t xml:space="preserve">Revenue was $22.7 billion, down $722 million, primarily due to lower server revenue, partially offset by increased revenue from other DCAI products. Server volume </w:t>
      </w:r>
      <w:r>
        <w:rPr>
          <w:rFonts w:ascii="Arial" w:eastAsia="宋体" w:hAnsi="Arial" w:cs="Arial"/>
          <w:color w:val="262626"/>
          <w:sz w:val="18"/>
          <w:szCs w:val="18"/>
        </w:rPr>
        <w:t>decreased 4%, driven by an increasingly competitive environment, partially offset by recovery in government and broader market products.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978" w14:textId="77777777">
        <w:tc>
          <w:tcPr>
            <w:tcW w:w="50" w:type="pct"/>
            <w:shd w:val="clear" w:color="auto" w:fill="auto"/>
            <w:vAlign w:val="bottom"/>
          </w:tcPr>
          <w:p w14:paraId="5A1AF975" w14:textId="77777777" w:rsidR="00960BB8" w:rsidRDefault="00960BB8">
            <w:pPr>
              <w:rPr>
                <w:rFonts w:ascii="宋体"/>
              </w:rPr>
            </w:pPr>
          </w:p>
        </w:tc>
        <w:tc>
          <w:tcPr>
            <w:tcW w:w="4945" w:type="pct"/>
            <w:shd w:val="clear" w:color="auto" w:fill="auto"/>
            <w:vAlign w:val="bottom"/>
          </w:tcPr>
          <w:p w14:paraId="5A1AF976" w14:textId="77777777" w:rsidR="00960BB8" w:rsidRDefault="00960BB8">
            <w:pPr>
              <w:rPr>
                <w:rFonts w:ascii="宋体"/>
              </w:rPr>
            </w:pPr>
          </w:p>
        </w:tc>
        <w:tc>
          <w:tcPr>
            <w:tcW w:w="5" w:type="pct"/>
            <w:shd w:val="clear" w:color="auto" w:fill="auto"/>
            <w:vAlign w:val="bottom"/>
          </w:tcPr>
          <w:p w14:paraId="5A1AF977" w14:textId="77777777" w:rsidR="00960BB8" w:rsidRDefault="00960BB8">
            <w:pPr>
              <w:rPr>
                <w:rFonts w:ascii="宋体"/>
              </w:rPr>
            </w:pPr>
          </w:p>
        </w:tc>
      </w:tr>
      <w:tr w:rsidR="00960BB8" w14:paraId="5A1AF97A"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979" w14:textId="77777777" w:rsidR="00960BB8" w:rsidRDefault="00C06650">
            <w:pPr>
              <w:textAlignment w:val="bottom"/>
            </w:pPr>
            <w:r>
              <w:rPr>
                <w:rFonts w:ascii="Arial" w:eastAsia="宋体" w:hAnsi="Arial" w:cs="Arial"/>
                <w:color w:val="0068B5"/>
                <w:sz w:val="20"/>
                <w:szCs w:val="20"/>
              </w:rPr>
              <w:t>Operating Income Summary</w:t>
            </w:r>
          </w:p>
        </w:tc>
      </w:tr>
    </w:tbl>
    <w:p w14:paraId="5A1AF97B" w14:textId="77777777" w:rsidR="00960BB8" w:rsidRDefault="00C06650">
      <w:pPr>
        <w:spacing w:after="180"/>
      </w:pPr>
      <w:r>
        <w:rPr>
          <w:rFonts w:ascii="Arial" w:eastAsia="宋体" w:hAnsi="Arial" w:cs="Arial"/>
          <w:color w:val="262626"/>
          <w:sz w:val="18"/>
          <w:szCs w:val="18"/>
        </w:rPr>
        <w:t xml:space="preserve">Operating income decreased 73% year over year, and operating margin was 12% in 2022 and 37% in 2021. </w:t>
      </w:r>
    </w:p>
    <w:tbl>
      <w:tblPr>
        <w:tblW w:w="5000" w:type="pct"/>
        <w:tblCellMar>
          <w:top w:w="15" w:type="dxa"/>
          <w:left w:w="15" w:type="dxa"/>
          <w:bottom w:w="15" w:type="dxa"/>
          <w:right w:w="15" w:type="dxa"/>
        </w:tblCellMar>
        <w:tblLook w:val="04A0" w:firstRow="1" w:lastRow="0" w:firstColumn="1" w:lastColumn="0" w:noHBand="0" w:noVBand="1"/>
      </w:tblPr>
      <w:tblGrid>
        <w:gridCol w:w="122"/>
        <w:gridCol w:w="678"/>
        <w:gridCol w:w="36"/>
        <w:gridCol w:w="36"/>
        <w:gridCol w:w="36"/>
        <w:gridCol w:w="36"/>
        <w:gridCol w:w="47"/>
        <w:gridCol w:w="5607"/>
        <w:gridCol w:w="38"/>
        <w:gridCol w:w="47"/>
        <w:gridCol w:w="766"/>
        <w:gridCol w:w="36"/>
        <w:gridCol w:w="48"/>
        <w:gridCol w:w="767"/>
        <w:gridCol w:w="36"/>
      </w:tblGrid>
      <w:tr w:rsidR="00960BB8" w14:paraId="5A1AF98B" w14:textId="77777777">
        <w:tc>
          <w:tcPr>
            <w:tcW w:w="50" w:type="pct"/>
            <w:shd w:val="clear" w:color="auto" w:fill="auto"/>
            <w:vAlign w:val="bottom"/>
          </w:tcPr>
          <w:p w14:paraId="5A1AF97C" w14:textId="77777777" w:rsidR="00960BB8" w:rsidRDefault="00960BB8">
            <w:pPr>
              <w:rPr>
                <w:rFonts w:ascii="宋体"/>
              </w:rPr>
            </w:pPr>
          </w:p>
        </w:tc>
        <w:tc>
          <w:tcPr>
            <w:tcW w:w="406" w:type="pct"/>
            <w:shd w:val="clear" w:color="auto" w:fill="auto"/>
            <w:vAlign w:val="bottom"/>
          </w:tcPr>
          <w:p w14:paraId="5A1AF97D" w14:textId="77777777" w:rsidR="00960BB8" w:rsidRDefault="00960BB8">
            <w:pPr>
              <w:rPr>
                <w:rFonts w:ascii="宋体"/>
              </w:rPr>
            </w:pPr>
          </w:p>
        </w:tc>
        <w:tc>
          <w:tcPr>
            <w:tcW w:w="5" w:type="pct"/>
            <w:shd w:val="clear" w:color="auto" w:fill="auto"/>
            <w:vAlign w:val="bottom"/>
          </w:tcPr>
          <w:p w14:paraId="5A1AF97E" w14:textId="77777777" w:rsidR="00960BB8" w:rsidRDefault="00960BB8">
            <w:pPr>
              <w:rPr>
                <w:rFonts w:ascii="宋体"/>
              </w:rPr>
            </w:pPr>
          </w:p>
        </w:tc>
        <w:tc>
          <w:tcPr>
            <w:tcW w:w="5" w:type="pct"/>
            <w:shd w:val="clear" w:color="auto" w:fill="auto"/>
            <w:vAlign w:val="bottom"/>
          </w:tcPr>
          <w:p w14:paraId="5A1AF97F" w14:textId="77777777" w:rsidR="00960BB8" w:rsidRDefault="00960BB8">
            <w:pPr>
              <w:rPr>
                <w:rFonts w:ascii="宋体"/>
              </w:rPr>
            </w:pPr>
          </w:p>
        </w:tc>
        <w:tc>
          <w:tcPr>
            <w:tcW w:w="16" w:type="pct"/>
            <w:shd w:val="clear" w:color="auto" w:fill="auto"/>
            <w:vAlign w:val="bottom"/>
          </w:tcPr>
          <w:p w14:paraId="5A1AF980" w14:textId="77777777" w:rsidR="00960BB8" w:rsidRDefault="00960BB8">
            <w:pPr>
              <w:rPr>
                <w:rFonts w:ascii="宋体"/>
              </w:rPr>
            </w:pPr>
          </w:p>
        </w:tc>
        <w:tc>
          <w:tcPr>
            <w:tcW w:w="5" w:type="pct"/>
            <w:shd w:val="clear" w:color="auto" w:fill="auto"/>
            <w:vAlign w:val="bottom"/>
          </w:tcPr>
          <w:p w14:paraId="5A1AF981" w14:textId="77777777" w:rsidR="00960BB8" w:rsidRDefault="00960BB8">
            <w:pPr>
              <w:rPr>
                <w:rFonts w:ascii="宋体"/>
              </w:rPr>
            </w:pPr>
          </w:p>
        </w:tc>
        <w:tc>
          <w:tcPr>
            <w:tcW w:w="50" w:type="pct"/>
            <w:shd w:val="clear" w:color="auto" w:fill="auto"/>
            <w:vAlign w:val="bottom"/>
          </w:tcPr>
          <w:p w14:paraId="5A1AF982" w14:textId="77777777" w:rsidR="00960BB8" w:rsidRDefault="00960BB8">
            <w:pPr>
              <w:rPr>
                <w:rFonts w:ascii="宋体"/>
              </w:rPr>
            </w:pPr>
          </w:p>
        </w:tc>
        <w:tc>
          <w:tcPr>
            <w:tcW w:w="3383" w:type="pct"/>
            <w:shd w:val="clear" w:color="auto" w:fill="auto"/>
            <w:vAlign w:val="bottom"/>
          </w:tcPr>
          <w:p w14:paraId="5A1AF983" w14:textId="77777777" w:rsidR="00960BB8" w:rsidRDefault="00960BB8">
            <w:pPr>
              <w:rPr>
                <w:rFonts w:ascii="宋体"/>
              </w:rPr>
            </w:pPr>
          </w:p>
        </w:tc>
        <w:tc>
          <w:tcPr>
            <w:tcW w:w="5" w:type="pct"/>
            <w:shd w:val="clear" w:color="auto" w:fill="auto"/>
            <w:vAlign w:val="bottom"/>
          </w:tcPr>
          <w:p w14:paraId="5A1AF984" w14:textId="77777777" w:rsidR="00960BB8" w:rsidRDefault="00960BB8">
            <w:pPr>
              <w:rPr>
                <w:rFonts w:ascii="宋体"/>
              </w:rPr>
            </w:pPr>
          </w:p>
        </w:tc>
        <w:tc>
          <w:tcPr>
            <w:tcW w:w="50" w:type="pct"/>
            <w:shd w:val="clear" w:color="auto" w:fill="auto"/>
            <w:vAlign w:val="bottom"/>
          </w:tcPr>
          <w:p w14:paraId="5A1AF985" w14:textId="77777777" w:rsidR="00960BB8" w:rsidRDefault="00960BB8">
            <w:pPr>
              <w:rPr>
                <w:rFonts w:ascii="宋体"/>
              </w:rPr>
            </w:pPr>
          </w:p>
        </w:tc>
        <w:tc>
          <w:tcPr>
            <w:tcW w:w="481" w:type="pct"/>
            <w:shd w:val="clear" w:color="auto" w:fill="auto"/>
            <w:vAlign w:val="bottom"/>
          </w:tcPr>
          <w:p w14:paraId="5A1AF986" w14:textId="77777777" w:rsidR="00960BB8" w:rsidRDefault="00960BB8">
            <w:pPr>
              <w:rPr>
                <w:rFonts w:ascii="宋体"/>
              </w:rPr>
            </w:pPr>
          </w:p>
        </w:tc>
        <w:tc>
          <w:tcPr>
            <w:tcW w:w="5" w:type="pct"/>
            <w:shd w:val="clear" w:color="auto" w:fill="auto"/>
            <w:vAlign w:val="bottom"/>
          </w:tcPr>
          <w:p w14:paraId="5A1AF987" w14:textId="77777777" w:rsidR="00960BB8" w:rsidRDefault="00960BB8">
            <w:pPr>
              <w:rPr>
                <w:rFonts w:ascii="宋体"/>
              </w:rPr>
            </w:pPr>
          </w:p>
        </w:tc>
        <w:tc>
          <w:tcPr>
            <w:tcW w:w="50" w:type="pct"/>
            <w:shd w:val="clear" w:color="auto" w:fill="auto"/>
            <w:vAlign w:val="bottom"/>
          </w:tcPr>
          <w:p w14:paraId="5A1AF988" w14:textId="77777777" w:rsidR="00960BB8" w:rsidRDefault="00960BB8">
            <w:pPr>
              <w:rPr>
                <w:rFonts w:ascii="宋体"/>
              </w:rPr>
            </w:pPr>
          </w:p>
        </w:tc>
        <w:tc>
          <w:tcPr>
            <w:tcW w:w="481" w:type="pct"/>
            <w:shd w:val="clear" w:color="auto" w:fill="auto"/>
            <w:vAlign w:val="bottom"/>
          </w:tcPr>
          <w:p w14:paraId="5A1AF989" w14:textId="77777777" w:rsidR="00960BB8" w:rsidRDefault="00960BB8">
            <w:pPr>
              <w:rPr>
                <w:rFonts w:ascii="宋体"/>
              </w:rPr>
            </w:pPr>
          </w:p>
        </w:tc>
        <w:tc>
          <w:tcPr>
            <w:tcW w:w="5" w:type="pct"/>
            <w:shd w:val="clear" w:color="auto" w:fill="auto"/>
            <w:vAlign w:val="bottom"/>
          </w:tcPr>
          <w:p w14:paraId="5A1AF98A" w14:textId="77777777" w:rsidR="00960BB8" w:rsidRDefault="00960BB8">
            <w:pPr>
              <w:rPr>
                <w:rFonts w:ascii="宋体"/>
              </w:rPr>
            </w:pPr>
          </w:p>
        </w:tc>
      </w:tr>
      <w:tr w:rsidR="00960BB8" w14:paraId="5A1AF991" w14:textId="77777777">
        <w:tc>
          <w:tcPr>
            <w:tcW w:w="0" w:type="auto"/>
            <w:gridSpan w:val="3"/>
            <w:shd w:val="clear" w:color="auto" w:fill="auto"/>
            <w:tcMar>
              <w:top w:w="40" w:type="dxa"/>
              <w:left w:w="20" w:type="dxa"/>
              <w:bottom w:w="40" w:type="dxa"/>
              <w:right w:w="20" w:type="dxa"/>
            </w:tcMar>
            <w:vAlign w:val="bottom"/>
          </w:tcPr>
          <w:p w14:paraId="5A1AF98C"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AF98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8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8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90" w14:textId="77777777" w:rsidR="00960BB8" w:rsidRDefault="00960BB8">
            <w:pPr>
              <w:rPr>
                <w:rFonts w:ascii="宋体"/>
              </w:rPr>
            </w:pPr>
          </w:p>
        </w:tc>
      </w:tr>
      <w:tr w:rsidR="00960BB8" w14:paraId="5A1AF999"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5A1AF992"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AF993" w14:textId="77777777" w:rsidR="00960BB8" w:rsidRDefault="00C06650">
            <w:pPr>
              <w:jc w:val="right"/>
              <w:textAlignment w:val="bottom"/>
            </w:pPr>
            <w:r>
              <w:rPr>
                <w:rFonts w:ascii="Arial" w:eastAsia="宋体" w:hAnsi="Arial" w:cs="Arial"/>
                <w:b/>
                <w:bCs/>
                <w:color w:val="0068B5"/>
                <w:sz w:val="18"/>
                <w:szCs w:val="18"/>
              </w:rPr>
              <w:t>2,288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AF99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95"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AF996" w14:textId="77777777" w:rsidR="00960BB8" w:rsidRDefault="00C06650">
            <w:pPr>
              <w:textAlignment w:val="bottom"/>
            </w:pPr>
            <w:r>
              <w:rPr>
                <w:rFonts w:ascii="Arial" w:eastAsia="宋体" w:hAnsi="Arial" w:cs="Arial"/>
                <w:b/>
                <w:bCs/>
                <w:color w:val="262626"/>
                <w:sz w:val="18"/>
                <w:szCs w:val="18"/>
              </w:rPr>
              <w:t>2022 Operating Income</w:t>
            </w:r>
          </w:p>
        </w:tc>
        <w:tc>
          <w:tcPr>
            <w:tcW w:w="0" w:type="auto"/>
            <w:gridSpan w:val="3"/>
            <w:shd w:val="clear" w:color="auto" w:fill="auto"/>
            <w:tcMar>
              <w:top w:w="0" w:type="dxa"/>
              <w:left w:w="20" w:type="dxa"/>
              <w:bottom w:w="0" w:type="dxa"/>
              <w:right w:w="20" w:type="dxa"/>
            </w:tcMar>
            <w:vAlign w:val="bottom"/>
          </w:tcPr>
          <w:p w14:paraId="5A1AF99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98" w14:textId="77777777" w:rsidR="00960BB8" w:rsidRDefault="00960BB8">
            <w:pPr>
              <w:rPr>
                <w:rFonts w:ascii="宋体"/>
              </w:rPr>
            </w:pPr>
          </w:p>
        </w:tc>
      </w:tr>
      <w:tr w:rsidR="00960BB8" w14:paraId="5A1AF9A0" w14:textId="77777777">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99A" w14:textId="77777777" w:rsidR="00960BB8" w:rsidRDefault="00C06650">
            <w:pPr>
              <w:jc w:val="right"/>
              <w:textAlignment w:val="bottom"/>
            </w:pPr>
            <w:r>
              <w:rPr>
                <w:rFonts w:ascii="Arial" w:eastAsia="宋体" w:hAnsi="Arial" w:cs="Arial"/>
                <w:color w:val="0068B5"/>
                <w:sz w:val="18"/>
                <w:szCs w:val="18"/>
              </w:rPr>
              <w:t>(3,330)</w:t>
            </w:r>
          </w:p>
        </w:tc>
        <w:tc>
          <w:tcPr>
            <w:tcW w:w="0" w:type="auto"/>
            <w:tcBorders>
              <w:top w:val="single" w:sz="4" w:space="0" w:color="262626"/>
            </w:tcBorders>
            <w:shd w:val="clear" w:color="auto" w:fill="auto"/>
            <w:tcMar>
              <w:top w:w="40" w:type="dxa"/>
              <w:left w:w="0" w:type="dxa"/>
              <w:bottom w:w="40" w:type="dxa"/>
              <w:right w:w="20" w:type="dxa"/>
            </w:tcMar>
            <w:vAlign w:val="bottom"/>
          </w:tcPr>
          <w:p w14:paraId="5A1AF99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9C" w14:textId="77777777" w:rsidR="00960BB8" w:rsidRDefault="00960BB8">
            <w:pPr>
              <w:rPr>
                <w:rFonts w:ascii="宋体"/>
              </w:rPr>
            </w:pPr>
          </w:p>
        </w:tc>
        <w:tc>
          <w:tcPr>
            <w:tcW w:w="0" w:type="auto"/>
            <w:gridSpan w:val="3"/>
            <w:tcBorders>
              <w:top w:val="single" w:sz="8" w:space="0" w:color="6D6D6D"/>
            </w:tcBorders>
            <w:shd w:val="clear" w:color="auto" w:fill="auto"/>
            <w:tcMar>
              <w:top w:w="40" w:type="dxa"/>
              <w:left w:w="20" w:type="dxa"/>
              <w:bottom w:w="40" w:type="dxa"/>
              <w:right w:w="20" w:type="dxa"/>
            </w:tcMar>
            <w:vAlign w:val="center"/>
          </w:tcPr>
          <w:p w14:paraId="5A1AF99D" w14:textId="77777777" w:rsidR="00960BB8" w:rsidRDefault="00C06650">
            <w:pPr>
              <w:textAlignment w:val="center"/>
            </w:pPr>
            <w:r>
              <w:rPr>
                <w:rFonts w:ascii="Arial" w:eastAsia="宋体" w:hAnsi="Arial" w:cs="Arial"/>
                <w:color w:val="262626"/>
                <w:sz w:val="18"/>
                <w:szCs w:val="18"/>
              </w:rPr>
              <w:t>Lower gross margin from server revenue</w:t>
            </w:r>
          </w:p>
        </w:tc>
        <w:tc>
          <w:tcPr>
            <w:tcW w:w="0" w:type="auto"/>
            <w:gridSpan w:val="3"/>
            <w:shd w:val="clear" w:color="auto" w:fill="auto"/>
            <w:tcMar>
              <w:top w:w="0" w:type="dxa"/>
              <w:left w:w="20" w:type="dxa"/>
              <w:bottom w:w="0" w:type="dxa"/>
              <w:right w:w="20" w:type="dxa"/>
            </w:tcMar>
            <w:vAlign w:val="bottom"/>
          </w:tcPr>
          <w:p w14:paraId="5A1AF99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9F" w14:textId="77777777" w:rsidR="00960BB8" w:rsidRDefault="00960BB8">
            <w:pPr>
              <w:rPr>
                <w:rFonts w:ascii="宋体"/>
              </w:rPr>
            </w:pPr>
          </w:p>
        </w:tc>
      </w:tr>
      <w:tr w:rsidR="00960BB8" w14:paraId="5A1AF9A7" w14:textId="77777777">
        <w:tc>
          <w:tcPr>
            <w:tcW w:w="0" w:type="auto"/>
            <w:gridSpan w:val="2"/>
            <w:shd w:val="clear" w:color="auto" w:fill="auto"/>
            <w:tcMar>
              <w:top w:w="40" w:type="dxa"/>
              <w:left w:w="20" w:type="dxa"/>
              <w:bottom w:w="40" w:type="dxa"/>
              <w:right w:w="0" w:type="dxa"/>
            </w:tcMar>
          </w:tcPr>
          <w:p w14:paraId="5A1AF9A1" w14:textId="77777777" w:rsidR="00960BB8" w:rsidRDefault="00C06650">
            <w:pPr>
              <w:jc w:val="right"/>
              <w:textAlignment w:val="top"/>
            </w:pPr>
            <w:r>
              <w:rPr>
                <w:rFonts w:ascii="Arial" w:eastAsia="宋体" w:hAnsi="Arial" w:cs="Arial"/>
                <w:color w:val="0068B5"/>
                <w:sz w:val="18"/>
                <w:szCs w:val="18"/>
              </w:rPr>
              <w:t>(1,139)</w:t>
            </w:r>
          </w:p>
        </w:tc>
        <w:tc>
          <w:tcPr>
            <w:tcW w:w="0" w:type="auto"/>
            <w:shd w:val="clear" w:color="auto" w:fill="auto"/>
            <w:tcMar>
              <w:top w:w="40" w:type="dxa"/>
              <w:left w:w="0" w:type="dxa"/>
              <w:bottom w:w="40" w:type="dxa"/>
              <w:right w:w="20" w:type="dxa"/>
            </w:tcMar>
          </w:tcPr>
          <w:p w14:paraId="5A1AF9A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A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9A4" w14:textId="77777777" w:rsidR="00960BB8" w:rsidRDefault="00C06650">
            <w:pPr>
              <w:textAlignment w:val="center"/>
            </w:pPr>
            <w:r>
              <w:rPr>
                <w:rFonts w:ascii="Arial" w:eastAsia="宋体" w:hAnsi="Arial" w:cs="Arial"/>
                <w:color w:val="262626"/>
                <w:sz w:val="18"/>
                <w:szCs w:val="18"/>
              </w:rPr>
              <w:t xml:space="preserve">Higher period </w:t>
            </w:r>
            <w:r>
              <w:rPr>
                <w:rFonts w:ascii="Arial" w:eastAsia="宋体" w:hAnsi="Arial" w:cs="Arial"/>
                <w:color w:val="262626"/>
                <w:sz w:val="18"/>
                <w:szCs w:val="18"/>
              </w:rPr>
              <w:t>charges primarily associated with the ramp up of Intel 4</w:t>
            </w:r>
          </w:p>
        </w:tc>
        <w:tc>
          <w:tcPr>
            <w:tcW w:w="0" w:type="auto"/>
            <w:gridSpan w:val="3"/>
            <w:shd w:val="clear" w:color="auto" w:fill="auto"/>
            <w:tcMar>
              <w:top w:w="0" w:type="dxa"/>
              <w:left w:w="20" w:type="dxa"/>
              <w:bottom w:w="0" w:type="dxa"/>
              <w:right w:w="20" w:type="dxa"/>
            </w:tcMar>
            <w:vAlign w:val="bottom"/>
          </w:tcPr>
          <w:p w14:paraId="5A1AF9A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A6" w14:textId="77777777" w:rsidR="00960BB8" w:rsidRDefault="00960BB8">
            <w:pPr>
              <w:rPr>
                <w:rFonts w:ascii="宋体"/>
              </w:rPr>
            </w:pPr>
          </w:p>
        </w:tc>
      </w:tr>
      <w:tr w:rsidR="00960BB8" w14:paraId="5A1AF9AE" w14:textId="77777777">
        <w:tc>
          <w:tcPr>
            <w:tcW w:w="0" w:type="auto"/>
            <w:gridSpan w:val="2"/>
            <w:shd w:val="clear" w:color="auto" w:fill="auto"/>
            <w:tcMar>
              <w:top w:w="40" w:type="dxa"/>
              <w:left w:w="20" w:type="dxa"/>
              <w:bottom w:w="40" w:type="dxa"/>
              <w:right w:w="0" w:type="dxa"/>
            </w:tcMar>
            <w:vAlign w:val="bottom"/>
          </w:tcPr>
          <w:p w14:paraId="5A1AF9A8" w14:textId="77777777" w:rsidR="00960BB8" w:rsidRDefault="00C06650">
            <w:pPr>
              <w:jc w:val="right"/>
              <w:textAlignment w:val="bottom"/>
            </w:pPr>
            <w:r>
              <w:rPr>
                <w:rFonts w:ascii="Arial" w:eastAsia="宋体" w:hAnsi="Arial" w:cs="Arial"/>
                <w:color w:val="0068B5"/>
                <w:sz w:val="18"/>
                <w:szCs w:val="18"/>
              </w:rPr>
              <w:t>(1,001)</w:t>
            </w:r>
          </w:p>
        </w:tc>
        <w:tc>
          <w:tcPr>
            <w:tcW w:w="0" w:type="auto"/>
            <w:shd w:val="clear" w:color="auto" w:fill="auto"/>
            <w:tcMar>
              <w:top w:w="40" w:type="dxa"/>
              <w:left w:w="0" w:type="dxa"/>
              <w:bottom w:w="40" w:type="dxa"/>
              <w:right w:w="20" w:type="dxa"/>
            </w:tcMar>
            <w:vAlign w:val="bottom"/>
          </w:tcPr>
          <w:p w14:paraId="5A1AF9A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A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9AB" w14:textId="77777777" w:rsidR="00960BB8" w:rsidRDefault="00C06650">
            <w:pPr>
              <w:textAlignment w:val="center"/>
            </w:pPr>
            <w:r>
              <w:rPr>
                <w:rFonts w:ascii="Arial" w:eastAsia="宋体" w:hAnsi="Arial" w:cs="Arial"/>
                <w:color w:val="262626"/>
                <w:sz w:val="18"/>
                <w:szCs w:val="18"/>
              </w:rPr>
              <w:t>Higher operating expenses driven by increased investments in leadership products</w:t>
            </w:r>
          </w:p>
        </w:tc>
        <w:tc>
          <w:tcPr>
            <w:tcW w:w="0" w:type="auto"/>
            <w:gridSpan w:val="3"/>
            <w:shd w:val="clear" w:color="auto" w:fill="auto"/>
            <w:tcMar>
              <w:top w:w="0" w:type="dxa"/>
              <w:left w:w="20" w:type="dxa"/>
              <w:bottom w:w="0" w:type="dxa"/>
              <w:right w:w="20" w:type="dxa"/>
            </w:tcMar>
            <w:vAlign w:val="bottom"/>
          </w:tcPr>
          <w:p w14:paraId="5A1AF9A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AD" w14:textId="77777777" w:rsidR="00960BB8" w:rsidRDefault="00960BB8">
            <w:pPr>
              <w:rPr>
                <w:rFonts w:ascii="宋体"/>
              </w:rPr>
            </w:pPr>
          </w:p>
        </w:tc>
      </w:tr>
      <w:tr w:rsidR="00960BB8" w14:paraId="5A1AF9B5" w14:textId="77777777">
        <w:tc>
          <w:tcPr>
            <w:tcW w:w="0" w:type="auto"/>
            <w:gridSpan w:val="2"/>
            <w:shd w:val="clear" w:color="auto" w:fill="auto"/>
            <w:tcMar>
              <w:top w:w="40" w:type="dxa"/>
              <w:left w:w="20" w:type="dxa"/>
              <w:bottom w:w="40" w:type="dxa"/>
              <w:right w:w="0" w:type="dxa"/>
            </w:tcMar>
            <w:vAlign w:val="bottom"/>
          </w:tcPr>
          <w:p w14:paraId="5A1AF9AF" w14:textId="77777777" w:rsidR="00960BB8" w:rsidRDefault="00C06650">
            <w:pPr>
              <w:jc w:val="right"/>
              <w:textAlignment w:val="bottom"/>
            </w:pPr>
            <w:r>
              <w:rPr>
                <w:rFonts w:ascii="Arial" w:eastAsia="宋体" w:hAnsi="Arial" w:cs="Arial"/>
                <w:color w:val="0068B5"/>
                <w:sz w:val="18"/>
                <w:szCs w:val="18"/>
              </w:rPr>
              <w:t>(671)</w:t>
            </w:r>
          </w:p>
        </w:tc>
        <w:tc>
          <w:tcPr>
            <w:tcW w:w="0" w:type="auto"/>
            <w:shd w:val="clear" w:color="auto" w:fill="auto"/>
            <w:tcMar>
              <w:top w:w="40" w:type="dxa"/>
              <w:left w:w="0" w:type="dxa"/>
              <w:bottom w:w="40" w:type="dxa"/>
              <w:right w:w="20" w:type="dxa"/>
            </w:tcMar>
            <w:vAlign w:val="bottom"/>
          </w:tcPr>
          <w:p w14:paraId="5A1AF9B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B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9B2" w14:textId="77777777" w:rsidR="00960BB8" w:rsidRDefault="00C06650">
            <w:pPr>
              <w:textAlignment w:val="center"/>
            </w:pPr>
            <w:r>
              <w:rPr>
                <w:rFonts w:ascii="Arial" w:eastAsia="宋体" w:hAnsi="Arial" w:cs="Arial"/>
                <w:color w:val="262626"/>
                <w:sz w:val="18"/>
                <w:szCs w:val="18"/>
              </w:rPr>
              <w:t>Higher server unit cost from increased mix of 10nm SuperFin products</w:t>
            </w:r>
          </w:p>
        </w:tc>
        <w:tc>
          <w:tcPr>
            <w:tcW w:w="0" w:type="auto"/>
            <w:gridSpan w:val="3"/>
            <w:shd w:val="clear" w:color="auto" w:fill="auto"/>
            <w:tcMar>
              <w:top w:w="0" w:type="dxa"/>
              <w:left w:w="20" w:type="dxa"/>
              <w:bottom w:w="0" w:type="dxa"/>
              <w:right w:w="20" w:type="dxa"/>
            </w:tcMar>
            <w:vAlign w:val="bottom"/>
          </w:tcPr>
          <w:p w14:paraId="5A1AF9B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B4" w14:textId="77777777" w:rsidR="00960BB8" w:rsidRDefault="00960BB8">
            <w:pPr>
              <w:rPr>
                <w:rFonts w:ascii="宋体"/>
              </w:rPr>
            </w:pPr>
          </w:p>
        </w:tc>
      </w:tr>
      <w:tr w:rsidR="00960BB8" w14:paraId="5A1AF9BC" w14:textId="77777777">
        <w:tc>
          <w:tcPr>
            <w:tcW w:w="0" w:type="auto"/>
            <w:gridSpan w:val="2"/>
            <w:shd w:val="clear" w:color="auto" w:fill="auto"/>
            <w:tcMar>
              <w:top w:w="40" w:type="dxa"/>
              <w:left w:w="20" w:type="dxa"/>
              <w:bottom w:w="40" w:type="dxa"/>
              <w:right w:w="0" w:type="dxa"/>
            </w:tcMar>
            <w:vAlign w:val="bottom"/>
          </w:tcPr>
          <w:p w14:paraId="5A1AF9B6" w14:textId="77777777" w:rsidR="00960BB8" w:rsidRDefault="00C06650">
            <w:pPr>
              <w:jc w:val="right"/>
              <w:textAlignment w:val="bottom"/>
            </w:pPr>
            <w:r>
              <w:rPr>
                <w:rFonts w:ascii="Arial" w:eastAsia="宋体" w:hAnsi="Arial" w:cs="Arial"/>
                <w:color w:val="0068B5"/>
                <w:sz w:val="18"/>
                <w:szCs w:val="18"/>
              </w:rPr>
              <w:t>(441)</w:t>
            </w:r>
          </w:p>
        </w:tc>
        <w:tc>
          <w:tcPr>
            <w:tcW w:w="0" w:type="auto"/>
            <w:shd w:val="clear" w:color="auto" w:fill="auto"/>
            <w:tcMar>
              <w:top w:w="40" w:type="dxa"/>
              <w:left w:w="0" w:type="dxa"/>
              <w:bottom w:w="40" w:type="dxa"/>
              <w:right w:w="20" w:type="dxa"/>
            </w:tcMar>
            <w:vAlign w:val="bottom"/>
          </w:tcPr>
          <w:p w14:paraId="5A1AF9B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B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9B9" w14:textId="77777777" w:rsidR="00960BB8" w:rsidRDefault="00C06650">
            <w:pPr>
              <w:textAlignment w:val="center"/>
            </w:pPr>
            <w:r>
              <w:rPr>
                <w:rFonts w:ascii="Arial" w:eastAsia="宋体" w:hAnsi="Arial" w:cs="Arial"/>
                <w:color w:val="262626"/>
                <w:sz w:val="18"/>
                <w:szCs w:val="18"/>
              </w:rPr>
              <w:t xml:space="preserve">Higher </w:t>
            </w:r>
            <w:r>
              <w:rPr>
                <w:rFonts w:ascii="Arial" w:eastAsia="宋体" w:hAnsi="Arial" w:cs="Arial"/>
                <w:color w:val="262626"/>
                <w:sz w:val="18"/>
                <w:szCs w:val="18"/>
              </w:rPr>
              <w:t>period charges driven by inventory reserves taken in 2022</w:t>
            </w:r>
          </w:p>
        </w:tc>
        <w:tc>
          <w:tcPr>
            <w:tcW w:w="0" w:type="auto"/>
            <w:gridSpan w:val="3"/>
            <w:shd w:val="clear" w:color="auto" w:fill="auto"/>
            <w:tcMar>
              <w:top w:w="0" w:type="dxa"/>
              <w:left w:w="20" w:type="dxa"/>
              <w:bottom w:w="0" w:type="dxa"/>
              <w:right w:w="20" w:type="dxa"/>
            </w:tcMar>
            <w:vAlign w:val="bottom"/>
          </w:tcPr>
          <w:p w14:paraId="5A1AF9B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BB" w14:textId="77777777" w:rsidR="00960BB8" w:rsidRDefault="00960BB8">
            <w:pPr>
              <w:rPr>
                <w:rFonts w:ascii="宋体"/>
              </w:rPr>
            </w:pPr>
          </w:p>
        </w:tc>
      </w:tr>
      <w:tr w:rsidR="00960BB8" w14:paraId="5A1AF9C3" w14:textId="77777777">
        <w:tc>
          <w:tcPr>
            <w:tcW w:w="0" w:type="auto"/>
            <w:gridSpan w:val="2"/>
            <w:shd w:val="clear" w:color="auto" w:fill="auto"/>
            <w:tcMar>
              <w:top w:w="40" w:type="dxa"/>
              <w:left w:w="20" w:type="dxa"/>
              <w:bottom w:w="40" w:type="dxa"/>
              <w:right w:w="0" w:type="dxa"/>
            </w:tcMar>
            <w:vAlign w:val="bottom"/>
          </w:tcPr>
          <w:p w14:paraId="5A1AF9BD" w14:textId="77777777" w:rsidR="00960BB8" w:rsidRDefault="00C06650">
            <w:pPr>
              <w:jc w:val="right"/>
              <w:textAlignment w:val="bottom"/>
            </w:pPr>
            <w:r>
              <w:rPr>
                <w:rFonts w:ascii="Arial" w:eastAsia="宋体" w:hAnsi="Arial" w:cs="Arial"/>
                <w:color w:val="0068B5"/>
                <w:sz w:val="18"/>
                <w:szCs w:val="18"/>
              </w:rPr>
              <w:t>(305)</w:t>
            </w:r>
          </w:p>
        </w:tc>
        <w:tc>
          <w:tcPr>
            <w:tcW w:w="0" w:type="auto"/>
            <w:shd w:val="clear" w:color="auto" w:fill="auto"/>
            <w:tcMar>
              <w:top w:w="40" w:type="dxa"/>
              <w:left w:w="0" w:type="dxa"/>
              <w:bottom w:w="40" w:type="dxa"/>
              <w:right w:w="20" w:type="dxa"/>
            </w:tcMar>
            <w:vAlign w:val="bottom"/>
          </w:tcPr>
          <w:p w14:paraId="5A1AF9B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B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9C0" w14:textId="77777777" w:rsidR="00960BB8" w:rsidRDefault="00C06650">
            <w:pPr>
              <w:textAlignment w:val="center"/>
            </w:pPr>
            <w:r>
              <w:rPr>
                <w:rFonts w:ascii="Arial" w:eastAsia="宋体" w:hAnsi="Arial" w:cs="Arial"/>
                <w:color w:val="262626"/>
                <w:sz w:val="18"/>
                <w:szCs w:val="18"/>
              </w:rPr>
              <w:t>Higher other period charges primarily related to product development costs</w:t>
            </w:r>
          </w:p>
        </w:tc>
        <w:tc>
          <w:tcPr>
            <w:tcW w:w="0" w:type="auto"/>
            <w:gridSpan w:val="3"/>
            <w:shd w:val="clear" w:color="auto" w:fill="auto"/>
            <w:tcMar>
              <w:top w:w="0" w:type="dxa"/>
              <w:left w:w="20" w:type="dxa"/>
              <w:bottom w:w="0" w:type="dxa"/>
              <w:right w:w="20" w:type="dxa"/>
            </w:tcMar>
            <w:vAlign w:val="bottom"/>
          </w:tcPr>
          <w:p w14:paraId="5A1AF9C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C2" w14:textId="77777777" w:rsidR="00960BB8" w:rsidRDefault="00960BB8">
            <w:pPr>
              <w:rPr>
                <w:rFonts w:ascii="宋体"/>
              </w:rPr>
            </w:pPr>
          </w:p>
        </w:tc>
      </w:tr>
      <w:tr w:rsidR="00960BB8" w14:paraId="5A1AF9CA" w14:textId="77777777">
        <w:tc>
          <w:tcPr>
            <w:tcW w:w="0" w:type="auto"/>
            <w:gridSpan w:val="2"/>
            <w:shd w:val="clear" w:color="auto" w:fill="auto"/>
            <w:tcMar>
              <w:top w:w="40" w:type="dxa"/>
              <w:left w:w="20" w:type="dxa"/>
              <w:bottom w:w="40" w:type="dxa"/>
              <w:right w:w="0" w:type="dxa"/>
            </w:tcMar>
            <w:vAlign w:val="bottom"/>
          </w:tcPr>
          <w:p w14:paraId="5A1AF9C4" w14:textId="77777777" w:rsidR="00960BB8" w:rsidRDefault="00C06650">
            <w:pPr>
              <w:jc w:val="right"/>
              <w:textAlignment w:val="bottom"/>
            </w:pPr>
            <w:r>
              <w:rPr>
                <w:rFonts w:ascii="Arial" w:eastAsia="宋体" w:hAnsi="Arial" w:cs="Arial"/>
                <w:color w:val="0068B5"/>
                <w:sz w:val="18"/>
                <w:szCs w:val="18"/>
              </w:rPr>
              <w:t>(189)</w:t>
            </w:r>
          </w:p>
        </w:tc>
        <w:tc>
          <w:tcPr>
            <w:tcW w:w="0" w:type="auto"/>
            <w:shd w:val="clear" w:color="auto" w:fill="auto"/>
            <w:tcMar>
              <w:top w:w="40" w:type="dxa"/>
              <w:left w:w="0" w:type="dxa"/>
              <w:bottom w:w="40" w:type="dxa"/>
              <w:right w:w="20" w:type="dxa"/>
            </w:tcMar>
            <w:vAlign w:val="bottom"/>
          </w:tcPr>
          <w:p w14:paraId="5A1AF9C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C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9C7" w14:textId="77777777" w:rsidR="00960BB8" w:rsidRDefault="00C06650">
            <w:pPr>
              <w:textAlignment w:val="center"/>
            </w:pPr>
            <w:r>
              <w:rPr>
                <w:rFonts w:ascii="Arial" w:eastAsia="宋体" w:hAnsi="Arial" w:cs="Arial"/>
                <w:color w:val="262626"/>
                <w:sz w:val="18"/>
                <w:szCs w:val="18"/>
              </w:rPr>
              <w:t>Higher period charges related to excess capacity charges</w:t>
            </w:r>
          </w:p>
        </w:tc>
        <w:tc>
          <w:tcPr>
            <w:tcW w:w="0" w:type="auto"/>
            <w:gridSpan w:val="3"/>
            <w:shd w:val="clear" w:color="auto" w:fill="auto"/>
            <w:tcMar>
              <w:top w:w="0" w:type="dxa"/>
              <w:left w:w="20" w:type="dxa"/>
              <w:bottom w:w="0" w:type="dxa"/>
              <w:right w:w="20" w:type="dxa"/>
            </w:tcMar>
            <w:vAlign w:val="bottom"/>
          </w:tcPr>
          <w:p w14:paraId="5A1AF9C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C9" w14:textId="77777777" w:rsidR="00960BB8" w:rsidRDefault="00960BB8">
            <w:pPr>
              <w:rPr>
                <w:rFonts w:ascii="宋体"/>
              </w:rPr>
            </w:pPr>
          </w:p>
        </w:tc>
      </w:tr>
      <w:tr w:rsidR="00960BB8" w14:paraId="5A1AF9D1" w14:textId="77777777">
        <w:tc>
          <w:tcPr>
            <w:tcW w:w="0" w:type="auto"/>
            <w:gridSpan w:val="2"/>
            <w:shd w:val="clear" w:color="auto" w:fill="auto"/>
            <w:tcMar>
              <w:top w:w="40" w:type="dxa"/>
              <w:left w:w="20" w:type="dxa"/>
              <w:bottom w:w="40" w:type="dxa"/>
              <w:right w:w="0" w:type="dxa"/>
            </w:tcMar>
            <w:vAlign w:val="bottom"/>
          </w:tcPr>
          <w:p w14:paraId="5A1AF9CB" w14:textId="77777777" w:rsidR="00960BB8" w:rsidRDefault="00C06650">
            <w:pPr>
              <w:jc w:val="right"/>
              <w:textAlignment w:val="bottom"/>
            </w:pPr>
            <w:r>
              <w:rPr>
                <w:rFonts w:ascii="Arial" w:eastAsia="宋体" w:hAnsi="Arial" w:cs="Arial"/>
                <w:color w:val="0068B5"/>
                <w:sz w:val="18"/>
                <w:szCs w:val="18"/>
              </w:rPr>
              <w:t>702 </w:t>
            </w:r>
          </w:p>
        </w:tc>
        <w:tc>
          <w:tcPr>
            <w:tcW w:w="0" w:type="auto"/>
            <w:shd w:val="clear" w:color="auto" w:fill="auto"/>
            <w:tcMar>
              <w:top w:w="40" w:type="dxa"/>
              <w:left w:w="0" w:type="dxa"/>
              <w:bottom w:w="40" w:type="dxa"/>
              <w:right w:w="20" w:type="dxa"/>
            </w:tcMar>
            <w:vAlign w:val="bottom"/>
          </w:tcPr>
          <w:p w14:paraId="5A1AF9C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C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9CE" w14:textId="77777777" w:rsidR="00960BB8" w:rsidRDefault="00C06650">
            <w:pPr>
              <w:textAlignment w:val="center"/>
            </w:pPr>
            <w:r>
              <w:rPr>
                <w:rFonts w:ascii="Arial" w:eastAsia="宋体" w:hAnsi="Arial" w:cs="Arial"/>
                <w:color w:val="262626"/>
                <w:sz w:val="18"/>
                <w:szCs w:val="18"/>
              </w:rPr>
              <w:t xml:space="preserve">Higher gross margin from DCAI </w:t>
            </w:r>
            <w:r>
              <w:rPr>
                <w:rFonts w:ascii="Arial" w:eastAsia="宋体" w:hAnsi="Arial" w:cs="Arial"/>
                <w:color w:val="262626"/>
                <w:sz w:val="18"/>
                <w:szCs w:val="18"/>
              </w:rPr>
              <w:t>other product revenue</w:t>
            </w:r>
          </w:p>
        </w:tc>
        <w:tc>
          <w:tcPr>
            <w:tcW w:w="0" w:type="auto"/>
            <w:gridSpan w:val="3"/>
            <w:shd w:val="clear" w:color="auto" w:fill="auto"/>
            <w:tcMar>
              <w:top w:w="0" w:type="dxa"/>
              <w:left w:w="20" w:type="dxa"/>
              <w:bottom w:w="0" w:type="dxa"/>
              <w:right w:w="20" w:type="dxa"/>
            </w:tcMar>
            <w:vAlign w:val="bottom"/>
          </w:tcPr>
          <w:p w14:paraId="5A1AF9C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D0" w14:textId="77777777" w:rsidR="00960BB8" w:rsidRDefault="00960BB8">
            <w:pPr>
              <w:rPr>
                <w:rFonts w:ascii="宋体"/>
              </w:rPr>
            </w:pPr>
          </w:p>
        </w:tc>
      </w:tr>
      <w:tr w:rsidR="00960BB8" w14:paraId="5A1AF9D8" w14:textId="77777777">
        <w:tc>
          <w:tcPr>
            <w:tcW w:w="0" w:type="auto"/>
            <w:gridSpan w:val="2"/>
            <w:shd w:val="clear" w:color="auto" w:fill="auto"/>
            <w:tcMar>
              <w:top w:w="40" w:type="dxa"/>
              <w:left w:w="20" w:type="dxa"/>
              <w:bottom w:w="40" w:type="dxa"/>
              <w:right w:w="0" w:type="dxa"/>
            </w:tcMar>
            <w:vAlign w:val="bottom"/>
          </w:tcPr>
          <w:p w14:paraId="5A1AF9D2" w14:textId="77777777" w:rsidR="00960BB8" w:rsidRDefault="00C06650">
            <w:pPr>
              <w:jc w:val="right"/>
              <w:textAlignment w:val="bottom"/>
            </w:pPr>
            <w:r>
              <w:rPr>
                <w:rFonts w:ascii="Arial" w:eastAsia="宋体" w:hAnsi="Arial" w:cs="Arial"/>
                <w:color w:val="0068B5"/>
                <w:sz w:val="18"/>
                <w:szCs w:val="18"/>
              </w:rPr>
              <w:t>223 </w:t>
            </w:r>
          </w:p>
        </w:tc>
        <w:tc>
          <w:tcPr>
            <w:tcW w:w="0" w:type="auto"/>
            <w:shd w:val="clear" w:color="auto" w:fill="auto"/>
            <w:tcMar>
              <w:top w:w="40" w:type="dxa"/>
              <w:left w:w="0" w:type="dxa"/>
              <w:bottom w:w="40" w:type="dxa"/>
              <w:right w:w="20" w:type="dxa"/>
            </w:tcMar>
            <w:vAlign w:val="bottom"/>
          </w:tcPr>
          <w:p w14:paraId="5A1AF9D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D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9D5" w14:textId="77777777" w:rsidR="00960BB8" w:rsidRDefault="00C06650">
            <w:pPr>
              <w:textAlignment w:val="center"/>
            </w:pPr>
            <w:r>
              <w:rPr>
                <w:rFonts w:ascii="Arial" w:eastAsia="宋体" w:hAnsi="Arial" w:cs="Arial"/>
                <w:color w:val="262626"/>
                <w:sz w:val="18"/>
                <w:szCs w:val="18"/>
              </w:rPr>
              <w:t>Lower period charges due to a benefit related to insurance proceeds received for business interruption and property damage that occurred in 2020</w:t>
            </w:r>
          </w:p>
        </w:tc>
        <w:tc>
          <w:tcPr>
            <w:tcW w:w="0" w:type="auto"/>
            <w:gridSpan w:val="3"/>
            <w:shd w:val="clear" w:color="auto" w:fill="auto"/>
            <w:tcMar>
              <w:top w:w="0" w:type="dxa"/>
              <w:left w:w="20" w:type="dxa"/>
              <w:bottom w:w="0" w:type="dxa"/>
              <w:right w:w="20" w:type="dxa"/>
            </w:tcMar>
            <w:vAlign w:val="bottom"/>
          </w:tcPr>
          <w:p w14:paraId="5A1AF9D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D7" w14:textId="77777777" w:rsidR="00960BB8" w:rsidRDefault="00960BB8">
            <w:pPr>
              <w:rPr>
                <w:rFonts w:ascii="宋体"/>
              </w:rPr>
            </w:pPr>
          </w:p>
        </w:tc>
      </w:tr>
      <w:tr w:rsidR="00960BB8" w14:paraId="5A1AF9E0"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5A1AF9D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AF9DA" w14:textId="77777777" w:rsidR="00960BB8" w:rsidRDefault="00C06650">
            <w:pPr>
              <w:jc w:val="right"/>
              <w:textAlignment w:val="bottom"/>
            </w:pPr>
            <w:r>
              <w:rPr>
                <w:rFonts w:ascii="Arial" w:eastAsia="宋体" w:hAnsi="Arial" w:cs="Arial"/>
                <w:b/>
                <w:bCs/>
                <w:color w:val="262626"/>
                <w:sz w:val="18"/>
                <w:szCs w:val="18"/>
              </w:rPr>
              <w:t>8,439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9D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DC"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AF9DD" w14:textId="77777777" w:rsidR="00960BB8" w:rsidRDefault="00C06650">
            <w:pPr>
              <w:textAlignment w:val="bottom"/>
            </w:pPr>
            <w:r>
              <w:rPr>
                <w:rFonts w:ascii="Arial" w:eastAsia="宋体" w:hAnsi="Arial" w:cs="Arial"/>
                <w:b/>
                <w:bCs/>
                <w:color w:val="262626"/>
                <w:sz w:val="18"/>
                <w:szCs w:val="18"/>
              </w:rPr>
              <w:t>2021 Operating Income</w:t>
            </w:r>
          </w:p>
        </w:tc>
        <w:tc>
          <w:tcPr>
            <w:tcW w:w="0" w:type="auto"/>
            <w:gridSpan w:val="3"/>
            <w:shd w:val="clear" w:color="auto" w:fill="auto"/>
            <w:tcMar>
              <w:top w:w="0" w:type="dxa"/>
              <w:left w:w="20" w:type="dxa"/>
              <w:bottom w:w="0" w:type="dxa"/>
              <w:right w:w="20" w:type="dxa"/>
            </w:tcMar>
            <w:vAlign w:val="bottom"/>
          </w:tcPr>
          <w:p w14:paraId="5A1AF9D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DF" w14:textId="77777777" w:rsidR="00960BB8" w:rsidRDefault="00960BB8">
            <w:pPr>
              <w:rPr>
                <w:rFonts w:ascii="宋体"/>
              </w:rPr>
            </w:pPr>
          </w:p>
        </w:tc>
      </w:tr>
      <w:tr w:rsidR="00960BB8" w14:paraId="5A1AF9E7" w14:textId="77777777">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9E1" w14:textId="77777777" w:rsidR="00960BB8" w:rsidRDefault="00C06650">
            <w:pPr>
              <w:jc w:val="right"/>
              <w:textAlignment w:val="bottom"/>
            </w:pPr>
            <w:r>
              <w:rPr>
                <w:rFonts w:ascii="Arial" w:eastAsia="宋体" w:hAnsi="Arial" w:cs="Arial"/>
                <w:color w:val="262626"/>
                <w:sz w:val="18"/>
                <w:szCs w:val="18"/>
              </w:rPr>
              <w:t>(1,050)</w:t>
            </w:r>
          </w:p>
        </w:tc>
        <w:tc>
          <w:tcPr>
            <w:tcW w:w="0" w:type="auto"/>
            <w:tcBorders>
              <w:top w:val="single" w:sz="4" w:space="0" w:color="262626"/>
            </w:tcBorders>
            <w:shd w:val="clear" w:color="auto" w:fill="auto"/>
            <w:tcMar>
              <w:top w:w="40" w:type="dxa"/>
              <w:left w:w="0" w:type="dxa"/>
              <w:bottom w:w="40" w:type="dxa"/>
              <w:right w:w="20" w:type="dxa"/>
            </w:tcMar>
            <w:vAlign w:val="bottom"/>
          </w:tcPr>
          <w:p w14:paraId="5A1AF9E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E3" w14:textId="77777777" w:rsidR="00960BB8" w:rsidRDefault="00960BB8">
            <w:pPr>
              <w:rPr>
                <w:rFonts w:ascii="宋体"/>
              </w:rPr>
            </w:pPr>
          </w:p>
        </w:tc>
        <w:tc>
          <w:tcPr>
            <w:tcW w:w="0" w:type="auto"/>
            <w:gridSpan w:val="3"/>
            <w:tcBorders>
              <w:top w:val="single" w:sz="8" w:space="0" w:color="6D6D6D"/>
            </w:tcBorders>
            <w:shd w:val="clear" w:color="auto" w:fill="auto"/>
            <w:tcMar>
              <w:top w:w="40" w:type="dxa"/>
              <w:left w:w="20" w:type="dxa"/>
              <w:bottom w:w="40" w:type="dxa"/>
              <w:right w:w="20" w:type="dxa"/>
            </w:tcMar>
            <w:vAlign w:val="center"/>
          </w:tcPr>
          <w:p w14:paraId="5A1AF9E4" w14:textId="77777777" w:rsidR="00960BB8" w:rsidRDefault="00C06650">
            <w:pPr>
              <w:textAlignment w:val="center"/>
            </w:pPr>
            <w:r>
              <w:rPr>
                <w:rFonts w:ascii="Arial" w:eastAsia="宋体" w:hAnsi="Arial" w:cs="Arial"/>
                <w:color w:val="262626"/>
                <w:sz w:val="18"/>
                <w:szCs w:val="18"/>
              </w:rPr>
              <w:t xml:space="preserve">Higher DCAI server unit </w:t>
            </w:r>
            <w:r>
              <w:rPr>
                <w:rFonts w:ascii="Arial" w:eastAsia="宋体" w:hAnsi="Arial" w:cs="Arial"/>
                <w:color w:val="262626"/>
                <w:sz w:val="18"/>
                <w:szCs w:val="18"/>
              </w:rPr>
              <w:t>cost primarily from increased mix of 10nm SuperFin products</w:t>
            </w:r>
          </w:p>
        </w:tc>
        <w:tc>
          <w:tcPr>
            <w:tcW w:w="0" w:type="auto"/>
            <w:gridSpan w:val="3"/>
            <w:shd w:val="clear" w:color="auto" w:fill="auto"/>
            <w:tcMar>
              <w:top w:w="0" w:type="dxa"/>
              <w:left w:w="20" w:type="dxa"/>
              <w:bottom w:w="0" w:type="dxa"/>
              <w:right w:w="20" w:type="dxa"/>
            </w:tcMar>
            <w:vAlign w:val="bottom"/>
          </w:tcPr>
          <w:p w14:paraId="5A1AF9E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E6" w14:textId="77777777" w:rsidR="00960BB8" w:rsidRDefault="00960BB8">
            <w:pPr>
              <w:rPr>
                <w:rFonts w:ascii="宋体"/>
              </w:rPr>
            </w:pPr>
          </w:p>
        </w:tc>
      </w:tr>
      <w:tr w:rsidR="00960BB8" w14:paraId="5A1AF9EE" w14:textId="77777777">
        <w:tc>
          <w:tcPr>
            <w:tcW w:w="0" w:type="auto"/>
            <w:gridSpan w:val="2"/>
            <w:shd w:val="clear" w:color="auto" w:fill="auto"/>
            <w:tcMar>
              <w:top w:w="40" w:type="dxa"/>
              <w:left w:w="20" w:type="dxa"/>
              <w:bottom w:w="40" w:type="dxa"/>
              <w:right w:w="0" w:type="dxa"/>
            </w:tcMar>
          </w:tcPr>
          <w:p w14:paraId="5A1AF9E8" w14:textId="77777777" w:rsidR="00960BB8" w:rsidRDefault="00C06650">
            <w:pPr>
              <w:jc w:val="right"/>
              <w:textAlignment w:val="top"/>
            </w:pPr>
            <w:r>
              <w:rPr>
                <w:rFonts w:ascii="Arial" w:eastAsia="宋体" w:hAnsi="Arial" w:cs="Arial"/>
                <w:color w:val="262626"/>
                <w:sz w:val="18"/>
                <w:szCs w:val="18"/>
              </w:rPr>
              <w:t>(820)</w:t>
            </w:r>
          </w:p>
        </w:tc>
        <w:tc>
          <w:tcPr>
            <w:tcW w:w="0" w:type="auto"/>
            <w:shd w:val="clear" w:color="auto" w:fill="auto"/>
            <w:tcMar>
              <w:top w:w="40" w:type="dxa"/>
              <w:left w:w="0" w:type="dxa"/>
              <w:bottom w:w="40" w:type="dxa"/>
              <w:right w:w="20" w:type="dxa"/>
            </w:tcMar>
          </w:tcPr>
          <w:p w14:paraId="5A1AF9E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E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9EB" w14:textId="77777777" w:rsidR="00960BB8" w:rsidRDefault="00C06650">
            <w:pPr>
              <w:textAlignment w:val="center"/>
            </w:pPr>
            <w:r>
              <w:rPr>
                <w:rFonts w:ascii="Arial" w:eastAsia="宋体" w:hAnsi="Arial" w:cs="Arial"/>
                <w:color w:val="262626"/>
                <w:sz w:val="18"/>
                <w:szCs w:val="18"/>
              </w:rPr>
              <w:t>Higher period charges primarily driven by ramp up of Intel 4 and subsequent ramp down of 14nm</w:t>
            </w:r>
          </w:p>
        </w:tc>
        <w:tc>
          <w:tcPr>
            <w:tcW w:w="0" w:type="auto"/>
            <w:gridSpan w:val="3"/>
            <w:shd w:val="clear" w:color="auto" w:fill="auto"/>
            <w:tcMar>
              <w:top w:w="0" w:type="dxa"/>
              <w:left w:w="20" w:type="dxa"/>
              <w:bottom w:w="0" w:type="dxa"/>
              <w:right w:w="20" w:type="dxa"/>
            </w:tcMar>
            <w:vAlign w:val="bottom"/>
          </w:tcPr>
          <w:p w14:paraId="5A1AF9E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ED" w14:textId="77777777" w:rsidR="00960BB8" w:rsidRDefault="00960BB8">
            <w:pPr>
              <w:rPr>
                <w:rFonts w:ascii="宋体"/>
              </w:rPr>
            </w:pPr>
          </w:p>
        </w:tc>
      </w:tr>
      <w:tr w:rsidR="00960BB8" w14:paraId="5A1AF9F5" w14:textId="77777777">
        <w:tc>
          <w:tcPr>
            <w:tcW w:w="0" w:type="auto"/>
            <w:gridSpan w:val="2"/>
            <w:shd w:val="clear" w:color="auto" w:fill="auto"/>
            <w:tcMar>
              <w:top w:w="40" w:type="dxa"/>
              <w:left w:w="20" w:type="dxa"/>
              <w:bottom w:w="40" w:type="dxa"/>
              <w:right w:w="0" w:type="dxa"/>
            </w:tcMar>
            <w:vAlign w:val="bottom"/>
          </w:tcPr>
          <w:p w14:paraId="5A1AF9EF" w14:textId="77777777" w:rsidR="00960BB8" w:rsidRDefault="00C06650">
            <w:pPr>
              <w:jc w:val="right"/>
              <w:textAlignment w:val="bottom"/>
            </w:pPr>
            <w:r>
              <w:rPr>
                <w:rFonts w:ascii="Arial" w:eastAsia="宋体" w:hAnsi="Arial" w:cs="Arial"/>
                <w:color w:val="262626"/>
                <w:sz w:val="18"/>
                <w:szCs w:val="18"/>
              </w:rPr>
              <w:t>(725)</w:t>
            </w:r>
          </w:p>
        </w:tc>
        <w:tc>
          <w:tcPr>
            <w:tcW w:w="0" w:type="auto"/>
            <w:shd w:val="clear" w:color="auto" w:fill="auto"/>
            <w:tcMar>
              <w:top w:w="40" w:type="dxa"/>
              <w:left w:w="0" w:type="dxa"/>
              <w:bottom w:w="40" w:type="dxa"/>
              <w:right w:w="20" w:type="dxa"/>
            </w:tcMar>
            <w:vAlign w:val="bottom"/>
          </w:tcPr>
          <w:p w14:paraId="5A1AF9F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F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9F2" w14:textId="77777777" w:rsidR="00960BB8" w:rsidRDefault="00C06650">
            <w:pPr>
              <w:textAlignment w:val="center"/>
            </w:pPr>
            <w:r>
              <w:rPr>
                <w:rFonts w:ascii="Arial" w:eastAsia="宋体" w:hAnsi="Arial" w:cs="Arial"/>
                <w:color w:val="262626"/>
                <w:sz w:val="18"/>
                <w:szCs w:val="18"/>
              </w:rPr>
              <w:t>Lower gross margin from server revenue</w:t>
            </w:r>
          </w:p>
        </w:tc>
        <w:tc>
          <w:tcPr>
            <w:tcW w:w="0" w:type="auto"/>
            <w:gridSpan w:val="3"/>
            <w:shd w:val="clear" w:color="auto" w:fill="auto"/>
            <w:tcMar>
              <w:top w:w="0" w:type="dxa"/>
              <w:left w:w="20" w:type="dxa"/>
              <w:bottom w:w="0" w:type="dxa"/>
              <w:right w:w="20" w:type="dxa"/>
            </w:tcMar>
            <w:vAlign w:val="bottom"/>
          </w:tcPr>
          <w:p w14:paraId="5A1AF9F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F4" w14:textId="77777777" w:rsidR="00960BB8" w:rsidRDefault="00960BB8">
            <w:pPr>
              <w:rPr>
                <w:rFonts w:ascii="宋体"/>
              </w:rPr>
            </w:pPr>
          </w:p>
        </w:tc>
      </w:tr>
      <w:tr w:rsidR="00960BB8" w14:paraId="5A1AF9FC" w14:textId="77777777">
        <w:tc>
          <w:tcPr>
            <w:tcW w:w="0" w:type="auto"/>
            <w:gridSpan w:val="2"/>
            <w:shd w:val="clear" w:color="auto" w:fill="auto"/>
            <w:tcMar>
              <w:top w:w="40" w:type="dxa"/>
              <w:left w:w="20" w:type="dxa"/>
              <w:bottom w:w="40" w:type="dxa"/>
              <w:right w:w="0" w:type="dxa"/>
            </w:tcMar>
            <w:vAlign w:val="bottom"/>
          </w:tcPr>
          <w:p w14:paraId="5A1AF9F6" w14:textId="77777777" w:rsidR="00960BB8" w:rsidRDefault="00C06650">
            <w:pPr>
              <w:jc w:val="right"/>
              <w:textAlignment w:val="bottom"/>
            </w:pPr>
            <w:r>
              <w:rPr>
                <w:rFonts w:ascii="Arial" w:eastAsia="宋体" w:hAnsi="Arial" w:cs="Arial"/>
                <w:color w:val="262626"/>
                <w:sz w:val="18"/>
                <w:szCs w:val="18"/>
              </w:rPr>
              <w:t>(475)</w:t>
            </w:r>
          </w:p>
        </w:tc>
        <w:tc>
          <w:tcPr>
            <w:tcW w:w="0" w:type="auto"/>
            <w:shd w:val="clear" w:color="auto" w:fill="auto"/>
            <w:tcMar>
              <w:top w:w="40" w:type="dxa"/>
              <w:left w:w="0" w:type="dxa"/>
              <w:bottom w:w="40" w:type="dxa"/>
              <w:right w:w="20" w:type="dxa"/>
            </w:tcMar>
            <w:vAlign w:val="bottom"/>
          </w:tcPr>
          <w:p w14:paraId="5A1AF9F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F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9F9" w14:textId="77777777" w:rsidR="00960BB8" w:rsidRDefault="00C06650">
            <w:pPr>
              <w:textAlignment w:val="center"/>
            </w:pPr>
            <w:r>
              <w:rPr>
                <w:rFonts w:ascii="Arial" w:eastAsia="宋体" w:hAnsi="Arial" w:cs="Arial"/>
                <w:color w:val="262626"/>
                <w:sz w:val="18"/>
                <w:szCs w:val="18"/>
              </w:rPr>
              <w:t xml:space="preserve">Higher operating </w:t>
            </w:r>
            <w:r>
              <w:rPr>
                <w:rFonts w:ascii="Arial" w:eastAsia="宋体" w:hAnsi="Arial" w:cs="Arial"/>
                <w:color w:val="262626"/>
                <w:sz w:val="18"/>
                <w:szCs w:val="18"/>
              </w:rPr>
              <w:t>expenses driven by investment in leadership products</w:t>
            </w:r>
          </w:p>
        </w:tc>
        <w:tc>
          <w:tcPr>
            <w:tcW w:w="0" w:type="auto"/>
            <w:gridSpan w:val="3"/>
            <w:shd w:val="clear" w:color="auto" w:fill="auto"/>
            <w:tcMar>
              <w:top w:w="0" w:type="dxa"/>
              <w:left w:w="20" w:type="dxa"/>
              <w:bottom w:w="0" w:type="dxa"/>
              <w:right w:w="20" w:type="dxa"/>
            </w:tcMar>
            <w:vAlign w:val="bottom"/>
          </w:tcPr>
          <w:p w14:paraId="5A1AF9F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9FB" w14:textId="77777777" w:rsidR="00960BB8" w:rsidRDefault="00960BB8">
            <w:pPr>
              <w:rPr>
                <w:rFonts w:ascii="宋体"/>
              </w:rPr>
            </w:pPr>
          </w:p>
        </w:tc>
      </w:tr>
      <w:tr w:rsidR="00960BB8" w14:paraId="5A1AFA03" w14:textId="77777777">
        <w:tc>
          <w:tcPr>
            <w:tcW w:w="0" w:type="auto"/>
            <w:gridSpan w:val="2"/>
            <w:shd w:val="clear" w:color="auto" w:fill="auto"/>
            <w:tcMar>
              <w:top w:w="40" w:type="dxa"/>
              <w:left w:w="20" w:type="dxa"/>
              <w:bottom w:w="40" w:type="dxa"/>
              <w:right w:w="0" w:type="dxa"/>
            </w:tcMar>
            <w:vAlign w:val="bottom"/>
          </w:tcPr>
          <w:p w14:paraId="5A1AF9FD" w14:textId="77777777" w:rsidR="00960BB8" w:rsidRDefault="00C06650">
            <w:pPr>
              <w:jc w:val="right"/>
              <w:textAlignment w:val="bottom"/>
            </w:pPr>
            <w:r>
              <w:rPr>
                <w:rFonts w:ascii="Arial" w:eastAsia="宋体" w:hAnsi="Arial" w:cs="Arial"/>
                <w:color w:val="262626"/>
                <w:sz w:val="18"/>
                <w:szCs w:val="18"/>
              </w:rPr>
              <w:t>(65)</w:t>
            </w:r>
          </w:p>
        </w:tc>
        <w:tc>
          <w:tcPr>
            <w:tcW w:w="0" w:type="auto"/>
            <w:shd w:val="clear" w:color="auto" w:fill="auto"/>
            <w:tcMar>
              <w:top w:w="40" w:type="dxa"/>
              <w:left w:w="0" w:type="dxa"/>
              <w:bottom w:w="40" w:type="dxa"/>
              <w:right w:w="20" w:type="dxa"/>
            </w:tcMar>
            <w:vAlign w:val="bottom"/>
          </w:tcPr>
          <w:p w14:paraId="5A1AF9F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9F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A00" w14:textId="77777777" w:rsidR="00960BB8" w:rsidRDefault="00C06650">
            <w:pPr>
              <w:textAlignment w:val="center"/>
            </w:pPr>
            <w:r>
              <w:rPr>
                <w:rFonts w:ascii="Arial" w:eastAsia="宋体" w:hAnsi="Arial" w:cs="Arial"/>
                <w:color w:val="262626"/>
                <w:sz w:val="18"/>
                <w:szCs w:val="18"/>
              </w:rPr>
              <w:t>Higher period charges driven by increased engineering samples</w:t>
            </w:r>
          </w:p>
        </w:tc>
        <w:tc>
          <w:tcPr>
            <w:tcW w:w="0" w:type="auto"/>
            <w:gridSpan w:val="3"/>
            <w:shd w:val="clear" w:color="auto" w:fill="auto"/>
            <w:tcMar>
              <w:top w:w="0" w:type="dxa"/>
              <w:left w:w="20" w:type="dxa"/>
              <w:bottom w:w="0" w:type="dxa"/>
              <w:right w:w="20" w:type="dxa"/>
            </w:tcMar>
            <w:vAlign w:val="bottom"/>
          </w:tcPr>
          <w:p w14:paraId="5A1AFA0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02" w14:textId="77777777" w:rsidR="00960BB8" w:rsidRDefault="00960BB8">
            <w:pPr>
              <w:rPr>
                <w:rFonts w:ascii="宋体"/>
              </w:rPr>
            </w:pPr>
          </w:p>
        </w:tc>
      </w:tr>
      <w:tr w:rsidR="00960BB8" w14:paraId="5A1AFA0A" w14:textId="77777777">
        <w:tc>
          <w:tcPr>
            <w:tcW w:w="0" w:type="auto"/>
            <w:gridSpan w:val="2"/>
            <w:shd w:val="clear" w:color="auto" w:fill="auto"/>
            <w:tcMar>
              <w:top w:w="40" w:type="dxa"/>
              <w:left w:w="20" w:type="dxa"/>
              <w:bottom w:w="40" w:type="dxa"/>
              <w:right w:w="0" w:type="dxa"/>
            </w:tcMar>
            <w:vAlign w:val="bottom"/>
          </w:tcPr>
          <w:p w14:paraId="5A1AFA04" w14:textId="77777777" w:rsidR="00960BB8" w:rsidRDefault="00C06650">
            <w:pPr>
              <w:jc w:val="right"/>
              <w:textAlignment w:val="bottom"/>
            </w:pPr>
            <w:r>
              <w:rPr>
                <w:rFonts w:ascii="Arial" w:eastAsia="宋体" w:hAnsi="Arial" w:cs="Arial"/>
                <w:color w:val="262626"/>
                <w:sz w:val="18"/>
                <w:szCs w:val="18"/>
              </w:rPr>
              <w:t>375 </w:t>
            </w:r>
          </w:p>
        </w:tc>
        <w:tc>
          <w:tcPr>
            <w:tcW w:w="0" w:type="auto"/>
            <w:shd w:val="clear" w:color="auto" w:fill="auto"/>
            <w:tcMar>
              <w:top w:w="40" w:type="dxa"/>
              <w:left w:w="0" w:type="dxa"/>
              <w:bottom w:w="40" w:type="dxa"/>
              <w:right w:w="20" w:type="dxa"/>
            </w:tcMar>
            <w:vAlign w:val="bottom"/>
          </w:tcPr>
          <w:p w14:paraId="5A1AFA0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A0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A07" w14:textId="77777777" w:rsidR="00960BB8" w:rsidRDefault="00C06650">
            <w:pPr>
              <w:textAlignment w:val="center"/>
            </w:pPr>
            <w:r>
              <w:rPr>
                <w:rFonts w:ascii="Arial" w:eastAsia="宋体" w:hAnsi="Arial" w:cs="Arial"/>
                <w:color w:val="262626"/>
                <w:sz w:val="18"/>
                <w:szCs w:val="18"/>
              </w:rPr>
              <w:t>Higher gross margin from other DCAI product revenue</w:t>
            </w:r>
          </w:p>
        </w:tc>
        <w:tc>
          <w:tcPr>
            <w:tcW w:w="0" w:type="auto"/>
            <w:gridSpan w:val="3"/>
            <w:shd w:val="clear" w:color="auto" w:fill="auto"/>
            <w:tcMar>
              <w:top w:w="0" w:type="dxa"/>
              <w:left w:w="20" w:type="dxa"/>
              <w:bottom w:w="0" w:type="dxa"/>
              <w:right w:w="20" w:type="dxa"/>
            </w:tcMar>
            <w:vAlign w:val="bottom"/>
          </w:tcPr>
          <w:p w14:paraId="5A1AFA0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09" w14:textId="77777777" w:rsidR="00960BB8" w:rsidRDefault="00960BB8">
            <w:pPr>
              <w:rPr>
                <w:rFonts w:ascii="宋体"/>
              </w:rPr>
            </w:pPr>
          </w:p>
        </w:tc>
      </w:tr>
      <w:tr w:rsidR="00960BB8" w14:paraId="5A1AFA11" w14:textId="77777777">
        <w:tc>
          <w:tcPr>
            <w:tcW w:w="0" w:type="auto"/>
            <w:gridSpan w:val="2"/>
            <w:shd w:val="clear" w:color="auto" w:fill="auto"/>
            <w:tcMar>
              <w:top w:w="40" w:type="dxa"/>
              <w:left w:w="20" w:type="dxa"/>
              <w:bottom w:w="40" w:type="dxa"/>
              <w:right w:w="0" w:type="dxa"/>
            </w:tcMar>
            <w:vAlign w:val="bottom"/>
          </w:tcPr>
          <w:p w14:paraId="5A1AFA0B" w14:textId="77777777" w:rsidR="00960BB8" w:rsidRDefault="00C06650">
            <w:pPr>
              <w:jc w:val="right"/>
              <w:textAlignment w:val="bottom"/>
            </w:pPr>
            <w:r>
              <w:rPr>
                <w:rFonts w:ascii="Arial" w:eastAsia="宋体" w:hAnsi="Arial" w:cs="Arial"/>
                <w:color w:val="262626"/>
                <w:sz w:val="18"/>
                <w:szCs w:val="18"/>
              </w:rPr>
              <w:t>130 </w:t>
            </w:r>
          </w:p>
        </w:tc>
        <w:tc>
          <w:tcPr>
            <w:tcW w:w="0" w:type="auto"/>
            <w:shd w:val="clear" w:color="auto" w:fill="auto"/>
            <w:tcMar>
              <w:top w:w="40" w:type="dxa"/>
              <w:left w:w="0" w:type="dxa"/>
              <w:bottom w:w="40" w:type="dxa"/>
              <w:right w:w="20" w:type="dxa"/>
            </w:tcMar>
            <w:vAlign w:val="bottom"/>
          </w:tcPr>
          <w:p w14:paraId="5A1AFA0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A0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A0E" w14:textId="77777777" w:rsidR="00960BB8" w:rsidRDefault="00C06650">
            <w:pPr>
              <w:textAlignment w:val="center"/>
            </w:pPr>
            <w:r>
              <w:rPr>
                <w:rFonts w:ascii="Arial" w:eastAsia="宋体" w:hAnsi="Arial" w:cs="Arial"/>
                <w:color w:val="262626"/>
                <w:sz w:val="18"/>
                <w:szCs w:val="18"/>
              </w:rPr>
              <w:t xml:space="preserve">Lower period charges driven by absence of reserves </w:t>
            </w:r>
            <w:r>
              <w:rPr>
                <w:rFonts w:ascii="Arial" w:eastAsia="宋体" w:hAnsi="Arial" w:cs="Arial"/>
                <w:color w:val="262626"/>
                <w:sz w:val="18"/>
                <w:szCs w:val="18"/>
              </w:rPr>
              <w:t>taken in 2020, partially offset by reserves recorded in 2021</w:t>
            </w:r>
          </w:p>
        </w:tc>
        <w:tc>
          <w:tcPr>
            <w:tcW w:w="0" w:type="auto"/>
            <w:gridSpan w:val="3"/>
            <w:shd w:val="clear" w:color="auto" w:fill="auto"/>
            <w:tcMar>
              <w:top w:w="0" w:type="dxa"/>
              <w:left w:w="20" w:type="dxa"/>
              <w:bottom w:w="0" w:type="dxa"/>
              <w:right w:w="20" w:type="dxa"/>
            </w:tcMar>
            <w:vAlign w:val="bottom"/>
          </w:tcPr>
          <w:p w14:paraId="5A1AFA0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10" w14:textId="77777777" w:rsidR="00960BB8" w:rsidRDefault="00960BB8">
            <w:pPr>
              <w:rPr>
                <w:rFonts w:ascii="宋体"/>
              </w:rPr>
            </w:pPr>
          </w:p>
        </w:tc>
      </w:tr>
      <w:tr w:rsidR="00960BB8" w14:paraId="5A1AFA18" w14:textId="77777777">
        <w:tc>
          <w:tcPr>
            <w:tcW w:w="0" w:type="auto"/>
            <w:gridSpan w:val="2"/>
            <w:shd w:val="clear" w:color="auto" w:fill="auto"/>
            <w:tcMar>
              <w:top w:w="40" w:type="dxa"/>
              <w:left w:w="20" w:type="dxa"/>
              <w:bottom w:w="40" w:type="dxa"/>
              <w:right w:w="0" w:type="dxa"/>
            </w:tcMar>
            <w:vAlign w:val="bottom"/>
          </w:tcPr>
          <w:p w14:paraId="5A1AFA12" w14:textId="77777777" w:rsidR="00960BB8" w:rsidRDefault="00C06650">
            <w:pPr>
              <w:jc w:val="right"/>
              <w:textAlignment w:val="bottom"/>
            </w:pPr>
            <w:r>
              <w:rPr>
                <w:rFonts w:ascii="Arial" w:eastAsia="宋体" w:hAnsi="Arial" w:cs="Arial"/>
                <w:color w:val="262626"/>
                <w:sz w:val="18"/>
                <w:szCs w:val="18"/>
              </w:rPr>
              <w:t>(7)</w:t>
            </w:r>
          </w:p>
        </w:tc>
        <w:tc>
          <w:tcPr>
            <w:tcW w:w="0" w:type="auto"/>
            <w:shd w:val="clear" w:color="auto" w:fill="auto"/>
            <w:tcMar>
              <w:top w:w="40" w:type="dxa"/>
              <w:left w:w="0" w:type="dxa"/>
              <w:bottom w:w="40" w:type="dxa"/>
              <w:right w:w="20" w:type="dxa"/>
            </w:tcMar>
            <w:vAlign w:val="bottom"/>
          </w:tcPr>
          <w:p w14:paraId="5A1AFA1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A1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A15" w14:textId="77777777" w:rsidR="00960BB8" w:rsidRDefault="00C06650">
            <w:pPr>
              <w:textAlignment w:val="center"/>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5A1AFA1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17" w14:textId="77777777" w:rsidR="00960BB8" w:rsidRDefault="00960BB8">
            <w:pPr>
              <w:rPr>
                <w:rFonts w:ascii="宋体"/>
              </w:rPr>
            </w:pPr>
          </w:p>
        </w:tc>
      </w:tr>
      <w:tr w:rsidR="00960BB8" w14:paraId="5A1AFA20"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5A1AFA1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5A1AFA1A" w14:textId="77777777" w:rsidR="00960BB8" w:rsidRDefault="00C06650">
            <w:pPr>
              <w:jc w:val="right"/>
              <w:textAlignment w:val="bottom"/>
            </w:pPr>
            <w:r>
              <w:rPr>
                <w:rFonts w:ascii="Arial" w:eastAsia="宋体" w:hAnsi="Arial" w:cs="Arial"/>
                <w:b/>
                <w:bCs/>
                <w:color w:val="262626"/>
                <w:sz w:val="18"/>
                <w:szCs w:val="18"/>
              </w:rPr>
              <w:t>11,076</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5A1AFA1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A1C" w14:textId="77777777" w:rsidR="00960BB8" w:rsidRDefault="00960BB8">
            <w:pPr>
              <w:rPr>
                <w:rFonts w:ascii="宋体"/>
              </w:rPr>
            </w:pPr>
          </w:p>
        </w:tc>
        <w:tc>
          <w:tcPr>
            <w:tcW w:w="0" w:type="auto"/>
            <w:gridSpan w:val="3"/>
            <w:tcBorders>
              <w:top w:val="single" w:sz="4" w:space="0" w:color="262626"/>
              <w:bottom w:val="single" w:sz="8" w:space="0" w:color="6D6D6D"/>
            </w:tcBorders>
            <w:shd w:val="clear" w:color="auto" w:fill="auto"/>
            <w:tcMar>
              <w:top w:w="40" w:type="dxa"/>
              <w:left w:w="20" w:type="dxa"/>
              <w:bottom w:w="40" w:type="dxa"/>
              <w:right w:w="20" w:type="dxa"/>
            </w:tcMar>
            <w:vAlign w:val="bottom"/>
          </w:tcPr>
          <w:p w14:paraId="5A1AFA1D" w14:textId="77777777" w:rsidR="00960BB8" w:rsidRDefault="00C06650">
            <w:pPr>
              <w:textAlignment w:val="bottom"/>
            </w:pPr>
            <w:r>
              <w:rPr>
                <w:rFonts w:ascii="Arial" w:eastAsia="宋体" w:hAnsi="Arial" w:cs="Arial"/>
                <w:b/>
                <w:bCs/>
                <w:color w:val="262626"/>
                <w:sz w:val="18"/>
                <w:szCs w:val="18"/>
              </w:rPr>
              <w:t>2020 Operating Income</w:t>
            </w:r>
          </w:p>
        </w:tc>
        <w:tc>
          <w:tcPr>
            <w:tcW w:w="0" w:type="auto"/>
            <w:gridSpan w:val="3"/>
            <w:shd w:val="clear" w:color="auto" w:fill="auto"/>
            <w:tcMar>
              <w:top w:w="0" w:type="dxa"/>
              <w:left w:w="20" w:type="dxa"/>
              <w:bottom w:w="0" w:type="dxa"/>
              <w:right w:w="20" w:type="dxa"/>
            </w:tcMar>
            <w:vAlign w:val="bottom"/>
          </w:tcPr>
          <w:p w14:paraId="5A1AFA1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1F" w14:textId="77777777" w:rsidR="00960BB8" w:rsidRDefault="00960BB8">
            <w:pPr>
              <w:rPr>
                <w:rFonts w:ascii="宋体"/>
              </w:rPr>
            </w:pPr>
          </w:p>
        </w:tc>
      </w:tr>
    </w:tbl>
    <w:p w14:paraId="5A1AFA21"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A2B" w14:textId="77777777">
        <w:tc>
          <w:tcPr>
            <w:tcW w:w="50" w:type="pct"/>
            <w:shd w:val="clear" w:color="auto" w:fill="auto"/>
            <w:vAlign w:val="bottom"/>
          </w:tcPr>
          <w:p w14:paraId="5A1AFA22" w14:textId="77777777" w:rsidR="00960BB8" w:rsidRDefault="00960BB8">
            <w:pPr>
              <w:rPr>
                <w:rFonts w:ascii="宋体"/>
              </w:rPr>
            </w:pPr>
          </w:p>
        </w:tc>
        <w:tc>
          <w:tcPr>
            <w:tcW w:w="283" w:type="pct"/>
            <w:shd w:val="clear" w:color="auto" w:fill="auto"/>
            <w:vAlign w:val="bottom"/>
          </w:tcPr>
          <w:p w14:paraId="5A1AFA23" w14:textId="77777777" w:rsidR="00960BB8" w:rsidRDefault="00960BB8">
            <w:pPr>
              <w:rPr>
                <w:rFonts w:ascii="宋体"/>
              </w:rPr>
            </w:pPr>
          </w:p>
        </w:tc>
        <w:tc>
          <w:tcPr>
            <w:tcW w:w="5" w:type="pct"/>
            <w:shd w:val="clear" w:color="auto" w:fill="auto"/>
            <w:vAlign w:val="bottom"/>
          </w:tcPr>
          <w:p w14:paraId="5A1AFA24" w14:textId="77777777" w:rsidR="00960BB8" w:rsidRDefault="00960BB8">
            <w:pPr>
              <w:rPr>
                <w:rFonts w:ascii="宋体"/>
              </w:rPr>
            </w:pPr>
          </w:p>
        </w:tc>
        <w:tc>
          <w:tcPr>
            <w:tcW w:w="50" w:type="pct"/>
            <w:shd w:val="clear" w:color="auto" w:fill="auto"/>
            <w:vAlign w:val="bottom"/>
          </w:tcPr>
          <w:p w14:paraId="5A1AFA25" w14:textId="77777777" w:rsidR="00960BB8" w:rsidRDefault="00960BB8">
            <w:pPr>
              <w:rPr>
                <w:rFonts w:ascii="宋体"/>
              </w:rPr>
            </w:pPr>
          </w:p>
        </w:tc>
        <w:tc>
          <w:tcPr>
            <w:tcW w:w="2656" w:type="pct"/>
            <w:shd w:val="clear" w:color="auto" w:fill="auto"/>
            <w:vAlign w:val="bottom"/>
          </w:tcPr>
          <w:p w14:paraId="5A1AFA26" w14:textId="77777777" w:rsidR="00960BB8" w:rsidRDefault="00960BB8">
            <w:pPr>
              <w:rPr>
                <w:rFonts w:ascii="宋体"/>
              </w:rPr>
            </w:pPr>
          </w:p>
        </w:tc>
        <w:tc>
          <w:tcPr>
            <w:tcW w:w="5" w:type="pct"/>
            <w:shd w:val="clear" w:color="auto" w:fill="auto"/>
            <w:vAlign w:val="bottom"/>
          </w:tcPr>
          <w:p w14:paraId="5A1AFA27" w14:textId="77777777" w:rsidR="00960BB8" w:rsidRDefault="00960BB8">
            <w:pPr>
              <w:rPr>
                <w:rFonts w:ascii="宋体"/>
              </w:rPr>
            </w:pPr>
          </w:p>
        </w:tc>
        <w:tc>
          <w:tcPr>
            <w:tcW w:w="50" w:type="pct"/>
            <w:shd w:val="clear" w:color="auto" w:fill="auto"/>
            <w:vAlign w:val="bottom"/>
          </w:tcPr>
          <w:p w14:paraId="5A1AFA28" w14:textId="77777777" w:rsidR="00960BB8" w:rsidRDefault="00960BB8">
            <w:pPr>
              <w:rPr>
                <w:rFonts w:ascii="宋体"/>
              </w:rPr>
            </w:pPr>
          </w:p>
        </w:tc>
        <w:tc>
          <w:tcPr>
            <w:tcW w:w="1894" w:type="pct"/>
            <w:shd w:val="clear" w:color="auto" w:fill="auto"/>
            <w:vAlign w:val="bottom"/>
          </w:tcPr>
          <w:p w14:paraId="5A1AFA29" w14:textId="77777777" w:rsidR="00960BB8" w:rsidRDefault="00960BB8">
            <w:pPr>
              <w:rPr>
                <w:rFonts w:ascii="宋体"/>
              </w:rPr>
            </w:pPr>
          </w:p>
        </w:tc>
        <w:tc>
          <w:tcPr>
            <w:tcW w:w="5" w:type="pct"/>
            <w:shd w:val="clear" w:color="auto" w:fill="auto"/>
            <w:vAlign w:val="bottom"/>
          </w:tcPr>
          <w:p w14:paraId="5A1AFA2A" w14:textId="77777777" w:rsidR="00960BB8" w:rsidRDefault="00960BB8">
            <w:pPr>
              <w:rPr>
                <w:rFonts w:ascii="宋体"/>
              </w:rPr>
            </w:pPr>
          </w:p>
        </w:tc>
      </w:tr>
      <w:tr w:rsidR="00960BB8" w14:paraId="5A1AFA2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A2C"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A6" wp14:editId="5A1B43A7">
                  <wp:extent cx="304800" cy="304800"/>
                  <wp:effectExtent l="0" t="0" r="0" b="0"/>
                  <wp:docPr id="86" name="图片 12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0"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A2D"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A2E" w14:textId="77777777" w:rsidR="00960BB8" w:rsidRDefault="00C06650">
            <w:pPr>
              <w:jc w:val="right"/>
              <w:textAlignment w:val="center"/>
            </w:pPr>
            <w:r>
              <w:rPr>
                <w:rFonts w:ascii="Arial" w:eastAsia="宋体" w:hAnsi="Arial" w:cs="Arial"/>
                <w:color w:val="262626"/>
                <w:sz w:val="16"/>
                <w:szCs w:val="16"/>
              </w:rPr>
              <w:t>26</w:t>
            </w:r>
          </w:p>
        </w:tc>
      </w:tr>
    </w:tbl>
    <w:p w14:paraId="5A1AFA30" w14:textId="77777777" w:rsidR="00960BB8" w:rsidRDefault="00C06650">
      <w:r>
        <w:pict w14:anchorId="5A1B43A8">
          <v:rect id="_x0000_i1052" style="width:415.3pt;height:1.5pt" o:hralign="center" o:hrstd="t" o:hr="t" fillcolor="#a0a0a0" stroked="f"/>
        </w:pict>
      </w:r>
    </w:p>
    <w:p w14:paraId="5A1AFA31" w14:textId="77777777" w:rsidR="00960BB8" w:rsidRDefault="00960BB8"/>
    <w:p w14:paraId="5A1AFA32" w14:textId="77777777" w:rsidR="00960BB8" w:rsidRDefault="00C06650">
      <w:pPr>
        <w:spacing w:before="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Viewer_files/intc-20221231_g38.jpg"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A9" wp14:editId="5A1B43AA">
            <wp:extent cx="304800" cy="304800"/>
            <wp:effectExtent l="0" t="0" r="0" b="0"/>
            <wp:docPr id="85" name="图片 122"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2" descr="IMG_31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A33" w14:textId="77777777" w:rsidR="00960BB8" w:rsidRDefault="00960BB8"/>
    <w:tbl>
      <w:tblPr>
        <w:tblW w:w="10980" w:type="dxa"/>
        <w:tblCellMar>
          <w:top w:w="15" w:type="dxa"/>
          <w:left w:w="15" w:type="dxa"/>
          <w:bottom w:w="15" w:type="dxa"/>
          <w:right w:w="15" w:type="dxa"/>
        </w:tblCellMar>
        <w:tblLook w:val="04A0" w:firstRow="1" w:lastRow="0" w:firstColumn="1" w:lastColumn="0" w:noHBand="0" w:noVBand="1"/>
      </w:tblPr>
      <w:tblGrid>
        <w:gridCol w:w="62"/>
        <w:gridCol w:w="661"/>
        <w:gridCol w:w="63"/>
        <w:gridCol w:w="63"/>
        <w:gridCol w:w="8844"/>
        <w:gridCol w:w="63"/>
        <w:gridCol w:w="36"/>
        <w:gridCol w:w="1152"/>
        <w:gridCol w:w="36"/>
      </w:tblGrid>
      <w:tr w:rsidR="00960BB8" w14:paraId="5A1AFA3D" w14:textId="77777777">
        <w:tc>
          <w:tcPr>
            <w:tcW w:w="20" w:type="dxa"/>
            <w:shd w:val="clear" w:color="auto" w:fill="auto"/>
            <w:vAlign w:val="bottom"/>
          </w:tcPr>
          <w:p w14:paraId="5A1AFA34" w14:textId="77777777" w:rsidR="00960BB8" w:rsidRDefault="00960BB8">
            <w:pPr>
              <w:rPr>
                <w:rFonts w:ascii="宋体"/>
              </w:rPr>
            </w:pPr>
          </w:p>
        </w:tc>
        <w:tc>
          <w:tcPr>
            <w:tcW w:w="545" w:type="dxa"/>
            <w:shd w:val="clear" w:color="auto" w:fill="auto"/>
            <w:vAlign w:val="bottom"/>
          </w:tcPr>
          <w:p w14:paraId="5A1AFA35" w14:textId="77777777" w:rsidR="00960BB8" w:rsidRDefault="00960BB8">
            <w:pPr>
              <w:rPr>
                <w:rFonts w:ascii="宋体"/>
              </w:rPr>
            </w:pPr>
          </w:p>
        </w:tc>
        <w:tc>
          <w:tcPr>
            <w:tcW w:w="20" w:type="dxa"/>
            <w:shd w:val="clear" w:color="auto" w:fill="auto"/>
            <w:vAlign w:val="bottom"/>
          </w:tcPr>
          <w:p w14:paraId="5A1AFA36" w14:textId="77777777" w:rsidR="00960BB8" w:rsidRDefault="00960BB8">
            <w:pPr>
              <w:rPr>
                <w:rFonts w:ascii="宋体"/>
              </w:rPr>
            </w:pPr>
          </w:p>
        </w:tc>
        <w:tc>
          <w:tcPr>
            <w:tcW w:w="20" w:type="dxa"/>
            <w:shd w:val="clear" w:color="auto" w:fill="auto"/>
            <w:vAlign w:val="bottom"/>
          </w:tcPr>
          <w:p w14:paraId="5A1AFA37" w14:textId="77777777" w:rsidR="00960BB8" w:rsidRDefault="00960BB8">
            <w:pPr>
              <w:rPr>
                <w:rFonts w:ascii="宋体"/>
              </w:rPr>
            </w:pPr>
          </w:p>
        </w:tc>
        <w:tc>
          <w:tcPr>
            <w:tcW w:w="7955" w:type="dxa"/>
            <w:shd w:val="clear" w:color="auto" w:fill="auto"/>
            <w:vAlign w:val="bottom"/>
          </w:tcPr>
          <w:p w14:paraId="5A1AFA38" w14:textId="77777777" w:rsidR="00960BB8" w:rsidRDefault="00960BB8">
            <w:pPr>
              <w:rPr>
                <w:rFonts w:ascii="宋体"/>
              </w:rPr>
            </w:pPr>
          </w:p>
        </w:tc>
        <w:tc>
          <w:tcPr>
            <w:tcW w:w="20" w:type="dxa"/>
            <w:shd w:val="clear" w:color="auto" w:fill="auto"/>
            <w:vAlign w:val="bottom"/>
          </w:tcPr>
          <w:p w14:paraId="5A1AFA39" w14:textId="77777777" w:rsidR="00960BB8" w:rsidRDefault="00960BB8">
            <w:pPr>
              <w:rPr>
                <w:rFonts w:ascii="宋体"/>
              </w:rPr>
            </w:pPr>
          </w:p>
        </w:tc>
        <w:tc>
          <w:tcPr>
            <w:tcW w:w="20" w:type="dxa"/>
            <w:shd w:val="clear" w:color="auto" w:fill="auto"/>
            <w:vAlign w:val="bottom"/>
          </w:tcPr>
          <w:p w14:paraId="5A1AFA3A" w14:textId="77777777" w:rsidR="00960BB8" w:rsidRDefault="00960BB8">
            <w:pPr>
              <w:rPr>
                <w:rFonts w:ascii="宋体"/>
              </w:rPr>
            </w:pPr>
          </w:p>
        </w:tc>
        <w:tc>
          <w:tcPr>
            <w:tcW w:w="2360" w:type="dxa"/>
            <w:shd w:val="clear" w:color="auto" w:fill="auto"/>
            <w:vAlign w:val="bottom"/>
          </w:tcPr>
          <w:p w14:paraId="5A1AFA3B" w14:textId="77777777" w:rsidR="00960BB8" w:rsidRDefault="00960BB8">
            <w:pPr>
              <w:rPr>
                <w:rFonts w:ascii="宋体"/>
              </w:rPr>
            </w:pPr>
          </w:p>
        </w:tc>
        <w:tc>
          <w:tcPr>
            <w:tcW w:w="20" w:type="dxa"/>
            <w:shd w:val="clear" w:color="auto" w:fill="auto"/>
            <w:vAlign w:val="bottom"/>
          </w:tcPr>
          <w:p w14:paraId="5A1AFA3C" w14:textId="77777777" w:rsidR="00960BB8" w:rsidRDefault="00960BB8">
            <w:pPr>
              <w:rPr>
                <w:rFonts w:ascii="宋体"/>
              </w:rPr>
            </w:pPr>
          </w:p>
        </w:tc>
      </w:tr>
      <w:tr w:rsidR="00960BB8" w14:paraId="5A1AFA40" w14:textId="77777777">
        <w:trPr>
          <w:trHeight w:val="280"/>
        </w:trPr>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5A1AFA3E" w14:textId="77777777" w:rsidR="00960BB8" w:rsidRDefault="00C06650">
            <w:pPr>
              <w:textAlignment w:val="bottom"/>
            </w:pPr>
            <w:r>
              <w:rPr>
                <w:rFonts w:ascii="Arial" w:eastAsia="宋体" w:hAnsi="Arial" w:cs="Arial"/>
                <w:color w:val="0068B5"/>
                <w:sz w:val="20"/>
                <w:szCs w:val="20"/>
              </w:rPr>
              <w:t>Overview</w:t>
            </w:r>
          </w:p>
        </w:tc>
        <w:tc>
          <w:tcPr>
            <w:tcW w:w="0" w:type="auto"/>
            <w:gridSpan w:val="3"/>
            <w:shd w:val="clear" w:color="auto" w:fill="auto"/>
            <w:tcMar>
              <w:top w:w="40" w:type="dxa"/>
              <w:left w:w="20" w:type="dxa"/>
              <w:bottom w:w="40" w:type="dxa"/>
              <w:right w:w="20" w:type="dxa"/>
            </w:tcMar>
            <w:vAlign w:val="center"/>
          </w:tcPr>
          <w:p w14:paraId="5A1AFA3F" w14:textId="77777777" w:rsidR="00960BB8" w:rsidRDefault="00C06650">
            <w:pPr>
              <w:jc w:val="center"/>
              <w:textAlignment w:val="center"/>
            </w:pPr>
            <w:r>
              <w:rPr>
                <w:rFonts w:ascii="Arial" w:eastAsia="宋体" w:hAnsi="Arial" w:cs="Arial"/>
                <w:color w:val="0068B5"/>
                <w:sz w:val="18"/>
                <w:szCs w:val="18"/>
              </w:rPr>
              <w:t>% Intel Revenue</w:t>
            </w:r>
          </w:p>
        </w:tc>
      </w:tr>
      <w:tr w:rsidR="00960BB8" w14:paraId="5A1AFA43" w14:textId="77777777">
        <w:trPr>
          <w:trHeight w:val="1740"/>
        </w:trPr>
        <w:tc>
          <w:tcPr>
            <w:tcW w:w="0" w:type="auto"/>
            <w:gridSpan w:val="6"/>
            <w:tcBorders>
              <w:top w:val="single" w:sz="4" w:space="0" w:color="262626"/>
            </w:tcBorders>
            <w:shd w:val="clear" w:color="auto" w:fill="auto"/>
            <w:tcMar>
              <w:top w:w="40" w:type="dxa"/>
              <w:left w:w="20" w:type="dxa"/>
              <w:bottom w:w="40" w:type="dxa"/>
              <w:right w:w="20" w:type="dxa"/>
            </w:tcMar>
          </w:tcPr>
          <w:p w14:paraId="5A1AFA41" w14:textId="77777777" w:rsidR="00960BB8" w:rsidRDefault="00C06650">
            <w:pPr>
              <w:textAlignment w:val="top"/>
            </w:pPr>
            <w:r>
              <w:rPr>
                <w:rFonts w:ascii="Arial" w:eastAsia="宋体" w:hAnsi="Arial" w:cs="Arial"/>
                <w:color w:val="262626"/>
                <w:sz w:val="18"/>
                <w:szCs w:val="18"/>
              </w:rPr>
              <w:t xml:space="preserve">NEX lifts the world's networks and edge compute systems from </w:t>
            </w:r>
            <w:r>
              <w:rPr>
                <w:rFonts w:ascii="Arial" w:eastAsia="宋体" w:hAnsi="Arial" w:cs="Arial"/>
                <w:color w:val="262626"/>
                <w:sz w:val="18"/>
                <w:szCs w:val="18"/>
              </w:rPr>
              <w:t>inflexible fixed-function hardware to general-purpose compute, acceleration, and networking devices running cloud native software on programmable hardware. We work with partners and customers to deliver and deploy intelligent edge platforms that allow soft</w:t>
            </w:r>
            <w:r>
              <w:rPr>
                <w:rFonts w:ascii="Arial" w:eastAsia="宋体" w:hAnsi="Arial" w:cs="Arial"/>
                <w:color w:val="262626"/>
                <w:sz w:val="18"/>
                <w:szCs w:val="18"/>
              </w:rPr>
              <w:t>ware developers to achieve agility and to drive automation using AI for efficient operations while securing the integrity of their data at the edge. We have a broad portfolio of hardware and software platforms, tools, and ecosystem partnerships for the rap</w:t>
            </w:r>
            <w:r>
              <w:rPr>
                <w:rFonts w:ascii="Arial" w:eastAsia="宋体" w:hAnsi="Arial" w:cs="Arial"/>
                <w:color w:val="262626"/>
                <w:sz w:val="18"/>
                <w:szCs w:val="18"/>
              </w:rPr>
              <w:t>id digital transformation happening from the cloud to the edge. We are leveraging our core strengths in process, software, and manufacturing at scale to grow traditional markets and to accelerate entry into emerging ones.</w:t>
            </w:r>
          </w:p>
        </w:tc>
        <w:tc>
          <w:tcPr>
            <w:tcW w:w="0" w:type="auto"/>
            <w:gridSpan w:val="3"/>
            <w:shd w:val="clear" w:color="auto" w:fill="auto"/>
            <w:tcMar>
              <w:top w:w="0" w:type="dxa"/>
              <w:left w:w="20" w:type="dxa"/>
              <w:bottom w:w="0" w:type="dxa"/>
              <w:right w:w="20" w:type="dxa"/>
            </w:tcMar>
            <w:vAlign w:val="bottom"/>
          </w:tcPr>
          <w:p w14:paraId="5A1AFA42" w14:textId="77777777" w:rsidR="00960BB8" w:rsidRDefault="00C06650">
            <w:pPr>
              <w:spacing w:after="120"/>
              <w:jc w:val="center"/>
            </w:pPr>
            <w:r>
              <w:rPr>
                <w:rFonts w:ascii="宋体" w:eastAsia="宋体" w:hAnsi="宋体" w:cs="宋体"/>
              </w:rPr>
              <w:fldChar w:fldCharType="begin"/>
            </w:r>
            <w:r>
              <w:rPr>
                <w:rFonts w:ascii="宋体" w:eastAsia="宋体" w:hAnsi="宋体" w:cs="宋体"/>
              </w:rPr>
              <w:instrText>INCLUDEPICTURE \d "/Users/xuxinrun</w:instrText>
            </w:r>
            <w:r>
              <w:rPr>
                <w:rFonts w:ascii="宋体" w:eastAsia="宋体" w:hAnsi="宋体" w:cs="宋体"/>
              </w:rPr>
              <w:instrText xml:space="preserve">/Document/04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Viewer_files/intc-20221231_g39.jpg"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AB" wp14:editId="5A1B43AC">
                  <wp:extent cx="304800" cy="304800"/>
                  <wp:effectExtent l="0" t="0" r="0" b="0"/>
                  <wp:docPr id="122" name="图片 12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3"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960BB8" w14:paraId="5A1AFA47" w14:textId="77777777">
        <w:trPr>
          <w:trHeight w:val="60"/>
        </w:trPr>
        <w:tc>
          <w:tcPr>
            <w:tcW w:w="0" w:type="auto"/>
            <w:gridSpan w:val="3"/>
            <w:shd w:val="clear" w:color="auto" w:fill="auto"/>
            <w:tcMar>
              <w:top w:w="0" w:type="dxa"/>
              <w:left w:w="20" w:type="dxa"/>
              <w:bottom w:w="0" w:type="dxa"/>
              <w:right w:w="20" w:type="dxa"/>
            </w:tcMar>
            <w:vAlign w:val="bottom"/>
          </w:tcPr>
          <w:p w14:paraId="5A1AFA4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4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46" w14:textId="77777777" w:rsidR="00960BB8" w:rsidRDefault="00960BB8">
            <w:pPr>
              <w:rPr>
                <w:rFonts w:ascii="宋体"/>
              </w:rPr>
            </w:pPr>
          </w:p>
        </w:tc>
      </w:tr>
      <w:tr w:rsidR="00960BB8" w14:paraId="5A1AFA4A" w14:textId="77777777">
        <w:trPr>
          <w:trHeight w:val="280"/>
        </w:trPr>
        <w:tc>
          <w:tcPr>
            <w:tcW w:w="0" w:type="auto"/>
            <w:gridSpan w:val="6"/>
            <w:shd w:val="clear" w:color="auto" w:fill="auto"/>
            <w:tcMar>
              <w:top w:w="40" w:type="dxa"/>
              <w:left w:w="20" w:type="dxa"/>
              <w:bottom w:w="40" w:type="dxa"/>
              <w:right w:w="20" w:type="dxa"/>
            </w:tcMar>
            <w:vAlign w:val="bottom"/>
          </w:tcPr>
          <w:p w14:paraId="5A1AFA48" w14:textId="77777777" w:rsidR="00960BB8" w:rsidRDefault="00C06650">
            <w:pPr>
              <w:textAlignment w:val="bottom"/>
            </w:pPr>
            <w:r>
              <w:rPr>
                <w:rFonts w:ascii="Arial" w:eastAsia="宋体" w:hAnsi="Arial" w:cs="Arial"/>
                <w:color w:val="0068B5"/>
                <w:sz w:val="20"/>
                <w:szCs w:val="20"/>
              </w:rPr>
              <w:t>Key Developments</w:t>
            </w:r>
          </w:p>
        </w:tc>
        <w:tc>
          <w:tcPr>
            <w:tcW w:w="0" w:type="auto"/>
            <w:gridSpan w:val="3"/>
            <w:shd w:val="clear" w:color="auto" w:fill="auto"/>
            <w:tcMar>
              <w:top w:w="0" w:type="dxa"/>
              <w:left w:w="20" w:type="dxa"/>
              <w:bottom w:w="0" w:type="dxa"/>
              <w:right w:w="20" w:type="dxa"/>
            </w:tcMar>
            <w:vAlign w:val="bottom"/>
          </w:tcPr>
          <w:p w14:paraId="5A1AFA49" w14:textId="77777777" w:rsidR="00960BB8" w:rsidRDefault="00960BB8">
            <w:pPr>
              <w:rPr>
                <w:rFonts w:ascii="宋体"/>
              </w:rPr>
            </w:pPr>
          </w:p>
        </w:tc>
      </w:tr>
      <w:tr w:rsidR="00960BB8" w14:paraId="5A1AFA4E" w14:textId="77777777">
        <w:trPr>
          <w:trHeight w:val="6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A4B"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A4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4D" w14:textId="77777777" w:rsidR="00960BB8" w:rsidRDefault="00960BB8">
            <w:pPr>
              <w:rPr>
                <w:rFonts w:ascii="宋体"/>
              </w:rPr>
            </w:pPr>
          </w:p>
        </w:tc>
      </w:tr>
      <w:tr w:rsidR="00960BB8" w14:paraId="5A1AFA51" w14:textId="77777777">
        <w:trPr>
          <w:trHeight w:val="880"/>
        </w:trPr>
        <w:tc>
          <w:tcPr>
            <w:tcW w:w="0" w:type="auto"/>
            <w:gridSpan w:val="3"/>
            <w:shd w:val="clear" w:color="auto" w:fill="auto"/>
            <w:tcMar>
              <w:top w:w="40" w:type="dxa"/>
              <w:left w:w="20" w:type="dxa"/>
              <w:bottom w:w="40" w:type="dxa"/>
              <w:right w:w="20" w:type="dxa"/>
            </w:tcMar>
          </w:tcPr>
          <w:p w14:paraId="5A1AFA4F"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A50" w14:textId="77777777" w:rsidR="00960BB8" w:rsidRDefault="00C06650">
            <w:pPr>
              <w:textAlignment w:val="top"/>
            </w:pPr>
            <w:r>
              <w:rPr>
                <w:rFonts w:ascii="Arial" w:eastAsia="宋体" w:hAnsi="Arial" w:cs="Arial"/>
                <w:color w:val="262626"/>
                <w:sz w:val="18"/>
                <w:szCs w:val="18"/>
              </w:rPr>
              <w:t xml:space="preserve">Our revenue was $8.9 billion, up 11% in 2022, driven by the cloud networking and </w:t>
            </w:r>
            <w:r>
              <w:rPr>
                <w:rFonts w:ascii="Arial" w:eastAsia="宋体" w:hAnsi="Arial" w:cs="Arial"/>
                <w:color w:val="262626"/>
                <w:sz w:val="18"/>
                <w:szCs w:val="18"/>
              </w:rPr>
              <w:t>telecommunications market segments. Most notably, we saw strength in our Ethernet ASPs and in 5G product demand. Operating margin was $740 million, down $971 million year over year primarily due to higher investments in product roadmap leadership and proce</w:t>
            </w:r>
            <w:r>
              <w:rPr>
                <w:rFonts w:ascii="Arial" w:eastAsia="宋体" w:hAnsi="Arial" w:cs="Arial"/>
                <w:color w:val="262626"/>
                <w:sz w:val="18"/>
                <w:szCs w:val="18"/>
              </w:rPr>
              <w:t>ss node acceleration, and higher inventory reserves.</w:t>
            </w:r>
          </w:p>
        </w:tc>
      </w:tr>
      <w:tr w:rsidR="00960BB8" w14:paraId="5A1AFA54" w14:textId="77777777">
        <w:trPr>
          <w:trHeight w:val="480"/>
        </w:trPr>
        <w:tc>
          <w:tcPr>
            <w:tcW w:w="0" w:type="auto"/>
            <w:gridSpan w:val="3"/>
            <w:shd w:val="clear" w:color="auto" w:fill="auto"/>
            <w:tcMar>
              <w:top w:w="40" w:type="dxa"/>
              <w:left w:w="20" w:type="dxa"/>
              <w:bottom w:w="40" w:type="dxa"/>
              <w:right w:w="20" w:type="dxa"/>
            </w:tcMar>
          </w:tcPr>
          <w:p w14:paraId="5A1AFA52"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A53" w14:textId="77777777" w:rsidR="00960BB8" w:rsidRDefault="00C06650">
            <w:pPr>
              <w:spacing w:after="180"/>
              <w:textAlignment w:val="top"/>
            </w:pPr>
            <w:r>
              <w:rPr>
                <w:rFonts w:ascii="Arial" w:eastAsia="宋体" w:hAnsi="Arial" w:cs="Arial"/>
                <w:color w:val="262626"/>
                <w:sz w:val="18"/>
                <w:szCs w:val="18"/>
              </w:rPr>
              <w:t>We announced the Mount Evans IPU, Intel's first dedicated ASIC-based IPU, the Intel Xeon D-1700 series, the Intel Xeon D-2700 series, and the 4th Gen Intel Xeon processor with Intel</w:t>
            </w:r>
            <w:r>
              <w:rPr>
                <w:rFonts w:ascii="Arial" w:eastAsia="宋体" w:hAnsi="Arial" w:cs="Arial"/>
                <w:color w:val="262626"/>
                <w:sz w:val="11"/>
                <w:szCs w:val="11"/>
              </w:rPr>
              <w:t>®</w:t>
            </w:r>
            <w:r>
              <w:rPr>
                <w:rFonts w:ascii="Arial" w:eastAsia="宋体" w:hAnsi="Arial" w:cs="Arial"/>
                <w:color w:val="262626"/>
                <w:sz w:val="18"/>
                <w:szCs w:val="18"/>
              </w:rPr>
              <w:t xml:space="preserve"> vRAN Boost.</w:t>
            </w:r>
          </w:p>
        </w:tc>
      </w:tr>
      <w:tr w:rsidR="00960BB8" w14:paraId="5A1AFA57" w14:textId="77777777">
        <w:trPr>
          <w:trHeight w:val="700"/>
        </w:trPr>
        <w:tc>
          <w:tcPr>
            <w:tcW w:w="0" w:type="auto"/>
            <w:gridSpan w:val="3"/>
            <w:shd w:val="clear" w:color="auto" w:fill="auto"/>
            <w:tcMar>
              <w:top w:w="40" w:type="dxa"/>
              <w:left w:w="20" w:type="dxa"/>
              <w:bottom w:w="40" w:type="dxa"/>
              <w:right w:w="20" w:type="dxa"/>
            </w:tcMar>
          </w:tcPr>
          <w:p w14:paraId="5A1AFA55"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A56" w14:textId="77777777" w:rsidR="00960BB8" w:rsidRDefault="00C06650">
            <w:pPr>
              <w:spacing w:after="180"/>
              <w:textAlignment w:val="top"/>
            </w:pPr>
            <w:r>
              <w:rPr>
                <w:rFonts w:ascii="Arial" w:eastAsia="宋体" w:hAnsi="Arial" w:cs="Arial"/>
                <w:color w:val="262626"/>
                <w:sz w:val="18"/>
                <w:szCs w:val="18"/>
              </w:rPr>
              <w:t>We continue to update solutions to improve developers' digital strategies and to accelerate market adoption of edge and AI applications. We announced 12th</w:t>
            </w:r>
            <w:r>
              <w:rPr>
                <w:rFonts w:ascii="Arial" w:eastAsia="宋体" w:hAnsi="Arial" w:cs="Arial"/>
                <w:color w:val="262626"/>
                <w:sz w:val="11"/>
                <w:szCs w:val="11"/>
              </w:rPr>
              <w:t xml:space="preserve"> </w:t>
            </w:r>
            <w:r>
              <w:rPr>
                <w:rFonts w:ascii="Arial" w:eastAsia="宋体" w:hAnsi="Arial" w:cs="Arial"/>
                <w:color w:val="262626"/>
                <w:sz w:val="18"/>
                <w:szCs w:val="18"/>
              </w:rPr>
              <w:t>Gen Intel Core Processors for Internet of Things Edge and the Intel</w:t>
            </w:r>
            <w:r>
              <w:rPr>
                <w:rFonts w:ascii="Arial" w:eastAsia="宋体" w:hAnsi="Arial" w:cs="Arial"/>
                <w:color w:val="262626"/>
                <w:sz w:val="11"/>
                <w:szCs w:val="11"/>
              </w:rPr>
              <w:t>®</w:t>
            </w:r>
            <w:r>
              <w:rPr>
                <w:rFonts w:ascii="Arial" w:eastAsia="宋体" w:hAnsi="Arial" w:cs="Arial"/>
                <w:color w:val="262626"/>
                <w:sz w:val="18"/>
                <w:szCs w:val="18"/>
              </w:rPr>
              <w:t xml:space="preserve"> Geti™ computer vision platform w</w:t>
            </w:r>
            <w:r>
              <w:rPr>
                <w:rFonts w:ascii="Arial" w:eastAsia="宋体" w:hAnsi="Arial" w:cs="Arial"/>
                <w:color w:val="262626"/>
                <w:sz w:val="18"/>
                <w:szCs w:val="18"/>
              </w:rPr>
              <w:t>ith OpenVINO toolkit built in.</w:t>
            </w:r>
          </w:p>
        </w:tc>
      </w:tr>
      <w:tr w:rsidR="00960BB8" w14:paraId="5A1AFA5A" w14:textId="77777777">
        <w:trPr>
          <w:trHeight w:val="700"/>
        </w:trPr>
        <w:tc>
          <w:tcPr>
            <w:tcW w:w="0" w:type="auto"/>
            <w:gridSpan w:val="3"/>
            <w:shd w:val="clear" w:color="auto" w:fill="auto"/>
            <w:tcMar>
              <w:top w:w="40" w:type="dxa"/>
              <w:left w:w="20" w:type="dxa"/>
              <w:bottom w:w="40" w:type="dxa"/>
              <w:right w:w="20" w:type="dxa"/>
            </w:tcMar>
          </w:tcPr>
          <w:p w14:paraId="5A1AFA58"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A59" w14:textId="77777777" w:rsidR="00960BB8" w:rsidRDefault="00C06650">
            <w:pPr>
              <w:textAlignment w:val="top"/>
            </w:pPr>
            <w:r>
              <w:rPr>
                <w:rFonts w:ascii="Arial" w:eastAsia="宋体" w:hAnsi="Arial" w:cs="Arial"/>
                <w:color w:val="262626"/>
                <w:sz w:val="18"/>
                <w:szCs w:val="18"/>
              </w:rPr>
              <w:t>We continue to work with our ecosystem partners like Ericsson, Nokia, Cisco, Dell Technologies, HPE, Lenovo, Amazon, Google, and Microsoft to drive the software defined transformation of the world’s network and edge infras</w:t>
            </w:r>
            <w:r>
              <w:rPr>
                <w:rFonts w:ascii="Arial" w:eastAsia="宋体" w:hAnsi="Arial" w:cs="Arial"/>
                <w:color w:val="262626"/>
                <w:sz w:val="18"/>
                <w:szCs w:val="18"/>
              </w:rPr>
              <w:t>tructure and accelerate AI driven automation of physical operations.</w:t>
            </w:r>
          </w:p>
        </w:tc>
      </w:tr>
    </w:tbl>
    <w:p w14:paraId="5A1AFA5B" w14:textId="77777777" w:rsidR="00960BB8" w:rsidRDefault="00960BB8">
      <w:pPr>
        <w:spacing w:after="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A65" w14:textId="77777777">
        <w:tc>
          <w:tcPr>
            <w:tcW w:w="50" w:type="pct"/>
            <w:shd w:val="clear" w:color="auto" w:fill="auto"/>
            <w:vAlign w:val="bottom"/>
          </w:tcPr>
          <w:p w14:paraId="5A1AFA5C" w14:textId="77777777" w:rsidR="00960BB8" w:rsidRDefault="00960BB8">
            <w:pPr>
              <w:rPr>
                <w:rFonts w:ascii="宋体"/>
              </w:rPr>
            </w:pPr>
          </w:p>
        </w:tc>
        <w:tc>
          <w:tcPr>
            <w:tcW w:w="283" w:type="pct"/>
            <w:shd w:val="clear" w:color="auto" w:fill="auto"/>
            <w:vAlign w:val="bottom"/>
          </w:tcPr>
          <w:p w14:paraId="5A1AFA5D" w14:textId="77777777" w:rsidR="00960BB8" w:rsidRDefault="00960BB8">
            <w:pPr>
              <w:rPr>
                <w:rFonts w:ascii="宋体"/>
              </w:rPr>
            </w:pPr>
          </w:p>
        </w:tc>
        <w:tc>
          <w:tcPr>
            <w:tcW w:w="5" w:type="pct"/>
            <w:shd w:val="clear" w:color="auto" w:fill="auto"/>
            <w:vAlign w:val="bottom"/>
          </w:tcPr>
          <w:p w14:paraId="5A1AFA5E" w14:textId="77777777" w:rsidR="00960BB8" w:rsidRDefault="00960BB8">
            <w:pPr>
              <w:rPr>
                <w:rFonts w:ascii="宋体"/>
              </w:rPr>
            </w:pPr>
          </w:p>
        </w:tc>
        <w:tc>
          <w:tcPr>
            <w:tcW w:w="50" w:type="pct"/>
            <w:shd w:val="clear" w:color="auto" w:fill="auto"/>
            <w:vAlign w:val="bottom"/>
          </w:tcPr>
          <w:p w14:paraId="5A1AFA5F" w14:textId="77777777" w:rsidR="00960BB8" w:rsidRDefault="00960BB8">
            <w:pPr>
              <w:rPr>
                <w:rFonts w:ascii="宋体"/>
              </w:rPr>
            </w:pPr>
          </w:p>
        </w:tc>
        <w:tc>
          <w:tcPr>
            <w:tcW w:w="2656" w:type="pct"/>
            <w:shd w:val="clear" w:color="auto" w:fill="auto"/>
            <w:vAlign w:val="bottom"/>
          </w:tcPr>
          <w:p w14:paraId="5A1AFA60" w14:textId="77777777" w:rsidR="00960BB8" w:rsidRDefault="00960BB8">
            <w:pPr>
              <w:rPr>
                <w:rFonts w:ascii="宋体"/>
              </w:rPr>
            </w:pPr>
          </w:p>
        </w:tc>
        <w:tc>
          <w:tcPr>
            <w:tcW w:w="5" w:type="pct"/>
            <w:shd w:val="clear" w:color="auto" w:fill="auto"/>
            <w:vAlign w:val="bottom"/>
          </w:tcPr>
          <w:p w14:paraId="5A1AFA61" w14:textId="77777777" w:rsidR="00960BB8" w:rsidRDefault="00960BB8">
            <w:pPr>
              <w:rPr>
                <w:rFonts w:ascii="宋体"/>
              </w:rPr>
            </w:pPr>
          </w:p>
        </w:tc>
        <w:tc>
          <w:tcPr>
            <w:tcW w:w="50" w:type="pct"/>
            <w:shd w:val="clear" w:color="auto" w:fill="auto"/>
            <w:vAlign w:val="bottom"/>
          </w:tcPr>
          <w:p w14:paraId="5A1AFA62" w14:textId="77777777" w:rsidR="00960BB8" w:rsidRDefault="00960BB8">
            <w:pPr>
              <w:rPr>
                <w:rFonts w:ascii="宋体"/>
              </w:rPr>
            </w:pPr>
          </w:p>
        </w:tc>
        <w:tc>
          <w:tcPr>
            <w:tcW w:w="1894" w:type="pct"/>
            <w:shd w:val="clear" w:color="auto" w:fill="auto"/>
            <w:vAlign w:val="bottom"/>
          </w:tcPr>
          <w:p w14:paraId="5A1AFA63" w14:textId="77777777" w:rsidR="00960BB8" w:rsidRDefault="00960BB8">
            <w:pPr>
              <w:rPr>
                <w:rFonts w:ascii="宋体"/>
              </w:rPr>
            </w:pPr>
          </w:p>
        </w:tc>
        <w:tc>
          <w:tcPr>
            <w:tcW w:w="5" w:type="pct"/>
            <w:shd w:val="clear" w:color="auto" w:fill="auto"/>
            <w:vAlign w:val="bottom"/>
          </w:tcPr>
          <w:p w14:paraId="5A1AFA64" w14:textId="77777777" w:rsidR="00960BB8" w:rsidRDefault="00960BB8">
            <w:pPr>
              <w:rPr>
                <w:rFonts w:ascii="宋体"/>
              </w:rPr>
            </w:pPr>
          </w:p>
        </w:tc>
      </w:tr>
      <w:tr w:rsidR="00960BB8" w14:paraId="5A1AFA6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A66"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AD" wp14:editId="5A1B43AE">
                  <wp:extent cx="304800" cy="304800"/>
                  <wp:effectExtent l="0" t="0" r="0" b="0"/>
                  <wp:docPr id="118" name="图片 12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A67"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A68" w14:textId="77777777" w:rsidR="00960BB8" w:rsidRDefault="00C06650">
            <w:pPr>
              <w:jc w:val="right"/>
              <w:textAlignment w:val="center"/>
            </w:pPr>
            <w:r>
              <w:rPr>
                <w:rFonts w:ascii="Arial" w:eastAsia="宋体" w:hAnsi="Arial" w:cs="Arial"/>
                <w:color w:val="262626"/>
                <w:sz w:val="16"/>
                <w:szCs w:val="16"/>
              </w:rPr>
              <w:t>27</w:t>
            </w:r>
          </w:p>
        </w:tc>
      </w:tr>
    </w:tbl>
    <w:p w14:paraId="5A1AFA6A" w14:textId="77777777" w:rsidR="00960BB8" w:rsidRDefault="00C06650">
      <w:r>
        <w:pict w14:anchorId="5A1B43AF">
          <v:rect id="_x0000_i1053" style="width:415.3pt;height:1.5pt" o:hralign="center" o:hrstd="t" o:hr="t" fillcolor="#a0a0a0" stroked="f"/>
        </w:pict>
      </w:r>
    </w:p>
    <w:p w14:paraId="5A1AFA6B" w14:textId="77777777" w:rsidR="00960BB8" w:rsidRDefault="00960BB8"/>
    <w:p w14:paraId="5A1AFA6C" w14:textId="77777777" w:rsidR="00960BB8" w:rsidRDefault="00C06650">
      <w:pPr>
        <w:spacing w:before="180" w:after="180"/>
      </w:pPr>
      <w:r>
        <w:rPr>
          <w:rFonts w:ascii="Arial" w:eastAsia="宋体" w:hAnsi="Arial" w:cs="Arial"/>
          <w:color w:val="0068B5"/>
        </w:rPr>
        <w:t>Market and Business Overview</w:t>
      </w:r>
    </w:p>
    <w:p w14:paraId="5A1AFA6D" w14:textId="77777777" w:rsidR="00960BB8" w:rsidRDefault="00C06650">
      <w:pPr>
        <w:spacing w:after="120"/>
      </w:pPr>
      <w:r>
        <w:rPr>
          <w:rFonts w:ascii="Arial" w:eastAsia="宋体" w:hAnsi="Arial" w:cs="Arial"/>
          <w:color w:val="0068B5"/>
          <w:sz w:val="20"/>
          <w:szCs w:val="20"/>
        </w:rPr>
        <w:t>Market Trends and Strategy</w:t>
      </w:r>
    </w:p>
    <w:p w14:paraId="5A1AFA6E" w14:textId="77777777" w:rsidR="00960BB8" w:rsidRDefault="00C06650">
      <w:pPr>
        <w:spacing w:after="180"/>
      </w:pPr>
      <w:r>
        <w:rPr>
          <w:rFonts w:ascii="Arial" w:eastAsia="宋体" w:hAnsi="Arial" w:cs="Arial"/>
          <w:color w:val="262626"/>
          <w:sz w:val="18"/>
          <w:szCs w:val="18"/>
        </w:rPr>
        <w:t xml:space="preserve">The Internet is undergoing a shift toward a cloud-to-edge infrastructure, combining unrivaled scale and capacity in the cloud with faster response times at nearby edges. As AI inference is transforming and automating every industry—from factories to smart </w:t>
      </w:r>
      <w:r>
        <w:rPr>
          <w:rFonts w:ascii="Arial" w:eastAsia="宋体" w:hAnsi="Arial" w:cs="Arial"/>
          <w:color w:val="262626"/>
          <w:sz w:val="18"/>
          <w:szCs w:val="18"/>
        </w:rPr>
        <w:t xml:space="preserve">cities and hospitals—the demand for high-performance computing at the edge has expanded exponentially. Networks are moving toward software, becoming more programmable and flexible. </w:t>
      </w:r>
    </w:p>
    <w:p w14:paraId="5A1AFA6F" w14:textId="77777777" w:rsidR="00960BB8" w:rsidRDefault="00C06650">
      <w:pPr>
        <w:spacing w:after="180"/>
      </w:pPr>
      <w:r>
        <w:rPr>
          <w:rFonts w:ascii="Arial" w:eastAsia="宋体" w:hAnsi="Arial" w:cs="Arial"/>
          <w:color w:val="262626"/>
          <w:sz w:val="18"/>
          <w:szCs w:val="18"/>
        </w:rPr>
        <w:t>Our network and edge solutions aim to (1) move the world's networks to run</w:t>
      </w:r>
      <w:r>
        <w:rPr>
          <w:rFonts w:ascii="Arial" w:eastAsia="宋体" w:hAnsi="Arial" w:cs="Arial"/>
          <w:color w:val="262626"/>
          <w:sz w:val="18"/>
          <w:szCs w:val="18"/>
        </w:rPr>
        <w:t xml:space="preserve"> in software on Intel technologies at the core of cloud data centers, the public Internet, and public and private 5G/6G networks; (2) deploy and run software that monitors and controls factories, cities, commerce, energy, and healthcare on Intel technologi</w:t>
      </w:r>
      <w:r>
        <w:rPr>
          <w:rFonts w:ascii="Arial" w:eastAsia="宋体" w:hAnsi="Arial" w:cs="Arial"/>
          <w:color w:val="262626"/>
          <w:sz w:val="18"/>
          <w:szCs w:val="18"/>
        </w:rPr>
        <w:t>es; and (3) run every workload at the edge, between the cloud and the end user, whether deployed by a CSP, CoSP, or an alternative service provider.</w:t>
      </w:r>
    </w:p>
    <w:p w14:paraId="5A1AFA70" w14:textId="77777777" w:rsidR="00960BB8" w:rsidRDefault="00C06650">
      <w:pPr>
        <w:spacing w:after="120"/>
      </w:pPr>
      <w:r>
        <w:rPr>
          <w:rFonts w:ascii="Arial" w:eastAsia="宋体" w:hAnsi="Arial" w:cs="Arial"/>
          <w:color w:val="0068B5"/>
          <w:sz w:val="20"/>
          <w:szCs w:val="20"/>
        </w:rPr>
        <w:t>Products and Competition</w:t>
      </w:r>
    </w:p>
    <w:p w14:paraId="5A1AFA71" w14:textId="77777777" w:rsidR="00960BB8" w:rsidRDefault="00C06650">
      <w:pPr>
        <w:spacing w:after="180"/>
      </w:pPr>
      <w:r>
        <w:rPr>
          <w:rFonts w:ascii="Arial" w:eastAsia="宋体" w:hAnsi="Arial" w:cs="Arial"/>
          <w:color w:val="262626"/>
          <w:sz w:val="18"/>
          <w:szCs w:val="18"/>
        </w:rPr>
        <w:t>With a greater emphasis on systems and solutions designed to harness the growth of</w:t>
      </w:r>
      <w:r>
        <w:rPr>
          <w:rFonts w:ascii="Arial" w:eastAsia="宋体" w:hAnsi="Arial" w:cs="Arial"/>
          <w:color w:val="262626"/>
          <w:sz w:val="18"/>
          <w:szCs w:val="18"/>
        </w:rPr>
        <w:t xml:space="preserve"> data processed at the edge to yield insights, our competitive landscape has shifted beyond application-specific standard product vendors to include cloud, network, and AI computing platform providers.</w:t>
      </w:r>
    </w:p>
    <w:p w14:paraId="5A1AFA72" w14:textId="77777777" w:rsidR="00960BB8" w:rsidRDefault="00C06650">
      <w:pPr>
        <w:spacing w:after="180"/>
      </w:pPr>
      <w:r>
        <w:rPr>
          <w:rFonts w:ascii="Arial" w:eastAsia="宋体" w:hAnsi="Arial" w:cs="Arial"/>
          <w:color w:val="262626"/>
          <w:sz w:val="18"/>
          <w:szCs w:val="18"/>
        </w:rPr>
        <w:t xml:space="preserve">Today, we speed the deployment of network and edge computing solutions based on our open software frameworks and broad silicon portfolio to address a broad range of applications in many markets. </w:t>
      </w:r>
    </w:p>
    <w:p w14:paraId="5A1AFA73" w14:textId="77777777" w:rsidR="00960BB8" w:rsidRDefault="00C06650">
      <w:pPr>
        <w:spacing w:after="180"/>
      </w:pPr>
      <w:r>
        <w:rPr>
          <w:rFonts w:ascii="Arial" w:eastAsia="宋体" w:hAnsi="Arial" w:cs="Arial"/>
          <w:color w:val="0068B5"/>
          <w:sz w:val="18"/>
          <w:szCs w:val="18"/>
        </w:rPr>
        <w:t>Cloud Networking:</w:t>
      </w:r>
      <w:r>
        <w:rPr>
          <w:rFonts w:ascii="Arial" w:eastAsia="宋体" w:hAnsi="Arial" w:cs="Arial"/>
          <w:color w:val="262626"/>
          <w:sz w:val="18"/>
          <w:szCs w:val="18"/>
        </w:rPr>
        <w:t xml:space="preserve"> Our cloud customers require uncompromised </w:t>
      </w:r>
      <w:r>
        <w:rPr>
          <w:rFonts w:ascii="Arial" w:eastAsia="宋体" w:hAnsi="Arial" w:cs="Arial"/>
          <w:color w:val="262626"/>
          <w:sz w:val="18"/>
          <w:szCs w:val="18"/>
        </w:rPr>
        <w:t>data center network performance and reliability. Intel</w:t>
      </w:r>
      <w:r>
        <w:rPr>
          <w:rFonts w:ascii="Arial" w:eastAsia="宋体" w:hAnsi="Arial" w:cs="Arial"/>
          <w:color w:val="262626"/>
          <w:sz w:val="11"/>
          <w:szCs w:val="11"/>
        </w:rPr>
        <w:t>®</w:t>
      </w:r>
      <w:r>
        <w:rPr>
          <w:rFonts w:ascii="Arial" w:eastAsia="宋体" w:hAnsi="Arial" w:cs="Arial"/>
          <w:color w:val="262626"/>
          <w:sz w:val="18"/>
          <w:szCs w:val="18"/>
        </w:rPr>
        <w:t xml:space="preserve"> Intelligent Fabric allows customers to program network behavior from end to end, from one Intel Xeon server to the next, through Intel</w:t>
      </w:r>
      <w:r>
        <w:rPr>
          <w:rFonts w:ascii="Arial" w:eastAsia="宋体" w:hAnsi="Arial" w:cs="Arial"/>
          <w:color w:val="262626"/>
          <w:sz w:val="11"/>
          <w:szCs w:val="11"/>
        </w:rPr>
        <w:t>®</w:t>
      </w:r>
      <w:r>
        <w:rPr>
          <w:rFonts w:ascii="Arial" w:eastAsia="宋体" w:hAnsi="Arial" w:cs="Arial"/>
          <w:color w:val="262626"/>
          <w:sz w:val="18"/>
          <w:szCs w:val="18"/>
        </w:rPr>
        <w:t xml:space="preserve"> Ethernet NICs, IPUs, and Ethernet Switch ASICs. This control giv</w:t>
      </w:r>
      <w:r>
        <w:rPr>
          <w:rFonts w:ascii="Arial" w:eastAsia="宋体" w:hAnsi="Arial" w:cs="Arial"/>
          <w:color w:val="262626"/>
          <w:sz w:val="18"/>
          <w:szCs w:val="18"/>
        </w:rPr>
        <w:t>es customers the ability to advance and differentiate their cloud infrastructure based on the unique needs of their business. The IPU, a new class of product introduced by Intel, is an open and programmable compute platform that frees up more compute cycle</w:t>
      </w:r>
      <w:r>
        <w:rPr>
          <w:rFonts w:ascii="Arial" w:eastAsia="宋体" w:hAnsi="Arial" w:cs="Arial"/>
          <w:color w:val="262626"/>
          <w:sz w:val="18"/>
          <w:szCs w:val="18"/>
        </w:rPr>
        <w:t>s for customers by running infrastructure workloads in a separate, secure, and isolated set of CPU cores. Our Intel</w:t>
      </w:r>
      <w:r>
        <w:rPr>
          <w:rFonts w:ascii="Arial" w:eastAsia="宋体" w:hAnsi="Arial" w:cs="Arial"/>
          <w:color w:val="262626"/>
          <w:sz w:val="11"/>
          <w:szCs w:val="11"/>
        </w:rPr>
        <w:t>®</w:t>
      </w:r>
      <w:r>
        <w:rPr>
          <w:rFonts w:ascii="Arial" w:eastAsia="宋体" w:hAnsi="Arial" w:cs="Arial"/>
          <w:color w:val="262626"/>
          <w:sz w:val="18"/>
          <w:szCs w:val="18"/>
        </w:rPr>
        <w:t xml:space="preserve"> Silicon Photonics Optical Transceivers are the backbone of the data center network, building reliable optical links on an industry-leading </w:t>
      </w:r>
      <w:r>
        <w:rPr>
          <w:rFonts w:ascii="Arial" w:eastAsia="宋体" w:hAnsi="Arial" w:cs="Arial"/>
          <w:color w:val="262626"/>
          <w:sz w:val="18"/>
          <w:szCs w:val="18"/>
        </w:rPr>
        <w:t>manufacturing process.</w:t>
      </w:r>
    </w:p>
    <w:p w14:paraId="5A1AFA74" w14:textId="77777777" w:rsidR="00960BB8" w:rsidRDefault="00C06650">
      <w:pPr>
        <w:spacing w:after="180"/>
      </w:pPr>
      <w:r>
        <w:rPr>
          <w:rFonts w:ascii="Arial" w:eastAsia="宋体" w:hAnsi="Arial" w:cs="Arial"/>
          <w:color w:val="0068B5"/>
          <w:sz w:val="18"/>
          <w:szCs w:val="18"/>
        </w:rPr>
        <w:t>Telecommunications Networks:</w:t>
      </w:r>
      <w:r>
        <w:rPr>
          <w:rFonts w:ascii="Arial" w:eastAsia="宋体" w:hAnsi="Arial" w:cs="Arial"/>
          <w:color w:val="262626"/>
          <w:sz w:val="18"/>
          <w:szCs w:val="18"/>
        </w:rPr>
        <w:t xml:space="preserve"> Intel led the world’s shift to running networking workloads in software and created network function virtualization, providing customers with more efficient, cost-effective, and programmable platforms. No</w:t>
      </w:r>
      <w:r>
        <w:rPr>
          <w:rFonts w:ascii="Arial" w:eastAsia="宋体" w:hAnsi="Arial" w:cs="Arial"/>
          <w:color w:val="262626"/>
          <w:sz w:val="18"/>
          <w:szCs w:val="18"/>
        </w:rPr>
        <w:t xml:space="preserve">w we are leading the first wave of 5G core network deployments and demonstrating that 5G base stations can be almost entirely built from software running on Intel Xeon processors with Intel vRAN Boost. </w:t>
      </w:r>
    </w:p>
    <w:p w14:paraId="5A1AFA75" w14:textId="77777777" w:rsidR="00960BB8" w:rsidRDefault="00C06650">
      <w:pPr>
        <w:spacing w:after="180"/>
      </w:pPr>
      <w:r>
        <w:rPr>
          <w:rFonts w:ascii="Arial" w:eastAsia="宋体" w:hAnsi="Arial" w:cs="Arial"/>
          <w:color w:val="262626"/>
          <w:sz w:val="18"/>
          <w:szCs w:val="18"/>
        </w:rPr>
        <w:t xml:space="preserve">Our growth comes from moving fixed-function networks </w:t>
      </w:r>
      <w:r>
        <w:rPr>
          <w:rFonts w:ascii="Arial" w:eastAsia="宋体" w:hAnsi="Arial" w:cs="Arial"/>
          <w:color w:val="262626"/>
          <w:sz w:val="18"/>
          <w:szCs w:val="18"/>
        </w:rPr>
        <w:t>onto Intel Xeon Scalable processors and Intel Xeon D processors running our FlexCore and FlexRAN™ software. Our customers are tier-one global communication service providers and their equipment suppliers. Our software-based cloud RAN platform allows operat</w:t>
      </w:r>
      <w:r>
        <w:rPr>
          <w:rFonts w:ascii="Arial" w:eastAsia="宋体" w:hAnsi="Arial" w:cs="Arial"/>
          <w:color w:val="262626"/>
          <w:sz w:val="18"/>
          <w:szCs w:val="18"/>
        </w:rPr>
        <w:t>ors to deploy the fastest cloud-native 5G infrastructure quickly and efficiently at scale to meet the needs of their end customers.</w:t>
      </w:r>
    </w:p>
    <w:p w14:paraId="5A1AFA76" w14:textId="77777777" w:rsidR="00960BB8" w:rsidRDefault="00C06650">
      <w:pPr>
        <w:spacing w:after="180"/>
      </w:pPr>
      <w:r>
        <w:rPr>
          <w:rFonts w:ascii="Arial" w:eastAsia="宋体" w:hAnsi="Arial" w:cs="Arial"/>
          <w:color w:val="0068B5"/>
          <w:sz w:val="18"/>
          <w:szCs w:val="18"/>
        </w:rPr>
        <w:t>On-premises Edge:</w:t>
      </w:r>
      <w:r>
        <w:rPr>
          <w:rFonts w:ascii="Arial" w:eastAsia="宋体" w:hAnsi="Arial" w:cs="Arial"/>
          <w:color w:val="262626"/>
          <w:sz w:val="18"/>
          <w:szCs w:val="18"/>
        </w:rPr>
        <w:t xml:space="preserve"> More than just a silicon provider, we partner with companies to design and deliver solutions to help a wid</w:t>
      </w:r>
      <w:r>
        <w:rPr>
          <w:rFonts w:ascii="Arial" w:eastAsia="宋体" w:hAnsi="Arial" w:cs="Arial"/>
          <w:color w:val="262626"/>
          <w:sz w:val="18"/>
          <w:szCs w:val="18"/>
        </w:rPr>
        <w:t>e range of customers transform their businesses and take advantage of the rapidly increasing number of connected devices and customers. We develop high-performance compute platforms that solve for technology and business use cases that scale across vertica</w:t>
      </w:r>
      <w:r>
        <w:rPr>
          <w:rFonts w:ascii="Arial" w:eastAsia="宋体" w:hAnsi="Arial" w:cs="Arial"/>
          <w:color w:val="262626"/>
          <w:sz w:val="18"/>
          <w:szCs w:val="18"/>
        </w:rPr>
        <w:t>l industries and embedded markets such as retail, banking, hospitality, education, manufacturing, energy, healthcare, and medical.</w:t>
      </w:r>
    </w:p>
    <w:p w14:paraId="5A1AFA77" w14:textId="77777777" w:rsidR="00960BB8" w:rsidRDefault="00C06650">
      <w:pPr>
        <w:spacing w:after="180"/>
      </w:pPr>
      <w:r>
        <w:rPr>
          <w:rFonts w:ascii="Arial" w:eastAsia="宋体" w:hAnsi="Arial" w:cs="Arial"/>
          <w:color w:val="262626"/>
          <w:sz w:val="18"/>
          <w:szCs w:val="18"/>
        </w:rPr>
        <w:t>A common architecture from intelligent edge platforms based on our Intel Xeon, Intel Core, Intel Atom and vision processing u</w:t>
      </w:r>
      <w:r>
        <w:rPr>
          <w:rFonts w:ascii="Arial" w:eastAsia="宋体" w:hAnsi="Arial" w:cs="Arial"/>
          <w:color w:val="262626"/>
          <w:sz w:val="18"/>
          <w:szCs w:val="18"/>
        </w:rPr>
        <w:t>nit silicon portfolio reduces complexity in the ecosystem and helps our customers create, store, and process data at the edge, analyzing it faster and acting on it sooner. Software frameworks like the OpenVINO toolkit enable software developers to deploy n</w:t>
      </w:r>
      <w:r>
        <w:rPr>
          <w:rFonts w:ascii="Arial" w:eastAsia="宋体" w:hAnsi="Arial" w:cs="Arial"/>
          <w:color w:val="262626"/>
          <w:sz w:val="18"/>
          <w:szCs w:val="18"/>
        </w:rPr>
        <w:t>ew automation solutions on Intel hardware, particularly for those running AI inference workloads.</w:t>
      </w:r>
    </w:p>
    <w:p w14:paraId="5A1AFA78" w14:textId="77777777" w:rsidR="00960BB8" w:rsidRDefault="00C06650">
      <w:pPr>
        <w:spacing w:after="180"/>
      </w:pPr>
      <w:r>
        <w:rPr>
          <w:rFonts w:ascii="Arial" w:eastAsia="宋体" w:hAnsi="Arial" w:cs="Arial"/>
          <w:color w:val="0068B5"/>
          <w:sz w:val="18"/>
          <w:szCs w:val="18"/>
        </w:rPr>
        <w:t>Software and Platforms:</w:t>
      </w:r>
      <w:r>
        <w:rPr>
          <w:rFonts w:ascii="Arial" w:eastAsia="宋体" w:hAnsi="Arial" w:cs="Arial"/>
          <w:color w:val="262626"/>
          <w:sz w:val="18"/>
          <w:szCs w:val="18"/>
        </w:rPr>
        <w:t xml:space="preserve"> Our customers’ need for flexibility, programmability, and versatility drives workloads toward software and away from fixed-function ha</w:t>
      </w:r>
      <w:r>
        <w:rPr>
          <w:rFonts w:ascii="Arial" w:eastAsia="宋体" w:hAnsi="Arial" w:cs="Arial"/>
          <w:color w:val="262626"/>
          <w:sz w:val="18"/>
          <w:szCs w:val="18"/>
        </w:rPr>
        <w:t>rdware. As networking in the cloud, core network, 5G, and private networks move to software, and as our edge customers increasingly deploy AI inference applications, we aim to simplify innovation on Intel hardware. We support our customers with open, conta</w:t>
      </w:r>
      <w:r>
        <w:rPr>
          <w:rFonts w:ascii="Arial" w:eastAsia="宋体" w:hAnsi="Arial" w:cs="Arial"/>
          <w:color w:val="262626"/>
          <w:sz w:val="18"/>
          <w:szCs w:val="18"/>
        </w:rPr>
        <w:t>inerized software frameworks, such as Intel</w:t>
      </w:r>
      <w:r>
        <w:rPr>
          <w:rFonts w:ascii="Arial" w:eastAsia="宋体" w:hAnsi="Arial" w:cs="Arial"/>
          <w:color w:val="262626"/>
          <w:sz w:val="12"/>
          <w:szCs w:val="12"/>
        </w:rPr>
        <w:t>®</w:t>
      </w:r>
      <w:r>
        <w:rPr>
          <w:rFonts w:ascii="Arial" w:eastAsia="宋体" w:hAnsi="Arial" w:cs="Arial"/>
          <w:color w:val="262626"/>
          <w:sz w:val="18"/>
          <w:szCs w:val="18"/>
        </w:rPr>
        <w:t xml:space="preserve"> Smart Edge, the OpenVINO toolkit, and the Infrastructure Programmer Developer Kit, enabling the network to continue to improve and evolve without locking customers into a single solution. Intel Geti software is designed to enable teams to rapidly develop </w:t>
      </w:r>
      <w:r>
        <w:rPr>
          <w:rFonts w:ascii="Arial" w:eastAsia="宋体" w:hAnsi="Arial" w:cs="Arial"/>
          <w:color w:val="262626"/>
          <w:sz w:val="18"/>
          <w:szCs w:val="18"/>
        </w:rPr>
        <w:t>AI models, and its intuitive computer vision solution is designed to reduce the time needed to build models by easing the complexities of model development and harnessing greater collaboration between teams at the edge.</w:t>
      </w:r>
    </w:p>
    <w:p w14:paraId="5A1AFA79" w14:textId="77777777" w:rsidR="00960BB8" w:rsidRDefault="00960BB8"/>
    <w:p w14:paraId="5A1AFA7A" w14:textId="77777777" w:rsidR="00960BB8" w:rsidRDefault="00960BB8"/>
    <w:p w14:paraId="5A1AFA7B" w14:textId="77777777" w:rsidR="00960BB8" w:rsidRDefault="00960BB8"/>
    <w:p w14:paraId="5A1AFA7C" w14:textId="77777777" w:rsidR="00960BB8" w:rsidRDefault="00960BB8">
      <w:pPr>
        <w:spacing w:after="12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A86" w14:textId="77777777">
        <w:tc>
          <w:tcPr>
            <w:tcW w:w="50" w:type="pct"/>
            <w:shd w:val="clear" w:color="auto" w:fill="auto"/>
            <w:vAlign w:val="bottom"/>
          </w:tcPr>
          <w:p w14:paraId="5A1AFA7D" w14:textId="77777777" w:rsidR="00960BB8" w:rsidRDefault="00960BB8">
            <w:pPr>
              <w:rPr>
                <w:rFonts w:ascii="宋体"/>
              </w:rPr>
            </w:pPr>
          </w:p>
        </w:tc>
        <w:tc>
          <w:tcPr>
            <w:tcW w:w="283" w:type="pct"/>
            <w:shd w:val="clear" w:color="auto" w:fill="auto"/>
            <w:vAlign w:val="bottom"/>
          </w:tcPr>
          <w:p w14:paraId="5A1AFA7E" w14:textId="77777777" w:rsidR="00960BB8" w:rsidRDefault="00960BB8">
            <w:pPr>
              <w:rPr>
                <w:rFonts w:ascii="宋体"/>
              </w:rPr>
            </w:pPr>
          </w:p>
        </w:tc>
        <w:tc>
          <w:tcPr>
            <w:tcW w:w="5" w:type="pct"/>
            <w:shd w:val="clear" w:color="auto" w:fill="auto"/>
            <w:vAlign w:val="bottom"/>
          </w:tcPr>
          <w:p w14:paraId="5A1AFA7F" w14:textId="77777777" w:rsidR="00960BB8" w:rsidRDefault="00960BB8">
            <w:pPr>
              <w:rPr>
                <w:rFonts w:ascii="宋体"/>
              </w:rPr>
            </w:pPr>
          </w:p>
        </w:tc>
        <w:tc>
          <w:tcPr>
            <w:tcW w:w="50" w:type="pct"/>
            <w:shd w:val="clear" w:color="auto" w:fill="auto"/>
            <w:vAlign w:val="bottom"/>
          </w:tcPr>
          <w:p w14:paraId="5A1AFA80" w14:textId="77777777" w:rsidR="00960BB8" w:rsidRDefault="00960BB8">
            <w:pPr>
              <w:rPr>
                <w:rFonts w:ascii="宋体"/>
              </w:rPr>
            </w:pPr>
          </w:p>
        </w:tc>
        <w:tc>
          <w:tcPr>
            <w:tcW w:w="2656" w:type="pct"/>
            <w:shd w:val="clear" w:color="auto" w:fill="auto"/>
            <w:vAlign w:val="bottom"/>
          </w:tcPr>
          <w:p w14:paraId="5A1AFA81" w14:textId="77777777" w:rsidR="00960BB8" w:rsidRDefault="00960BB8">
            <w:pPr>
              <w:rPr>
                <w:rFonts w:ascii="宋体"/>
              </w:rPr>
            </w:pPr>
          </w:p>
        </w:tc>
        <w:tc>
          <w:tcPr>
            <w:tcW w:w="5" w:type="pct"/>
            <w:shd w:val="clear" w:color="auto" w:fill="auto"/>
            <w:vAlign w:val="bottom"/>
          </w:tcPr>
          <w:p w14:paraId="5A1AFA82" w14:textId="77777777" w:rsidR="00960BB8" w:rsidRDefault="00960BB8">
            <w:pPr>
              <w:rPr>
                <w:rFonts w:ascii="宋体"/>
              </w:rPr>
            </w:pPr>
          </w:p>
        </w:tc>
        <w:tc>
          <w:tcPr>
            <w:tcW w:w="50" w:type="pct"/>
            <w:shd w:val="clear" w:color="auto" w:fill="auto"/>
            <w:vAlign w:val="bottom"/>
          </w:tcPr>
          <w:p w14:paraId="5A1AFA83" w14:textId="77777777" w:rsidR="00960BB8" w:rsidRDefault="00960BB8">
            <w:pPr>
              <w:rPr>
                <w:rFonts w:ascii="宋体"/>
              </w:rPr>
            </w:pPr>
          </w:p>
        </w:tc>
        <w:tc>
          <w:tcPr>
            <w:tcW w:w="1894" w:type="pct"/>
            <w:shd w:val="clear" w:color="auto" w:fill="auto"/>
            <w:vAlign w:val="bottom"/>
          </w:tcPr>
          <w:p w14:paraId="5A1AFA84" w14:textId="77777777" w:rsidR="00960BB8" w:rsidRDefault="00960BB8">
            <w:pPr>
              <w:rPr>
                <w:rFonts w:ascii="宋体"/>
              </w:rPr>
            </w:pPr>
          </w:p>
        </w:tc>
        <w:tc>
          <w:tcPr>
            <w:tcW w:w="5" w:type="pct"/>
            <w:shd w:val="clear" w:color="auto" w:fill="auto"/>
            <w:vAlign w:val="bottom"/>
          </w:tcPr>
          <w:p w14:paraId="5A1AFA85" w14:textId="77777777" w:rsidR="00960BB8" w:rsidRDefault="00960BB8">
            <w:pPr>
              <w:rPr>
                <w:rFonts w:ascii="宋体"/>
              </w:rPr>
            </w:pPr>
          </w:p>
        </w:tc>
      </w:tr>
      <w:tr w:rsidR="00960BB8" w14:paraId="5A1AFA8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A87"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B0" wp14:editId="5A1B43B1">
                  <wp:extent cx="304800" cy="304800"/>
                  <wp:effectExtent l="0" t="0" r="0" b="0"/>
                  <wp:docPr id="87" name="图片 12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2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A88"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A89" w14:textId="77777777" w:rsidR="00960BB8" w:rsidRDefault="00C06650">
            <w:pPr>
              <w:jc w:val="right"/>
              <w:textAlignment w:val="center"/>
            </w:pPr>
            <w:r>
              <w:rPr>
                <w:rFonts w:ascii="Arial" w:eastAsia="宋体" w:hAnsi="Arial" w:cs="Arial"/>
                <w:color w:val="262626"/>
                <w:sz w:val="16"/>
                <w:szCs w:val="16"/>
              </w:rPr>
              <w:t>28</w:t>
            </w:r>
          </w:p>
        </w:tc>
      </w:tr>
    </w:tbl>
    <w:p w14:paraId="5A1AFA8B" w14:textId="77777777" w:rsidR="00960BB8" w:rsidRDefault="00C06650">
      <w:r>
        <w:pict w14:anchorId="5A1B43B2">
          <v:rect id="_x0000_i1054" style="width:415.3pt;height:1.5pt" o:hralign="center" o:hrstd="t" o:hr="t" fillcolor="#a0a0a0" stroked="f"/>
        </w:pict>
      </w:r>
    </w:p>
    <w:p w14:paraId="5A1AFA8C" w14:textId="77777777" w:rsidR="00960BB8" w:rsidRDefault="00960BB8"/>
    <w:p w14:paraId="5A1AFA8D" w14:textId="77777777" w:rsidR="00960BB8" w:rsidRDefault="00C06650">
      <w:pPr>
        <w:spacing w:after="180"/>
      </w:pPr>
      <w:r>
        <w:rPr>
          <w:rFonts w:ascii="Arial" w:eastAsia="宋体" w:hAnsi="Arial" w:cs="Arial"/>
          <w:color w:val="0068B5"/>
        </w:rPr>
        <w:t>Financial Performance</w:t>
      </w:r>
    </w:p>
    <w:tbl>
      <w:tblPr>
        <w:tblW w:w="10680" w:type="dxa"/>
        <w:tblCellMar>
          <w:top w:w="15" w:type="dxa"/>
          <w:left w:w="15" w:type="dxa"/>
          <w:bottom w:w="15" w:type="dxa"/>
          <w:right w:w="15" w:type="dxa"/>
        </w:tblCellMar>
        <w:tblLook w:val="04A0" w:firstRow="1" w:lastRow="0" w:firstColumn="1" w:lastColumn="0" w:noHBand="0" w:noVBand="1"/>
      </w:tblPr>
      <w:tblGrid>
        <w:gridCol w:w="37"/>
        <w:gridCol w:w="123"/>
        <w:gridCol w:w="36"/>
        <w:gridCol w:w="36"/>
        <w:gridCol w:w="4746"/>
        <w:gridCol w:w="36"/>
        <w:gridCol w:w="36"/>
        <w:gridCol w:w="565"/>
        <w:gridCol w:w="36"/>
        <w:gridCol w:w="36"/>
        <w:gridCol w:w="4497"/>
        <w:gridCol w:w="36"/>
        <w:gridCol w:w="36"/>
        <w:gridCol w:w="388"/>
        <w:gridCol w:w="36"/>
      </w:tblGrid>
      <w:tr w:rsidR="00960BB8" w14:paraId="5A1AFA9D" w14:textId="77777777">
        <w:tc>
          <w:tcPr>
            <w:tcW w:w="20" w:type="dxa"/>
            <w:shd w:val="clear" w:color="auto" w:fill="auto"/>
            <w:vAlign w:val="bottom"/>
          </w:tcPr>
          <w:p w14:paraId="5A1AFA8E" w14:textId="77777777" w:rsidR="00960BB8" w:rsidRDefault="00960BB8">
            <w:pPr>
              <w:rPr>
                <w:rFonts w:ascii="宋体"/>
              </w:rPr>
            </w:pPr>
          </w:p>
        </w:tc>
        <w:tc>
          <w:tcPr>
            <w:tcW w:w="125" w:type="dxa"/>
            <w:shd w:val="clear" w:color="auto" w:fill="auto"/>
            <w:vAlign w:val="bottom"/>
          </w:tcPr>
          <w:p w14:paraId="5A1AFA8F" w14:textId="77777777" w:rsidR="00960BB8" w:rsidRDefault="00960BB8">
            <w:pPr>
              <w:rPr>
                <w:rFonts w:ascii="宋体"/>
              </w:rPr>
            </w:pPr>
          </w:p>
        </w:tc>
        <w:tc>
          <w:tcPr>
            <w:tcW w:w="20" w:type="dxa"/>
            <w:shd w:val="clear" w:color="auto" w:fill="auto"/>
            <w:vAlign w:val="bottom"/>
          </w:tcPr>
          <w:p w14:paraId="5A1AFA90" w14:textId="77777777" w:rsidR="00960BB8" w:rsidRDefault="00960BB8">
            <w:pPr>
              <w:rPr>
                <w:rFonts w:ascii="宋体"/>
              </w:rPr>
            </w:pPr>
          </w:p>
        </w:tc>
        <w:tc>
          <w:tcPr>
            <w:tcW w:w="20" w:type="dxa"/>
            <w:shd w:val="clear" w:color="auto" w:fill="auto"/>
            <w:vAlign w:val="bottom"/>
          </w:tcPr>
          <w:p w14:paraId="5A1AFA91" w14:textId="77777777" w:rsidR="00960BB8" w:rsidRDefault="00960BB8">
            <w:pPr>
              <w:rPr>
                <w:rFonts w:ascii="宋体"/>
              </w:rPr>
            </w:pPr>
          </w:p>
        </w:tc>
        <w:tc>
          <w:tcPr>
            <w:tcW w:w="4820" w:type="dxa"/>
            <w:shd w:val="clear" w:color="auto" w:fill="auto"/>
            <w:vAlign w:val="bottom"/>
          </w:tcPr>
          <w:p w14:paraId="5A1AFA92" w14:textId="77777777" w:rsidR="00960BB8" w:rsidRDefault="00960BB8">
            <w:pPr>
              <w:rPr>
                <w:rFonts w:ascii="宋体"/>
              </w:rPr>
            </w:pPr>
          </w:p>
        </w:tc>
        <w:tc>
          <w:tcPr>
            <w:tcW w:w="20" w:type="dxa"/>
            <w:shd w:val="clear" w:color="auto" w:fill="auto"/>
            <w:vAlign w:val="bottom"/>
          </w:tcPr>
          <w:p w14:paraId="5A1AFA93" w14:textId="77777777" w:rsidR="00960BB8" w:rsidRDefault="00960BB8">
            <w:pPr>
              <w:rPr>
                <w:rFonts w:ascii="宋体"/>
              </w:rPr>
            </w:pPr>
          </w:p>
        </w:tc>
        <w:tc>
          <w:tcPr>
            <w:tcW w:w="20" w:type="dxa"/>
            <w:shd w:val="clear" w:color="auto" w:fill="auto"/>
            <w:vAlign w:val="bottom"/>
          </w:tcPr>
          <w:p w14:paraId="5A1AFA94" w14:textId="77777777" w:rsidR="00960BB8" w:rsidRDefault="00960BB8">
            <w:pPr>
              <w:rPr>
                <w:rFonts w:ascii="宋体"/>
              </w:rPr>
            </w:pPr>
          </w:p>
        </w:tc>
        <w:tc>
          <w:tcPr>
            <w:tcW w:w="575" w:type="dxa"/>
            <w:shd w:val="clear" w:color="auto" w:fill="auto"/>
            <w:vAlign w:val="bottom"/>
          </w:tcPr>
          <w:p w14:paraId="5A1AFA95" w14:textId="77777777" w:rsidR="00960BB8" w:rsidRDefault="00960BB8">
            <w:pPr>
              <w:rPr>
                <w:rFonts w:ascii="宋体"/>
              </w:rPr>
            </w:pPr>
          </w:p>
        </w:tc>
        <w:tc>
          <w:tcPr>
            <w:tcW w:w="20" w:type="dxa"/>
            <w:shd w:val="clear" w:color="auto" w:fill="auto"/>
            <w:vAlign w:val="bottom"/>
          </w:tcPr>
          <w:p w14:paraId="5A1AFA96" w14:textId="77777777" w:rsidR="00960BB8" w:rsidRDefault="00960BB8">
            <w:pPr>
              <w:rPr>
                <w:rFonts w:ascii="宋体"/>
              </w:rPr>
            </w:pPr>
          </w:p>
        </w:tc>
        <w:tc>
          <w:tcPr>
            <w:tcW w:w="20" w:type="dxa"/>
            <w:shd w:val="clear" w:color="auto" w:fill="auto"/>
            <w:vAlign w:val="bottom"/>
          </w:tcPr>
          <w:p w14:paraId="5A1AFA97" w14:textId="77777777" w:rsidR="00960BB8" w:rsidRDefault="00960BB8">
            <w:pPr>
              <w:rPr>
                <w:rFonts w:ascii="宋体"/>
              </w:rPr>
            </w:pPr>
          </w:p>
        </w:tc>
        <w:tc>
          <w:tcPr>
            <w:tcW w:w="4565" w:type="dxa"/>
            <w:shd w:val="clear" w:color="auto" w:fill="auto"/>
            <w:vAlign w:val="bottom"/>
          </w:tcPr>
          <w:p w14:paraId="5A1AFA98" w14:textId="77777777" w:rsidR="00960BB8" w:rsidRDefault="00960BB8">
            <w:pPr>
              <w:rPr>
                <w:rFonts w:ascii="宋体"/>
              </w:rPr>
            </w:pPr>
          </w:p>
        </w:tc>
        <w:tc>
          <w:tcPr>
            <w:tcW w:w="20" w:type="dxa"/>
            <w:shd w:val="clear" w:color="auto" w:fill="auto"/>
            <w:vAlign w:val="bottom"/>
          </w:tcPr>
          <w:p w14:paraId="5A1AFA99" w14:textId="77777777" w:rsidR="00960BB8" w:rsidRDefault="00960BB8">
            <w:pPr>
              <w:rPr>
                <w:rFonts w:ascii="宋体"/>
              </w:rPr>
            </w:pPr>
          </w:p>
        </w:tc>
        <w:tc>
          <w:tcPr>
            <w:tcW w:w="20" w:type="dxa"/>
            <w:shd w:val="clear" w:color="auto" w:fill="auto"/>
            <w:vAlign w:val="bottom"/>
          </w:tcPr>
          <w:p w14:paraId="5A1AFA9A" w14:textId="77777777" w:rsidR="00960BB8" w:rsidRDefault="00960BB8">
            <w:pPr>
              <w:rPr>
                <w:rFonts w:ascii="宋体"/>
              </w:rPr>
            </w:pPr>
          </w:p>
        </w:tc>
        <w:tc>
          <w:tcPr>
            <w:tcW w:w="395" w:type="dxa"/>
            <w:shd w:val="clear" w:color="auto" w:fill="auto"/>
            <w:vAlign w:val="bottom"/>
          </w:tcPr>
          <w:p w14:paraId="5A1AFA9B" w14:textId="77777777" w:rsidR="00960BB8" w:rsidRDefault="00960BB8">
            <w:pPr>
              <w:rPr>
                <w:rFonts w:ascii="宋体"/>
              </w:rPr>
            </w:pPr>
          </w:p>
        </w:tc>
        <w:tc>
          <w:tcPr>
            <w:tcW w:w="20" w:type="dxa"/>
            <w:shd w:val="clear" w:color="auto" w:fill="auto"/>
            <w:vAlign w:val="bottom"/>
          </w:tcPr>
          <w:p w14:paraId="5A1AFA9C" w14:textId="77777777" w:rsidR="00960BB8" w:rsidRDefault="00960BB8">
            <w:pPr>
              <w:rPr>
                <w:rFonts w:ascii="宋体"/>
              </w:rPr>
            </w:pPr>
          </w:p>
        </w:tc>
      </w:tr>
      <w:tr w:rsidR="00960BB8" w14:paraId="5A1AFAA3" w14:textId="77777777">
        <w:trPr>
          <w:trHeight w:val="280"/>
        </w:trPr>
        <w:tc>
          <w:tcPr>
            <w:tcW w:w="0" w:type="auto"/>
            <w:gridSpan w:val="3"/>
            <w:shd w:val="clear" w:color="auto" w:fill="auto"/>
            <w:tcMar>
              <w:top w:w="0" w:type="dxa"/>
              <w:left w:w="20" w:type="dxa"/>
              <w:bottom w:w="0" w:type="dxa"/>
              <w:right w:w="20" w:type="dxa"/>
            </w:tcMar>
            <w:vAlign w:val="bottom"/>
          </w:tcPr>
          <w:p w14:paraId="5A1AFA9E"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A9F" w14:textId="77777777" w:rsidR="00960BB8" w:rsidRDefault="00C06650">
            <w:pPr>
              <w:jc w:val="center"/>
              <w:textAlignment w:val="bottom"/>
            </w:pPr>
            <w:r>
              <w:rPr>
                <w:rFonts w:ascii="Arial" w:eastAsia="宋体" w:hAnsi="Arial" w:cs="Arial"/>
                <w:color w:val="0068B5"/>
                <w:sz w:val="20"/>
                <w:szCs w:val="20"/>
              </w:rPr>
              <w:t>NEX Revenue $B</w:t>
            </w:r>
          </w:p>
        </w:tc>
        <w:tc>
          <w:tcPr>
            <w:tcW w:w="0" w:type="auto"/>
            <w:gridSpan w:val="3"/>
            <w:shd w:val="clear" w:color="auto" w:fill="auto"/>
            <w:tcMar>
              <w:top w:w="0" w:type="dxa"/>
              <w:left w:w="20" w:type="dxa"/>
              <w:bottom w:w="0" w:type="dxa"/>
              <w:right w:w="20" w:type="dxa"/>
            </w:tcMar>
            <w:vAlign w:val="bottom"/>
          </w:tcPr>
          <w:p w14:paraId="5A1AFAA0"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AA1" w14:textId="77777777" w:rsidR="00960BB8" w:rsidRDefault="00C06650">
            <w:pPr>
              <w:jc w:val="center"/>
              <w:textAlignment w:val="bottom"/>
            </w:pPr>
            <w:r>
              <w:rPr>
                <w:rFonts w:ascii="Arial" w:eastAsia="宋体" w:hAnsi="Arial" w:cs="Arial"/>
                <w:color w:val="0068B5"/>
                <w:sz w:val="20"/>
                <w:szCs w:val="20"/>
              </w:rPr>
              <w:t>NEX Operating Income $B</w:t>
            </w:r>
          </w:p>
        </w:tc>
        <w:tc>
          <w:tcPr>
            <w:tcW w:w="0" w:type="auto"/>
            <w:gridSpan w:val="3"/>
            <w:shd w:val="clear" w:color="auto" w:fill="auto"/>
            <w:tcMar>
              <w:top w:w="0" w:type="dxa"/>
              <w:left w:w="20" w:type="dxa"/>
              <w:bottom w:w="0" w:type="dxa"/>
              <w:right w:w="20" w:type="dxa"/>
            </w:tcMar>
            <w:vAlign w:val="bottom"/>
          </w:tcPr>
          <w:p w14:paraId="5A1AFAA2" w14:textId="77777777" w:rsidR="00960BB8" w:rsidRDefault="00960BB8">
            <w:pPr>
              <w:rPr>
                <w:rFonts w:ascii="宋体"/>
              </w:rPr>
            </w:pPr>
          </w:p>
        </w:tc>
      </w:tr>
    </w:tbl>
    <w:p w14:paraId="5A1AFAA4"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Viewer_files/intc-20221231_g40.jpg"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B3" wp14:editId="5A1B43B4">
            <wp:extent cx="304800" cy="304800"/>
            <wp:effectExtent l="0" t="0" r="0" b="0"/>
            <wp:docPr id="111" name="图片 128"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8" descr="IMG_32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Viewer_files/intc-2022123</w:instrText>
      </w:r>
      <w:r>
        <w:rPr>
          <w:rFonts w:ascii="宋体" w:eastAsia="宋体" w:hAnsi="宋体" w:cs="宋体"/>
        </w:rPr>
        <w:instrText xml:space="preserve">1_g41.jpg"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B5" wp14:editId="5A1B43B6">
            <wp:extent cx="304800" cy="304800"/>
            <wp:effectExtent l="0" t="0" r="0" b="0"/>
            <wp:docPr id="78" name="图片 129"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9" descr="IMG_32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AA5" w14:textId="77777777" w:rsidR="00960BB8" w:rsidRDefault="00960BB8">
      <w:pPr>
        <w:spacing w:after="80"/>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AA9" w14:textId="77777777">
        <w:tc>
          <w:tcPr>
            <w:tcW w:w="50" w:type="pct"/>
            <w:shd w:val="clear" w:color="auto" w:fill="auto"/>
            <w:vAlign w:val="bottom"/>
          </w:tcPr>
          <w:p w14:paraId="5A1AFAA6" w14:textId="77777777" w:rsidR="00960BB8" w:rsidRDefault="00960BB8">
            <w:pPr>
              <w:rPr>
                <w:rFonts w:ascii="宋体"/>
              </w:rPr>
            </w:pPr>
          </w:p>
        </w:tc>
        <w:tc>
          <w:tcPr>
            <w:tcW w:w="4945" w:type="pct"/>
            <w:shd w:val="clear" w:color="auto" w:fill="auto"/>
            <w:vAlign w:val="bottom"/>
          </w:tcPr>
          <w:p w14:paraId="5A1AFAA7" w14:textId="77777777" w:rsidR="00960BB8" w:rsidRDefault="00960BB8">
            <w:pPr>
              <w:rPr>
                <w:rFonts w:ascii="宋体"/>
              </w:rPr>
            </w:pPr>
          </w:p>
        </w:tc>
        <w:tc>
          <w:tcPr>
            <w:tcW w:w="5" w:type="pct"/>
            <w:shd w:val="clear" w:color="auto" w:fill="auto"/>
            <w:vAlign w:val="bottom"/>
          </w:tcPr>
          <w:p w14:paraId="5A1AFAA8" w14:textId="77777777" w:rsidR="00960BB8" w:rsidRDefault="00960BB8">
            <w:pPr>
              <w:rPr>
                <w:rFonts w:ascii="宋体"/>
              </w:rPr>
            </w:pPr>
          </w:p>
        </w:tc>
      </w:tr>
      <w:tr w:rsidR="00960BB8" w14:paraId="5A1AFAAB"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AAA" w14:textId="77777777" w:rsidR="00960BB8" w:rsidRDefault="00C06650">
            <w:pPr>
              <w:textAlignment w:val="bottom"/>
            </w:pPr>
            <w:r>
              <w:rPr>
                <w:rFonts w:ascii="Arial" w:eastAsia="宋体" w:hAnsi="Arial" w:cs="Arial"/>
                <w:color w:val="0068B5"/>
                <w:sz w:val="20"/>
                <w:szCs w:val="20"/>
              </w:rPr>
              <w:t>Revenue Summary</w:t>
            </w:r>
          </w:p>
        </w:tc>
      </w:tr>
    </w:tbl>
    <w:p w14:paraId="5A1AFAAC" w14:textId="77777777" w:rsidR="00960BB8" w:rsidRDefault="00C06650">
      <w:pPr>
        <w:spacing w:after="120"/>
      </w:pPr>
      <w:r>
        <w:rPr>
          <w:rFonts w:ascii="Arial" w:eastAsia="宋体" w:hAnsi="Arial" w:cs="Arial"/>
          <w:color w:val="0068B5"/>
          <w:sz w:val="20"/>
          <w:szCs w:val="20"/>
        </w:rPr>
        <w:t>2022 vs. 2021</w:t>
      </w:r>
    </w:p>
    <w:p w14:paraId="5A1AFAAD" w14:textId="77777777" w:rsidR="00960BB8" w:rsidRDefault="00C06650">
      <w:pPr>
        <w:spacing w:after="180"/>
      </w:pPr>
      <w:r>
        <w:rPr>
          <w:rFonts w:ascii="Arial" w:eastAsia="宋体" w:hAnsi="Arial" w:cs="Arial"/>
          <w:color w:val="262626"/>
          <w:sz w:val="18"/>
          <w:szCs w:val="18"/>
        </w:rPr>
        <w:t xml:space="preserve">Revenue was $8.9 billion, up $897 million from 2021, driven by higher Ethernet ASPs and increased demand for 5G products, partially offset by lower demand for Network Xeon. </w:t>
      </w:r>
      <w:r>
        <w:rPr>
          <w:rFonts w:ascii="Arial" w:eastAsia="宋体" w:hAnsi="Arial" w:cs="Arial"/>
          <w:color w:val="262626"/>
          <w:sz w:val="18"/>
          <w:szCs w:val="18"/>
        </w:rPr>
        <w:t>Ethernet demand declined in Q4 2022 due to lower server demand, and Edge demand declined in Q4 2022 due to macroeconomic factors.</w:t>
      </w:r>
    </w:p>
    <w:p w14:paraId="5A1AFAAE" w14:textId="77777777" w:rsidR="00960BB8" w:rsidRDefault="00C06650">
      <w:pPr>
        <w:spacing w:after="120"/>
      </w:pPr>
      <w:r>
        <w:rPr>
          <w:rFonts w:ascii="Arial" w:eastAsia="宋体" w:hAnsi="Arial" w:cs="Arial"/>
          <w:color w:val="0068B5"/>
          <w:sz w:val="20"/>
          <w:szCs w:val="20"/>
        </w:rPr>
        <w:t>2021 vs. 2020</w:t>
      </w:r>
    </w:p>
    <w:p w14:paraId="5A1AFAAF" w14:textId="77777777" w:rsidR="00960BB8" w:rsidRDefault="00C06650">
      <w:pPr>
        <w:spacing w:after="180"/>
      </w:pPr>
      <w:r>
        <w:rPr>
          <w:rFonts w:ascii="Arial" w:eastAsia="宋体" w:hAnsi="Arial" w:cs="Arial"/>
          <w:color w:val="262626"/>
          <w:sz w:val="18"/>
          <w:szCs w:val="18"/>
        </w:rPr>
        <w:t>Revenue was $8.0 billion, up $844 million, primarily driven by higher demand for Edge products amid recovery fro</w:t>
      </w:r>
      <w:r>
        <w:rPr>
          <w:rFonts w:ascii="Arial" w:eastAsia="宋体" w:hAnsi="Arial" w:cs="Arial"/>
          <w:color w:val="262626"/>
          <w:sz w:val="18"/>
          <w:szCs w:val="18"/>
        </w:rPr>
        <w:t>m the economic impacts of COVID-19, as well as a recovery in cloud networking revenue. These increases were partially offset by a reduction in the 5G networking volume from elevated levels in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AB3" w14:textId="77777777">
        <w:tc>
          <w:tcPr>
            <w:tcW w:w="50" w:type="pct"/>
            <w:shd w:val="clear" w:color="auto" w:fill="auto"/>
            <w:vAlign w:val="bottom"/>
          </w:tcPr>
          <w:p w14:paraId="5A1AFAB0" w14:textId="77777777" w:rsidR="00960BB8" w:rsidRDefault="00960BB8">
            <w:pPr>
              <w:rPr>
                <w:rFonts w:ascii="宋体"/>
              </w:rPr>
            </w:pPr>
          </w:p>
        </w:tc>
        <w:tc>
          <w:tcPr>
            <w:tcW w:w="4945" w:type="pct"/>
            <w:shd w:val="clear" w:color="auto" w:fill="auto"/>
            <w:vAlign w:val="bottom"/>
          </w:tcPr>
          <w:p w14:paraId="5A1AFAB1" w14:textId="77777777" w:rsidR="00960BB8" w:rsidRDefault="00960BB8">
            <w:pPr>
              <w:rPr>
                <w:rFonts w:ascii="宋体"/>
              </w:rPr>
            </w:pPr>
          </w:p>
        </w:tc>
        <w:tc>
          <w:tcPr>
            <w:tcW w:w="5" w:type="pct"/>
            <w:shd w:val="clear" w:color="auto" w:fill="auto"/>
            <w:vAlign w:val="bottom"/>
          </w:tcPr>
          <w:p w14:paraId="5A1AFAB2" w14:textId="77777777" w:rsidR="00960BB8" w:rsidRDefault="00960BB8">
            <w:pPr>
              <w:rPr>
                <w:rFonts w:ascii="宋体"/>
              </w:rPr>
            </w:pPr>
          </w:p>
        </w:tc>
      </w:tr>
      <w:tr w:rsidR="00960BB8" w14:paraId="5A1AFAB5"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AB4" w14:textId="77777777" w:rsidR="00960BB8" w:rsidRDefault="00C06650">
            <w:pPr>
              <w:textAlignment w:val="bottom"/>
            </w:pPr>
            <w:r>
              <w:rPr>
                <w:rFonts w:ascii="Arial" w:eastAsia="宋体" w:hAnsi="Arial" w:cs="Arial"/>
                <w:color w:val="0068B5"/>
                <w:sz w:val="20"/>
                <w:szCs w:val="20"/>
              </w:rPr>
              <w:t>Operating Income Summary</w:t>
            </w:r>
          </w:p>
        </w:tc>
      </w:tr>
    </w:tbl>
    <w:p w14:paraId="5A1AFAB6" w14:textId="77777777" w:rsidR="00960BB8" w:rsidRDefault="00C06650">
      <w:pPr>
        <w:spacing w:after="180"/>
      </w:pPr>
      <w:r>
        <w:rPr>
          <w:rFonts w:ascii="Arial" w:eastAsia="宋体" w:hAnsi="Arial" w:cs="Arial"/>
          <w:color w:val="262626"/>
          <w:sz w:val="18"/>
          <w:szCs w:val="18"/>
        </w:rPr>
        <w:t xml:space="preserve">Operating income decreased 57% year over year, and operating margin was 8% in 2022 and 21% in 2021. </w:t>
      </w:r>
    </w:p>
    <w:tbl>
      <w:tblPr>
        <w:tblW w:w="5000" w:type="pct"/>
        <w:tblCellMar>
          <w:top w:w="15" w:type="dxa"/>
          <w:left w:w="15" w:type="dxa"/>
          <w:bottom w:w="15" w:type="dxa"/>
          <w:right w:w="15" w:type="dxa"/>
        </w:tblCellMar>
        <w:tblLook w:val="04A0" w:firstRow="1" w:lastRow="0" w:firstColumn="1" w:lastColumn="0" w:noHBand="0" w:noVBand="1"/>
      </w:tblPr>
      <w:tblGrid>
        <w:gridCol w:w="122"/>
        <w:gridCol w:w="678"/>
        <w:gridCol w:w="36"/>
        <w:gridCol w:w="36"/>
        <w:gridCol w:w="36"/>
        <w:gridCol w:w="36"/>
        <w:gridCol w:w="47"/>
        <w:gridCol w:w="5607"/>
        <w:gridCol w:w="38"/>
        <w:gridCol w:w="47"/>
        <w:gridCol w:w="766"/>
        <w:gridCol w:w="36"/>
        <w:gridCol w:w="48"/>
        <w:gridCol w:w="767"/>
        <w:gridCol w:w="36"/>
      </w:tblGrid>
      <w:tr w:rsidR="00960BB8" w14:paraId="5A1AFAC6" w14:textId="77777777">
        <w:tc>
          <w:tcPr>
            <w:tcW w:w="50" w:type="pct"/>
            <w:shd w:val="clear" w:color="auto" w:fill="auto"/>
            <w:vAlign w:val="bottom"/>
          </w:tcPr>
          <w:p w14:paraId="5A1AFAB7" w14:textId="77777777" w:rsidR="00960BB8" w:rsidRDefault="00960BB8">
            <w:pPr>
              <w:rPr>
                <w:rFonts w:ascii="宋体"/>
              </w:rPr>
            </w:pPr>
          </w:p>
        </w:tc>
        <w:tc>
          <w:tcPr>
            <w:tcW w:w="406" w:type="pct"/>
            <w:shd w:val="clear" w:color="auto" w:fill="auto"/>
            <w:vAlign w:val="bottom"/>
          </w:tcPr>
          <w:p w14:paraId="5A1AFAB8" w14:textId="77777777" w:rsidR="00960BB8" w:rsidRDefault="00960BB8">
            <w:pPr>
              <w:rPr>
                <w:rFonts w:ascii="宋体"/>
              </w:rPr>
            </w:pPr>
          </w:p>
        </w:tc>
        <w:tc>
          <w:tcPr>
            <w:tcW w:w="5" w:type="pct"/>
            <w:shd w:val="clear" w:color="auto" w:fill="auto"/>
            <w:vAlign w:val="bottom"/>
          </w:tcPr>
          <w:p w14:paraId="5A1AFAB9" w14:textId="77777777" w:rsidR="00960BB8" w:rsidRDefault="00960BB8">
            <w:pPr>
              <w:rPr>
                <w:rFonts w:ascii="宋体"/>
              </w:rPr>
            </w:pPr>
          </w:p>
        </w:tc>
        <w:tc>
          <w:tcPr>
            <w:tcW w:w="5" w:type="pct"/>
            <w:shd w:val="clear" w:color="auto" w:fill="auto"/>
            <w:vAlign w:val="bottom"/>
          </w:tcPr>
          <w:p w14:paraId="5A1AFABA" w14:textId="77777777" w:rsidR="00960BB8" w:rsidRDefault="00960BB8">
            <w:pPr>
              <w:rPr>
                <w:rFonts w:ascii="宋体"/>
              </w:rPr>
            </w:pPr>
          </w:p>
        </w:tc>
        <w:tc>
          <w:tcPr>
            <w:tcW w:w="16" w:type="pct"/>
            <w:shd w:val="clear" w:color="auto" w:fill="auto"/>
            <w:vAlign w:val="bottom"/>
          </w:tcPr>
          <w:p w14:paraId="5A1AFABB" w14:textId="77777777" w:rsidR="00960BB8" w:rsidRDefault="00960BB8">
            <w:pPr>
              <w:rPr>
                <w:rFonts w:ascii="宋体"/>
              </w:rPr>
            </w:pPr>
          </w:p>
        </w:tc>
        <w:tc>
          <w:tcPr>
            <w:tcW w:w="5" w:type="pct"/>
            <w:shd w:val="clear" w:color="auto" w:fill="auto"/>
            <w:vAlign w:val="bottom"/>
          </w:tcPr>
          <w:p w14:paraId="5A1AFABC" w14:textId="77777777" w:rsidR="00960BB8" w:rsidRDefault="00960BB8">
            <w:pPr>
              <w:rPr>
                <w:rFonts w:ascii="宋体"/>
              </w:rPr>
            </w:pPr>
          </w:p>
        </w:tc>
        <w:tc>
          <w:tcPr>
            <w:tcW w:w="50" w:type="pct"/>
            <w:shd w:val="clear" w:color="auto" w:fill="auto"/>
            <w:vAlign w:val="bottom"/>
          </w:tcPr>
          <w:p w14:paraId="5A1AFABD" w14:textId="77777777" w:rsidR="00960BB8" w:rsidRDefault="00960BB8">
            <w:pPr>
              <w:rPr>
                <w:rFonts w:ascii="宋体"/>
              </w:rPr>
            </w:pPr>
          </w:p>
        </w:tc>
        <w:tc>
          <w:tcPr>
            <w:tcW w:w="3383" w:type="pct"/>
            <w:shd w:val="clear" w:color="auto" w:fill="auto"/>
            <w:vAlign w:val="bottom"/>
          </w:tcPr>
          <w:p w14:paraId="5A1AFABE" w14:textId="77777777" w:rsidR="00960BB8" w:rsidRDefault="00960BB8">
            <w:pPr>
              <w:rPr>
                <w:rFonts w:ascii="宋体"/>
              </w:rPr>
            </w:pPr>
          </w:p>
        </w:tc>
        <w:tc>
          <w:tcPr>
            <w:tcW w:w="5" w:type="pct"/>
            <w:shd w:val="clear" w:color="auto" w:fill="auto"/>
            <w:vAlign w:val="bottom"/>
          </w:tcPr>
          <w:p w14:paraId="5A1AFABF" w14:textId="77777777" w:rsidR="00960BB8" w:rsidRDefault="00960BB8">
            <w:pPr>
              <w:rPr>
                <w:rFonts w:ascii="宋体"/>
              </w:rPr>
            </w:pPr>
          </w:p>
        </w:tc>
        <w:tc>
          <w:tcPr>
            <w:tcW w:w="50" w:type="pct"/>
            <w:shd w:val="clear" w:color="auto" w:fill="auto"/>
            <w:vAlign w:val="bottom"/>
          </w:tcPr>
          <w:p w14:paraId="5A1AFAC0" w14:textId="77777777" w:rsidR="00960BB8" w:rsidRDefault="00960BB8">
            <w:pPr>
              <w:rPr>
                <w:rFonts w:ascii="宋体"/>
              </w:rPr>
            </w:pPr>
          </w:p>
        </w:tc>
        <w:tc>
          <w:tcPr>
            <w:tcW w:w="481" w:type="pct"/>
            <w:shd w:val="clear" w:color="auto" w:fill="auto"/>
            <w:vAlign w:val="bottom"/>
          </w:tcPr>
          <w:p w14:paraId="5A1AFAC1" w14:textId="77777777" w:rsidR="00960BB8" w:rsidRDefault="00960BB8">
            <w:pPr>
              <w:rPr>
                <w:rFonts w:ascii="宋体"/>
              </w:rPr>
            </w:pPr>
          </w:p>
        </w:tc>
        <w:tc>
          <w:tcPr>
            <w:tcW w:w="5" w:type="pct"/>
            <w:shd w:val="clear" w:color="auto" w:fill="auto"/>
            <w:vAlign w:val="bottom"/>
          </w:tcPr>
          <w:p w14:paraId="5A1AFAC2" w14:textId="77777777" w:rsidR="00960BB8" w:rsidRDefault="00960BB8">
            <w:pPr>
              <w:rPr>
                <w:rFonts w:ascii="宋体"/>
              </w:rPr>
            </w:pPr>
          </w:p>
        </w:tc>
        <w:tc>
          <w:tcPr>
            <w:tcW w:w="50" w:type="pct"/>
            <w:shd w:val="clear" w:color="auto" w:fill="auto"/>
            <w:vAlign w:val="bottom"/>
          </w:tcPr>
          <w:p w14:paraId="5A1AFAC3" w14:textId="77777777" w:rsidR="00960BB8" w:rsidRDefault="00960BB8">
            <w:pPr>
              <w:rPr>
                <w:rFonts w:ascii="宋体"/>
              </w:rPr>
            </w:pPr>
          </w:p>
        </w:tc>
        <w:tc>
          <w:tcPr>
            <w:tcW w:w="481" w:type="pct"/>
            <w:shd w:val="clear" w:color="auto" w:fill="auto"/>
            <w:vAlign w:val="bottom"/>
          </w:tcPr>
          <w:p w14:paraId="5A1AFAC4" w14:textId="77777777" w:rsidR="00960BB8" w:rsidRDefault="00960BB8">
            <w:pPr>
              <w:rPr>
                <w:rFonts w:ascii="宋体"/>
              </w:rPr>
            </w:pPr>
          </w:p>
        </w:tc>
        <w:tc>
          <w:tcPr>
            <w:tcW w:w="5" w:type="pct"/>
            <w:shd w:val="clear" w:color="auto" w:fill="auto"/>
            <w:vAlign w:val="bottom"/>
          </w:tcPr>
          <w:p w14:paraId="5A1AFAC5" w14:textId="77777777" w:rsidR="00960BB8" w:rsidRDefault="00960BB8">
            <w:pPr>
              <w:rPr>
                <w:rFonts w:ascii="宋体"/>
              </w:rPr>
            </w:pPr>
          </w:p>
        </w:tc>
      </w:tr>
      <w:tr w:rsidR="00960BB8" w14:paraId="5A1AFACC" w14:textId="77777777">
        <w:tc>
          <w:tcPr>
            <w:tcW w:w="0" w:type="auto"/>
            <w:gridSpan w:val="3"/>
            <w:shd w:val="clear" w:color="auto" w:fill="auto"/>
            <w:tcMar>
              <w:top w:w="40" w:type="dxa"/>
              <w:left w:w="20" w:type="dxa"/>
              <w:bottom w:w="40" w:type="dxa"/>
              <w:right w:w="20" w:type="dxa"/>
            </w:tcMar>
            <w:vAlign w:val="bottom"/>
          </w:tcPr>
          <w:p w14:paraId="5A1AFAC7"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AFAC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C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C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CB" w14:textId="77777777" w:rsidR="00960BB8" w:rsidRDefault="00960BB8">
            <w:pPr>
              <w:rPr>
                <w:rFonts w:ascii="宋体"/>
              </w:rPr>
            </w:pPr>
          </w:p>
        </w:tc>
      </w:tr>
      <w:tr w:rsidR="00960BB8" w14:paraId="5A1AFAD4"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5A1AFACD"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AFACE" w14:textId="77777777" w:rsidR="00960BB8" w:rsidRDefault="00C06650">
            <w:pPr>
              <w:jc w:val="right"/>
              <w:textAlignment w:val="bottom"/>
            </w:pPr>
            <w:r>
              <w:rPr>
                <w:rFonts w:ascii="Arial" w:eastAsia="宋体" w:hAnsi="Arial" w:cs="Arial"/>
                <w:b/>
                <w:bCs/>
                <w:color w:val="0068B5"/>
                <w:sz w:val="18"/>
                <w:szCs w:val="18"/>
              </w:rPr>
              <w:t>740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AFAC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AD0"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AFAD1" w14:textId="77777777" w:rsidR="00960BB8" w:rsidRDefault="00C06650">
            <w:pPr>
              <w:textAlignment w:val="bottom"/>
            </w:pPr>
            <w:r>
              <w:rPr>
                <w:rFonts w:ascii="Arial" w:eastAsia="宋体" w:hAnsi="Arial" w:cs="Arial"/>
                <w:b/>
                <w:bCs/>
                <w:color w:val="262626"/>
                <w:sz w:val="18"/>
                <w:szCs w:val="18"/>
              </w:rPr>
              <w:t>2022 Operating Income</w:t>
            </w:r>
          </w:p>
        </w:tc>
        <w:tc>
          <w:tcPr>
            <w:tcW w:w="0" w:type="auto"/>
            <w:gridSpan w:val="3"/>
            <w:shd w:val="clear" w:color="auto" w:fill="auto"/>
            <w:tcMar>
              <w:top w:w="0" w:type="dxa"/>
              <w:left w:w="20" w:type="dxa"/>
              <w:bottom w:w="0" w:type="dxa"/>
              <w:right w:w="20" w:type="dxa"/>
            </w:tcMar>
            <w:vAlign w:val="bottom"/>
          </w:tcPr>
          <w:p w14:paraId="5A1AFAD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D3" w14:textId="77777777" w:rsidR="00960BB8" w:rsidRDefault="00960BB8">
            <w:pPr>
              <w:rPr>
                <w:rFonts w:ascii="宋体"/>
              </w:rPr>
            </w:pPr>
          </w:p>
        </w:tc>
      </w:tr>
      <w:tr w:rsidR="00960BB8" w14:paraId="5A1AFADB" w14:textId="77777777">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AD5" w14:textId="77777777" w:rsidR="00960BB8" w:rsidRDefault="00C06650">
            <w:pPr>
              <w:jc w:val="right"/>
              <w:textAlignment w:val="bottom"/>
            </w:pPr>
            <w:r>
              <w:rPr>
                <w:rFonts w:ascii="Arial" w:eastAsia="宋体" w:hAnsi="Arial" w:cs="Arial"/>
                <w:color w:val="0068B5"/>
                <w:sz w:val="18"/>
                <w:szCs w:val="18"/>
              </w:rPr>
              <w:t>(530)</w:t>
            </w:r>
          </w:p>
        </w:tc>
        <w:tc>
          <w:tcPr>
            <w:tcW w:w="0" w:type="auto"/>
            <w:tcBorders>
              <w:top w:val="single" w:sz="4" w:space="0" w:color="262626"/>
            </w:tcBorders>
            <w:shd w:val="clear" w:color="auto" w:fill="auto"/>
            <w:tcMar>
              <w:top w:w="40" w:type="dxa"/>
              <w:left w:w="0" w:type="dxa"/>
              <w:bottom w:w="40" w:type="dxa"/>
              <w:right w:w="20" w:type="dxa"/>
            </w:tcMar>
            <w:vAlign w:val="bottom"/>
          </w:tcPr>
          <w:p w14:paraId="5A1AFAD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AD7" w14:textId="77777777" w:rsidR="00960BB8" w:rsidRDefault="00960BB8">
            <w:pPr>
              <w:rPr>
                <w:rFonts w:ascii="宋体"/>
              </w:rPr>
            </w:pPr>
          </w:p>
        </w:tc>
        <w:tc>
          <w:tcPr>
            <w:tcW w:w="0" w:type="auto"/>
            <w:gridSpan w:val="3"/>
            <w:tcBorders>
              <w:top w:val="single" w:sz="8" w:space="0" w:color="6D6D6D"/>
            </w:tcBorders>
            <w:shd w:val="clear" w:color="auto" w:fill="auto"/>
            <w:tcMar>
              <w:top w:w="40" w:type="dxa"/>
              <w:left w:w="20" w:type="dxa"/>
              <w:bottom w:w="40" w:type="dxa"/>
              <w:right w:w="20" w:type="dxa"/>
            </w:tcMar>
            <w:vAlign w:val="center"/>
          </w:tcPr>
          <w:p w14:paraId="5A1AFAD8" w14:textId="77777777" w:rsidR="00960BB8" w:rsidRDefault="00C06650">
            <w:pPr>
              <w:textAlignment w:val="center"/>
            </w:pPr>
            <w:r>
              <w:rPr>
                <w:rFonts w:ascii="Arial" w:eastAsia="宋体" w:hAnsi="Arial" w:cs="Arial"/>
                <w:color w:val="000000"/>
                <w:sz w:val="18"/>
                <w:szCs w:val="18"/>
              </w:rPr>
              <w:t xml:space="preserve">Higher operating expenses driven by increased investments in </w:t>
            </w:r>
            <w:r>
              <w:rPr>
                <w:rFonts w:ascii="Arial" w:eastAsia="宋体" w:hAnsi="Arial" w:cs="Arial"/>
                <w:color w:val="000000"/>
                <w:sz w:val="18"/>
                <w:szCs w:val="18"/>
              </w:rPr>
              <w:t>leadership products</w:t>
            </w:r>
          </w:p>
        </w:tc>
        <w:tc>
          <w:tcPr>
            <w:tcW w:w="0" w:type="auto"/>
            <w:gridSpan w:val="3"/>
            <w:shd w:val="clear" w:color="auto" w:fill="auto"/>
            <w:tcMar>
              <w:top w:w="0" w:type="dxa"/>
              <w:left w:w="20" w:type="dxa"/>
              <w:bottom w:w="0" w:type="dxa"/>
              <w:right w:w="20" w:type="dxa"/>
            </w:tcMar>
            <w:vAlign w:val="bottom"/>
          </w:tcPr>
          <w:p w14:paraId="5A1AFAD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DA" w14:textId="77777777" w:rsidR="00960BB8" w:rsidRDefault="00960BB8">
            <w:pPr>
              <w:rPr>
                <w:rFonts w:ascii="宋体"/>
              </w:rPr>
            </w:pPr>
          </w:p>
        </w:tc>
      </w:tr>
      <w:tr w:rsidR="00960BB8" w14:paraId="5A1AFAE2" w14:textId="77777777">
        <w:tc>
          <w:tcPr>
            <w:tcW w:w="0" w:type="auto"/>
            <w:gridSpan w:val="2"/>
            <w:shd w:val="clear" w:color="auto" w:fill="auto"/>
            <w:tcMar>
              <w:top w:w="40" w:type="dxa"/>
              <w:left w:w="20" w:type="dxa"/>
              <w:bottom w:w="40" w:type="dxa"/>
              <w:right w:w="0" w:type="dxa"/>
            </w:tcMar>
          </w:tcPr>
          <w:p w14:paraId="5A1AFADC" w14:textId="77777777" w:rsidR="00960BB8" w:rsidRDefault="00C06650">
            <w:pPr>
              <w:jc w:val="right"/>
              <w:textAlignment w:val="top"/>
            </w:pPr>
            <w:r>
              <w:rPr>
                <w:rFonts w:ascii="Arial" w:eastAsia="宋体" w:hAnsi="Arial" w:cs="Arial"/>
                <w:color w:val="0068B5"/>
                <w:sz w:val="18"/>
                <w:szCs w:val="18"/>
              </w:rPr>
              <w:t>(461)</w:t>
            </w:r>
          </w:p>
        </w:tc>
        <w:tc>
          <w:tcPr>
            <w:tcW w:w="0" w:type="auto"/>
            <w:shd w:val="clear" w:color="auto" w:fill="auto"/>
            <w:tcMar>
              <w:top w:w="40" w:type="dxa"/>
              <w:left w:w="0" w:type="dxa"/>
              <w:bottom w:w="40" w:type="dxa"/>
              <w:right w:w="20" w:type="dxa"/>
            </w:tcMar>
          </w:tcPr>
          <w:p w14:paraId="5A1AFAD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AD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ADF" w14:textId="77777777" w:rsidR="00960BB8" w:rsidRDefault="00C06650">
            <w:pPr>
              <w:textAlignment w:val="center"/>
            </w:pPr>
            <w:r>
              <w:rPr>
                <w:rFonts w:ascii="Arial" w:eastAsia="宋体" w:hAnsi="Arial" w:cs="Arial"/>
                <w:color w:val="000000"/>
                <w:sz w:val="18"/>
                <w:szCs w:val="18"/>
              </w:rPr>
              <w:t>Higher period charges primarily associated with the ramp up of Intel 4</w:t>
            </w:r>
          </w:p>
        </w:tc>
        <w:tc>
          <w:tcPr>
            <w:tcW w:w="0" w:type="auto"/>
            <w:gridSpan w:val="3"/>
            <w:shd w:val="clear" w:color="auto" w:fill="auto"/>
            <w:tcMar>
              <w:top w:w="0" w:type="dxa"/>
              <w:left w:w="20" w:type="dxa"/>
              <w:bottom w:w="0" w:type="dxa"/>
              <w:right w:w="20" w:type="dxa"/>
            </w:tcMar>
            <w:vAlign w:val="bottom"/>
          </w:tcPr>
          <w:p w14:paraId="5A1AFAE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E1" w14:textId="77777777" w:rsidR="00960BB8" w:rsidRDefault="00960BB8">
            <w:pPr>
              <w:rPr>
                <w:rFonts w:ascii="宋体"/>
              </w:rPr>
            </w:pPr>
          </w:p>
        </w:tc>
      </w:tr>
      <w:tr w:rsidR="00960BB8" w14:paraId="5A1AFAE9" w14:textId="77777777">
        <w:tc>
          <w:tcPr>
            <w:tcW w:w="0" w:type="auto"/>
            <w:gridSpan w:val="2"/>
            <w:shd w:val="clear" w:color="auto" w:fill="auto"/>
            <w:tcMar>
              <w:top w:w="40" w:type="dxa"/>
              <w:left w:w="20" w:type="dxa"/>
              <w:bottom w:w="40" w:type="dxa"/>
              <w:right w:w="0" w:type="dxa"/>
            </w:tcMar>
            <w:vAlign w:val="bottom"/>
          </w:tcPr>
          <w:p w14:paraId="5A1AFAE3" w14:textId="77777777" w:rsidR="00960BB8" w:rsidRDefault="00C06650">
            <w:pPr>
              <w:jc w:val="right"/>
              <w:textAlignment w:val="bottom"/>
            </w:pPr>
            <w:r>
              <w:rPr>
                <w:rFonts w:ascii="Arial" w:eastAsia="宋体" w:hAnsi="Arial" w:cs="Arial"/>
                <w:color w:val="0068B5"/>
                <w:sz w:val="18"/>
                <w:szCs w:val="18"/>
              </w:rPr>
              <w:t>(359)</w:t>
            </w:r>
          </w:p>
        </w:tc>
        <w:tc>
          <w:tcPr>
            <w:tcW w:w="0" w:type="auto"/>
            <w:shd w:val="clear" w:color="auto" w:fill="auto"/>
            <w:tcMar>
              <w:top w:w="40" w:type="dxa"/>
              <w:left w:w="0" w:type="dxa"/>
              <w:bottom w:w="40" w:type="dxa"/>
              <w:right w:w="20" w:type="dxa"/>
            </w:tcMar>
            <w:vAlign w:val="bottom"/>
          </w:tcPr>
          <w:p w14:paraId="5A1AFAE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AE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AE6" w14:textId="77777777" w:rsidR="00960BB8" w:rsidRDefault="00C06650">
            <w:pPr>
              <w:textAlignment w:val="center"/>
            </w:pPr>
            <w:r>
              <w:rPr>
                <w:rFonts w:ascii="Arial" w:eastAsia="宋体" w:hAnsi="Arial" w:cs="Arial"/>
                <w:color w:val="000000"/>
                <w:sz w:val="18"/>
                <w:szCs w:val="18"/>
              </w:rPr>
              <w:t>Higher period charges driven by reserves taken in 2022 and lack of sell-through of reserves compared to 2021</w:t>
            </w:r>
          </w:p>
        </w:tc>
        <w:tc>
          <w:tcPr>
            <w:tcW w:w="0" w:type="auto"/>
            <w:gridSpan w:val="3"/>
            <w:shd w:val="clear" w:color="auto" w:fill="auto"/>
            <w:tcMar>
              <w:top w:w="0" w:type="dxa"/>
              <w:left w:w="20" w:type="dxa"/>
              <w:bottom w:w="0" w:type="dxa"/>
              <w:right w:w="20" w:type="dxa"/>
            </w:tcMar>
            <w:vAlign w:val="bottom"/>
          </w:tcPr>
          <w:p w14:paraId="5A1AFAE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E8" w14:textId="77777777" w:rsidR="00960BB8" w:rsidRDefault="00960BB8">
            <w:pPr>
              <w:rPr>
                <w:rFonts w:ascii="宋体"/>
              </w:rPr>
            </w:pPr>
          </w:p>
        </w:tc>
      </w:tr>
      <w:tr w:rsidR="00960BB8" w14:paraId="5A1AFAF0" w14:textId="77777777">
        <w:tc>
          <w:tcPr>
            <w:tcW w:w="0" w:type="auto"/>
            <w:gridSpan w:val="2"/>
            <w:shd w:val="clear" w:color="auto" w:fill="auto"/>
            <w:tcMar>
              <w:top w:w="40" w:type="dxa"/>
              <w:left w:w="20" w:type="dxa"/>
              <w:bottom w:w="40" w:type="dxa"/>
              <w:right w:w="0" w:type="dxa"/>
            </w:tcMar>
            <w:vAlign w:val="bottom"/>
          </w:tcPr>
          <w:p w14:paraId="5A1AFAEA" w14:textId="77777777" w:rsidR="00960BB8" w:rsidRDefault="00C06650">
            <w:pPr>
              <w:jc w:val="right"/>
              <w:textAlignment w:val="bottom"/>
            </w:pPr>
            <w:r>
              <w:rPr>
                <w:rFonts w:ascii="Arial" w:eastAsia="宋体" w:hAnsi="Arial" w:cs="Arial"/>
                <w:color w:val="0068B5"/>
                <w:sz w:val="18"/>
                <w:szCs w:val="18"/>
              </w:rPr>
              <w:t>(150)</w:t>
            </w:r>
          </w:p>
        </w:tc>
        <w:tc>
          <w:tcPr>
            <w:tcW w:w="0" w:type="auto"/>
            <w:shd w:val="clear" w:color="auto" w:fill="auto"/>
            <w:tcMar>
              <w:top w:w="40" w:type="dxa"/>
              <w:left w:w="0" w:type="dxa"/>
              <w:bottom w:w="40" w:type="dxa"/>
              <w:right w:w="20" w:type="dxa"/>
            </w:tcMar>
            <w:vAlign w:val="bottom"/>
          </w:tcPr>
          <w:p w14:paraId="5A1AFAE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AE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AED" w14:textId="77777777" w:rsidR="00960BB8" w:rsidRDefault="00C06650">
            <w:pPr>
              <w:textAlignment w:val="center"/>
            </w:pPr>
            <w:r>
              <w:rPr>
                <w:rFonts w:ascii="Arial" w:eastAsia="宋体" w:hAnsi="Arial" w:cs="Arial"/>
                <w:color w:val="000000"/>
                <w:sz w:val="18"/>
                <w:szCs w:val="18"/>
              </w:rPr>
              <w:t xml:space="preserve">Higher period </w:t>
            </w:r>
            <w:r>
              <w:rPr>
                <w:rFonts w:ascii="Arial" w:eastAsia="宋体" w:hAnsi="Arial" w:cs="Arial"/>
                <w:color w:val="000000"/>
                <w:sz w:val="18"/>
                <w:szCs w:val="18"/>
              </w:rPr>
              <w:t>charges primarily due to other product enhancements</w:t>
            </w:r>
          </w:p>
        </w:tc>
        <w:tc>
          <w:tcPr>
            <w:tcW w:w="0" w:type="auto"/>
            <w:gridSpan w:val="3"/>
            <w:shd w:val="clear" w:color="auto" w:fill="auto"/>
            <w:tcMar>
              <w:top w:w="0" w:type="dxa"/>
              <w:left w:w="20" w:type="dxa"/>
              <w:bottom w:w="0" w:type="dxa"/>
              <w:right w:w="20" w:type="dxa"/>
            </w:tcMar>
            <w:vAlign w:val="bottom"/>
          </w:tcPr>
          <w:p w14:paraId="5A1AFAE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EF" w14:textId="77777777" w:rsidR="00960BB8" w:rsidRDefault="00960BB8">
            <w:pPr>
              <w:rPr>
                <w:rFonts w:ascii="宋体"/>
              </w:rPr>
            </w:pPr>
          </w:p>
        </w:tc>
      </w:tr>
      <w:tr w:rsidR="00960BB8" w14:paraId="5A1AFAF7" w14:textId="77777777">
        <w:tc>
          <w:tcPr>
            <w:tcW w:w="0" w:type="auto"/>
            <w:gridSpan w:val="2"/>
            <w:shd w:val="clear" w:color="auto" w:fill="auto"/>
            <w:tcMar>
              <w:top w:w="40" w:type="dxa"/>
              <w:left w:w="20" w:type="dxa"/>
              <w:bottom w:w="40" w:type="dxa"/>
              <w:right w:w="0" w:type="dxa"/>
            </w:tcMar>
            <w:vAlign w:val="bottom"/>
          </w:tcPr>
          <w:p w14:paraId="5A1AFAF1" w14:textId="77777777" w:rsidR="00960BB8" w:rsidRDefault="00C06650">
            <w:pPr>
              <w:jc w:val="right"/>
              <w:textAlignment w:val="bottom"/>
            </w:pPr>
            <w:r>
              <w:rPr>
                <w:rFonts w:ascii="Arial" w:eastAsia="宋体" w:hAnsi="Arial" w:cs="Arial"/>
                <w:color w:val="0068B5"/>
                <w:sz w:val="18"/>
                <w:szCs w:val="18"/>
              </w:rPr>
              <w:t>(98)</w:t>
            </w:r>
          </w:p>
        </w:tc>
        <w:tc>
          <w:tcPr>
            <w:tcW w:w="0" w:type="auto"/>
            <w:shd w:val="clear" w:color="auto" w:fill="auto"/>
            <w:tcMar>
              <w:top w:w="40" w:type="dxa"/>
              <w:left w:w="0" w:type="dxa"/>
              <w:bottom w:w="40" w:type="dxa"/>
              <w:right w:w="20" w:type="dxa"/>
            </w:tcMar>
            <w:vAlign w:val="bottom"/>
          </w:tcPr>
          <w:p w14:paraId="5A1AFAF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AF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AF4" w14:textId="77777777" w:rsidR="00960BB8" w:rsidRDefault="00C06650">
            <w:pPr>
              <w:textAlignment w:val="center"/>
            </w:pPr>
            <w:r>
              <w:rPr>
                <w:rFonts w:ascii="Arial" w:eastAsia="宋体" w:hAnsi="Arial" w:cs="Arial"/>
                <w:color w:val="000000"/>
                <w:sz w:val="18"/>
                <w:szCs w:val="18"/>
              </w:rPr>
              <w:t>Lower gross margin from Network Xeon revenue</w:t>
            </w:r>
          </w:p>
        </w:tc>
        <w:tc>
          <w:tcPr>
            <w:tcW w:w="0" w:type="auto"/>
            <w:gridSpan w:val="3"/>
            <w:shd w:val="clear" w:color="auto" w:fill="auto"/>
            <w:tcMar>
              <w:top w:w="0" w:type="dxa"/>
              <w:left w:w="20" w:type="dxa"/>
              <w:bottom w:w="0" w:type="dxa"/>
              <w:right w:w="20" w:type="dxa"/>
            </w:tcMar>
            <w:vAlign w:val="bottom"/>
          </w:tcPr>
          <w:p w14:paraId="5A1AFAF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F6" w14:textId="77777777" w:rsidR="00960BB8" w:rsidRDefault="00960BB8">
            <w:pPr>
              <w:rPr>
                <w:rFonts w:ascii="宋体"/>
              </w:rPr>
            </w:pPr>
          </w:p>
        </w:tc>
      </w:tr>
      <w:tr w:rsidR="00960BB8" w14:paraId="5A1AFAFE" w14:textId="77777777">
        <w:tc>
          <w:tcPr>
            <w:tcW w:w="0" w:type="auto"/>
            <w:gridSpan w:val="2"/>
            <w:shd w:val="clear" w:color="auto" w:fill="auto"/>
            <w:tcMar>
              <w:top w:w="40" w:type="dxa"/>
              <w:left w:w="20" w:type="dxa"/>
              <w:bottom w:w="40" w:type="dxa"/>
              <w:right w:w="0" w:type="dxa"/>
            </w:tcMar>
            <w:vAlign w:val="bottom"/>
          </w:tcPr>
          <w:p w14:paraId="5A1AFAF8" w14:textId="77777777" w:rsidR="00960BB8" w:rsidRDefault="00C06650">
            <w:pPr>
              <w:jc w:val="right"/>
              <w:textAlignment w:val="bottom"/>
            </w:pPr>
            <w:r>
              <w:rPr>
                <w:rFonts w:ascii="Arial" w:eastAsia="宋体" w:hAnsi="Arial" w:cs="Arial"/>
                <w:color w:val="0068B5"/>
                <w:sz w:val="18"/>
                <w:szCs w:val="18"/>
              </w:rPr>
              <w:t>522 </w:t>
            </w:r>
          </w:p>
        </w:tc>
        <w:tc>
          <w:tcPr>
            <w:tcW w:w="0" w:type="auto"/>
            <w:shd w:val="clear" w:color="auto" w:fill="auto"/>
            <w:tcMar>
              <w:top w:w="40" w:type="dxa"/>
              <w:left w:w="0" w:type="dxa"/>
              <w:bottom w:w="40" w:type="dxa"/>
              <w:right w:w="20" w:type="dxa"/>
            </w:tcMar>
            <w:vAlign w:val="bottom"/>
          </w:tcPr>
          <w:p w14:paraId="5A1AFAF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AF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AFB" w14:textId="77777777" w:rsidR="00960BB8" w:rsidRDefault="00C06650">
            <w:pPr>
              <w:textAlignment w:val="center"/>
            </w:pPr>
            <w:r>
              <w:rPr>
                <w:rFonts w:ascii="Arial" w:eastAsia="宋体" w:hAnsi="Arial" w:cs="Arial"/>
                <w:color w:val="000000"/>
                <w:sz w:val="18"/>
                <w:szCs w:val="18"/>
              </w:rPr>
              <w:t>Higher gross margin from Ethernet revenue</w:t>
            </w:r>
          </w:p>
        </w:tc>
        <w:tc>
          <w:tcPr>
            <w:tcW w:w="0" w:type="auto"/>
            <w:gridSpan w:val="3"/>
            <w:shd w:val="clear" w:color="auto" w:fill="auto"/>
            <w:tcMar>
              <w:top w:w="0" w:type="dxa"/>
              <w:left w:w="20" w:type="dxa"/>
              <w:bottom w:w="0" w:type="dxa"/>
              <w:right w:w="20" w:type="dxa"/>
            </w:tcMar>
            <w:vAlign w:val="bottom"/>
          </w:tcPr>
          <w:p w14:paraId="5A1AFAF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AFD" w14:textId="77777777" w:rsidR="00960BB8" w:rsidRDefault="00960BB8">
            <w:pPr>
              <w:rPr>
                <w:rFonts w:ascii="宋体"/>
              </w:rPr>
            </w:pPr>
          </w:p>
        </w:tc>
      </w:tr>
      <w:tr w:rsidR="00960BB8" w14:paraId="5A1AFB05" w14:textId="77777777">
        <w:tc>
          <w:tcPr>
            <w:tcW w:w="0" w:type="auto"/>
            <w:gridSpan w:val="2"/>
            <w:shd w:val="clear" w:color="auto" w:fill="auto"/>
            <w:tcMar>
              <w:top w:w="40" w:type="dxa"/>
              <w:left w:w="20" w:type="dxa"/>
              <w:bottom w:w="40" w:type="dxa"/>
              <w:right w:w="0" w:type="dxa"/>
            </w:tcMar>
            <w:vAlign w:val="bottom"/>
          </w:tcPr>
          <w:p w14:paraId="5A1AFAFF" w14:textId="77777777" w:rsidR="00960BB8" w:rsidRDefault="00C06650">
            <w:pPr>
              <w:jc w:val="right"/>
              <w:textAlignment w:val="bottom"/>
            </w:pPr>
            <w:r>
              <w:rPr>
                <w:rFonts w:ascii="Arial" w:eastAsia="宋体" w:hAnsi="Arial" w:cs="Arial"/>
                <w:color w:val="0068B5"/>
                <w:sz w:val="18"/>
                <w:szCs w:val="18"/>
              </w:rPr>
              <w:t>191 </w:t>
            </w:r>
          </w:p>
        </w:tc>
        <w:tc>
          <w:tcPr>
            <w:tcW w:w="0" w:type="auto"/>
            <w:shd w:val="clear" w:color="auto" w:fill="auto"/>
            <w:tcMar>
              <w:top w:w="40" w:type="dxa"/>
              <w:left w:w="0" w:type="dxa"/>
              <w:bottom w:w="40" w:type="dxa"/>
              <w:right w:w="20" w:type="dxa"/>
            </w:tcMar>
            <w:vAlign w:val="bottom"/>
          </w:tcPr>
          <w:p w14:paraId="5A1AFB0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B0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B02" w14:textId="77777777" w:rsidR="00960BB8" w:rsidRDefault="00C06650">
            <w:pPr>
              <w:textAlignment w:val="center"/>
            </w:pPr>
            <w:r>
              <w:rPr>
                <w:rFonts w:ascii="Arial" w:eastAsia="宋体" w:hAnsi="Arial" w:cs="Arial"/>
                <w:color w:val="000000"/>
                <w:sz w:val="18"/>
                <w:szCs w:val="18"/>
              </w:rPr>
              <w:t>Lower unit cost primarily from10nm SuperFin products</w:t>
            </w:r>
          </w:p>
        </w:tc>
        <w:tc>
          <w:tcPr>
            <w:tcW w:w="0" w:type="auto"/>
            <w:gridSpan w:val="3"/>
            <w:shd w:val="clear" w:color="auto" w:fill="auto"/>
            <w:tcMar>
              <w:top w:w="0" w:type="dxa"/>
              <w:left w:w="20" w:type="dxa"/>
              <w:bottom w:w="0" w:type="dxa"/>
              <w:right w:w="20" w:type="dxa"/>
            </w:tcMar>
            <w:vAlign w:val="bottom"/>
          </w:tcPr>
          <w:p w14:paraId="5A1AFB0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04" w14:textId="77777777" w:rsidR="00960BB8" w:rsidRDefault="00960BB8">
            <w:pPr>
              <w:rPr>
                <w:rFonts w:ascii="宋体"/>
              </w:rPr>
            </w:pPr>
          </w:p>
        </w:tc>
      </w:tr>
      <w:tr w:rsidR="00960BB8" w14:paraId="5A1AFB0B" w14:textId="77777777">
        <w:trPr>
          <w:hidden/>
        </w:trPr>
        <w:tc>
          <w:tcPr>
            <w:tcW w:w="0" w:type="auto"/>
            <w:gridSpan w:val="3"/>
            <w:shd w:val="clear" w:color="auto" w:fill="auto"/>
            <w:vAlign w:val="bottom"/>
          </w:tcPr>
          <w:p w14:paraId="5A1AFB06" w14:textId="77777777" w:rsidR="00960BB8" w:rsidRDefault="00960BB8">
            <w:pPr>
              <w:rPr>
                <w:rFonts w:ascii="宋体"/>
                <w:vanish/>
              </w:rPr>
            </w:pPr>
          </w:p>
        </w:tc>
        <w:tc>
          <w:tcPr>
            <w:tcW w:w="0" w:type="auto"/>
            <w:gridSpan w:val="3"/>
            <w:shd w:val="clear" w:color="auto" w:fill="auto"/>
            <w:vAlign w:val="bottom"/>
          </w:tcPr>
          <w:p w14:paraId="5A1AFB07" w14:textId="77777777" w:rsidR="00960BB8" w:rsidRDefault="00960BB8">
            <w:pPr>
              <w:rPr>
                <w:rFonts w:ascii="宋体"/>
                <w:vanish/>
              </w:rPr>
            </w:pPr>
          </w:p>
        </w:tc>
        <w:tc>
          <w:tcPr>
            <w:tcW w:w="0" w:type="auto"/>
            <w:gridSpan w:val="3"/>
            <w:shd w:val="clear" w:color="auto" w:fill="auto"/>
            <w:vAlign w:val="bottom"/>
          </w:tcPr>
          <w:p w14:paraId="5A1AFB08" w14:textId="77777777" w:rsidR="00960BB8" w:rsidRDefault="00960BB8">
            <w:pPr>
              <w:rPr>
                <w:rFonts w:ascii="宋体"/>
                <w:vanish/>
              </w:rPr>
            </w:pPr>
          </w:p>
        </w:tc>
        <w:tc>
          <w:tcPr>
            <w:tcW w:w="0" w:type="auto"/>
            <w:gridSpan w:val="3"/>
            <w:shd w:val="clear" w:color="auto" w:fill="auto"/>
            <w:vAlign w:val="bottom"/>
          </w:tcPr>
          <w:p w14:paraId="5A1AFB09" w14:textId="77777777" w:rsidR="00960BB8" w:rsidRDefault="00960BB8">
            <w:pPr>
              <w:rPr>
                <w:rFonts w:ascii="宋体"/>
                <w:vanish/>
              </w:rPr>
            </w:pPr>
          </w:p>
        </w:tc>
        <w:tc>
          <w:tcPr>
            <w:tcW w:w="0" w:type="auto"/>
            <w:gridSpan w:val="3"/>
            <w:shd w:val="clear" w:color="auto" w:fill="auto"/>
            <w:vAlign w:val="bottom"/>
          </w:tcPr>
          <w:p w14:paraId="5A1AFB0A" w14:textId="77777777" w:rsidR="00960BB8" w:rsidRDefault="00960BB8">
            <w:pPr>
              <w:rPr>
                <w:rFonts w:ascii="宋体"/>
                <w:vanish/>
              </w:rPr>
            </w:pPr>
          </w:p>
        </w:tc>
      </w:tr>
      <w:tr w:rsidR="00960BB8" w14:paraId="5A1AFB12" w14:textId="77777777">
        <w:tc>
          <w:tcPr>
            <w:tcW w:w="0" w:type="auto"/>
            <w:gridSpan w:val="2"/>
            <w:shd w:val="clear" w:color="auto" w:fill="auto"/>
            <w:tcMar>
              <w:top w:w="40" w:type="dxa"/>
              <w:left w:w="20" w:type="dxa"/>
              <w:bottom w:w="40" w:type="dxa"/>
              <w:right w:w="0" w:type="dxa"/>
            </w:tcMar>
            <w:vAlign w:val="bottom"/>
          </w:tcPr>
          <w:p w14:paraId="5A1AFB0C" w14:textId="77777777" w:rsidR="00960BB8" w:rsidRDefault="00C06650">
            <w:pPr>
              <w:jc w:val="right"/>
              <w:textAlignment w:val="bottom"/>
            </w:pPr>
            <w:r>
              <w:rPr>
                <w:rFonts w:ascii="Arial" w:eastAsia="宋体" w:hAnsi="Arial" w:cs="Arial"/>
                <w:color w:val="0068B5"/>
                <w:sz w:val="18"/>
                <w:szCs w:val="18"/>
              </w:rPr>
              <w:t>(86)</w:t>
            </w:r>
          </w:p>
        </w:tc>
        <w:tc>
          <w:tcPr>
            <w:tcW w:w="0" w:type="auto"/>
            <w:shd w:val="clear" w:color="auto" w:fill="auto"/>
            <w:tcMar>
              <w:top w:w="40" w:type="dxa"/>
              <w:left w:w="0" w:type="dxa"/>
              <w:bottom w:w="40" w:type="dxa"/>
              <w:right w:w="20" w:type="dxa"/>
            </w:tcMar>
            <w:vAlign w:val="bottom"/>
          </w:tcPr>
          <w:p w14:paraId="5A1AFB0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B0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B0F" w14:textId="77777777" w:rsidR="00960BB8" w:rsidRDefault="00C06650">
            <w:pPr>
              <w:textAlignment w:val="center"/>
            </w:pPr>
            <w:r>
              <w:rPr>
                <w:rFonts w:ascii="Arial" w:eastAsia="宋体" w:hAnsi="Arial" w:cs="Arial"/>
                <w:color w:val="000000"/>
                <w:sz w:val="18"/>
                <w:szCs w:val="18"/>
              </w:rPr>
              <w:t>Other</w:t>
            </w:r>
          </w:p>
        </w:tc>
        <w:tc>
          <w:tcPr>
            <w:tcW w:w="0" w:type="auto"/>
            <w:gridSpan w:val="3"/>
            <w:shd w:val="clear" w:color="auto" w:fill="auto"/>
            <w:tcMar>
              <w:top w:w="0" w:type="dxa"/>
              <w:left w:w="20" w:type="dxa"/>
              <w:bottom w:w="0" w:type="dxa"/>
              <w:right w:w="20" w:type="dxa"/>
            </w:tcMar>
            <w:vAlign w:val="bottom"/>
          </w:tcPr>
          <w:p w14:paraId="5A1AFB1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11" w14:textId="77777777" w:rsidR="00960BB8" w:rsidRDefault="00960BB8">
            <w:pPr>
              <w:rPr>
                <w:rFonts w:ascii="宋体"/>
              </w:rPr>
            </w:pPr>
          </w:p>
        </w:tc>
      </w:tr>
      <w:tr w:rsidR="00960BB8" w14:paraId="5A1AFB1A"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5A1AFB13"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AFB14" w14:textId="77777777" w:rsidR="00960BB8" w:rsidRDefault="00C06650">
            <w:pPr>
              <w:jc w:val="right"/>
              <w:textAlignment w:val="bottom"/>
            </w:pPr>
            <w:r>
              <w:rPr>
                <w:rFonts w:ascii="Arial" w:eastAsia="宋体" w:hAnsi="Arial" w:cs="Arial"/>
                <w:b/>
                <w:bCs/>
                <w:color w:val="262626"/>
                <w:sz w:val="18"/>
                <w:szCs w:val="18"/>
              </w:rPr>
              <w:t>1,711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B1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B16"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AFB17" w14:textId="77777777" w:rsidR="00960BB8" w:rsidRDefault="00C06650">
            <w:pPr>
              <w:textAlignment w:val="bottom"/>
            </w:pPr>
            <w:r>
              <w:rPr>
                <w:rFonts w:ascii="Arial" w:eastAsia="宋体" w:hAnsi="Arial" w:cs="Arial"/>
                <w:b/>
                <w:bCs/>
                <w:color w:val="262626"/>
                <w:sz w:val="18"/>
                <w:szCs w:val="18"/>
              </w:rPr>
              <w:t>2021 Operating Income</w:t>
            </w:r>
          </w:p>
        </w:tc>
        <w:tc>
          <w:tcPr>
            <w:tcW w:w="0" w:type="auto"/>
            <w:gridSpan w:val="3"/>
            <w:shd w:val="clear" w:color="auto" w:fill="auto"/>
            <w:tcMar>
              <w:top w:w="0" w:type="dxa"/>
              <w:left w:w="20" w:type="dxa"/>
              <w:bottom w:w="0" w:type="dxa"/>
              <w:right w:w="20" w:type="dxa"/>
            </w:tcMar>
            <w:vAlign w:val="bottom"/>
          </w:tcPr>
          <w:p w14:paraId="5A1AFB1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19" w14:textId="77777777" w:rsidR="00960BB8" w:rsidRDefault="00960BB8">
            <w:pPr>
              <w:rPr>
                <w:rFonts w:ascii="宋体"/>
              </w:rPr>
            </w:pPr>
          </w:p>
        </w:tc>
      </w:tr>
      <w:tr w:rsidR="00960BB8" w14:paraId="5A1AFB21" w14:textId="77777777">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B1B" w14:textId="77777777" w:rsidR="00960BB8" w:rsidRDefault="00C06650">
            <w:pPr>
              <w:jc w:val="right"/>
              <w:textAlignment w:val="bottom"/>
            </w:pPr>
            <w:r>
              <w:rPr>
                <w:rFonts w:ascii="Arial" w:eastAsia="宋体" w:hAnsi="Arial" w:cs="Arial"/>
                <w:color w:val="262626"/>
                <w:sz w:val="18"/>
                <w:szCs w:val="18"/>
              </w:rPr>
              <w:t>895 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B1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B1D" w14:textId="77777777" w:rsidR="00960BB8" w:rsidRDefault="00960BB8">
            <w:pPr>
              <w:rPr>
                <w:rFonts w:ascii="宋体"/>
              </w:rPr>
            </w:pPr>
          </w:p>
        </w:tc>
        <w:tc>
          <w:tcPr>
            <w:tcW w:w="0" w:type="auto"/>
            <w:gridSpan w:val="3"/>
            <w:tcBorders>
              <w:top w:val="single" w:sz="8" w:space="0" w:color="6D6D6D"/>
            </w:tcBorders>
            <w:shd w:val="clear" w:color="auto" w:fill="auto"/>
            <w:tcMar>
              <w:top w:w="40" w:type="dxa"/>
              <w:left w:w="20" w:type="dxa"/>
              <w:bottom w:w="40" w:type="dxa"/>
              <w:right w:w="20" w:type="dxa"/>
            </w:tcMar>
            <w:vAlign w:val="center"/>
          </w:tcPr>
          <w:p w14:paraId="5A1AFB1E" w14:textId="77777777" w:rsidR="00960BB8" w:rsidRDefault="00C06650">
            <w:pPr>
              <w:textAlignment w:val="center"/>
            </w:pPr>
            <w:r>
              <w:rPr>
                <w:rFonts w:ascii="Arial" w:eastAsia="宋体" w:hAnsi="Arial" w:cs="Arial"/>
                <w:color w:val="262626"/>
                <w:sz w:val="18"/>
                <w:szCs w:val="18"/>
              </w:rPr>
              <w:t>Lower NEX unit cost due to cost improvements in the 10nm SuperFin process</w:t>
            </w:r>
          </w:p>
        </w:tc>
        <w:tc>
          <w:tcPr>
            <w:tcW w:w="0" w:type="auto"/>
            <w:gridSpan w:val="3"/>
            <w:shd w:val="clear" w:color="auto" w:fill="auto"/>
            <w:tcMar>
              <w:top w:w="0" w:type="dxa"/>
              <w:left w:w="20" w:type="dxa"/>
              <w:bottom w:w="0" w:type="dxa"/>
              <w:right w:w="20" w:type="dxa"/>
            </w:tcMar>
            <w:vAlign w:val="bottom"/>
          </w:tcPr>
          <w:p w14:paraId="5A1AFB1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20" w14:textId="77777777" w:rsidR="00960BB8" w:rsidRDefault="00960BB8">
            <w:pPr>
              <w:rPr>
                <w:rFonts w:ascii="宋体"/>
              </w:rPr>
            </w:pPr>
          </w:p>
        </w:tc>
      </w:tr>
      <w:tr w:rsidR="00960BB8" w14:paraId="5A1AFB28" w14:textId="77777777">
        <w:tc>
          <w:tcPr>
            <w:tcW w:w="0" w:type="auto"/>
            <w:gridSpan w:val="2"/>
            <w:shd w:val="clear" w:color="auto" w:fill="auto"/>
            <w:tcMar>
              <w:top w:w="40" w:type="dxa"/>
              <w:left w:w="20" w:type="dxa"/>
              <w:bottom w:w="40" w:type="dxa"/>
              <w:right w:w="0" w:type="dxa"/>
            </w:tcMar>
          </w:tcPr>
          <w:p w14:paraId="5A1AFB22" w14:textId="77777777" w:rsidR="00960BB8" w:rsidRDefault="00C06650">
            <w:pPr>
              <w:jc w:val="right"/>
              <w:textAlignment w:val="top"/>
            </w:pPr>
            <w:r>
              <w:rPr>
                <w:rFonts w:ascii="Arial" w:eastAsia="宋体" w:hAnsi="Arial" w:cs="Arial"/>
                <w:color w:val="262626"/>
                <w:sz w:val="18"/>
                <w:szCs w:val="18"/>
              </w:rPr>
              <w:t>285 </w:t>
            </w:r>
          </w:p>
        </w:tc>
        <w:tc>
          <w:tcPr>
            <w:tcW w:w="0" w:type="auto"/>
            <w:shd w:val="clear" w:color="auto" w:fill="auto"/>
            <w:tcMar>
              <w:top w:w="40" w:type="dxa"/>
              <w:left w:w="0" w:type="dxa"/>
              <w:bottom w:w="40" w:type="dxa"/>
              <w:right w:w="20" w:type="dxa"/>
            </w:tcMar>
          </w:tcPr>
          <w:p w14:paraId="5A1AFB2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B2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B25" w14:textId="77777777" w:rsidR="00960BB8" w:rsidRDefault="00C06650">
            <w:pPr>
              <w:textAlignment w:val="center"/>
            </w:pPr>
            <w:r>
              <w:rPr>
                <w:rFonts w:ascii="Arial" w:eastAsia="宋体" w:hAnsi="Arial" w:cs="Arial"/>
                <w:color w:val="262626"/>
                <w:sz w:val="18"/>
                <w:szCs w:val="18"/>
              </w:rPr>
              <w:t>Lower period charges due to reserve sell through and a decrease in engineering samples</w:t>
            </w:r>
          </w:p>
        </w:tc>
        <w:tc>
          <w:tcPr>
            <w:tcW w:w="0" w:type="auto"/>
            <w:gridSpan w:val="3"/>
            <w:shd w:val="clear" w:color="auto" w:fill="auto"/>
            <w:tcMar>
              <w:top w:w="0" w:type="dxa"/>
              <w:left w:w="20" w:type="dxa"/>
              <w:bottom w:w="0" w:type="dxa"/>
              <w:right w:w="20" w:type="dxa"/>
            </w:tcMar>
            <w:vAlign w:val="bottom"/>
          </w:tcPr>
          <w:p w14:paraId="5A1AFB2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27" w14:textId="77777777" w:rsidR="00960BB8" w:rsidRDefault="00960BB8">
            <w:pPr>
              <w:rPr>
                <w:rFonts w:ascii="宋体"/>
              </w:rPr>
            </w:pPr>
          </w:p>
        </w:tc>
      </w:tr>
      <w:tr w:rsidR="00960BB8" w14:paraId="5A1AFB2F" w14:textId="77777777">
        <w:tc>
          <w:tcPr>
            <w:tcW w:w="0" w:type="auto"/>
            <w:gridSpan w:val="2"/>
            <w:shd w:val="clear" w:color="auto" w:fill="auto"/>
            <w:tcMar>
              <w:top w:w="40" w:type="dxa"/>
              <w:left w:w="20" w:type="dxa"/>
              <w:bottom w:w="40" w:type="dxa"/>
              <w:right w:w="0" w:type="dxa"/>
            </w:tcMar>
            <w:vAlign w:val="bottom"/>
          </w:tcPr>
          <w:p w14:paraId="5A1AFB29" w14:textId="77777777" w:rsidR="00960BB8" w:rsidRDefault="00C06650">
            <w:pPr>
              <w:jc w:val="right"/>
              <w:textAlignment w:val="bottom"/>
            </w:pPr>
            <w:r>
              <w:rPr>
                <w:rFonts w:ascii="Arial" w:eastAsia="宋体" w:hAnsi="Arial" w:cs="Arial"/>
                <w:color w:val="262626"/>
                <w:sz w:val="18"/>
                <w:szCs w:val="18"/>
              </w:rPr>
              <w:t>215 </w:t>
            </w:r>
          </w:p>
        </w:tc>
        <w:tc>
          <w:tcPr>
            <w:tcW w:w="0" w:type="auto"/>
            <w:shd w:val="clear" w:color="auto" w:fill="auto"/>
            <w:tcMar>
              <w:top w:w="40" w:type="dxa"/>
              <w:left w:w="0" w:type="dxa"/>
              <w:bottom w:w="40" w:type="dxa"/>
              <w:right w:w="20" w:type="dxa"/>
            </w:tcMar>
            <w:vAlign w:val="bottom"/>
          </w:tcPr>
          <w:p w14:paraId="5A1AFB2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B2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B2C" w14:textId="77777777" w:rsidR="00960BB8" w:rsidRDefault="00C06650">
            <w:pPr>
              <w:textAlignment w:val="center"/>
            </w:pPr>
            <w:r>
              <w:rPr>
                <w:rFonts w:ascii="Arial" w:eastAsia="宋体" w:hAnsi="Arial" w:cs="Arial"/>
                <w:color w:val="262626"/>
                <w:sz w:val="18"/>
                <w:szCs w:val="18"/>
              </w:rPr>
              <w:t xml:space="preserve">Higher gross margin from NEX </w:t>
            </w:r>
            <w:r>
              <w:rPr>
                <w:rFonts w:ascii="Arial" w:eastAsia="宋体" w:hAnsi="Arial" w:cs="Arial"/>
                <w:color w:val="262626"/>
                <w:sz w:val="18"/>
                <w:szCs w:val="18"/>
              </w:rPr>
              <w:t>revenue, primarily driven by Ethernet and Edge</w:t>
            </w:r>
          </w:p>
        </w:tc>
        <w:tc>
          <w:tcPr>
            <w:tcW w:w="0" w:type="auto"/>
            <w:gridSpan w:val="3"/>
            <w:shd w:val="clear" w:color="auto" w:fill="auto"/>
            <w:tcMar>
              <w:top w:w="0" w:type="dxa"/>
              <w:left w:w="20" w:type="dxa"/>
              <w:bottom w:w="0" w:type="dxa"/>
              <w:right w:w="20" w:type="dxa"/>
            </w:tcMar>
            <w:vAlign w:val="bottom"/>
          </w:tcPr>
          <w:p w14:paraId="5A1AFB2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2E" w14:textId="77777777" w:rsidR="00960BB8" w:rsidRDefault="00960BB8">
            <w:pPr>
              <w:rPr>
                <w:rFonts w:ascii="宋体"/>
              </w:rPr>
            </w:pPr>
          </w:p>
        </w:tc>
      </w:tr>
      <w:tr w:rsidR="00960BB8" w14:paraId="5A1AFB36" w14:textId="77777777">
        <w:tc>
          <w:tcPr>
            <w:tcW w:w="0" w:type="auto"/>
            <w:gridSpan w:val="2"/>
            <w:shd w:val="clear" w:color="auto" w:fill="auto"/>
            <w:tcMar>
              <w:top w:w="40" w:type="dxa"/>
              <w:left w:w="20" w:type="dxa"/>
              <w:bottom w:w="40" w:type="dxa"/>
              <w:right w:w="0" w:type="dxa"/>
            </w:tcMar>
            <w:vAlign w:val="bottom"/>
          </w:tcPr>
          <w:p w14:paraId="5A1AFB30" w14:textId="77777777" w:rsidR="00960BB8" w:rsidRDefault="00C06650">
            <w:pPr>
              <w:jc w:val="right"/>
              <w:textAlignment w:val="bottom"/>
            </w:pPr>
            <w:r>
              <w:rPr>
                <w:rFonts w:ascii="Arial" w:eastAsia="宋体" w:hAnsi="Arial" w:cs="Arial"/>
                <w:color w:val="262626"/>
                <w:sz w:val="18"/>
                <w:szCs w:val="18"/>
              </w:rPr>
              <w:t>(300)</w:t>
            </w:r>
          </w:p>
        </w:tc>
        <w:tc>
          <w:tcPr>
            <w:tcW w:w="0" w:type="auto"/>
            <w:shd w:val="clear" w:color="auto" w:fill="auto"/>
            <w:tcMar>
              <w:top w:w="40" w:type="dxa"/>
              <w:left w:w="0" w:type="dxa"/>
              <w:bottom w:w="40" w:type="dxa"/>
              <w:right w:w="20" w:type="dxa"/>
            </w:tcMar>
            <w:vAlign w:val="bottom"/>
          </w:tcPr>
          <w:p w14:paraId="5A1AFB3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B3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B33" w14:textId="77777777" w:rsidR="00960BB8" w:rsidRDefault="00C06650">
            <w:pPr>
              <w:textAlignment w:val="center"/>
            </w:pPr>
            <w:r>
              <w:rPr>
                <w:rFonts w:ascii="Arial" w:eastAsia="宋体" w:hAnsi="Arial" w:cs="Arial"/>
                <w:color w:val="262626"/>
                <w:sz w:val="18"/>
                <w:szCs w:val="18"/>
              </w:rPr>
              <w:t>Higher operating expenses primarily due to roadmap investments</w:t>
            </w:r>
          </w:p>
        </w:tc>
        <w:tc>
          <w:tcPr>
            <w:tcW w:w="0" w:type="auto"/>
            <w:gridSpan w:val="3"/>
            <w:shd w:val="clear" w:color="auto" w:fill="auto"/>
            <w:tcMar>
              <w:top w:w="0" w:type="dxa"/>
              <w:left w:w="20" w:type="dxa"/>
              <w:bottom w:w="0" w:type="dxa"/>
              <w:right w:w="20" w:type="dxa"/>
            </w:tcMar>
            <w:vAlign w:val="bottom"/>
          </w:tcPr>
          <w:p w14:paraId="5A1AFB3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35" w14:textId="77777777" w:rsidR="00960BB8" w:rsidRDefault="00960BB8">
            <w:pPr>
              <w:rPr>
                <w:rFonts w:ascii="宋体"/>
              </w:rPr>
            </w:pPr>
          </w:p>
        </w:tc>
      </w:tr>
      <w:tr w:rsidR="00960BB8" w14:paraId="5A1AFB3D" w14:textId="77777777">
        <w:tc>
          <w:tcPr>
            <w:tcW w:w="0" w:type="auto"/>
            <w:gridSpan w:val="2"/>
            <w:shd w:val="clear" w:color="auto" w:fill="auto"/>
            <w:tcMar>
              <w:top w:w="40" w:type="dxa"/>
              <w:left w:w="20" w:type="dxa"/>
              <w:bottom w:w="40" w:type="dxa"/>
              <w:right w:w="0" w:type="dxa"/>
            </w:tcMar>
            <w:vAlign w:val="bottom"/>
          </w:tcPr>
          <w:p w14:paraId="5A1AFB37" w14:textId="77777777" w:rsidR="00960BB8" w:rsidRDefault="00C06650">
            <w:pPr>
              <w:jc w:val="right"/>
              <w:textAlignment w:val="bottom"/>
            </w:pPr>
            <w:r>
              <w:rPr>
                <w:rFonts w:ascii="Arial" w:eastAsia="宋体" w:hAnsi="Arial" w:cs="Arial"/>
                <w:color w:val="262626"/>
                <w:sz w:val="18"/>
                <w:szCs w:val="18"/>
              </w:rPr>
              <w:t>(220)</w:t>
            </w:r>
          </w:p>
        </w:tc>
        <w:tc>
          <w:tcPr>
            <w:tcW w:w="0" w:type="auto"/>
            <w:shd w:val="clear" w:color="auto" w:fill="auto"/>
            <w:tcMar>
              <w:top w:w="40" w:type="dxa"/>
              <w:left w:w="0" w:type="dxa"/>
              <w:bottom w:w="40" w:type="dxa"/>
              <w:right w:w="20" w:type="dxa"/>
            </w:tcMar>
            <w:vAlign w:val="bottom"/>
          </w:tcPr>
          <w:p w14:paraId="5A1AFB3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B3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B3A" w14:textId="77777777" w:rsidR="00960BB8" w:rsidRDefault="00C06650">
            <w:pPr>
              <w:textAlignment w:val="center"/>
            </w:pPr>
            <w:r>
              <w:rPr>
                <w:rFonts w:ascii="Arial" w:eastAsia="宋体" w:hAnsi="Arial" w:cs="Arial"/>
                <w:color w:val="262626"/>
                <w:sz w:val="18"/>
                <w:szCs w:val="18"/>
              </w:rPr>
              <w:t>Higher period charges primarily associated with the ramp of Intel 4</w:t>
            </w:r>
          </w:p>
        </w:tc>
        <w:tc>
          <w:tcPr>
            <w:tcW w:w="0" w:type="auto"/>
            <w:gridSpan w:val="3"/>
            <w:shd w:val="clear" w:color="auto" w:fill="auto"/>
            <w:tcMar>
              <w:top w:w="0" w:type="dxa"/>
              <w:left w:w="20" w:type="dxa"/>
              <w:bottom w:w="0" w:type="dxa"/>
              <w:right w:w="20" w:type="dxa"/>
            </w:tcMar>
            <w:vAlign w:val="bottom"/>
          </w:tcPr>
          <w:p w14:paraId="5A1AFB3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3C" w14:textId="77777777" w:rsidR="00960BB8" w:rsidRDefault="00960BB8">
            <w:pPr>
              <w:rPr>
                <w:rFonts w:ascii="宋体"/>
              </w:rPr>
            </w:pPr>
          </w:p>
        </w:tc>
      </w:tr>
      <w:tr w:rsidR="00960BB8" w14:paraId="5A1AFB44" w14:textId="77777777">
        <w:tc>
          <w:tcPr>
            <w:tcW w:w="0" w:type="auto"/>
            <w:gridSpan w:val="2"/>
            <w:shd w:val="clear" w:color="auto" w:fill="auto"/>
            <w:tcMar>
              <w:top w:w="40" w:type="dxa"/>
              <w:left w:w="20" w:type="dxa"/>
              <w:bottom w:w="40" w:type="dxa"/>
              <w:right w:w="0" w:type="dxa"/>
            </w:tcMar>
            <w:vAlign w:val="bottom"/>
          </w:tcPr>
          <w:p w14:paraId="5A1AFB3E" w14:textId="77777777" w:rsidR="00960BB8" w:rsidRDefault="00C06650">
            <w:pPr>
              <w:jc w:val="right"/>
              <w:textAlignment w:val="bottom"/>
            </w:pPr>
            <w:r>
              <w:rPr>
                <w:rFonts w:ascii="Arial" w:eastAsia="宋体" w:hAnsi="Arial" w:cs="Arial"/>
                <w:color w:val="262626"/>
                <w:sz w:val="18"/>
                <w:szCs w:val="18"/>
              </w:rPr>
              <w:t>(10)</w:t>
            </w:r>
          </w:p>
        </w:tc>
        <w:tc>
          <w:tcPr>
            <w:tcW w:w="0" w:type="auto"/>
            <w:shd w:val="clear" w:color="auto" w:fill="auto"/>
            <w:tcMar>
              <w:top w:w="40" w:type="dxa"/>
              <w:left w:w="0" w:type="dxa"/>
              <w:bottom w:w="40" w:type="dxa"/>
              <w:right w:w="20" w:type="dxa"/>
            </w:tcMar>
            <w:vAlign w:val="bottom"/>
          </w:tcPr>
          <w:p w14:paraId="5A1AFB3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B4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AFB41" w14:textId="77777777" w:rsidR="00960BB8" w:rsidRDefault="00C06650">
            <w:pPr>
              <w:textAlignment w:val="center"/>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5A1AFB4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43" w14:textId="77777777" w:rsidR="00960BB8" w:rsidRDefault="00960BB8">
            <w:pPr>
              <w:rPr>
                <w:rFonts w:ascii="宋体"/>
              </w:rPr>
            </w:pPr>
          </w:p>
        </w:tc>
      </w:tr>
      <w:tr w:rsidR="00960BB8" w14:paraId="5A1AFB4C"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5A1AFB45"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5A1AFB46" w14:textId="77777777" w:rsidR="00960BB8" w:rsidRDefault="00C06650">
            <w:pPr>
              <w:jc w:val="right"/>
              <w:textAlignment w:val="bottom"/>
            </w:pPr>
            <w:r>
              <w:rPr>
                <w:rFonts w:ascii="Arial" w:eastAsia="宋体" w:hAnsi="Arial" w:cs="Arial"/>
                <w:b/>
                <w:bCs/>
                <w:color w:val="262626"/>
                <w:sz w:val="18"/>
                <w:szCs w:val="18"/>
              </w:rPr>
              <w:t>846</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5A1AFB4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B48" w14:textId="77777777" w:rsidR="00960BB8" w:rsidRDefault="00960BB8">
            <w:pPr>
              <w:rPr>
                <w:rFonts w:ascii="宋体"/>
              </w:rPr>
            </w:pPr>
          </w:p>
        </w:tc>
        <w:tc>
          <w:tcPr>
            <w:tcW w:w="0" w:type="auto"/>
            <w:gridSpan w:val="3"/>
            <w:tcBorders>
              <w:top w:val="single" w:sz="4" w:space="0" w:color="262626"/>
              <w:bottom w:val="single" w:sz="8" w:space="0" w:color="6D6D6D"/>
            </w:tcBorders>
            <w:shd w:val="clear" w:color="auto" w:fill="auto"/>
            <w:tcMar>
              <w:top w:w="40" w:type="dxa"/>
              <w:left w:w="20" w:type="dxa"/>
              <w:bottom w:w="40" w:type="dxa"/>
              <w:right w:w="20" w:type="dxa"/>
            </w:tcMar>
            <w:vAlign w:val="bottom"/>
          </w:tcPr>
          <w:p w14:paraId="5A1AFB49" w14:textId="77777777" w:rsidR="00960BB8" w:rsidRDefault="00C06650">
            <w:pPr>
              <w:textAlignment w:val="bottom"/>
            </w:pPr>
            <w:r>
              <w:rPr>
                <w:rFonts w:ascii="Arial" w:eastAsia="宋体" w:hAnsi="Arial" w:cs="Arial"/>
                <w:b/>
                <w:bCs/>
                <w:color w:val="262626"/>
                <w:sz w:val="18"/>
                <w:szCs w:val="18"/>
              </w:rPr>
              <w:t>2020 Operating Income</w:t>
            </w:r>
          </w:p>
        </w:tc>
        <w:tc>
          <w:tcPr>
            <w:tcW w:w="0" w:type="auto"/>
            <w:gridSpan w:val="3"/>
            <w:shd w:val="clear" w:color="auto" w:fill="auto"/>
            <w:tcMar>
              <w:top w:w="0" w:type="dxa"/>
              <w:left w:w="20" w:type="dxa"/>
              <w:bottom w:w="0" w:type="dxa"/>
              <w:right w:w="20" w:type="dxa"/>
            </w:tcMar>
            <w:vAlign w:val="bottom"/>
          </w:tcPr>
          <w:p w14:paraId="5A1AFB4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4B" w14:textId="77777777" w:rsidR="00960BB8" w:rsidRDefault="00960BB8">
            <w:pPr>
              <w:rPr>
                <w:rFonts w:ascii="宋体"/>
              </w:rPr>
            </w:pPr>
          </w:p>
        </w:tc>
      </w:tr>
    </w:tbl>
    <w:p w14:paraId="5A1AFB4D" w14:textId="77777777" w:rsidR="00960BB8" w:rsidRDefault="00960BB8"/>
    <w:p w14:paraId="5A1AFB4E" w14:textId="77777777" w:rsidR="00960BB8" w:rsidRDefault="00960BB8"/>
    <w:p w14:paraId="5A1AFB4F" w14:textId="77777777" w:rsidR="00960BB8" w:rsidRDefault="00960BB8"/>
    <w:p w14:paraId="5A1AFB50" w14:textId="77777777" w:rsidR="00960BB8" w:rsidRDefault="00960BB8"/>
    <w:p w14:paraId="5A1AFB51" w14:textId="77777777" w:rsidR="00960BB8" w:rsidRDefault="00960BB8"/>
    <w:p w14:paraId="5A1AFB52" w14:textId="77777777" w:rsidR="00960BB8" w:rsidRDefault="00960BB8"/>
    <w:p w14:paraId="5A1AFB53" w14:textId="77777777" w:rsidR="00960BB8" w:rsidRDefault="00960BB8"/>
    <w:p w14:paraId="5A1AFB54"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B5E" w14:textId="77777777">
        <w:tc>
          <w:tcPr>
            <w:tcW w:w="50" w:type="pct"/>
            <w:shd w:val="clear" w:color="auto" w:fill="auto"/>
            <w:vAlign w:val="bottom"/>
          </w:tcPr>
          <w:p w14:paraId="5A1AFB55" w14:textId="77777777" w:rsidR="00960BB8" w:rsidRDefault="00960BB8">
            <w:pPr>
              <w:rPr>
                <w:rFonts w:ascii="宋体"/>
              </w:rPr>
            </w:pPr>
          </w:p>
        </w:tc>
        <w:tc>
          <w:tcPr>
            <w:tcW w:w="283" w:type="pct"/>
            <w:shd w:val="clear" w:color="auto" w:fill="auto"/>
            <w:vAlign w:val="bottom"/>
          </w:tcPr>
          <w:p w14:paraId="5A1AFB56" w14:textId="77777777" w:rsidR="00960BB8" w:rsidRDefault="00960BB8">
            <w:pPr>
              <w:rPr>
                <w:rFonts w:ascii="宋体"/>
              </w:rPr>
            </w:pPr>
          </w:p>
        </w:tc>
        <w:tc>
          <w:tcPr>
            <w:tcW w:w="5" w:type="pct"/>
            <w:shd w:val="clear" w:color="auto" w:fill="auto"/>
            <w:vAlign w:val="bottom"/>
          </w:tcPr>
          <w:p w14:paraId="5A1AFB57" w14:textId="77777777" w:rsidR="00960BB8" w:rsidRDefault="00960BB8">
            <w:pPr>
              <w:rPr>
                <w:rFonts w:ascii="宋体"/>
              </w:rPr>
            </w:pPr>
          </w:p>
        </w:tc>
        <w:tc>
          <w:tcPr>
            <w:tcW w:w="50" w:type="pct"/>
            <w:shd w:val="clear" w:color="auto" w:fill="auto"/>
            <w:vAlign w:val="bottom"/>
          </w:tcPr>
          <w:p w14:paraId="5A1AFB58" w14:textId="77777777" w:rsidR="00960BB8" w:rsidRDefault="00960BB8">
            <w:pPr>
              <w:rPr>
                <w:rFonts w:ascii="宋体"/>
              </w:rPr>
            </w:pPr>
          </w:p>
        </w:tc>
        <w:tc>
          <w:tcPr>
            <w:tcW w:w="2656" w:type="pct"/>
            <w:shd w:val="clear" w:color="auto" w:fill="auto"/>
            <w:vAlign w:val="bottom"/>
          </w:tcPr>
          <w:p w14:paraId="5A1AFB59" w14:textId="77777777" w:rsidR="00960BB8" w:rsidRDefault="00960BB8">
            <w:pPr>
              <w:rPr>
                <w:rFonts w:ascii="宋体"/>
              </w:rPr>
            </w:pPr>
          </w:p>
        </w:tc>
        <w:tc>
          <w:tcPr>
            <w:tcW w:w="5" w:type="pct"/>
            <w:shd w:val="clear" w:color="auto" w:fill="auto"/>
            <w:vAlign w:val="bottom"/>
          </w:tcPr>
          <w:p w14:paraId="5A1AFB5A" w14:textId="77777777" w:rsidR="00960BB8" w:rsidRDefault="00960BB8">
            <w:pPr>
              <w:rPr>
                <w:rFonts w:ascii="宋体"/>
              </w:rPr>
            </w:pPr>
          </w:p>
        </w:tc>
        <w:tc>
          <w:tcPr>
            <w:tcW w:w="50" w:type="pct"/>
            <w:shd w:val="clear" w:color="auto" w:fill="auto"/>
            <w:vAlign w:val="bottom"/>
          </w:tcPr>
          <w:p w14:paraId="5A1AFB5B" w14:textId="77777777" w:rsidR="00960BB8" w:rsidRDefault="00960BB8">
            <w:pPr>
              <w:rPr>
                <w:rFonts w:ascii="宋体"/>
              </w:rPr>
            </w:pPr>
          </w:p>
        </w:tc>
        <w:tc>
          <w:tcPr>
            <w:tcW w:w="1894" w:type="pct"/>
            <w:shd w:val="clear" w:color="auto" w:fill="auto"/>
            <w:vAlign w:val="bottom"/>
          </w:tcPr>
          <w:p w14:paraId="5A1AFB5C" w14:textId="77777777" w:rsidR="00960BB8" w:rsidRDefault="00960BB8">
            <w:pPr>
              <w:rPr>
                <w:rFonts w:ascii="宋体"/>
              </w:rPr>
            </w:pPr>
          </w:p>
        </w:tc>
        <w:tc>
          <w:tcPr>
            <w:tcW w:w="5" w:type="pct"/>
            <w:shd w:val="clear" w:color="auto" w:fill="auto"/>
            <w:vAlign w:val="bottom"/>
          </w:tcPr>
          <w:p w14:paraId="5A1AFB5D" w14:textId="77777777" w:rsidR="00960BB8" w:rsidRDefault="00960BB8">
            <w:pPr>
              <w:rPr>
                <w:rFonts w:ascii="宋体"/>
              </w:rPr>
            </w:pPr>
          </w:p>
        </w:tc>
      </w:tr>
      <w:tr w:rsidR="00960BB8" w14:paraId="5A1AFB6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B5F"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B7" wp14:editId="5A1B43B8">
                  <wp:extent cx="304800" cy="304800"/>
                  <wp:effectExtent l="0" t="0" r="0" b="0"/>
                  <wp:docPr id="202" name="图片 13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30"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B60"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B61" w14:textId="77777777" w:rsidR="00960BB8" w:rsidRDefault="00C06650">
            <w:pPr>
              <w:jc w:val="right"/>
              <w:textAlignment w:val="center"/>
            </w:pPr>
            <w:r>
              <w:rPr>
                <w:rFonts w:ascii="Arial" w:eastAsia="宋体" w:hAnsi="Arial" w:cs="Arial"/>
                <w:color w:val="262626"/>
                <w:sz w:val="16"/>
                <w:szCs w:val="16"/>
              </w:rPr>
              <w:t>29</w:t>
            </w:r>
          </w:p>
        </w:tc>
      </w:tr>
    </w:tbl>
    <w:p w14:paraId="5A1AFB63" w14:textId="77777777" w:rsidR="00960BB8" w:rsidRDefault="00C06650">
      <w:r>
        <w:pict w14:anchorId="5A1B43B9">
          <v:rect id="_x0000_i1055" style="width:415.3pt;height:1.5pt" o:hralign="center" o:hrstd="t" o:hr="t" fillcolor="#a0a0a0" stroked="f"/>
        </w:pict>
      </w:r>
    </w:p>
    <w:p w14:paraId="5A1AFB64" w14:textId="77777777" w:rsidR="00960BB8" w:rsidRDefault="00960BB8">
      <w:pPr>
        <w:jc w:val="center"/>
      </w:pPr>
    </w:p>
    <w:p w14:paraId="5A1AFB65" w14:textId="77777777" w:rsidR="00960BB8" w:rsidRDefault="00C06650">
      <w:pPr>
        <w:spacing w:after="12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w:instrText>
      </w:r>
      <w:r>
        <w:rPr>
          <w:rFonts w:ascii="宋体" w:eastAsia="宋体" w:hAnsi="宋体" w:cs="宋体"/>
        </w:rPr>
        <w:instrText xml:space="preserve">intc-20221231_g42.jpg"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BA" wp14:editId="5A1B43BB">
            <wp:extent cx="304800" cy="304800"/>
            <wp:effectExtent l="0" t="0" r="0" b="0"/>
            <wp:docPr id="208" name="图片 132"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32"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95" w:type="dxa"/>
        <w:tblCellMar>
          <w:top w:w="15" w:type="dxa"/>
          <w:left w:w="15" w:type="dxa"/>
          <w:bottom w:w="15" w:type="dxa"/>
          <w:right w:w="15" w:type="dxa"/>
        </w:tblCellMar>
        <w:tblLook w:val="04A0" w:firstRow="1" w:lastRow="0" w:firstColumn="1" w:lastColumn="0" w:noHBand="0" w:noVBand="1"/>
      </w:tblPr>
      <w:tblGrid>
        <w:gridCol w:w="63"/>
        <w:gridCol w:w="674"/>
        <w:gridCol w:w="63"/>
        <w:gridCol w:w="63"/>
        <w:gridCol w:w="8804"/>
        <w:gridCol w:w="63"/>
        <w:gridCol w:w="36"/>
        <w:gridCol w:w="1193"/>
        <w:gridCol w:w="36"/>
      </w:tblGrid>
      <w:tr w:rsidR="00960BB8" w14:paraId="5A1AFB6F" w14:textId="77777777">
        <w:tc>
          <w:tcPr>
            <w:tcW w:w="20" w:type="dxa"/>
            <w:shd w:val="clear" w:color="auto" w:fill="auto"/>
            <w:vAlign w:val="bottom"/>
          </w:tcPr>
          <w:p w14:paraId="5A1AFB66" w14:textId="77777777" w:rsidR="00960BB8" w:rsidRDefault="00960BB8">
            <w:pPr>
              <w:rPr>
                <w:rFonts w:ascii="宋体"/>
              </w:rPr>
            </w:pPr>
          </w:p>
        </w:tc>
        <w:tc>
          <w:tcPr>
            <w:tcW w:w="545" w:type="dxa"/>
            <w:shd w:val="clear" w:color="auto" w:fill="auto"/>
            <w:vAlign w:val="bottom"/>
          </w:tcPr>
          <w:p w14:paraId="5A1AFB67" w14:textId="77777777" w:rsidR="00960BB8" w:rsidRDefault="00960BB8">
            <w:pPr>
              <w:rPr>
                <w:rFonts w:ascii="宋体"/>
              </w:rPr>
            </w:pPr>
          </w:p>
        </w:tc>
        <w:tc>
          <w:tcPr>
            <w:tcW w:w="20" w:type="dxa"/>
            <w:shd w:val="clear" w:color="auto" w:fill="auto"/>
            <w:vAlign w:val="bottom"/>
          </w:tcPr>
          <w:p w14:paraId="5A1AFB68" w14:textId="77777777" w:rsidR="00960BB8" w:rsidRDefault="00960BB8">
            <w:pPr>
              <w:rPr>
                <w:rFonts w:ascii="宋体"/>
              </w:rPr>
            </w:pPr>
          </w:p>
        </w:tc>
        <w:tc>
          <w:tcPr>
            <w:tcW w:w="20" w:type="dxa"/>
            <w:shd w:val="clear" w:color="auto" w:fill="auto"/>
            <w:vAlign w:val="bottom"/>
          </w:tcPr>
          <w:p w14:paraId="5A1AFB69" w14:textId="77777777" w:rsidR="00960BB8" w:rsidRDefault="00960BB8">
            <w:pPr>
              <w:rPr>
                <w:rFonts w:ascii="宋体"/>
              </w:rPr>
            </w:pPr>
          </w:p>
        </w:tc>
        <w:tc>
          <w:tcPr>
            <w:tcW w:w="7805" w:type="dxa"/>
            <w:shd w:val="clear" w:color="auto" w:fill="auto"/>
            <w:vAlign w:val="bottom"/>
          </w:tcPr>
          <w:p w14:paraId="5A1AFB6A" w14:textId="77777777" w:rsidR="00960BB8" w:rsidRDefault="00960BB8">
            <w:pPr>
              <w:rPr>
                <w:rFonts w:ascii="宋体"/>
              </w:rPr>
            </w:pPr>
          </w:p>
        </w:tc>
        <w:tc>
          <w:tcPr>
            <w:tcW w:w="20" w:type="dxa"/>
            <w:shd w:val="clear" w:color="auto" w:fill="auto"/>
            <w:vAlign w:val="bottom"/>
          </w:tcPr>
          <w:p w14:paraId="5A1AFB6B" w14:textId="77777777" w:rsidR="00960BB8" w:rsidRDefault="00960BB8">
            <w:pPr>
              <w:rPr>
                <w:rFonts w:ascii="宋体"/>
              </w:rPr>
            </w:pPr>
          </w:p>
        </w:tc>
        <w:tc>
          <w:tcPr>
            <w:tcW w:w="20" w:type="dxa"/>
            <w:shd w:val="clear" w:color="auto" w:fill="auto"/>
            <w:vAlign w:val="bottom"/>
          </w:tcPr>
          <w:p w14:paraId="5A1AFB6C" w14:textId="77777777" w:rsidR="00960BB8" w:rsidRDefault="00960BB8">
            <w:pPr>
              <w:rPr>
                <w:rFonts w:ascii="宋体"/>
              </w:rPr>
            </w:pPr>
          </w:p>
        </w:tc>
        <w:tc>
          <w:tcPr>
            <w:tcW w:w="2525" w:type="dxa"/>
            <w:shd w:val="clear" w:color="auto" w:fill="auto"/>
            <w:vAlign w:val="bottom"/>
          </w:tcPr>
          <w:p w14:paraId="5A1AFB6D" w14:textId="77777777" w:rsidR="00960BB8" w:rsidRDefault="00960BB8">
            <w:pPr>
              <w:rPr>
                <w:rFonts w:ascii="宋体"/>
              </w:rPr>
            </w:pPr>
          </w:p>
        </w:tc>
        <w:tc>
          <w:tcPr>
            <w:tcW w:w="20" w:type="dxa"/>
            <w:shd w:val="clear" w:color="auto" w:fill="auto"/>
            <w:vAlign w:val="bottom"/>
          </w:tcPr>
          <w:p w14:paraId="5A1AFB6E" w14:textId="77777777" w:rsidR="00960BB8" w:rsidRDefault="00960BB8">
            <w:pPr>
              <w:rPr>
                <w:rFonts w:ascii="宋体"/>
              </w:rPr>
            </w:pPr>
          </w:p>
        </w:tc>
      </w:tr>
      <w:tr w:rsidR="00960BB8" w14:paraId="5A1AFB72" w14:textId="77777777">
        <w:trPr>
          <w:trHeight w:val="280"/>
        </w:trPr>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5A1AFB70" w14:textId="77777777" w:rsidR="00960BB8" w:rsidRDefault="00C06650">
            <w:pPr>
              <w:textAlignment w:val="bottom"/>
            </w:pPr>
            <w:r>
              <w:rPr>
                <w:rFonts w:ascii="Arial" w:eastAsia="宋体" w:hAnsi="Arial" w:cs="Arial"/>
                <w:color w:val="0068B5"/>
                <w:sz w:val="20"/>
                <w:szCs w:val="20"/>
              </w:rPr>
              <w:t>Overview</w:t>
            </w:r>
          </w:p>
        </w:tc>
        <w:tc>
          <w:tcPr>
            <w:tcW w:w="0" w:type="auto"/>
            <w:gridSpan w:val="3"/>
            <w:shd w:val="clear" w:color="auto" w:fill="auto"/>
            <w:tcMar>
              <w:top w:w="40" w:type="dxa"/>
              <w:left w:w="20" w:type="dxa"/>
              <w:bottom w:w="40" w:type="dxa"/>
              <w:right w:w="20" w:type="dxa"/>
            </w:tcMar>
            <w:vAlign w:val="center"/>
          </w:tcPr>
          <w:p w14:paraId="5A1AFB71" w14:textId="77777777" w:rsidR="00960BB8" w:rsidRDefault="00C06650">
            <w:pPr>
              <w:jc w:val="center"/>
              <w:textAlignment w:val="center"/>
            </w:pPr>
            <w:r>
              <w:rPr>
                <w:rFonts w:ascii="Arial" w:eastAsia="宋体" w:hAnsi="Arial" w:cs="Arial"/>
                <w:color w:val="0068B5"/>
                <w:sz w:val="18"/>
                <w:szCs w:val="18"/>
              </w:rPr>
              <w:t>% Intel Revenue</w:t>
            </w:r>
          </w:p>
        </w:tc>
      </w:tr>
      <w:tr w:rsidR="00960BB8" w14:paraId="5A1AFB75" w14:textId="77777777">
        <w:trPr>
          <w:trHeight w:val="1960"/>
        </w:trPr>
        <w:tc>
          <w:tcPr>
            <w:tcW w:w="0" w:type="auto"/>
            <w:gridSpan w:val="6"/>
            <w:tcBorders>
              <w:top w:val="single" w:sz="4" w:space="0" w:color="262626"/>
            </w:tcBorders>
            <w:shd w:val="clear" w:color="auto" w:fill="auto"/>
            <w:tcMar>
              <w:top w:w="40" w:type="dxa"/>
              <w:left w:w="20" w:type="dxa"/>
              <w:bottom w:w="40" w:type="dxa"/>
              <w:right w:w="20" w:type="dxa"/>
            </w:tcMar>
          </w:tcPr>
          <w:p w14:paraId="5A1AFB73" w14:textId="77777777" w:rsidR="00960BB8" w:rsidRDefault="00C06650">
            <w:pPr>
              <w:textAlignment w:val="top"/>
            </w:pPr>
            <w:r>
              <w:rPr>
                <w:rFonts w:ascii="Arial" w:eastAsia="宋体" w:hAnsi="Arial" w:cs="Arial"/>
                <w:color w:val="262626"/>
                <w:sz w:val="18"/>
                <w:szCs w:val="18"/>
              </w:rPr>
              <w:t>Mobileye is a global leader in driving assistance and self-driving solutions. Our product portfolio is designed to encompass the entire stack required for assisted and autonomous driving, including compute platforms, computer vision, and machine learning-b</w:t>
            </w:r>
            <w:r>
              <w:rPr>
                <w:rFonts w:ascii="Arial" w:eastAsia="宋体" w:hAnsi="Arial" w:cs="Arial"/>
                <w:color w:val="262626"/>
                <w:sz w:val="18"/>
                <w:szCs w:val="18"/>
              </w:rPr>
              <w:t>ased perception; mapping and localization, driving policy, and active sensors in development. We pioneered ADAS technology more than 20 years ago, and have continuously expanded the scope of our ADAS offerings while leading the evolution to autonomous driv</w:t>
            </w:r>
            <w:r>
              <w:rPr>
                <w:rFonts w:ascii="Arial" w:eastAsia="宋体" w:hAnsi="Arial" w:cs="Arial"/>
                <w:color w:val="262626"/>
                <w:sz w:val="18"/>
                <w:szCs w:val="18"/>
              </w:rPr>
              <w:t>ing solutions. Our unique assets in ADAS allow for building a scalable self-driving stack that meets the requirements for both robotaxi and consumer-owned autonomous vehicles. Our customers and strategic partners include major global OEMs, Tier 1 automotiv</w:t>
            </w:r>
            <w:r>
              <w:rPr>
                <w:rFonts w:ascii="Arial" w:eastAsia="宋体" w:hAnsi="Arial" w:cs="Arial"/>
                <w:color w:val="262626"/>
                <w:sz w:val="18"/>
                <w:szCs w:val="18"/>
              </w:rPr>
              <w:t xml:space="preserve">e system integrators, and public transportation operators. </w:t>
            </w:r>
          </w:p>
        </w:tc>
        <w:tc>
          <w:tcPr>
            <w:tcW w:w="0" w:type="auto"/>
            <w:gridSpan w:val="3"/>
            <w:shd w:val="clear" w:color="auto" w:fill="auto"/>
            <w:tcMar>
              <w:top w:w="0" w:type="dxa"/>
              <w:left w:w="20" w:type="dxa"/>
              <w:bottom w:w="0" w:type="dxa"/>
              <w:right w:w="20" w:type="dxa"/>
            </w:tcMar>
            <w:vAlign w:val="bottom"/>
          </w:tcPr>
          <w:p w14:paraId="5A1AFB74"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Viewer_files/intc-20221231_g43.jpg"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BC" wp14:editId="5A1B43BD">
                  <wp:extent cx="304800" cy="304800"/>
                  <wp:effectExtent l="0" t="0" r="0" b="0"/>
                  <wp:docPr id="198" name="图片 133"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33"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960BB8" w14:paraId="5A1AFB79" w14:textId="77777777">
        <w:trPr>
          <w:trHeight w:val="60"/>
        </w:trPr>
        <w:tc>
          <w:tcPr>
            <w:tcW w:w="0" w:type="auto"/>
            <w:gridSpan w:val="3"/>
            <w:shd w:val="clear" w:color="auto" w:fill="auto"/>
            <w:tcMar>
              <w:top w:w="0" w:type="dxa"/>
              <w:left w:w="20" w:type="dxa"/>
              <w:bottom w:w="0" w:type="dxa"/>
              <w:right w:w="20" w:type="dxa"/>
            </w:tcMar>
            <w:vAlign w:val="bottom"/>
          </w:tcPr>
          <w:p w14:paraId="5A1AFB7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7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78" w14:textId="77777777" w:rsidR="00960BB8" w:rsidRDefault="00960BB8">
            <w:pPr>
              <w:rPr>
                <w:rFonts w:ascii="宋体"/>
              </w:rPr>
            </w:pPr>
          </w:p>
        </w:tc>
      </w:tr>
      <w:tr w:rsidR="00960BB8" w14:paraId="5A1AFB7C" w14:textId="77777777">
        <w:trPr>
          <w:trHeight w:val="280"/>
        </w:trPr>
        <w:tc>
          <w:tcPr>
            <w:tcW w:w="0" w:type="auto"/>
            <w:gridSpan w:val="6"/>
            <w:shd w:val="clear" w:color="auto" w:fill="auto"/>
            <w:tcMar>
              <w:top w:w="40" w:type="dxa"/>
              <w:left w:w="20" w:type="dxa"/>
              <w:bottom w:w="40" w:type="dxa"/>
              <w:right w:w="20" w:type="dxa"/>
            </w:tcMar>
            <w:vAlign w:val="bottom"/>
          </w:tcPr>
          <w:p w14:paraId="5A1AFB7A" w14:textId="77777777" w:rsidR="00960BB8" w:rsidRDefault="00C06650">
            <w:pPr>
              <w:textAlignment w:val="bottom"/>
            </w:pPr>
            <w:r>
              <w:rPr>
                <w:rFonts w:ascii="Arial" w:eastAsia="宋体" w:hAnsi="Arial" w:cs="Arial"/>
                <w:color w:val="0068B5"/>
                <w:sz w:val="20"/>
                <w:szCs w:val="20"/>
              </w:rPr>
              <w:t>Key Developments</w:t>
            </w:r>
          </w:p>
        </w:tc>
        <w:tc>
          <w:tcPr>
            <w:tcW w:w="0" w:type="auto"/>
            <w:gridSpan w:val="3"/>
            <w:shd w:val="clear" w:color="auto" w:fill="auto"/>
            <w:tcMar>
              <w:top w:w="0" w:type="dxa"/>
              <w:left w:w="20" w:type="dxa"/>
              <w:bottom w:w="0" w:type="dxa"/>
              <w:right w:w="20" w:type="dxa"/>
            </w:tcMar>
            <w:vAlign w:val="bottom"/>
          </w:tcPr>
          <w:p w14:paraId="5A1AFB7B" w14:textId="77777777" w:rsidR="00960BB8" w:rsidRDefault="00960BB8">
            <w:pPr>
              <w:rPr>
                <w:rFonts w:ascii="宋体"/>
              </w:rPr>
            </w:pPr>
          </w:p>
        </w:tc>
      </w:tr>
      <w:tr w:rsidR="00960BB8" w14:paraId="5A1AFB80" w14:textId="77777777">
        <w:trPr>
          <w:trHeight w:val="6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B7D"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B7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7F" w14:textId="77777777" w:rsidR="00960BB8" w:rsidRDefault="00960BB8">
            <w:pPr>
              <w:rPr>
                <w:rFonts w:ascii="宋体"/>
              </w:rPr>
            </w:pPr>
          </w:p>
        </w:tc>
      </w:tr>
      <w:tr w:rsidR="00960BB8" w14:paraId="5A1AFB83" w14:textId="77777777">
        <w:trPr>
          <w:trHeight w:val="720"/>
        </w:trPr>
        <w:tc>
          <w:tcPr>
            <w:tcW w:w="0" w:type="auto"/>
            <w:gridSpan w:val="3"/>
            <w:shd w:val="clear" w:color="auto" w:fill="auto"/>
            <w:tcMar>
              <w:top w:w="40" w:type="dxa"/>
              <w:left w:w="20" w:type="dxa"/>
              <w:bottom w:w="40" w:type="dxa"/>
              <w:right w:w="20" w:type="dxa"/>
            </w:tcMar>
          </w:tcPr>
          <w:p w14:paraId="5A1AFB81"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B82" w14:textId="77777777" w:rsidR="00960BB8" w:rsidRDefault="00C06650">
            <w:pPr>
              <w:textAlignment w:val="top"/>
            </w:pPr>
            <w:r>
              <w:rPr>
                <w:rFonts w:ascii="Arial" w:eastAsia="宋体" w:hAnsi="Arial" w:cs="Arial"/>
                <w:color w:val="262626"/>
                <w:sz w:val="18"/>
                <w:szCs w:val="18"/>
              </w:rPr>
              <w:t xml:space="preserve">We achieved </w:t>
            </w:r>
            <w:r>
              <w:rPr>
                <w:rFonts w:ascii="Arial" w:eastAsia="宋体" w:hAnsi="Arial" w:cs="Arial"/>
                <w:color w:val="262626"/>
                <w:sz w:val="18"/>
                <w:szCs w:val="18"/>
              </w:rPr>
              <w:t>record revenue in 2022 of $1.9 billion, up 35%, primarily driven by higher demand for EyeQ</w:t>
            </w:r>
            <w:r>
              <w:rPr>
                <w:rFonts w:ascii="Arial" w:eastAsia="宋体" w:hAnsi="Arial" w:cs="Arial"/>
                <w:color w:val="262626"/>
                <w:sz w:val="12"/>
                <w:szCs w:val="12"/>
              </w:rPr>
              <w:t>®</w:t>
            </w:r>
            <w:r>
              <w:rPr>
                <w:rFonts w:ascii="Arial" w:eastAsia="宋体" w:hAnsi="Arial" w:cs="Arial"/>
                <w:color w:val="262626"/>
                <w:sz w:val="18"/>
                <w:szCs w:val="18"/>
              </w:rPr>
              <w:t xml:space="preserve"> products and the introduction of Mobileye SuperVision*. Operating income was $690 million, up 25%, primarily due to higher revenues partially offset by increased in</w:t>
            </w:r>
            <w:r>
              <w:rPr>
                <w:rFonts w:ascii="Arial" w:eastAsia="宋体" w:hAnsi="Arial" w:cs="Arial"/>
                <w:color w:val="262626"/>
                <w:sz w:val="18"/>
                <w:szCs w:val="18"/>
              </w:rPr>
              <w:t>vestments in leadership products.</w:t>
            </w:r>
          </w:p>
        </w:tc>
      </w:tr>
      <w:tr w:rsidR="00960BB8" w14:paraId="5A1AFB86" w14:textId="77777777">
        <w:trPr>
          <w:trHeight w:val="700"/>
        </w:trPr>
        <w:tc>
          <w:tcPr>
            <w:tcW w:w="0" w:type="auto"/>
            <w:gridSpan w:val="3"/>
            <w:shd w:val="clear" w:color="auto" w:fill="auto"/>
            <w:tcMar>
              <w:top w:w="40" w:type="dxa"/>
              <w:left w:w="20" w:type="dxa"/>
              <w:bottom w:w="40" w:type="dxa"/>
              <w:right w:w="20" w:type="dxa"/>
            </w:tcMar>
          </w:tcPr>
          <w:p w14:paraId="5A1AFB84"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B85" w14:textId="77777777" w:rsidR="00960BB8" w:rsidRDefault="00C06650">
            <w:pPr>
              <w:textAlignment w:val="top"/>
            </w:pPr>
            <w:r>
              <w:rPr>
                <w:rFonts w:ascii="Arial" w:eastAsia="宋体" w:hAnsi="Arial" w:cs="Arial"/>
                <w:color w:val="262626"/>
                <w:sz w:val="18"/>
                <w:szCs w:val="18"/>
              </w:rPr>
              <w:t>2022 was a very active year as we launched EyeQ-based systems into 233 different vehicle models, achieved a record-setting volume of projected future design wins, including wins for our next-generation EyeQ6 chip, and a</w:t>
            </w:r>
            <w:r>
              <w:rPr>
                <w:rFonts w:ascii="Arial" w:eastAsia="宋体" w:hAnsi="Arial" w:cs="Arial"/>
                <w:color w:val="262626"/>
                <w:sz w:val="18"/>
                <w:szCs w:val="18"/>
              </w:rPr>
              <w:t>dvanced solutions such as Cloud-enhanced ADAS and Mobileye SuperVision*.</w:t>
            </w:r>
          </w:p>
        </w:tc>
      </w:tr>
      <w:tr w:rsidR="00960BB8" w14:paraId="5A1AFB89" w14:textId="77777777">
        <w:trPr>
          <w:trHeight w:val="720"/>
        </w:trPr>
        <w:tc>
          <w:tcPr>
            <w:tcW w:w="0" w:type="auto"/>
            <w:gridSpan w:val="3"/>
            <w:shd w:val="clear" w:color="auto" w:fill="auto"/>
            <w:tcMar>
              <w:top w:w="40" w:type="dxa"/>
              <w:left w:w="20" w:type="dxa"/>
              <w:bottom w:w="40" w:type="dxa"/>
              <w:right w:w="20" w:type="dxa"/>
            </w:tcMar>
          </w:tcPr>
          <w:p w14:paraId="5A1AFB87"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B88" w14:textId="77777777" w:rsidR="00960BB8" w:rsidRDefault="00C06650">
            <w:pPr>
              <w:spacing w:after="60"/>
              <w:textAlignment w:val="top"/>
            </w:pPr>
            <w:r>
              <w:rPr>
                <w:rFonts w:ascii="Arial" w:eastAsia="宋体" w:hAnsi="Arial" w:cs="Arial"/>
                <w:color w:val="262626"/>
                <w:sz w:val="18"/>
                <w:szCs w:val="18"/>
              </w:rPr>
              <w:t xml:space="preserve">On October 26, 2022, we completed the IPO </w:t>
            </w:r>
            <w:r>
              <w:rPr>
                <w:rFonts w:ascii="Arial" w:eastAsia="宋体" w:hAnsi="Arial" w:cs="Arial"/>
                <w:color w:val="000000"/>
                <w:sz w:val="18"/>
                <w:szCs w:val="18"/>
              </w:rPr>
              <w:t xml:space="preserve">of Mobileye class A common shares (class A shares), </w:t>
            </w:r>
            <w:r>
              <w:rPr>
                <w:rFonts w:ascii="Arial" w:eastAsia="宋体" w:hAnsi="Arial" w:cs="Arial"/>
                <w:color w:val="262626"/>
                <w:sz w:val="18"/>
                <w:szCs w:val="18"/>
              </w:rPr>
              <w:t>and certain other equity financing transactions</w:t>
            </w:r>
            <w:r>
              <w:rPr>
                <w:rFonts w:ascii="Arial" w:eastAsia="宋体" w:hAnsi="Arial" w:cs="Arial"/>
                <w:color w:val="000000"/>
                <w:sz w:val="18"/>
                <w:szCs w:val="18"/>
              </w:rPr>
              <w:t xml:space="preserve">, which represented </w:t>
            </w:r>
            <w:r>
              <w:rPr>
                <w:rFonts w:ascii="Arial" w:eastAsia="宋体" w:hAnsi="Arial" w:cs="Arial"/>
                <w:color w:val="000000"/>
                <w:sz w:val="18"/>
                <w:szCs w:val="18"/>
              </w:rPr>
              <w:t>approximately 6% of the capital stock of Mobileye, and our class A shares began trading on the Nasdaq Global Select Market under the symbol “MBLY”.</w:t>
            </w:r>
          </w:p>
        </w:tc>
      </w:tr>
      <w:tr w:rsidR="00960BB8" w14:paraId="5A1AFB8D" w14:textId="77777777">
        <w:trPr>
          <w:hidden/>
        </w:trPr>
        <w:tc>
          <w:tcPr>
            <w:tcW w:w="0" w:type="auto"/>
            <w:gridSpan w:val="3"/>
            <w:shd w:val="clear" w:color="auto" w:fill="auto"/>
            <w:vAlign w:val="bottom"/>
          </w:tcPr>
          <w:p w14:paraId="5A1AFB8A" w14:textId="77777777" w:rsidR="00960BB8" w:rsidRDefault="00960BB8">
            <w:pPr>
              <w:rPr>
                <w:rFonts w:ascii="宋体"/>
                <w:vanish/>
              </w:rPr>
            </w:pPr>
          </w:p>
        </w:tc>
        <w:tc>
          <w:tcPr>
            <w:tcW w:w="0" w:type="auto"/>
            <w:gridSpan w:val="3"/>
            <w:shd w:val="clear" w:color="auto" w:fill="auto"/>
            <w:vAlign w:val="bottom"/>
          </w:tcPr>
          <w:p w14:paraId="5A1AFB8B" w14:textId="77777777" w:rsidR="00960BB8" w:rsidRDefault="00960BB8">
            <w:pPr>
              <w:rPr>
                <w:rFonts w:ascii="宋体"/>
                <w:vanish/>
              </w:rPr>
            </w:pPr>
          </w:p>
        </w:tc>
        <w:tc>
          <w:tcPr>
            <w:tcW w:w="0" w:type="auto"/>
            <w:gridSpan w:val="3"/>
            <w:shd w:val="clear" w:color="auto" w:fill="auto"/>
            <w:vAlign w:val="bottom"/>
          </w:tcPr>
          <w:p w14:paraId="5A1AFB8C" w14:textId="77777777" w:rsidR="00960BB8" w:rsidRDefault="00960BB8">
            <w:pPr>
              <w:rPr>
                <w:rFonts w:ascii="宋体"/>
                <w:vanish/>
              </w:rPr>
            </w:pPr>
          </w:p>
        </w:tc>
      </w:tr>
      <w:tr w:rsidR="00960BB8" w14:paraId="5A1AFB91" w14:textId="77777777">
        <w:trPr>
          <w:hidden/>
        </w:trPr>
        <w:tc>
          <w:tcPr>
            <w:tcW w:w="0" w:type="auto"/>
            <w:gridSpan w:val="3"/>
            <w:shd w:val="clear" w:color="auto" w:fill="auto"/>
            <w:vAlign w:val="bottom"/>
          </w:tcPr>
          <w:p w14:paraId="5A1AFB8E" w14:textId="77777777" w:rsidR="00960BB8" w:rsidRDefault="00960BB8">
            <w:pPr>
              <w:rPr>
                <w:rFonts w:ascii="宋体"/>
                <w:vanish/>
              </w:rPr>
            </w:pPr>
          </w:p>
        </w:tc>
        <w:tc>
          <w:tcPr>
            <w:tcW w:w="0" w:type="auto"/>
            <w:gridSpan w:val="3"/>
            <w:shd w:val="clear" w:color="auto" w:fill="auto"/>
            <w:vAlign w:val="bottom"/>
          </w:tcPr>
          <w:p w14:paraId="5A1AFB8F" w14:textId="77777777" w:rsidR="00960BB8" w:rsidRDefault="00960BB8">
            <w:pPr>
              <w:rPr>
                <w:rFonts w:ascii="宋体"/>
                <w:vanish/>
              </w:rPr>
            </w:pPr>
          </w:p>
        </w:tc>
        <w:tc>
          <w:tcPr>
            <w:tcW w:w="0" w:type="auto"/>
            <w:gridSpan w:val="3"/>
            <w:shd w:val="clear" w:color="auto" w:fill="auto"/>
            <w:vAlign w:val="bottom"/>
          </w:tcPr>
          <w:p w14:paraId="5A1AFB90" w14:textId="77777777" w:rsidR="00960BB8" w:rsidRDefault="00960BB8">
            <w:pPr>
              <w:rPr>
                <w:rFonts w:ascii="宋体"/>
                <w:vanish/>
              </w:rPr>
            </w:pPr>
          </w:p>
        </w:tc>
      </w:tr>
      <w:tr w:rsidR="00960BB8" w14:paraId="5A1AFB95" w14:textId="77777777">
        <w:trPr>
          <w:hidden/>
        </w:trPr>
        <w:tc>
          <w:tcPr>
            <w:tcW w:w="0" w:type="auto"/>
            <w:gridSpan w:val="3"/>
            <w:shd w:val="clear" w:color="auto" w:fill="auto"/>
            <w:vAlign w:val="bottom"/>
          </w:tcPr>
          <w:p w14:paraId="5A1AFB92" w14:textId="77777777" w:rsidR="00960BB8" w:rsidRDefault="00960BB8">
            <w:pPr>
              <w:rPr>
                <w:rFonts w:ascii="宋体"/>
                <w:vanish/>
              </w:rPr>
            </w:pPr>
          </w:p>
        </w:tc>
        <w:tc>
          <w:tcPr>
            <w:tcW w:w="0" w:type="auto"/>
            <w:gridSpan w:val="3"/>
            <w:shd w:val="clear" w:color="auto" w:fill="auto"/>
            <w:vAlign w:val="bottom"/>
          </w:tcPr>
          <w:p w14:paraId="5A1AFB93" w14:textId="77777777" w:rsidR="00960BB8" w:rsidRDefault="00960BB8">
            <w:pPr>
              <w:rPr>
                <w:rFonts w:ascii="宋体"/>
                <w:vanish/>
              </w:rPr>
            </w:pPr>
          </w:p>
        </w:tc>
        <w:tc>
          <w:tcPr>
            <w:tcW w:w="0" w:type="auto"/>
            <w:gridSpan w:val="3"/>
            <w:shd w:val="clear" w:color="auto" w:fill="auto"/>
            <w:vAlign w:val="bottom"/>
          </w:tcPr>
          <w:p w14:paraId="5A1AFB94" w14:textId="77777777" w:rsidR="00960BB8" w:rsidRDefault="00960BB8">
            <w:pPr>
              <w:rPr>
                <w:rFonts w:ascii="宋体"/>
                <w:vanish/>
              </w:rPr>
            </w:pPr>
          </w:p>
        </w:tc>
      </w:tr>
      <w:tr w:rsidR="00960BB8" w14:paraId="5A1AFB99" w14:textId="77777777">
        <w:trPr>
          <w:trHeight w:val="300"/>
        </w:trPr>
        <w:tc>
          <w:tcPr>
            <w:tcW w:w="0" w:type="auto"/>
            <w:gridSpan w:val="3"/>
            <w:shd w:val="clear" w:color="auto" w:fill="auto"/>
            <w:tcMar>
              <w:top w:w="0" w:type="dxa"/>
              <w:left w:w="20" w:type="dxa"/>
              <w:bottom w:w="0" w:type="dxa"/>
              <w:right w:w="20" w:type="dxa"/>
            </w:tcMar>
            <w:vAlign w:val="bottom"/>
          </w:tcPr>
          <w:p w14:paraId="5A1AFB9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9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98" w14:textId="77777777" w:rsidR="00960BB8" w:rsidRDefault="00960BB8">
            <w:pPr>
              <w:rPr>
                <w:rFonts w:ascii="宋体"/>
              </w:rPr>
            </w:pPr>
          </w:p>
        </w:tc>
      </w:tr>
      <w:tr w:rsidR="00960BB8" w14:paraId="5A1AFB9D" w14:textId="77777777">
        <w:trPr>
          <w:trHeight w:val="300"/>
        </w:trPr>
        <w:tc>
          <w:tcPr>
            <w:tcW w:w="0" w:type="auto"/>
            <w:gridSpan w:val="3"/>
            <w:shd w:val="clear" w:color="auto" w:fill="auto"/>
            <w:tcMar>
              <w:top w:w="0" w:type="dxa"/>
              <w:left w:w="20" w:type="dxa"/>
              <w:bottom w:w="0" w:type="dxa"/>
              <w:right w:w="20" w:type="dxa"/>
            </w:tcMar>
            <w:vAlign w:val="bottom"/>
          </w:tcPr>
          <w:p w14:paraId="5A1AFB9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9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B9C" w14:textId="77777777" w:rsidR="00960BB8" w:rsidRDefault="00960BB8">
            <w:pPr>
              <w:rPr>
                <w:rFonts w:ascii="宋体"/>
              </w:rPr>
            </w:pPr>
          </w:p>
        </w:tc>
      </w:tr>
    </w:tbl>
    <w:p w14:paraId="5A1AFB9E" w14:textId="77777777" w:rsidR="00960BB8" w:rsidRDefault="00960BB8"/>
    <w:p w14:paraId="5A1AFB9F" w14:textId="77777777" w:rsidR="00960BB8" w:rsidRDefault="00960BB8"/>
    <w:p w14:paraId="5A1AFBA0" w14:textId="77777777" w:rsidR="00960BB8" w:rsidRDefault="00960BB8"/>
    <w:p w14:paraId="5A1AFBA1" w14:textId="77777777" w:rsidR="00960BB8" w:rsidRDefault="00960BB8"/>
    <w:p w14:paraId="5A1AFBA2" w14:textId="77777777" w:rsidR="00960BB8" w:rsidRDefault="00960BB8"/>
    <w:p w14:paraId="5A1AFBA3" w14:textId="77777777" w:rsidR="00960BB8" w:rsidRDefault="00960BB8"/>
    <w:p w14:paraId="5A1AFBA4" w14:textId="77777777" w:rsidR="00960BB8" w:rsidRDefault="00960BB8"/>
    <w:p w14:paraId="5A1AFBA5" w14:textId="77777777" w:rsidR="00960BB8" w:rsidRDefault="00960BB8"/>
    <w:p w14:paraId="5A1AFBA6" w14:textId="77777777" w:rsidR="00960BB8" w:rsidRDefault="00960BB8"/>
    <w:p w14:paraId="5A1AFBA7" w14:textId="77777777" w:rsidR="00960BB8" w:rsidRDefault="00960BB8"/>
    <w:p w14:paraId="5A1AFBA8" w14:textId="77777777" w:rsidR="00960BB8" w:rsidRDefault="00960BB8"/>
    <w:p w14:paraId="5A1AFBA9" w14:textId="77777777" w:rsidR="00960BB8" w:rsidRDefault="00960BB8"/>
    <w:p w14:paraId="5A1AFBAA" w14:textId="77777777" w:rsidR="00960BB8" w:rsidRDefault="00960BB8">
      <w:pPr>
        <w:ind w:hanging="1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BB4" w14:textId="77777777">
        <w:tc>
          <w:tcPr>
            <w:tcW w:w="50" w:type="pct"/>
            <w:shd w:val="clear" w:color="auto" w:fill="auto"/>
            <w:vAlign w:val="bottom"/>
          </w:tcPr>
          <w:p w14:paraId="5A1AFBAB" w14:textId="77777777" w:rsidR="00960BB8" w:rsidRDefault="00960BB8">
            <w:pPr>
              <w:rPr>
                <w:rFonts w:ascii="宋体"/>
              </w:rPr>
            </w:pPr>
          </w:p>
        </w:tc>
        <w:tc>
          <w:tcPr>
            <w:tcW w:w="283" w:type="pct"/>
            <w:shd w:val="clear" w:color="auto" w:fill="auto"/>
            <w:vAlign w:val="bottom"/>
          </w:tcPr>
          <w:p w14:paraId="5A1AFBAC" w14:textId="77777777" w:rsidR="00960BB8" w:rsidRDefault="00960BB8">
            <w:pPr>
              <w:rPr>
                <w:rFonts w:ascii="宋体"/>
              </w:rPr>
            </w:pPr>
          </w:p>
        </w:tc>
        <w:tc>
          <w:tcPr>
            <w:tcW w:w="5" w:type="pct"/>
            <w:shd w:val="clear" w:color="auto" w:fill="auto"/>
            <w:vAlign w:val="bottom"/>
          </w:tcPr>
          <w:p w14:paraId="5A1AFBAD" w14:textId="77777777" w:rsidR="00960BB8" w:rsidRDefault="00960BB8">
            <w:pPr>
              <w:rPr>
                <w:rFonts w:ascii="宋体"/>
              </w:rPr>
            </w:pPr>
          </w:p>
        </w:tc>
        <w:tc>
          <w:tcPr>
            <w:tcW w:w="50" w:type="pct"/>
            <w:shd w:val="clear" w:color="auto" w:fill="auto"/>
            <w:vAlign w:val="bottom"/>
          </w:tcPr>
          <w:p w14:paraId="5A1AFBAE" w14:textId="77777777" w:rsidR="00960BB8" w:rsidRDefault="00960BB8">
            <w:pPr>
              <w:rPr>
                <w:rFonts w:ascii="宋体"/>
              </w:rPr>
            </w:pPr>
          </w:p>
        </w:tc>
        <w:tc>
          <w:tcPr>
            <w:tcW w:w="2656" w:type="pct"/>
            <w:shd w:val="clear" w:color="auto" w:fill="auto"/>
            <w:vAlign w:val="bottom"/>
          </w:tcPr>
          <w:p w14:paraId="5A1AFBAF" w14:textId="77777777" w:rsidR="00960BB8" w:rsidRDefault="00960BB8">
            <w:pPr>
              <w:rPr>
                <w:rFonts w:ascii="宋体"/>
              </w:rPr>
            </w:pPr>
          </w:p>
        </w:tc>
        <w:tc>
          <w:tcPr>
            <w:tcW w:w="5" w:type="pct"/>
            <w:shd w:val="clear" w:color="auto" w:fill="auto"/>
            <w:vAlign w:val="bottom"/>
          </w:tcPr>
          <w:p w14:paraId="5A1AFBB0" w14:textId="77777777" w:rsidR="00960BB8" w:rsidRDefault="00960BB8">
            <w:pPr>
              <w:rPr>
                <w:rFonts w:ascii="宋体"/>
              </w:rPr>
            </w:pPr>
          </w:p>
        </w:tc>
        <w:tc>
          <w:tcPr>
            <w:tcW w:w="50" w:type="pct"/>
            <w:shd w:val="clear" w:color="auto" w:fill="auto"/>
            <w:vAlign w:val="bottom"/>
          </w:tcPr>
          <w:p w14:paraId="5A1AFBB1" w14:textId="77777777" w:rsidR="00960BB8" w:rsidRDefault="00960BB8">
            <w:pPr>
              <w:rPr>
                <w:rFonts w:ascii="宋体"/>
              </w:rPr>
            </w:pPr>
          </w:p>
        </w:tc>
        <w:tc>
          <w:tcPr>
            <w:tcW w:w="1894" w:type="pct"/>
            <w:shd w:val="clear" w:color="auto" w:fill="auto"/>
            <w:vAlign w:val="bottom"/>
          </w:tcPr>
          <w:p w14:paraId="5A1AFBB2" w14:textId="77777777" w:rsidR="00960BB8" w:rsidRDefault="00960BB8">
            <w:pPr>
              <w:rPr>
                <w:rFonts w:ascii="宋体"/>
              </w:rPr>
            </w:pPr>
          </w:p>
        </w:tc>
        <w:tc>
          <w:tcPr>
            <w:tcW w:w="5" w:type="pct"/>
            <w:shd w:val="clear" w:color="auto" w:fill="auto"/>
            <w:vAlign w:val="bottom"/>
          </w:tcPr>
          <w:p w14:paraId="5A1AFBB3" w14:textId="77777777" w:rsidR="00960BB8" w:rsidRDefault="00960BB8">
            <w:pPr>
              <w:rPr>
                <w:rFonts w:ascii="宋体"/>
              </w:rPr>
            </w:pPr>
          </w:p>
        </w:tc>
      </w:tr>
      <w:tr w:rsidR="00960BB8" w14:paraId="5A1AFBB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BB5"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BE" wp14:editId="5A1B43BF">
                  <wp:extent cx="304800" cy="304800"/>
                  <wp:effectExtent l="0" t="0" r="0" b="0"/>
                  <wp:docPr id="191" name="图片 13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3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BB6"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BB7" w14:textId="77777777" w:rsidR="00960BB8" w:rsidRDefault="00C06650">
            <w:pPr>
              <w:jc w:val="right"/>
              <w:textAlignment w:val="center"/>
            </w:pPr>
            <w:r>
              <w:rPr>
                <w:rFonts w:ascii="Arial" w:eastAsia="宋体" w:hAnsi="Arial" w:cs="Arial"/>
                <w:color w:val="262626"/>
                <w:sz w:val="16"/>
                <w:szCs w:val="16"/>
              </w:rPr>
              <w:t>30</w:t>
            </w:r>
          </w:p>
        </w:tc>
      </w:tr>
    </w:tbl>
    <w:p w14:paraId="5A1AFBB9" w14:textId="77777777" w:rsidR="00960BB8" w:rsidRDefault="00C06650">
      <w:r>
        <w:pict w14:anchorId="5A1B43C0">
          <v:rect id="_x0000_i1056" style="width:415.3pt;height:1.5pt" o:hralign="center" o:hrstd="t" o:hr="t" fillcolor="#a0a0a0" stroked="f"/>
        </w:pict>
      </w:r>
    </w:p>
    <w:p w14:paraId="5A1AFBBA" w14:textId="77777777" w:rsidR="00960BB8" w:rsidRDefault="00960BB8"/>
    <w:p w14:paraId="5A1AFBBB" w14:textId="77777777" w:rsidR="00960BB8" w:rsidRDefault="00C06650">
      <w:pPr>
        <w:spacing w:after="180"/>
      </w:pPr>
      <w:r>
        <w:rPr>
          <w:rFonts w:ascii="Arial" w:eastAsia="宋体" w:hAnsi="Arial" w:cs="Arial"/>
          <w:color w:val="0068B5"/>
        </w:rPr>
        <w:t>Market and Business Overview</w:t>
      </w:r>
    </w:p>
    <w:p w14:paraId="5A1AFBBC" w14:textId="77777777" w:rsidR="00960BB8" w:rsidRDefault="00C06650">
      <w:pPr>
        <w:spacing w:after="120"/>
      </w:pPr>
      <w:r>
        <w:rPr>
          <w:rFonts w:ascii="Arial" w:eastAsia="宋体" w:hAnsi="Arial" w:cs="Arial"/>
          <w:color w:val="0068B5"/>
          <w:sz w:val="20"/>
          <w:szCs w:val="20"/>
        </w:rPr>
        <w:t>Market Trends and Strategy</w:t>
      </w:r>
    </w:p>
    <w:p w14:paraId="5A1AFBBD" w14:textId="77777777" w:rsidR="00960BB8" w:rsidRDefault="00C06650">
      <w:pPr>
        <w:spacing w:after="180"/>
      </w:pPr>
      <w:r>
        <w:rPr>
          <w:rFonts w:ascii="Arial" w:eastAsia="宋体" w:hAnsi="Arial" w:cs="Arial"/>
          <w:color w:val="262626"/>
          <w:sz w:val="18"/>
          <w:szCs w:val="18"/>
        </w:rPr>
        <w:t xml:space="preserve">While the automotive industry has </w:t>
      </w:r>
      <w:r>
        <w:rPr>
          <w:rFonts w:ascii="Arial" w:eastAsia="宋体" w:hAnsi="Arial" w:cs="Arial"/>
          <w:color w:val="262626"/>
          <w:sz w:val="18"/>
          <w:szCs w:val="18"/>
        </w:rPr>
        <w:t>moderately recovered from the effects of the COVID-19 pandemic and from acute supply chain shortages, with approximately 6% growth in global vehicle production year over year, production in 2022 was still roughly 8% below 2019 levels. We expect ADAS volume</w:t>
      </w:r>
      <w:r>
        <w:rPr>
          <w:rFonts w:ascii="Arial" w:eastAsia="宋体" w:hAnsi="Arial" w:cs="Arial"/>
          <w:color w:val="262626"/>
          <w:sz w:val="18"/>
          <w:szCs w:val="18"/>
        </w:rPr>
        <w:t xml:space="preserve">s to continue to grow faster than overall global vehicle production in the coming years and anticipate long-term ADAS growth from continued increases in the percentage of vehicles that are equipped with basic ADAS features from the factory. In addition to </w:t>
      </w:r>
      <w:r>
        <w:rPr>
          <w:rFonts w:ascii="Arial" w:eastAsia="宋体" w:hAnsi="Arial" w:cs="Arial"/>
          <w:color w:val="262626"/>
          <w:sz w:val="18"/>
          <w:szCs w:val="18"/>
        </w:rPr>
        <w:t>potential volume growth, our portfolio of advanced solutions has the potential to drive higher average system price over time.</w:t>
      </w:r>
    </w:p>
    <w:p w14:paraId="5A1AFBBE" w14:textId="77777777" w:rsidR="00960BB8" w:rsidRDefault="00C06650">
      <w:pPr>
        <w:spacing w:after="180"/>
      </w:pPr>
      <w:r>
        <w:rPr>
          <w:rFonts w:ascii="Arial" w:eastAsia="宋体" w:hAnsi="Arial" w:cs="Arial"/>
          <w:color w:val="262626"/>
          <w:sz w:val="18"/>
          <w:szCs w:val="18"/>
        </w:rPr>
        <w:t>Beyond ADAS solutions, we believe that the availability of AVs will cause a significant transformation in mobility, including veh</w:t>
      </w:r>
      <w:r>
        <w:rPr>
          <w:rFonts w:ascii="Arial" w:eastAsia="宋体" w:hAnsi="Arial" w:cs="Arial"/>
          <w:color w:val="262626"/>
          <w:sz w:val="18"/>
          <w:szCs w:val="18"/>
        </w:rPr>
        <w:t>icle ownership and utilization. We expect that AV technology will eventually be accessed by consumers through shared-vehicle MaaS networks and in consumer-owned and operated AVs. We are pursuing this market trend by using our eyes-on/hands-off Mobileye Sup</w:t>
      </w:r>
      <w:r>
        <w:rPr>
          <w:rFonts w:ascii="Arial" w:eastAsia="宋体" w:hAnsi="Arial" w:cs="Arial"/>
          <w:color w:val="262626"/>
          <w:sz w:val="18"/>
          <w:szCs w:val="18"/>
        </w:rPr>
        <w:t>erVision* solution as a baseline to scale to our eyes-off/hands-off Chauffeur* consumer AV product in a variety of operational design domains. As it relates to AMaaS, we intend to primarily go to market by supplying Mobileye Drive* self-driving system to t</w:t>
      </w:r>
      <w:r>
        <w:rPr>
          <w:rFonts w:ascii="Arial" w:eastAsia="宋体" w:hAnsi="Arial" w:cs="Arial"/>
          <w:color w:val="262626"/>
          <w:sz w:val="18"/>
          <w:szCs w:val="18"/>
        </w:rPr>
        <w:t>ransportation network companies, public transit operators, and suppliers of AV-ready vehicle platforms. In some cases, we expect to bundle our Mobileye Drive self-driving system with Moovit’s urban mobility and transit intelligence application and its glob</w:t>
      </w:r>
      <w:r>
        <w:rPr>
          <w:rFonts w:ascii="Arial" w:eastAsia="宋体" w:hAnsi="Arial" w:cs="Arial"/>
          <w:color w:val="262626"/>
          <w:sz w:val="18"/>
          <w:szCs w:val="18"/>
        </w:rPr>
        <w:t>al user base.</w:t>
      </w:r>
    </w:p>
    <w:p w14:paraId="5A1AFBBF" w14:textId="77777777" w:rsidR="00960BB8" w:rsidRDefault="00C06650">
      <w:pPr>
        <w:spacing w:after="120"/>
      </w:pPr>
      <w:r>
        <w:rPr>
          <w:rFonts w:ascii="Arial" w:eastAsia="宋体" w:hAnsi="Arial" w:cs="Arial"/>
          <w:color w:val="0068B5"/>
          <w:sz w:val="20"/>
          <w:szCs w:val="20"/>
        </w:rPr>
        <w:t>Products and Competition</w:t>
      </w:r>
    </w:p>
    <w:p w14:paraId="5A1AFBC0" w14:textId="77777777" w:rsidR="00960BB8" w:rsidRDefault="00C06650">
      <w:pPr>
        <w:spacing w:after="180"/>
      </w:pPr>
      <w:r>
        <w:rPr>
          <w:rFonts w:ascii="Arial" w:eastAsia="宋体" w:hAnsi="Arial" w:cs="Arial"/>
          <w:color w:val="262626"/>
          <w:sz w:val="18"/>
          <w:szCs w:val="18"/>
        </w:rPr>
        <w:t>We currently ship a variety of ADAS solutions to a large number of global automakers. We are recognized for our top-rated safety solutions globally, and since 2007, we have introduced numerous industry-first ADAS prod</w:t>
      </w:r>
      <w:r>
        <w:rPr>
          <w:rFonts w:ascii="Arial" w:eastAsia="宋体" w:hAnsi="Arial" w:cs="Arial"/>
          <w:color w:val="262626"/>
          <w:sz w:val="18"/>
          <w:szCs w:val="18"/>
        </w:rPr>
        <w:t xml:space="preserve">ucts. </w:t>
      </w:r>
    </w:p>
    <w:p w14:paraId="5A1AFBC1" w14:textId="77777777" w:rsidR="00960BB8" w:rsidRDefault="00C06650">
      <w:pPr>
        <w:spacing w:after="180"/>
      </w:pPr>
      <w:r>
        <w:rPr>
          <w:rFonts w:ascii="Arial" w:eastAsia="宋体" w:hAnsi="Arial" w:cs="Arial"/>
          <w:color w:val="262626"/>
          <w:sz w:val="18"/>
          <w:szCs w:val="18"/>
        </w:rPr>
        <w:t xml:space="preserve">We are building a robust portfolio of end-to-end ADAS and autonomous driving solutions to provide the capabilities needed for the future of autonomous driving, leveraging a comprehensive suite of purpose-built software and hardware technologies. We </w:t>
      </w:r>
      <w:r>
        <w:rPr>
          <w:rFonts w:ascii="Arial" w:eastAsia="宋体" w:hAnsi="Arial" w:cs="Arial"/>
          <w:color w:val="262626"/>
          <w:sz w:val="18"/>
          <w:szCs w:val="18"/>
        </w:rPr>
        <w:t>pioneered “base” ADAS features to enhance vehicle safety and to meet global regulatory requirements and safety ratings with our driver assist solution and we have since created new categories of ADAS with our cloud-enhanced driver assist and premium driver</w:t>
      </w:r>
      <w:r>
        <w:rPr>
          <w:rFonts w:ascii="Arial" w:eastAsia="宋体" w:hAnsi="Arial" w:cs="Arial"/>
          <w:color w:val="262626"/>
          <w:sz w:val="18"/>
          <w:szCs w:val="18"/>
        </w:rPr>
        <w:t xml:space="preserve"> assist offerings such as Mobileye SuperVision*. By leveraging Mobileye SuperVision’s full-surround computer vision and True Redundancy*, we are developing Chauffeur, our consumer AV solution and Mobileye Drive, our Level 4 autonomous driving solution desi</w:t>
      </w:r>
      <w:r>
        <w:rPr>
          <w:rFonts w:ascii="Arial" w:eastAsia="宋体" w:hAnsi="Arial" w:cs="Arial"/>
          <w:color w:val="262626"/>
          <w:sz w:val="18"/>
          <w:szCs w:val="18"/>
        </w:rPr>
        <w:t>gned for fleet deployment. Though our current offerings to Tier 1 and OEM customers do not include cameras, radars, lidar systems, or other sensors (except in particular cases), we have radar and lidar products that are currently in advanced development st</w:t>
      </w:r>
      <w:r>
        <w:rPr>
          <w:rFonts w:ascii="Arial" w:eastAsia="宋体" w:hAnsi="Arial" w:cs="Arial"/>
          <w:color w:val="262626"/>
          <w:sz w:val="18"/>
          <w:szCs w:val="18"/>
        </w:rPr>
        <w:t xml:space="preserve">ages, which we intend to offer to customers in the future. </w:t>
      </w:r>
    </w:p>
    <w:p w14:paraId="5A1AFBC2" w14:textId="77777777" w:rsidR="00960BB8" w:rsidRDefault="00C06650">
      <w:pPr>
        <w:spacing w:after="180"/>
      </w:pPr>
      <w:r>
        <w:rPr>
          <w:rFonts w:ascii="Arial" w:eastAsia="宋体" w:hAnsi="Arial" w:cs="Arial"/>
          <w:color w:val="262626"/>
          <w:sz w:val="18"/>
          <w:szCs w:val="18"/>
        </w:rPr>
        <w:t>The ADAS and autonomous driving industries are highly competitive. In the ADAS and consumer AV market, we face competition primarily from other external providers, including Tier 1 automotive supp</w:t>
      </w:r>
      <w:r>
        <w:rPr>
          <w:rFonts w:ascii="Arial" w:eastAsia="宋体" w:hAnsi="Arial" w:cs="Arial"/>
          <w:color w:val="262626"/>
          <w:sz w:val="18"/>
          <w:szCs w:val="18"/>
        </w:rPr>
        <w:t>liers and silicon providers, and in-house solutions developed by OEMs. Our Tier 1 customers may be developing or may in the future develop competing solutions. In the autonomous driving market, including AMaaS and consumer AV, we face competition from tech</w:t>
      </w:r>
      <w:r>
        <w:rPr>
          <w:rFonts w:ascii="Arial" w:eastAsia="宋体" w:hAnsi="Arial" w:cs="Arial"/>
          <w:color w:val="262626"/>
          <w:sz w:val="18"/>
          <w:szCs w:val="18"/>
        </w:rPr>
        <w:t>nology companies; internal development teams from the automakers themselves, sometimes in combination with investments in early-stage autonomous vehicle technology companies, Tier 1 automotive companies, and robotaxi providers.</w:t>
      </w:r>
    </w:p>
    <w:p w14:paraId="5A1AFBC3" w14:textId="77777777" w:rsidR="00960BB8" w:rsidRDefault="00960BB8">
      <w:pPr>
        <w:spacing w:after="180"/>
      </w:pPr>
    </w:p>
    <w:p w14:paraId="5A1AFBC4" w14:textId="77777777" w:rsidR="00960BB8" w:rsidRDefault="00960BB8">
      <w:pPr>
        <w:spacing w:after="180"/>
      </w:pPr>
    </w:p>
    <w:p w14:paraId="5A1AFBC5" w14:textId="77777777" w:rsidR="00960BB8" w:rsidRDefault="00960BB8">
      <w:pPr>
        <w:spacing w:after="180"/>
      </w:pPr>
    </w:p>
    <w:p w14:paraId="5A1AFBC6" w14:textId="77777777" w:rsidR="00960BB8" w:rsidRDefault="00960BB8">
      <w:pPr>
        <w:spacing w:after="180"/>
      </w:pPr>
    </w:p>
    <w:p w14:paraId="5A1AFBC7" w14:textId="77777777" w:rsidR="00960BB8" w:rsidRDefault="00960BB8">
      <w:pPr>
        <w:spacing w:after="180"/>
      </w:pPr>
    </w:p>
    <w:p w14:paraId="5A1AFBC8" w14:textId="77777777" w:rsidR="00960BB8" w:rsidRDefault="00960BB8">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BD2" w14:textId="77777777">
        <w:tc>
          <w:tcPr>
            <w:tcW w:w="50" w:type="pct"/>
            <w:shd w:val="clear" w:color="auto" w:fill="auto"/>
            <w:vAlign w:val="bottom"/>
          </w:tcPr>
          <w:p w14:paraId="5A1AFBC9" w14:textId="77777777" w:rsidR="00960BB8" w:rsidRDefault="00960BB8">
            <w:pPr>
              <w:rPr>
                <w:rFonts w:ascii="宋体"/>
              </w:rPr>
            </w:pPr>
          </w:p>
        </w:tc>
        <w:tc>
          <w:tcPr>
            <w:tcW w:w="283" w:type="pct"/>
            <w:shd w:val="clear" w:color="auto" w:fill="auto"/>
            <w:vAlign w:val="bottom"/>
          </w:tcPr>
          <w:p w14:paraId="5A1AFBCA" w14:textId="77777777" w:rsidR="00960BB8" w:rsidRDefault="00960BB8">
            <w:pPr>
              <w:rPr>
                <w:rFonts w:ascii="宋体"/>
              </w:rPr>
            </w:pPr>
          </w:p>
        </w:tc>
        <w:tc>
          <w:tcPr>
            <w:tcW w:w="5" w:type="pct"/>
            <w:shd w:val="clear" w:color="auto" w:fill="auto"/>
            <w:vAlign w:val="bottom"/>
          </w:tcPr>
          <w:p w14:paraId="5A1AFBCB" w14:textId="77777777" w:rsidR="00960BB8" w:rsidRDefault="00960BB8">
            <w:pPr>
              <w:rPr>
                <w:rFonts w:ascii="宋体"/>
              </w:rPr>
            </w:pPr>
          </w:p>
        </w:tc>
        <w:tc>
          <w:tcPr>
            <w:tcW w:w="50" w:type="pct"/>
            <w:shd w:val="clear" w:color="auto" w:fill="auto"/>
            <w:vAlign w:val="bottom"/>
          </w:tcPr>
          <w:p w14:paraId="5A1AFBCC" w14:textId="77777777" w:rsidR="00960BB8" w:rsidRDefault="00960BB8">
            <w:pPr>
              <w:rPr>
                <w:rFonts w:ascii="宋体"/>
              </w:rPr>
            </w:pPr>
          </w:p>
        </w:tc>
        <w:tc>
          <w:tcPr>
            <w:tcW w:w="2656" w:type="pct"/>
            <w:shd w:val="clear" w:color="auto" w:fill="auto"/>
            <w:vAlign w:val="bottom"/>
          </w:tcPr>
          <w:p w14:paraId="5A1AFBCD" w14:textId="77777777" w:rsidR="00960BB8" w:rsidRDefault="00960BB8">
            <w:pPr>
              <w:rPr>
                <w:rFonts w:ascii="宋体"/>
              </w:rPr>
            </w:pPr>
          </w:p>
        </w:tc>
        <w:tc>
          <w:tcPr>
            <w:tcW w:w="5" w:type="pct"/>
            <w:shd w:val="clear" w:color="auto" w:fill="auto"/>
            <w:vAlign w:val="bottom"/>
          </w:tcPr>
          <w:p w14:paraId="5A1AFBCE" w14:textId="77777777" w:rsidR="00960BB8" w:rsidRDefault="00960BB8">
            <w:pPr>
              <w:rPr>
                <w:rFonts w:ascii="宋体"/>
              </w:rPr>
            </w:pPr>
          </w:p>
        </w:tc>
        <w:tc>
          <w:tcPr>
            <w:tcW w:w="50" w:type="pct"/>
            <w:shd w:val="clear" w:color="auto" w:fill="auto"/>
            <w:vAlign w:val="bottom"/>
          </w:tcPr>
          <w:p w14:paraId="5A1AFBCF" w14:textId="77777777" w:rsidR="00960BB8" w:rsidRDefault="00960BB8">
            <w:pPr>
              <w:rPr>
                <w:rFonts w:ascii="宋体"/>
              </w:rPr>
            </w:pPr>
          </w:p>
        </w:tc>
        <w:tc>
          <w:tcPr>
            <w:tcW w:w="1894" w:type="pct"/>
            <w:shd w:val="clear" w:color="auto" w:fill="auto"/>
            <w:vAlign w:val="bottom"/>
          </w:tcPr>
          <w:p w14:paraId="5A1AFBD0" w14:textId="77777777" w:rsidR="00960BB8" w:rsidRDefault="00960BB8">
            <w:pPr>
              <w:rPr>
                <w:rFonts w:ascii="宋体"/>
              </w:rPr>
            </w:pPr>
          </w:p>
        </w:tc>
        <w:tc>
          <w:tcPr>
            <w:tcW w:w="5" w:type="pct"/>
            <w:shd w:val="clear" w:color="auto" w:fill="auto"/>
            <w:vAlign w:val="bottom"/>
          </w:tcPr>
          <w:p w14:paraId="5A1AFBD1" w14:textId="77777777" w:rsidR="00960BB8" w:rsidRDefault="00960BB8">
            <w:pPr>
              <w:rPr>
                <w:rFonts w:ascii="宋体"/>
              </w:rPr>
            </w:pPr>
          </w:p>
        </w:tc>
      </w:tr>
      <w:tr w:rsidR="00960BB8" w14:paraId="5A1AFBD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BD3"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C1" wp14:editId="5A1B43C2">
                  <wp:extent cx="304800" cy="304800"/>
                  <wp:effectExtent l="0" t="0" r="0" b="0"/>
                  <wp:docPr id="215" name="图片 13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3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BD4"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BD5" w14:textId="77777777" w:rsidR="00960BB8" w:rsidRDefault="00C06650">
            <w:pPr>
              <w:jc w:val="right"/>
              <w:textAlignment w:val="center"/>
            </w:pPr>
            <w:r>
              <w:rPr>
                <w:rFonts w:ascii="Arial" w:eastAsia="宋体" w:hAnsi="Arial" w:cs="Arial"/>
                <w:color w:val="262626"/>
                <w:sz w:val="16"/>
                <w:szCs w:val="16"/>
              </w:rPr>
              <w:t>31</w:t>
            </w:r>
          </w:p>
        </w:tc>
      </w:tr>
    </w:tbl>
    <w:p w14:paraId="5A1AFBD7" w14:textId="77777777" w:rsidR="00960BB8" w:rsidRDefault="00C06650">
      <w:r>
        <w:pict w14:anchorId="5A1B43C3">
          <v:rect id="_x0000_i1057" style="width:415.3pt;height:1.5pt" o:hralign="center" o:hrstd="t" o:hr="t" fillcolor="#a0a0a0" stroked="f"/>
        </w:pict>
      </w:r>
    </w:p>
    <w:p w14:paraId="5A1AFBD8" w14:textId="77777777" w:rsidR="00960BB8" w:rsidRDefault="00960BB8"/>
    <w:p w14:paraId="5A1AFBD9" w14:textId="77777777" w:rsidR="00960BB8" w:rsidRDefault="00C06650">
      <w:pPr>
        <w:spacing w:after="180"/>
      </w:pPr>
      <w:r>
        <w:rPr>
          <w:rFonts w:ascii="Arial" w:eastAsia="宋体" w:hAnsi="Arial" w:cs="Arial"/>
          <w:color w:val="0068B5"/>
        </w:rPr>
        <w:t>Financial Performance</w:t>
      </w:r>
    </w:p>
    <w:tbl>
      <w:tblPr>
        <w:tblW w:w="10680" w:type="dxa"/>
        <w:tblCellMar>
          <w:top w:w="15" w:type="dxa"/>
          <w:left w:w="15" w:type="dxa"/>
          <w:bottom w:w="15" w:type="dxa"/>
          <w:right w:w="15" w:type="dxa"/>
        </w:tblCellMar>
        <w:tblLook w:val="04A0" w:firstRow="1" w:lastRow="0" w:firstColumn="1" w:lastColumn="0" w:noHBand="0" w:noVBand="1"/>
      </w:tblPr>
      <w:tblGrid>
        <w:gridCol w:w="37"/>
        <w:gridCol w:w="123"/>
        <w:gridCol w:w="36"/>
        <w:gridCol w:w="36"/>
        <w:gridCol w:w="4746"/>
        <w:gridCol w:w="36"/>
        <w:gridCol w:w="36"/>
        <w:gridCol w:w="565"/>
        <w:gridCol w:w="36"/>
        <w:gridCol w:w="36"/>
        <w:gridCol w:w="4497"/>
        <w:gridCol w:w="36"/>
        <w:gridCol w:w="36"/>
        <w:gridCol w:w="388"/>
        <w:gridCol w:w="36"/>
      </w:tblGrid>
      <w:tr w:rsidR="00960BB8" w14:paraId="5A1AFBE9" w14:textId="77777777">
        <w:tc>
          <w:tcPr>
            <w:tcW w:w="20" w:type="dxa"/>
            <w:shd w:val="clear" w:color="auto" w:fill="auto"/>
            <w:vAlign w:val="bottom"/>
          </w:tcPr>
          <w:p w14:paraId="5A1AFBDA" w14:textId="77777777" w:rsidR="00960BB8" w:rsidRDefault="00960BB8">
            <w:pPr>
              <w:rPr>
                <w:rFonts w:ascii="宋体"/>
              </w:rPr>
            </w:pPr>
          </w:p>
        </w:tc>
        <w:tc>
          <w:tcPr>
            <w:tcW w:w="125" w:type="dxa"/>
            <w:shd w:val="clear" w:color="auto" w:fill="auto"/>
            <w:vAlign w:val="bottom"/>
          </w:tcPr>
          <w:p w14:paraId="5A1AFBDB" w14:textId="77777777" w:rsidR="00960BB8" w:rsidRDefault="00960BB8">
            <w:pPr>
              <w:rPr>
                <w:rFonts w:ascii="宋体"/>
              </w:rPr>
            </w:pPr>
          </w:p>
        </w:tc>
        <w:tc>
          <w:tcPr>
            <w:tcW w:w="20" w:type="dxa"/>
            <w:shd w:val="clear" w:color="auto" w:fill="auto"/>
            <w:vAlign w:val="bottom"/>
          </w:tcPr>
          <w:p w14:paraId="5A1AFBDC" w14:textId="77777777" w:rsidR="00960BB8" w:rsidRDefault="00960BB8">
            <w:pPr>
              <w:rPr>
                <w:rFonts w:ascii="宋体"/>
              </w:rPr>
            </w:pPr>
          </w:p>
        </w:tc>
        <w:tc>
          <w:tcPr>
            <w:tcW w:w="20" w:type="dxa"/>
            <w:shd w:val="clear" w:color="auto" w:fill="auto"/>
            <w:vAlign w:val="bottom"/>
          </w:tcPr>
          <w:p w14:paraId="5A1AFBDD" w14:textId="77777777" w:rsidR="00960BB8" w:rsidRDefault="00960BB8">
            <w:pPr>
              <w:rPr>
                <w:rFonts w:ascii="宋体"/>
              </w:rPr>
            </w:pPr>
          </w:p>
        </w:tc>
        <w:tc>
          <w:tcPr>
            <w:tcW w:w="4820" w:type="dxa"/>
            <w:shd w:val="clear" w:color="auto" w:fill="auto"/>
            <w:vAlign w:val="bottom"/>
          </w:tcPr>
          <w:p w14:paraId="5A1AFBDE" w14:textId="77777777" w:rsidR="00960BB8" w:rsidRDefault="00960BB8">
            <w:pPr>
              <w:rPr>
                <w:rFonts w:ascii="宋体"/>
              </w:rPr>
            </w:pPr>
          </w:p>
        </w:tc>
        <w:tc>
          <w:tcPr>
            <w:tcW w:w="20" w:type="dxa"/>
            <w:shd w:val="clear" w:color="auto" w:fill="auto"/>
            <w:vAlign w:val="bottom"/>
          </w:tcPr>
          <w:p w14:paraId="5A1AFBDF" w14:textId="77777777" w:rsidR="00960BB8" w:rsidRDefault="00960BB8">
            <w:pPr>
              <w:rPr>
                <w:rFonts w:ascii="宋体"/>
              </w:rPr>
            </w:pPr>
          </w:p>
        </w:tc>
        <w:tc>
          <w:tcPr>
            <w:tcW w:w="20" w:type="dxa"/>
            <w:shd w:val="clear" w:color="auto" w:fill="auto"/>
            <w:vAlign w:val="bottom"/>
          </w:tcPr>
          <w:p w14:paraId="5A1AFBE0" w14:textId="77777777" w:rsidR="00960BB8" w:rsidRDefault="00960BB8">
            <w:pPr>
              <w:rPr>
                <w:rFonts w:ascii="宋体"/>
              </w:rPr>
            </w:pPr>
          </w:p>
        </w:tc>
        <w:tc>
          <w:tcPr>
            <w:tcW w:w="575" w:type="dxa"/>
            <w:shd w:val="clear" w:color="auto" w:fill="auto"/>
            <w:vAlign w:val="bottom"/>
          </w:tcPr>
          <w:p w14:paraId="5A1AFBE1" w14:textId="77777777" w:rsidR="00960BB8" w:rsidRDefault="00960BB8">
            <w:pPr>
              <w:rPr>
                <w:rFonts w:ascii="宋体"/>
              </w:rPr>
            </w:pPr>
          </w:p>
        </w:tc>
        <w:tc>
          <w:tcPr>
            <w:tcW w:w="20" w:type="dxa"/>
            <w:shd w:val="clear" w:color="auto" w:fill="auto"/>
            <w:vAlign w:val="bottom"/>
          </w:tcPr>
          <w:p w14:paraId="5A1AFBE2" w14:textId="77777777" w:rsidR="00960BB8" w:rsidRDefault="00960BB8">
            <w:pPr>
              <w:rPr>
                <w:rFonts w:ascii="宋体"/>
              </w:rPr>
            </w:pPr>
          </w:p>
        </w:tc>
        <w:tc>
          <w:tcPr>
            <w:tcW w:w="20" w:type="dxa"/>
            <w:shd w:val="clear" w:color="auto" w:fill="auto"/>
            <w:vAlign w:val="bottom"/>
          </w:tcPr>
          <w:p w14:paraId="5A1AFBE3" w14:textId="77777777" w:rsidR="00960BB8" w:rsidRDefault="00960BB8">
            <w:pPr>
              <w:rPr>
                <w:rFonts w:ascii="宋体"/>
              </w:rPr>
            </w:pPr>
          </w:p>
        </w:tc>
        <w:tc>
          <w:tcPr>
            <w:tcW w:w="4565" w:type="dxa"/>
            <w:shd w:val="clear" w:color="auto" w:fill="auto"/>
            <w:vAlign w:val="bottom"/>
          </w:tcPr>
          <w:p w14:paraId="5A1AFBE4" w14:textId="77777777" w:rsidR="00960BB8" w:rsidRDefault="00960BB8">
            <w:pPr>
              <w:rPr>
                <w:rFonts w:ascii="宋体"/>
              </w:rPr>
            </w:pPr>
          </w:p>
        </w:tc>
        <w:tc>
          <w:tcPr>
            <w:tcW w:w="20" w:type="dxa"/>
            <w:shd w:val="clear" w:color="auto" w:fill="auto"/>
            <w:vAlign w:val="bottom"/>
          </w:tcPr>
          <w:p w14:paraId="5A1AFBE5" w14:textId="77777777" w:rsidR="00960BB8" w:rsidRDefault="00960BB8">
            <w:pPr>
              <w:rPr>
                <w:rFonts w:ascii="宋体"/>
              </w:rPr>
            </w:pPr>
          </w:p>
        </w:tc>
        <w:tc>
          <w:tcPr>
            <w:tcW w:w="20" w:type="dxa"/>
            <w:shd w:val="clear" w:color="auto" w:fill="auto"/>
            <w:vAlign w:val="bottom"/>
          </w:tcPr>
          <w:p w14:paraId="5A1AFBE6" w14:textId="77777777" w:rsidR="00960BB8" w:rsidRDefault="00960BB8">
            <w:pPr>
              <w:rPr>
                <w:rFonts w:ascii="宋体"/>
              </w:rPr>
            </w:pPr>
          </w:p>
        </w:tc>
        <w:tc>
          <w:tcPr>
            <w:tcW w:w="395" w:type="dxa"/>
            <w:shd w:val="clear" w:color="auto" w:fill="auto"/>
            <w:vAlign w:val="bottom"/>
          </w:tcPr>
          <w:p w14:paraId="5A1AFBE7" w14:textId="77777777" w:rsidR="00960BB8" w:rsidRDefault="00960BB8">
            <w:pPr>
              <w:rPr>
                <w:rFonts w:ascii="宋体"/>
              </w:rPr>
            </w:pPr>
          </w:p>
        </w:tc>
        <w:tc>
          <w:tcPr>
            <w:tcW w:w="20" w:type="dxa"/>
            <w:shd w:val="clear" w:color="auto" w:fill="auto"/>
            <w:vAlign w:val="bottom"/>
          </w:tcPr>
          <w:p w14:paraId="5A1AFBE8" w14:textId="77777777" w:rsidR="00960BB8" w:rsidRDefault="00960BB8">
            <w:pPr>
              <w:rPr>
                <w:rFonts w:ascii="宋体"/>
              </w:rPr>
            </w:pPr>
          </w:p>
        </w:tc>
      </w:tr>
      <w:tr w:rsidR="00960BB8" w14:paraId="5A1AFBEF" w14:textId="77777777">
        <w:trPr>
          <w:trHeight w:val="280"/>
        </w:trPr>
        <w:tc>
          <w:tcPr>
            <w:tcW w:w="0" w:type="auto"/>
            <w:gridSpan w:val="3"/>
            <w:shd w:val="clear" w:color="auto" w:fill="auto"/>
            <w:tcMar>
              <w:top w:w="0" w:type="dxa"/>
              <w:left w:w="20" w:type="dxa"/>
              <w:bottom w:w="0" w:type="dxa"/>
              <w:right w:w="20" w:type="dxa"/>
            </w:tcMar>
            <w:vAlign w:val="bottom"/>
          </w:tcPr>
          <w:p w14:paraId="5A1AFBEA"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BEB" w14:textId="77777777" w:rsidR="00960BB8" w:rsidRDefault="00C06650">
            <w:pPr>
              <w:jc w:val="center"/>
              <w:textAlignment w:val="bottom"/>
            </w:pPr>
            <w:r>
              <w:rPr>
                <w:rFonts w:ascii="Arial" w:eastAsia="宋体" w:hAnsi="Arial" w:cs="Arial"/>
                <w:color w:val="0068B5"/>
                <w:sz w:val="20"/>
                <w:szCs w:val="20"/>
              </w:rPr>
              <w:t>Mobileye Revenue $B</w:t>
            </w:r>
          </w:p>
        </w:tc>
        <w:tc>
          <w:tcPr>
            <w:tcW w:w="0" w:type="auto"/>
            <w:gridSpan w:val="3"/>
            <w:shd w:val="clear" w:color="auto" w:fill="auto"/>
            <w:tcMar>
              <w:top w:w="0" w:type="dxa"/>
              <w:left w:w="20" w:type="dxa"/>
              <w:bottom w:w="0" w:type="dxa"/>
              <w:right w:w="20" w:type="dxa"/>
            </w:tcMar>
            <w:vAlign w:val="bottom"/>
          </w:tcPr>
          <w:p w14:paraId="5A1AFBEC"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BED" w14:textId="77777777" w:rsidR="00960BB8" w:rsidRDefault="00C06650">
            <w:pPr>
              <w:jc w:val="center"/>
              <w:textAlignment w:val="bottom"/>
            </w:pPr>
            <w:r>
              <w:rPr>
                <w:rFonts w:ascii="Arial" w:eastAsia="宋体" w:hAnsi="Arial" w:cs="Arial"/>
                <w:color w:val="0068B5"/>
                <w:sz w:val="20"/>
                <w:szCs w:val="20"/>
              </w:rPr>
              <w:t>Mobileye Operating Income $B</w:t>
            </w:r>
          </w:p>
        </w:tc>
        <w:tc>
          <w:tcPr>
            <w:tcW w:w="0" w:type="auto"/>
            <w:gridSpan w:val="3"/>
            <w:shd w:val="clear" w:color="auto" w:fill="auto"/>
            <w:tcMar>
              <w:top w:w="0" w:type="dxa"/>
              <w:left w:w="20" w:type="dxa"/>
              <w:bottom w:w="0" w:type="dxa"/>
              <w:right w:w="20" w:type="dxa"/>
            </w:tcMar>
            <w:vAlign w:val="bottom"/>
          </w:tcPr>
          <w:p w14:paraId="5A1AFBEE" w14:textId="77777777" w:rsidR="00960BB8" w:rsidRDefault="00960BB8">
            <w:pPr>
              <w:rPr>
                <w:rFonts w:ascii="宋体"/>
              </w:rPr>
            </w:pPr>
          </w:p>
        </w:tc>
      </w:tr>
    </w:tbl>
    <w:p w14:paraId="5A1AFBF0" w14:textId="77777777" w:rsidR="00960BB8" w:rsidRDefault="00C06650">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Viewer_files/intc-20221231_g44.jpg"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C4" wp14:editId="5A1B43C5">
            <wp:extent cx="304800" cy="304800"/>
            <wp:effectExtent l="0" t="0" r="0" b="0"/>
            <wp:docPr id="209" name="图片 138"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38" descr="IMG_32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Viewer_files/intc-2022123</w:instrText>
      </w:r>
      <w:r>
        <w:rPr>
          <w:rFonts w:ascii="宋体" w:eastAsia="宋体" w:hAnsi="宋体" w:cs="宋体"/>
        </w:rPr>
        <w:instrText xml:space="preserve">1_g45.jpg"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C6" wp14:editId="5A1B43C7">
            <wp:extent cx="304800" cy="304800"/>
            <wp:effectExtent l="0" t="0" r="0" b="0"/>
            <wp:docPr id="210" name="图片 139"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39" descr="IMG_32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BF1" w14:textId="77777777" w:rsidR="00960BB8" w:rsidRDefault="00960BB8">
      <w:pPr>
        <w:spacing w:after="80"/>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BF5" w14:textId="77777777">
        <w:tc>
          <w:tcPr>
            <w:tcW w:w="50" w:type="pct"/>
            <w:shd w:val="clear" w:color="auto" w:fill="auto"/>
            <w:vAlign w:val="bottom"/>
          </w:tcPr>
          <w:p w14:paraId="5A1AFBF2" w14:textId="77777777" w:rsidR="00960BB8" w:rsidRDefault="00960BB8">
            <w:pPr>
              <w:rPr>
                <w:rFonts w:ascii="宋体"/>
              </w:rPr>
            </w:pPr>
          </w:p>
        </w:tc>
        <w:tc>
          <w:tcPr>
            <w:tcW w:w="4945" w:type="pct"/>
            <w:shd w:val="clear" w:color="auto" w:fill="auto"/>
            <w:vAlign w:val="bottom"/>
          </w:tcPr>
          <w:p w14:paraId="5A1AFBF3" w14:textId="77777777" w:rsidR="00960BB8" w:rsidRDefault="00960BB8">
            <w:pPr>
              <w:rPr>
                <w:rFonts w:ascii="宋体"/>
              </w:rPr>
            </w:pPr>
          </w:p>
        </w:tc>
        <w:tc>
          <w:tcPr>
            <w:tcW w:w="5" w:type="pct"/>
            <w:shd w:val="clear" w:color="auto" w:fill="auto"/>
            <w:vAlign w:val="bottom"/>
          </w:tcPr>
          <w:p w14:paraId="5A1AFBF4" w14:textId="77777777" w:rsidR="00960BB8" w:rsidRDefault="00960BB8">
            <w:pPr>
              <w:rPr>
                <w:rFonts w:ascii="宋体"/>
              </w:rPr>
            </w:pPr>
          </w:p>
        </w:tc>
      </w:tr>
      <w:tr w:rsidR="00960BB8" w14:paraId="5A1AFBF7"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BF6" w14:textId="77777777" w:rsidR="00960BB8" w:rsidRDefault="00C06650">
            <w:pPr>
              <w:textAlignment w:val="bottom"/>
            </w:pPr>
            <w:r>
              <w:rPr>
                <w:rFonts w:ascii="Arial" w:eastAsia="宋体" w:hAnsi="Arial" w:cs="Arial"/>
                <w:color w:val="0068B5"/>
                <w:sz w:val="20"/>
                <w:szCs w:val="20"/>
              </w:rPr>
              <w:t>Revenue and Operating Income Summary</w:t>
            </w:r>
          </w:p>
        </w:tc>
      </w:tr>
    </w:tbl>
    <w:p w14:paraId="5A1AFBF8" w14:textId="77777777" w:rsidR="00960BB8" w:rsidRDefault="00C06650">
      <w:pPr>
        <w:spacing w:after="120"/>
      </w:pPr>
      <w:r>
        <w:rPr>
          <w:rFonts w:ascii="Arial" w:eastAsia="宋体" w:hAnsi="Arial" w:cs="Arial"/>
          <w:color w:val="0068B5"/>
          <w:sz w:val="20"/>
          <w:szCs w:val="20"/>
        </w:rPr>
        <w:t>2022 vs. 2021</w:t>
      </w:r>
    </w:p>
    <w:p w14:paraId="5A1AFBF9" w14:textId="77777777" w:rsidR="00960BB8" w:rsidRDefault="00C06650">
      <w:pPr>
        <w:spacing w:after="180"/>
      </w:pPr>
      <w:r>
        <w:rPr>
          <w:rFonts w:ascii="Arial" w:eastAsia="宋体" w:hAnsi="Arial" w:cs="Arial"/>
          <w:color w:val="000000"/>
          <w:sz w:val="18"/>
          <w:szCs w:val="18"/>
        </w:rPr>
        <w:t xml:space="preserve">Revenue was $1.9 billion, up $483 million from </w:t>
      </w:r>
      <w:r>
        <w:rPr>
          <w:rFonts w:ascii="Arial" w:eastAsia="宋体" w:hAnsi="Arial" w:cs="Arial"/>
          <w:color w:val="262626"/>
          <w:sz w:val="18"/>
          <w:szCs w:val="18"/>
        </w:rPr>
        <w:t>2021,</w:t>
      </w:r>
      <w:r>
        <w:rPr>
          <w:rFonts w:ascii="Arial" w:eastAsia="宋体" w:hAnsi="Arial" w:cs="Arial"/>
          <w:color w:val="000000"/>
          <w:sz w:val="18"/>
          <w:szCs w:val="18"/>
        </w:rPr>
        <w:t xml:space="preserve"> </w:t>
      </w:r>
      <w:r>
        <w:rPr>
          <w:rFonts w:ascii="Arial" w:eastAsia="宋体" w:hAnsi="Arial" w:cs="Arial"/>
          <w:color w:val="262626"/>
          <w:sz w:val="18"/>
          <w:szCs w:val="18"/>
        </w:rPr>
        <w:t>primarily driven by higher demand for EyeQ products and Mobileye SuperVision* systems</w:t>
      </w:r>
      <w:r>
        <w:rPr>
          <w:rFonts w:ascii="Arial" w:eastAsia="宋体" w:hAnsi="Arial" w:cs="Arial"/>
          <w:color w:val="000000"/>
          <w:sz w:val="18"/>
          <w:szCs w:val="18"/>
        </w:rPr>
        <w:t xml:space="preserve">. Operating income was $690 million, up $136 million from </w:t>
      </w:r>
      <w:r>
        <w:rPr>
          <w:rFonts w:ascii="Arial" w:eastAsia="宋体" w:hAnsi="Arial" w:cs="Arial"/>
          <w:color w:val="262626"/>
          <w:sz w:val="18"/>
          <w:szCs w:val="18"/>
        </w:rPr>
        <w:t>2021</w:t>
      </w:r>
      <w:r>
        <w:rPr>
          <w:rFonts w:ascii="Arial" w:eastAsia="宋体" w:hAnsi="Arial" w:cs="Arial"/>
          <w:color w:val="000000"/>
          <w:sz w:val="18"/>
          <w:szCs w:val="18"/>
        </w:rPr>
        <w:t xml:space="preserve">, </w:t>
      </w:r>
      <w:r>
        <w:rPr>
          <w:rFonts w:ascii="Arial" w:eastAsia="宋体" w:hAnsi="Arial" w:cs="Arial"/>
          <w:color w:val="262626"/>
          <w:sz w:val="18"/>
          <w:szCs w:val="18"/>
        </w:rPr>
        <w:t>primarily due to higher revenue, partially offset by increased investments in leadership products.</w:t>
      </w:r>
    </w:p>
    <w:p w14:paraId="5A1AFBFA" w14:textId="77777777" w:rsidR="00960BB8" w:rsidRDefault="00C06650">
      <w:pPr>
        <w:spacing w:after="120"/>
      </w:pPr>
      <w:r>
        <w:rPr>
          <w:rFonts w:ascii="Arial" w:eastAsia="宋体" w:hAnsi="Arial" w:cs="Arial"/>
          <w:color w:val="0068B5"/>
          <w:sz w:val="20"/>
          <w:szCs w:val="20"/>
        </w:rPr>
        <w:t>2021 vs. 2020</w:t>
      </w:r>
    </w:p>
    <w:p w14:paraId="5A1AFBFB" w14:textId="77777777" w:rsidR="00960BB8" w:rsidRDefault="00C06650">
      <w:pPr>
        <w:spacing w:after="180"/>
      </w:pPr>
      <w:r>
        <w:rPr>
          <w:rFonts w:ascii="Arial" w:eastAsia="宋体" w:hAnsi="Arial" w:cs="Arial"/>
          <w:color w:val="262626"/>
          <w:sz w:val="18"/>
          <w:szCs w:val="18"/>
        </w:rPr>
        <w:t>Revenue was $1.4 billion, up $419 million, driven by improvement in global vehi</w:t>
      </w:r>
      <w:r>
        <w:rPr>
          <w:rFonts w:ascii="Arial" w:eastAsia="宋体" w:hAnsi="Arial" w:cs="Arial"/>
          <w:color w:val="262626"/>
          <w:sz w:val="18"/>
          <w:szCs w:val="18"/>
        </w:rPr>
        <w:t>cle production, recovery from the economic impacts of COVID-19, and increasing adoption of ADAS compared to 2020. Operating income was $554 million, up $231 million, due to higher revenue driven by improvement in global vehicle production, recovery from th</w:t>
      </w:r>
      <w:r>
        <w:rPr>
          <w:rFonts w:ascii="Arial" w:eastAsia="宋体" w:hAnsi="Arial" w:cs="Arial"/>
          <w:color w:val="262626"/>
          <w:sz w:val="18"/>
          <w:szCs w:val="18"/>
        </w:rPr>
        <w:t>e economic impacts of COVID-19, and increasing adoption of ADAS compared to 2020.</w:t>
      </w:r>
    </w:p>
    <w:p w14:paraId="5A1AFBFC" w14:textId="77777777" w:rsidR="00960BB8" w:rsidRDefault="00960BB8">
      <w:pPr>
        <w:spacing w:after="80"/>
      </w:pPr>
    </w:p>
    <w:p w14:paraId="5A1AFBFD" w14:textId="77777777" w:rsidR="00960BB8" w:rsidRDefault="00960BB8">
      <w:pPr>
        <w:spacing w:after="120"/>
      </w:pPr>
    </w:p>
    <w:p w14:paraId="5A1AFBFE" w14:textId="77777777" w:rsidR="00960BB8" w:rsidRDefault="00960BB8"/>
    <w:p w14:paraId="5A1AFBFF" w14:textId="77777777" w:rsidR="00960BB8" w:rsidRDefault="00960BB8"/>
    <w:p w14:paraId="5A1AFC00" w14:textId="77777777" w:rsidR="00960BB8" w:rsidRDefault="00960BB8"/>
    <w:p w14:paraId="5A1AFC01" w14:textId="77777777" w:rsidR="00960BB8" w:rsidRDefault="00960BB8"/>
    <w:p w14:paraId="5A1AFC02"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C0C" w14:textId="77777777">
        <w:tc>
          <w:tcPr>
            <w:tcW w:w="50" w:type="pct"/>
            <w:shd w:val="clear" w:color="auto" w:fill="auto"/>
            <w:vAlign w:val="bottom"/>
          </w:tcPr>
          <w:p w14:paraId="5A1AFC03" w14:textId="77777777" w:rsidR="00960BB8" w:rsidRDefault="00960BB8">
            <w:pPr>
              <w:rPr>
                <w:rFonts w:ascii="宋体"/>
              </w:rPr>
            </w:pPr>
          </w:p>
        </w:tc>
        <w:tc>
          <w:tcPr>
            <w:tcW w:w="283" w:type="pct"/>
            <w:shd w:val="clear" w:color="auto" w:fill="auto"/>
            <w:vAlign w:val="bottom"/>
          </w:tcPr>
          <w:p w14:paraId="5A1AFC04" w14:textId="77777777" w:rsidR="00960BB8" w:rsidRDefault="00960BB8">
            <w:pPr>
              <w:rPr>
                <w:rFonts w:ascii="宋体"/>
              </w:rPr>
            </w:pPr>
          </w:p>
        </w:tc>
        <w:tc>
          <w:tcPr>
            <w:tcW w:w="5" w:type="pct"/>
            <w:shd w:val="clear" w:color="auto" w:fill="auto"/>
            <w:vAlign w:val="bottom"/>
          </w:tcPr>
          <w:p w14:paraId="5A1AFC05" w14:textId="77777777" w:rsidR="00960BB8" w:rsidRDefault="00960BB8">
            <w:pPr>
              <w:rPr>
                <w:rFonts w:ascii="宋体"/>
              </w:rPr>
            </w:pPr>
          </w:p>
        </w:tc>
        <w:tc>
          <w:tcPr>
            <w:tcW w:w="50" w:type="pct"/>
            <w:shd w:val="clear" w:color="auto" w:fill="auto"/>
            <w:vAlign w:val="bottom"/>
          </w:tcPr>
          <w:p w14:paraId="5A1AFC06" w14:textId="77777777" w:rsidR="00960BB8" w:rsidRDefault="00960BB8">
            <w:pPr>
              <w:rPr>
                <w:rFonts w:ascii="宋体"/>
              </w:rPr>
            </w:pPr>
          </w:p>
        </w:tc>
        <w:tc>
          <w:tcPr>
            <w:tcW w:w="2656" w:type="pct"/>
            <w:shd w:val="clear" w:color="auto" w:fill="auto"/>
            <w:vAlign w:val="bottom"/>
          </w:tcPr>
          <w:p w14:paraId="5A1AFC07" w14:textId="77777777" w:rsidR="00960BB8" w:rsidRDefault="00960BB8">
            <w:pPr>
              <w:rPr>
                <w:rFonts w:ascii="宋体"/>
              </w:rPr>
            </w:pPr>
          </w:p>
        </w:tc>
        <w:tc>
          <w:tcPr>
            <w:tcW w:w="5" w:type="pct"/>
            <w:shd w:val="clear" w:color="auto" w:fill="auto"/>
            <w:vAlign w:val="bottom"/>
          </w:tcPr>
          <w:p w14:paraId="5A1AFC08" w14:textId="77777777" w:rsidR="00960BB8" w:rsidRDefault="00960BB8">
            <w:pPr>
              <w:rPr>
                <w:rFonts w:ascii="宋体"/>
              </w:rPr>
            </w:pPr>
          </w:p>
        </w:tc>
        <w:tc>
          <w:tcPr>
            <w:tcW w:w="50" w:type="pct"/>
            <w:shd w:val="clear" w:color="auto" w:fill="auto"/>
            <w:vAlign w:val="bottom"/>
          </w:tcPr>
          <w:p w14:paraId="5A1AFC09" w14:textId="77777777" w:rsidR="00960BB8" w:rsidRDefault="00960BB8">
            <w:pPr>
              <w:rPr>
                <w:rFonts w:ascii="宋体"/>
              </w:rPr>
            </w:pPr>
          </w:p>
        </w:tc>
        <w:tc>
          <w:tcPr>
            <w:tcW w:w="1894" w:type="pct"/>
            <w:shd w:val="clear" w:color="auto" w:fill="auto"/>
            <w:vAlign w:val="bottom"/>
          </w:tcPr>
          <w:p w14:paraId="5A1AFC0A" w14:textId="77777777" w:rsidR="00960BB8" w:rsidRDefault="00960BB8">
            <w:pPr>
              <w:rPr>
                <w:rFonts w:ascii="宋体"/>
              </w:rPr>
            </w:pPr>
          </w:p>
        </w:tc>
        <w:tc>
          <w:tcPr>
            <w:tcW w:w="5" w:type="pct"/>
            <w:shd w:val="clear" w:color="auto" w:fill="auto"/>
            <w:vAlign w:val="bottom"/>
          </w:tcPr>
          <w:p w14:paraId="5A1AFC0B" w14:textId="77777777" w:rsidR="00960BB8" w:rsidRDefault="00960BB8">
            <w:pPr>
              <w:rPr>
                <w:rFonts w:ascii="宋体"/>
              </w:rPr>
            </w:pPr>
          </w:p>
        </w:tc>
      </w:tr>
      <w:tr w:rsidR="00960BB8" w14:paraId="5A1AFC1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C0D"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C8" wp14:editId="5A1B43C9">
                  <wp:extent cx="304800" cy="304800"/>
                  <wp:effectExtent l="0" t="0" r="0" b="0"/>
                  <wp:docPr id="193" name="图片 14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40"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C0E"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C0F" w14:textId="77777777" w:rsidR="00960BB8" w:rsidRDefault="00C06650">
            <w:pPr>
              <w:jc w:val="right"/>
              <w:textAlignment w:val="center"/>
            </w:pPr>
            <w:r>
              <w:rPr>
                <w:rFonts w:ascii="Arial" w:eastAsia="宋体" w:hAnsi="Arial" w:cs="Arial"/>
                <w:color w:val="262626"/>
                <w:sz w:val="16"/>
                <w:szCs w:val="16"/>
              </w:rPr>
              <w:t>32</w:t>
            </w:r>
          </w:p>
        </w:tc>
      </w:tr>
    </w:tbl>
    <w:p w14:paraId="5A1AFC11" w14:textId="77777777" w:rsidR="00960BB8" w:rsidRDefault="00C06650">
      <w:r>
        <w:pict w14:anchorId="5A1B43CA">
          <v:rect id="_x0000_i1058" style="width:415.3pt;height:1.5pt" o:hralign="center" o:hrstd="t" o:hr="t" fillcolor="#a0a0a0" stroked="f"/>
        </w:pict>
      </w:r>
    </w:p>
    <w:p w14:paraId="5A1AFC12" w14:textId="77777777" w:rsidR="00960BB8" w:rsidRDefault="00960BB8"/>
    <w:p w14:paraId="5A1AFC13" w14:textId="77777777" w:rsidR="00960BB8" w:rsidRDefault="00C06650">
      <w:pPr>
        <w:jc w:val="both"/>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Viewer_files/intc-20221231_g46.jpg"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CB" wp14:editId="5A1B43CC">
            <wp:extent cx="304800" cy="304800"/>
            <wp:effectExtent l="0" t="0" r="0" b="0"/>
            <wp:docPr id="200" name="图片 142"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42"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C14" w14:textId="77777777" w:rsidR="00960BB8" w:rsidRDefault="00960BB8">
      <w:pPr>
        <w:jc w:val="center"/>
      </w:pPr>
    </w:p>
    <w:tbl>
      <w:tblPr>
        <w:tblW w:w="10980" w:type="dxa"/>
        <w:tblCellMar>
          <w:top w:w="15" w:type="dxa"/>
          <w:left w:w="15" w:type="dxa"/>
          <w:bottom w:w="15" w:type="dxa"/>
          <w:right w:w="15" w:type="dxa"/>
        </w:tblCellMar>
        <w:tblLook w:val="04A0" w:firstRow="1" w:lastRow="0" w:firstColumn="1" w:lastColumn="0" w:noHBand="0" w:noVBand="1"/>
      </w:tblPr>
      <w:tblGrid>
        <w:gridCol w:w="63"/>
        <w:gridCol w:w="675"/>
        <w:gridCol w:w="63"/>
        <w:gridCol w:w="63"/>
        <w:gridCol w:w="8794"/>
        <w:gridCol w:w="63"/>
        <w:gridCol w:w="36"/>
        <w:gridCol w:w="1187"/>
        <w:gridCol w:w="36"/>
      </w:tblGrid>
      <w:tr w:rsidR="00960BB8" w14:paraId="5A1AFC1E" w14:textId="77777777">
        <w:tc>
          <w:tcPr>
            <w:tcW w:w="20" w:type="dxa"/>
            <w:shd w:val="clear" w:color="auto" w:fill="auto"/>
            <w:vAlign w:val="bottom"/>
          </w:tcPr>
          <w:p w14:paraId="5A1AFC15" w14:textId="77777777" w:rsidR="00960BB8" w:rsidRDefault="00960BB8">
            <w:pPr>
              <w:rPr>
                <w:rFonts w:ascii="宋体"/>
              </w:rPr>
            </w:pPr>
          </w:p>
        </w:tc>
        <w:tc>
          <w:tcPr>
            <w:tcW w:w="545" w:type="dxa"/>
            <w:shd w:val="clear" w:color="auto" w:fill="auto"/>
            <w:vAlign w:val="bottom"/>
          </w:tcPr>
          <w:p w14:paraId="5A1AFC16" w14:textId="77777777" w:rsidR="00960BB8" w:rsidRDefault="00960BB8">
            <w:pPr>
              <w:rPr>
                <w:rFonts w:ascii="宋体"/>
              </w:rPr>
            </w:pPr>
          </w:p>
        </w:tc>
        <w:tc>
          <w:tcPr>
            <w:tcW w:w="20" w:type="dxa"/>
            <w:shd w:val="clear" w:color="auto" w:fill="auto"/>
            <w:vAlign w:val="bottom"/>
          </w:tcPr>
          <w:p w14:paraId="5A1AFC17" w14:textId="77777777" w:rsidR="00960BB8" w:rsidRDefault="00960BB8">
            <w:pPr>
              <w:rPr>
                <w:rFonts w:ascii="宋体"/>
              </w:rPr>
            </w:pPr>
          </w:p>
        </w:tc>
        <w:tc>
          <w:tcPr>
            <w:tcW w:w="20" w:type="dxa"/>
            <w:shd w:val="clear" w:color="auto" w:fill="auto"/>
            <w:vAlign w:val="bottom"/>
          </w:tcPr>
          <w:p w14:paraId="5A1AFC18" w14:textId="77777777" w:rsidR="00960BB8" w:rsidRDefault="00960BB8">
            <w:pPr>
              <w:rPr>
                <w:rFonts w:ascii="宋体"/>
              </w:rPr>
            </w:pPr>
          </w:p>
        </w:tc>
        <w:tc>
          <w:tcPr>
            <w:tcW w:w="7805" w:type="dxa"/>
            <w:shd w:val="clear" w:color="auto" w:fill="auto"/>
            <w:vAlign w:val="bottom"/>
          </w:tcPr>
          <w:p w14:paraId="5A1AFC19" w14:textId="77777777" w:rsidR="00960BB8" w:rsidRDefault="00960BB8">
            <w:pPr>
              <w:rPr>
                <w:rFonts w:ascii="宋体"/>
              </w:rPr>
            </w:pPr>
          </w:p>
        </w:tc>
        <w:tc>
          <w:tcPr>
            <w:tcW w:w="20" w:type="dxa"/>
            <w:shd w:val="clear" w:color="auto" w:fill="auto"/>
            <w:vAlign w:val="bottom"/>
          </w:tcPr>
          <w:p w14:paraId="5A1AFC1A" w14:textId="77777777" w:rsidR="00960BB8" w:rsidRDefault="00960BB8">
            <w:pPr>
              <w:rPr>
                <w:rFonts w:ascii="宋体"/>
              </w:rPr>
            </w:pPr>
          </w:p>
        </w:tc>
        <w:tc>
          <w:tcPr>
            <w:tcW w:w="20" w:type="dxa"/>
            <w:shd w:val="clear" w:color="auto" w:fill="auto"/>
            <w:vAlign w:val="bottom"/>
          </w:tcPr>
          <w:p w14:paraId="5A1AFC1B" w14:textId="77777777" w:rsidR="00960BB8" w:rsidRDefault="00960BB8">
            <w:pPr>
              <w:rPr>
                <w:rFonts w:ascii="宋体"/>
              </w:rPr>
            </w:pPr>
          </w:p>
        </w:tc>
        <w:tc>
          <w:tcPr>
            <w:tcW w:w="2510" w:type="dxa"/>
            <w:shd w:val="clear" w:color="auto" w:fill="auto"/>
            <w:vAlign w:val="bottom"/>
          </w:tcPr>
          <w:p w14:paraId="5A1AFC1C" w14:textId="77777777" w:rsidR="00960BB8" w:rsidRDefault="00960BB8">
            <w:pPr>
              <w:rPr>
                <w:rFonts w:ascii="宋体"/>
              </w:rPr>
            </w:pPr>
          </w:p>
        </w:tc>
        <w:tc>
          <w:tcPr>
            <w:tcW w:w="20" w:type="dxa"/>
            <w:shd w:val="clear" w:color="auto" w:fill="auto"/>
            <w:vAlign w:val="bottom"/>
          </w:tcPr>
          <w:p w14:paraId="5A1AFC1D" w14:textId="77777777" w:rsidR="00960BB8" w:rsidRDefault="00960BB8">
            <w:pPr>
              <w:rPr>
                <w:rFonts w:ascii="宋体"/>
              </w:rPr>
            </w:pPr>
          </w:p>
        </w:tc>
      </w:tr>
      <w:tr w:rsidR="00960BB8" w14:paraId="5A1AFC21" w14:textId="77777777">
        <w:trPr>
          <w:trHeight w:val="300"/>
        </w:trPr>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5A1AFC1F" w14:textId="77777777" w:rsidR="00960BB8" w:rsidRDefault="00C06650">
            <w:pPr>
              <w:textAlignment w:val="bottom"/>
            </w:pPr>
            <w:r>
              <w:rPr>
                <w:rFonts w:ascii="Arial" w:eastAsia="宋体" w:hAnsi="Arial" w:cs="Arial"/>
                <w:color w:val="0068B5"/>
                <w:sz w:val="20"/>
                <w:szCs w:val="20"/>
              </w:rPr>
              <w:t>Overview</w:t>
            </w:r>
          </w:p>
        </w:tc>
        <w:tc>
          <w:tcPr>
            <w:tcW w:w="0" w:type="auto"/>
            <w:gridSpan w:val="3"/>
            <w:shd w:val="clear" w:color="auto" w:fill="auto"/>
            <w:tcMar>
              <w:top w:w="40" w:type="dxa"/>
              <w:left w:w="20" w:type="dxa"/>
              <w:bottom w:w="40" w:type="dxa"/>
              <w:right w:w="20" w:type="dxa"/>
            </w:tcMar>
            <w:vAlign w:val="center"/>
          </w:tcPr>
          <w:p w14:paraId="5A1AFC20" w14:textId="77777777" w:rsidR="00960BB8" w:rsidRDefault="00C06650">
            <w:pPr>
              <w:jc w:val="center"/>
              <w:textAlignment w:val="center"/>
            </w:pPr>
            <w:r>
              <w:rPr>
                <w:rFonts w:ascii="Arial" w:eastAsia="宋体" w:hAnsi="Arial" w:cs="Arial"/>
                <w:color w:val="0068B5"/>
                <w:sz w:val="18"/>
                <w:szCs w:val="18"/>
              </w:rPr>
              <w:t>% Intel Revenue</w:t>
            </w:r>
          </w:p>
        </w:tc>
      </w:tr>
      <w:tr w:rsidR="00960BB8" w14:paraId="5A1AFC24" w14:textId="77777777">
        <w:trPr>
          <w:trHeight w:val="2280"/>
        </w:trPr>
        <w:tc>
          <w:tcPr>
            <w:tcW w:w="0" w:type="auto"/>
            <w:gridSpan w:val="6"/>
            <w:tcBorders>
              <w:top w:val="single" w:sz="4" w:space="0" w:color="262626"/>
            </w:tcBorders>
            <w:shd w:val="clear" w:color="auto" w:fill="auto"/>
            <w:tcMar>
              <w:top w:w="40" w:type="dxa"/>
              <w:left w:w="20" w:type="dxa"/>
              <w:bottom w:w="40" w:type="dxa"/>
              <w:right w:w="20" w:type="dxa"/>
            </w:tcMar>
          </w:tcPr>
          <w:p w14:paraId="5A1AFC22" w14:textId="77777777" w:rsidR="00960BB8" w:rsidRDefault="00C06650">
            <w:pPr>
              <w:spacing w:after="180"/>
              <w:textAlignment w:val="top"/>
            </w:pPr>
            <w:r>
              <w:rPr>
                <w:rFonts w:ascii="Arial" w:eastAsia="宋体" w:hAnsi="Arial" w:cs="Arial"/>
                <w:color w:val="262626"/>
                <w:sz w:val="18"/>
                <w:szCs w:val="18"/>
              </w:rPr>
              <w:t xml:space="preserve">AXG delivers products and technologies designed to help our </w:t>
            </w:r>
            <w:r>
              <w:rPr>
                <w:rFonts w:ascii="Arial" w:eastAsia="宋体" w:hAnsi="Arial" w:cs="Arial"/>
                <w:color w:val="262626"/>
                <w:sz w:val="18"/>
                <w:szCs w:val="18"/>
              </w:rPr>
              <w:t>customers solve the toughest computational problems. Our vision is to enable persistent and immersive computing, at scale and accessible by billions of people within milliseconds, which drives an incredible demand for compute—from endpoints to data centers</w:t>
            </w:r>
            <w:r>
              <w:rPr>
                <w:rFonts w:ascii="Arial" w:eastAsia="宋体" w:hAnsi="Arial" w:cs="Arial"/>
                <w:color w:val="262626"/>
                <w:sz w:val="18"/>
                <w:szCs w:val="18"/>
              </w:rPr>
              <w:t>. Our portfolio includes CPUs for high-performance computing and GPUs targeted for a range of workloads and platforms, from gaming and content creation on client devices to delivering media and gaming in the cloud, and the most demanding high-performance c</w:t>
            </w:r>
            <w:r>
              <w:rPr>
                <w:rFonts w:ascii="Arial" w:eastAsia="宋体" w:hAnsi="Arial" w:cs="Arial"/>
                <w:color w:val="262626"/>
                <w:sz w:val="18"/>
                <w:szCs w:val="18"/>
              </w:rPr>
              <w:t>omputing and AI workloads on supercomputers. To address new market opportunities and emerging workloads, we also develop solutions such as custom accelerators with blockchain acceleration.</w:t>
            </w:r>
          </w:p>
        </w:tc>
        <w:tc>
          <w:tcPr>
            <w:tcW w:w="0" w:type="auto"/>
            <w:gridSpan w:val="3"/>
            <w:shd w:val="clear" w:color="auto" w:fill="auto"/>
            <w:tcMar>
              <w:top w:w="0" w:type="dxa"/>
              <w:left w:w="20" w:type="dxa"/>
              <w:bottom w:w="0" w:type="dxa"/>
              <w:right w:w="20" w:type="dxa"/>
            </w:tcMar>
            <w:vAlign w:val="bottom"/>
          </w:tcPr>
          <w:p w14:paraId="5A1AFC23" w14:textId="77777777" w:rsidR="00960BB8" w:rsidRDefault="00C06650">
            <w:pPr>
              <w:spacing w:after="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w:instrText>
            </w:r>
            <w:r>
              <w:rPr>
                <w:rFonts w:ascii="宋体" w:eastAsia="宋体" w:hAnsi="宋体" w:cs="宋体"/>
              </w:rPr>
              <w:instrText xml:space="preserve">NTEL/./Inline XBRL Viewer_files/intc-20221231_g47.jpg"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CD" wp14:editId="5A1B43CE">
                  <wp:extent cx="304800" cy="304800"/>
                  <wp:effectExtent l="0" t="0" r="0" b="0"/>
                  <wp:docPr id="195" name="图片 143"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43" descr="IMG_33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960BB8" w14:paraId="5A1AFC28" w14:textId="77777777">
        <w:trPr>
          <w:hidden/>
        </w:trPr>
        <w:tc>
          <w:tcPr>
            <w:tcW w:w="0" w:type="auto"/>
            <w:gridSpan w:val="3"/>
            <w:shd w:val="clear" w:color="auto" w:fill="auto"/>
            <w:vAlign w:val="bottom"/>
          </w:tcPr>
          <w:p w14:paraId="5A1AFC25" w14:textId="77777777" w:rsidR="00960BB8" w:rsidRDefault="00960BB8">
            <w:pPr>
              <w:rPr>
                <w:rFonts w:ascii="宋体"/>
                <w:vanish/>
              </w:rPr>
            </w:pPr>
          </w:p>
        </w:tc>
        <w:tc>
          <w:tcPr>
            <w:tcW w:w="0" w:type="auto"/>
            <w:gridSpan w:val="3"/>
            <w:shd w:val="clear" w:color="auto" w:fill="auto"/>
            <w:vAlign w:val="bottom"/>
          </w:tcPr>
          <w:p w14:paraId="5A1AFC26" w14:textId="77777777" w:rsidR="00960BB8" w:rsidRDefault="00960BB8">
            <w:pPr>
              <w:rPr>
                <w:rFonts w:ascii="宋体"/>
                <w:vanish/>
              </w:rPr>
            </w:pPr>
          </w:p>
        </w:tc>
        <w:tc>
          <w:tcPr>
            <w:tcW w:w="0" w:type="auto"/>
            <w:gridSpan w:val="3"/>
            <w:shd w:val="clear" w:color="auto" w:fill="auto"/>
            <w:vAlign w:val="bottom"/>
          </w:tcPr>
          <w:p w14:paraId="5A1AFC27" w14:textId="77777777" w:rsidR="00960BB8" w:rsidRDefault="00960BB8">
            <w:pPr>
              <w:rPr>
                <w:rFonts w:ascii="宋体"/>
                <w:vanish/>
              </w:rPr>
            </w:pPr>
          </w:p>
        </w:tc>
      </w:tr>
      <w:tr w:rsidR="00960BB8" w14:paraId="5A1AFC2C" w14:textId="77777777">
        <w:trPr>
          <w:trHeight w:val="60"/>
        </w:trPr>
        <w:tc>
          <w:tcPr>
            <w:tcW w:w="0" w:type="auto"/>
            <w:gridSpan w:val="3"/>
            <w:shd w:val="clear" w:color="auto" w:fill="auto"/>
            <w:tcMar>
              <w:top w:w="0" w:type="dxa"/>
              <w:left w:w="20" w:type="dxa"/>
              <w:bottom w:w="0" w:type="dxa"/>
              <w:right w:w="20" w:type="dxa"/>
            </w:tcMar>
            <w:vAlign w:val="bottom"/>
          </w:tcPr>
          <w:p w14:paraId="5A1AFC2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C2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C2B" w14:textId="77777777" w:rsidR="00960BB8" w:rsidRDefault="00960BB8">
            <w:pPr>
              <w:rPr>
                <w:rFonts w:ascii="宋体"/>
              </w:rPr>
            </w:pPr>
          </w:p>
        </w:tc>
      </w:tr>
      <w:tr w:rsidR="00960BB8" w14:paraId="5A1AFC2F" w14:textId="77777777">
        <w:trPr>
          <w:trHeight w:val="300"/>
        </w:trPr>
        <w:tc>
          <w:tcPr>
            <w:tcW w:w="0" w:type="auto"/>
            <w:gridSpan w:val="6"/>
            <w:shd w:val="clear" w:color="auto" w:fill="auto"/>
            <w:tcMar>
              <w:top w:w="40" w:type="dxa"/>
              <w:left w:w="20" w:type="dxa"/>
              <w:bottom w:w="40" w:type="dxa"/>
              <w:right w:w="20" w:type="dxa"/>
            </w:tcMar>
            <w:vAlign w:val="bottom"/>
          </w:tcPr>
          <w:p w14:paraId="5A1AFC2D" w14:textId="77777777" w:rsidR="00960BB8" w:rsidRDefault="00C06650">
            <w:pPr>
              <w:textAlignment w:val="bottom"/>
            </w:pPr>
            <w:r>
              <w:rPr>
                <w:rFonts w:ascii="Arial" w:eastAsia="宋体" w:hAnsi="Arial" w:cs="Arial"/>
                <w:color w:val="0068B5"/>
                <w:sz w:val="20"/>
                <w:szCs w:val="20"/>
              </w:rPr>
              <w:t>Key Developments</w:t>
            </w:r>
          </w:p>
        </w:tc>
        <w:tc>
          <w:tcPr>
            <w:tcW w:w="0" w:type="auto"/>
            <w:gridSpan w:val="3"/>
            <w:shd w:val="clear" w:color="auto" w:fill="auto"/>
            <w:tcMar>
              <w:top w:w="0" w:type="dxa"/>
              <w:left w:w="20" w:type="dxa"/>
              <w:bottom w:w="0" w:type="dxa"/>
              <w:right w:w="20" w:type="dxa"/>
            </w:tcMar>
            <w:vAlign w:val="bottom"/>
          </w:tcPr>
          <w:p w14:paraId="5A1AFC2E" w14:textId="77777777" w:rsidR="00960BB8" w:rsidRDefault="00960BB8">
            <w:pPr>
              <w:rPr>
                <w:rFonts w:ascii="宋体"/>
              </w:rPr>
            </w:pPr>
          </w:p>
        </w:tc>
      </w:tr>
      <w:tr w:rsidR="00960BB8" w14:paraId="5A1AFC33" w14:textId="77777777">
        <w:trPr>
          <w:trHeight w:val="30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C30"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AFC3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C32" w14:textId="77777777" w:rsidR="00960BB8" w:rsidRDefault="00960BB8">
            <w:pPr>
              <w:rPr>
                <w:rFonts w:ascii="宋体"/>
              </w:rPr>
            </w:pPr>
          </w:p>
        </w:tc>
      </w:tr>
      <w:tr w:rsidR="00960BB8" w14:paraId="5A1AFC36" w14:textId="77777777">
        <w:trPr>
          <w:trHeight w:val="480"/>
        </w:trPr>
        <w:tc>
          <w:tcPr>
            <w:tcW w:w="0" w:type="auto"/>
            <w:gridSpan w:val="3"/>
            <w:shd w:val="clear" w:color="auto" w:fill="auto"/>
            <w:tcMar>
              <w:top w:w="40" w:type="dxa"/>
              <w:left w:w="20" w:type="dxa"/>
              <w:bottom w:w="40" w:type="dxa"/>
              <w:right w:w="20" w:type="dxa"/>
            </w:tcMar>
          </w:tcPr>
          <w:p w14:paraId="5A1AFC34"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C35" w14:textId="77777777" w:rsidR="00960BB8" w:rsidRDefault="00C06650">
            <w:pPr>
              <w:textAlignment w:val="top"/>
            </w:pPr>
            <w:r>
              <w:rPr>
                <w:rFonts w:ascii="Arial" w:eastAsia="宋体" w:hAnsi="Arial" w:cs="Arial"/>
                <w:color w:val="000000"/>
                <w:sz w:val="18"/>
                <w:szCs w:val="18"/>
              </w:rPr>
              <w:t xml:space="preserve">Our revenue was $837 million, up 8% in 2022. Operating loss was $1.7 billion, compared to a loss of $1.2 billion in 2021, primarily due to </w:t>
            </w:r>
            <w:r>
              <w:rPr>
                <w:rFonts w:ascii="Arial" w:eastAsia="宋体" w:hAnsi="Arial" w:cs="Arial"/>
                <w:color w:val="000000"/>
                <w:sz w:val="18"/>
                <w:szCs w:val="18"/>
              </w:rPr>
              <w:t>increased inventory reserves taken and investments in our product roadmap.</w:t>
            </w:r>
          </w:p>
        </w:tc>
      </w:tr>
      <w:tr w:rsidR="00960BB8" w14:paraId="5A1AFC39" w14:textId="77777777">
        <w:trPr>
          <w:trHeight w:val="480"/>
        </w:trPr>
        <w:tc>
          <w:tcPr>
            <w:tcW w:w="0" w:type="auto"/>
            <w:gridSpan w:val="3"/>
            <w:shd w:val="clear" w:color="auto" w:fill="auto"/>
            <w:tcMar>
              <w:top w:w="40" w:type="dxa"/>
              <w:left w:w="20" w:type="dxa"/>
              <w:bottom w:w="40" w:type="dxa"/>
              <w:right w:w="20" w:type="dxa"/>
            </w:tcMar>
          </w:tcPr>
          <w:p w14:paraId="5A1AFC37"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C38" w14:textId="77777777" w:rsidR="00960BB8" w:rsidRDefault="00C06650">
            <w:pPr>
              <w:spacing w:after="180"/>
              <w:textAlignment w:val="top"/>
            </w:pPr>
            <w:r>
              <w:rPr>
                <w:rFonts w:ascii="Arial" w:eastAsia="宋体" w:hAnsi="Arial" w:cs="Arial"/>
                <w:color w:val="262626"/>
                <w:sz w:val="18"/>
                <w:szCs w:val="18"/>
              </w:rPr>
              <w:t>We launched our Intel Arc A-series GPUs, also known as Alchemist, which offer industry-leading advanced features, including hardware accelerated ray tracing, X</w:t>
            </w:r>
            <w:r>
              <w:rPr>
                <w:rFonts w:ascii="Arial" w:eastAsia="宋体" w:hAnsi="Arial" w:cs="Arial"/>
                <w:color w:val="262626"/>
                <w:sz w:val="11"/>
                <w:szCs w:val="11"/>
              </w:rPr>
              <w:t>e</w:t>
            </w:r>
            <w:r>
              <w:rPr>
                <w:rFonts w:ascii="Arial" w:eastAsia="宋体" w:hAnsi="Arial" w:cs="Arial"/>
                <w:color w:val="262626"/>
                <w:sz w:val="18"/>
                <w:szCs w:val="18"/>
              </w:rPr>
              <w:t xml:space="preserve"> Super Sampling AI-driven upscaling technology, and Intel</w:t>
            </w:r>
            <w:r>
              <w:rPr>
                <w:rFonts w:ascii="Arial" w:eastAsia="宋体" w:hAnsi="Arial" w:cs="Arial"/>
                <w:color w:val="262626"/>
                <w:sz w:val="11"/>
                <w:szCs w:val="11"/>
              </w:rPr>
              <w:t>®</w:t>
            </w:r>
            <w:r>
              <w:rPr>
                <w:rFonts w:ascii="Arial" w:eastAsia="宋体" w:hAnsi="Arial" w:cs="Arial"/>
                <w:color w:val="262626"/>
                <w:sz w:val="18"/>
                <w:szCs w:val="18"/>
              </w:rPr>
              <w:t xml:space="preserve"> Deep Link technology.</w:t>
            </w:r>
          </w:p>
        </w:tc>
      </w:tr>
      <w:tr w:rsidR="00960BB8" w14:paraId="5A1AFC3C" w14:textId="77777777">
        <w:trPr>
          <w:trHeight w:val="280"/>
        </w:trPr>
        <w:tc>
          <w:tcPr>
            <w:tcW w:w="0" w:type="auto"/>
            <w:gridSpan w:val="3"/>
            <w:shd w:val="clear" w:color="auto" w:fill="auto"/>
            <w:tcMar>
              <w:top w:w="40" w:type="dxa"/>
              <w:left w:w="20" w:type="dxa"/>
              <w:bottom w:w="40" w:type="dxa"/>
              <w:right w:w="20" w:type="dxa"/>
            </w:tcMar>
          </w:tcPr>
          <w:p w14:paraId="5A1AFC3A"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C3B" w14:textId="77777777" w:rsidR="00960BB8" w:rsidRDefault="00C06650">
            <w:pPr>
              <w:spacing w:after="180"/>
              <w:textAlignment w:val="top"/>
            </w:pPr>
            <w:r>
              <w:rPr>
                <w:rFonts w:ascii="Arial" w:eastAsia="宋体" w:hAnsi="Arial" w:cs="Arial"/>
                <w:color w:val="262626"/>
                <w:sz w:val="18"/>
                <w:szCs w:val="18"/>
              </w:rPr>
              <w:t>We launched Ponte Vecchio, the first X</w:t>
            </w:r>
            <w:r>
              <w:rPr>
                <w:rFonts w:ascii="Arial" w:eastAsia="宋体" w:hAnsi="Arial" w:cs="Arial"/>
                <w:color w:val="262626"/>
                <w:sz w:val="11"/>
                <w:szCs w:val="11"/>
              </w:rPr>
              <w:t>e</w:t>
            </w:r>
            <w:r>
              <w:rPr>
                <w:rFonts w:ascii="Arial" w:eastAsia="宋体" w:hAnsi="Arial" w:cs="Arial"/>
                <w:color w:val="262626"/>
                <w:sz w:val="18"/>
                <w:szCs w:val="18"/>
              </w:rPr>
              <w:t>-based GPU optimized for high-performance computing and AI workloads.</w:t>
            </w:r>
          </w:p>
        </w:tc>
      </w:tr>
    </w:tbl>
    <w:p w14:paraId="5A1AFC3D" w14:textId="77777777" w:rsidR="00960BB8" w:rsidRDefault="00960BB8">
      <w:pPr>
        <w:ind w:hanging="90"/>
      </w:pPr>
    </w:p>
    <w:p w14:paraId="5A1AFC3E" w14:textId="77777777" w:rsidR="00960BB8" w:rsidRDefault="00960BB8">
      <w:pPr>
        <w:ind w:hanging="90"/>
      </w:pPr>
    </w:p>
    <w:p w14:paraId="5A1AFC3F" w14:textId="77777777" w:rsidR="00960BB8" w:rsidRDefault="00960BB8">
      <w:pPr>
        <w:ind w:hanging="90"/>
      </w:pPr>
    </w:p>
    <w:p w14:paraId="5A1AFC40" w14:textId="77777777" w:rsidR="00960BB8" w:rsidRDefault="00960BB8">
      <w:pPr>
        <w:ind w:hanging="9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C4A" w14:textId="77777777">
        <w:tc>
          <w:tcPr>
            <w:tcW w:w="50" w:type="pct"/>
            <w:shd w:val="clear" w:color="auto" w:fill="auto"/>
            <w:vAlign w:val="bottom"/>
          </w:tcPr>
          <w:p w14:paraId="5A1AFC41" w14:textId="77777777" w:rsidR="00960BB8" w:rsidRDefault="00960BB8">
            <w:pPr>
              <w:rPr>
                <w:rFonts w:ascii="宋体"/>
              </w:rPr>
            </w:pPr>
          </w:p>
        </w:tc>
        <w:tc>
          <w:tcPr>
            <w:tcW w:w="283" w:type="pct"/>
            <w:shd w:val="clear" w:color="auto" w:fill="auto"/>
            <w:vAlign w:val="bottom"/>
          </w:tcPr>
          <w:p w14:paraId="5A1AFC42" w14:textId="77777777" w:rsidR="00960BB8" w:rsidRDefault="00960BB8">
            <w:pPr>
              <w:rPr>
                <w:rFonts w:ascii="宋体"/>
              </w:rPr>
            </w:pPr>
          </w:p>
        </w:tc>
        <w:tc>
          <w:tcPr>
            <w:tcW w:w="5" w:type="pct"/>
            <w:shd w:val="clear" w:color="auto" w:fill="auto"/>
            <w:vAlign w:val="bottom"/>
          </w:tcPr>
          <w:p w14:paraId="5A1AFC43" w14:textId="77777777" w:rsidR="00960BB8" w:rsidRDefault="00960BB8">
            <w:pPr>
              <w:rPr>
                <w:rFonts w:ascii="宋体"/>
              </w:rPr>
            </w:pPr>
          </w:p>
        </w:tc>
        <w:tc>
          <w:tcPr>
            <w:tcW w:w="50" w:type="pct"/>
            <w:shd w:val="clear" w:color="auto" w:fill="auto"/>
            <w:vAlign w:val="bottom"/>
          </w:tcPr>
          <w:p w14:paraId="5A1AFC44" w14:textId="77777777" w:rsidR="00960BB8" w:rsidRDefault="00960BB8">
            <w:pPr>
              <w:rPr>
                <w:rFonts w:ascii="宋体"/>
              </w:rPr>
            </w:pPr>
          </w:p>
        </w:tc>
        <w:tc>
          <w:tcPr>
            <w:tcW w:w="2656" w:type="pct"/>
            <w:shd w:val="clear" w:color="auto" w:fill="auto"/>
            <w:vAlign w:val="bottom"/>
          </w:tcPr>
          <w:p w14:paraId="5A1AFC45" w14:textId="77777777" w:rsidR="00960BB8" w:rsidRDefault="00960BB8">
            <w:pPr>
              <w:rPr>
                <w:rFonts w:ascii="宋体"/>
              </w:rPr>
            </w:pPr>
          </w:p>
        </w:tc>
        <w:tc>
          <w:tcPr>
            <w:tcW w:w="5" w:type="pct"/>
            <w:shd w:val="clear" w:color="auto" w:fill="auto"/>
            <w:vAlign w:val="bottom"/>
          </w:tcPr>
          <w:p w14:paraId="5A1AFC46" w14:textId="77777777" w:rsidR="00960BB8" w:rsidRDefault="00960BB8">
            <w:pPr>
              <w:rPr>
                <w:rFonts w:ascii="宋体"/>
              </w:rPr>
            </w:pPr>
          </w:p>
        </w:tc>
        <w:tc>
          <w:tcPr>
            <w:tcW w:w="50" w:type="pct"/>
            <w:shd w:val="clear" w:color="auto" w:fill="auto"/>
            <w:vAlign w:val="bottom"/>
          </w:tcPr>
          <w:p w14:paraId="5A1AFC47" w14:textId="77777777" w:rsidR="00960BB8" w:rsidRDefault="00960BB8">
            <w:pPr>
              <w:rPr>
                <w:rFonts w:ascii="宋体"/>
              </w:rPr>
            </w:pPr>
          </w:p>
        </w:tc>
        <w:tc>
          <w:tcPr>
            <w:tcW w:w="1894" w:type="pct"/>
            <w:shd w:val="clear" w:color="auto" w:fill="auto"/>
            <w:vAlign w:val="bottom"/>
          </w:tcPr>
          <w:p w14:paraId="5A1AFC48" w14:textId="77777777" w:rsidR="00960BB8" w:rsidRDefault="00960BB8">
            <w:pPr>
              <w:rPr>
                <w:rFonts w:ascii="宋体"/>
              </w:rPr>
            </w:pPr>
          </w:p>
        </w:tc>
        <w:tc>
          <w:tcPr>
            <w:tcW w:w="5" w:type="pct"/>
            <w:shd w:val="clear" w:color="auto" w:fill="auto"/>
            <w:vAlign w:val="bottom"/>
          </w:tcPr>
          <w:p w14:paraId="5A1AFC49" w14:textId="77777777" w:rsidR="00960BB8" w:rsidRDefault="00960BB8">
            <w:pPr>
              <w:rPr>
                <w:rFonts w:ascii="宋体"/>
              </w:rPr>
            </w:pPr>
          </w:p>
        </w:tc>
      </w:tr>
      <w:tr w:rsidR="00960BB8" w14:paraId="5A1AFC4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C4B"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CF" wp14:editId="5A1B43D0">
                  <wp:extent cx="304800" cy="304800"/>
                  <wp:effectExtent l="0" t="0" r="0" b="0"/>
                  <wp:docPr id="201" name="图片 14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4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C4C"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C4D" w14:textId="77777777" w:rsidR="00960BB8" w:rsidRDefault="00C06650">
            <w:pPr>
              <w:jc w:val="right"/>
              <w:textAlignment w:val="center"/>
            </w:pPr>
            <w:r>
              <w:rPr>
                <w:rFonts w:ascii="Arial" w:eastAsia="宋体" w:hAnsi="Arial" w:cs="Arial"/>
                <w:color w:val="262626"/>
                <w:sz w:val="16"/>
                <w:szCs w:val="16"/>
              </w:rPr>
              <w:t>33</w:t>
            </w:r>
          </w:p>
        </w:tc>
      </w:tr>
    </w:tbl>
    <w:p w14:paraId="5A1AFC4F" w14:textId="77777777" w:rsidR="00960BB8" w:rsidRDefault="00C06650">
      <w:r>
        <w:pict w14:anchorId="5A1B43D1">
          <v:rect id="_x0000_i1059" style="width:415.3pt;height:1.5pt" o:hralign="center" o:hrstd="t" o:hr="t" fillcolor="#a0a0a0" stroked="f"/>
        </w:pict>
      </w:r>
    </w:p>
    <w:p w14:paraId="5A1AFC50" w14:textId="77777777" w:rsidR="00960BB8" w:rsidRDefault="00C06650">
      <w:pPr>
        <w:jc w:val="right"/>
      </w:pPr>
      <w:hyperlink r:id="rId53" w:anchor="i8aaa7b4dbd2e419ca0f5c30af85a11aa_16" w:history="1">
        <w:r>
          <w:rPr>
            <w:rStyle w:val="a5"/>
            <w:rFonts w:ascii="Arial" w:eastAsia="宋体" w:hAnsi="Arial" w:cs="Arial"/>
            <w:b/>
            <w:bCs/>
            <w:sz w:val="16"/>
            <w:szCs w:val="16"/>
          </w:rPr>
          <w:t>Table of Contents</w:t>
        </w:r>
      </w:hyperlink>
    </w:p>
    <w:p w14:paraId="5A1AFC51" w14:textId="77777777" w:rsidR="00960BB8" w:rsidRDefault="00960BB8">
      <w:pPr>
        <w:jc w:val="right"/>
      </w:pPr>
    </w:p>
    <w:p w14:paraId="5A1AFC52" w14:textId="77777777" w:rsidR="00960BB8" w:rsidRDefault="00C06650">
      <w:pPr>
        <w:spacing w:after="180"/>
      </w:pPr>
      <w:r>
        <w:rPr>
          <w:rFonts w:ascii="Arial" w:eastAsia="宋体" w:hAnsi="Arial" w:cs="Arial"/>
          <w:color w:val="0068B5"/>
        </w:rPr>
        <w:t>Market and Business Overview</w:t>
      </w:r>
    </w:p>
    <w:p w14:paraId="5A1AFC53" w14:textId="77777777" w:rsidR="00960BB8" w:rsidRDefault="00C06650">
      <w:pPr>
        <w:spacing w:after="120"/>
      </w:pPr>
      <w:r>
        <w:rPr>
          <w:rFonts w:ascii="Arial" w:eastAsia="宋体" w:hAnsi="Arial" w:cs="Arial"/>
          <w:color w:val="0068B5"/>
          <w:sz w:val="20"/>
          <w:szCs w:val="20"/>
        </w:rPr>
        <w:t>Market Trends and Strategy</w:t>
      </w:r>
    </w:p>
    <w:p w14:paraId="5A1AFC54" w14:textId="77777777" w:rsidR="00960BB8" w:rsidRDefault="00C06650">
      <w:pPr>
        <w:spacing w:after="180"/>
      </w:pPr>
      <w:r>
        <w:rPr>
          <w:rFonts w:ascii="Arial" w:eastAsia="宋体" w:hAnsi="Arial" w:cs="Arial"/>
          <w:color w:val="262626"/>
          <w:sz w:val="18"/>
          <w:szCs w:val="18"/>
        </w:rPr>
        <w:t>We are surrounded by immers</w:t>
      </w:r>
      <w:r>
        <w:rPr>
          <w:rFonts w:ascii="Arial" w:eastAsia="宋体" w:hAnsi="Arial" w:cs="Arial"/>
          <w:color w:val="262626"/>
          <w:sz w:val="18"/>
          <w:szCs w:val="18"/>
        </w:rPr>
        <w:t xml:space="preserve">ive and visual content. Technology has made great advances in computer graphics, gaming and media, and AI supercomputing technologies that have enabled us to push toward simulating everything. The pursuit of simulating everything is driving the demand for </w:t>
      </w:r>
      <w:r>
        <w:rPr>
          <w:rFonts w:ascii="Arial" w:eastAsia="宋体" w:hAnsi="Arial" w:cs="Arial"/>
          <w:color w:val="262626"/>
          <w:sz w:val="18"/>
          <w:szCs w:val="18"/>
        </w:rPr>
        <w:t>accelerated computing. To address that opportunity, we are developing products that cover gaming and content creation, and that can enable consumers to experience immersive, photo-realistic virtual worlds. Our high-performance computing products are intend</w:t>
      </w:r>
      <w:r>
        <w:rPr>
          <w:rFonts w:ascii="Arial" w:eastAsia="宋体" w:hAnsi="Arial" w:cs="Arial"/>
          <w:color w:val="262626"/>
          <w:sz w:val="18"/>
          <w:szCs w:val="18"/>
        </w:rPr>
        <w:t>ed to power supercomputers that simulate our world from submicron levels to the entire galaxy. We are also building tailored products and have custom design services that we believe will unlock additional market opportunities.</w:t>
      </w:r>
    </w:p>
    <w:p w14:paraId="5A1AFC55" w14:textId="77777777" w:rsidR="00960BB8" w:rsidRDefault="00C06650">
      <w:pPr>
        <w:spacing w:after="180"/>
      </w:pPr>
      <w:r>
        <w:rPr>
          <w:rFonts w:ascii="Arial" w:eastAsia="宋体" w:hAnsi="Arial" w:cs="Arial"/>
          <w:color w:val="262626"/>
          <w:sz w:val="18"/>
          <w:szCs w:val="18"/>
        </w:rPr>
        <w:t xml:space="preserve">We leverage Intel’s </w:t>
      </w:r>
      <w:r>
        <w:rPr>
          <w:rFonts w:ascii="Arial" w:eastAsia="宋体" w:hAnsi="Arial" w:cs="Arial"/>
          <w:color w:val="262626"/>
          <w:sz w:val="18"/>
          <w:szCs w:val="18"/>
        </w:rPr>
        <w:t>expansive portfolio of IP cores and technologies, from our process and packaging to our x86 architecture and a rich set of open software tools, libraries, drivers, and operating systems. We build upon the core foundation and combine our scalable X</w:t>
      </w:r>
      <w:r>
        <w:rPr>
          <w:rFonts w:ascii="Arial" w:eastAsia="宋体" w:hAnsi="Arial" w:cs="Arial"/>
          <w:color w:val="262626"/>
          <w:sz w:val="11"/>
          <w:szCs w:val="11"/>
        </w:rPr>
        <w:t>e</w:t>
      </w:r>
      <w:r>
        <w:rPr>
          <w:rFonts w:ascii="Arial" w:eastAsia="宋体" w:hAnsi="Arial" w:cs="Arial"/>
          <w:color w:val="262626"/>
          <w:sz w:val="18"/>
          <w:szCs w:val="18"/>
        </w:rPr>
        <w:t xml:space="preserve"> Archite</w:t>
      </w:r>
      <w:r>
        <w:rPr>
          <w:rFonts w:ascii="Arial" w:eastAsia="宋体" w:hAnsi="Arial" w:cs="Arial"/>
          <w:color w:val="262626"/>
          <w:sz w:val="18"/>
          <w:szCs w:val="18"/>
        </w:rPr>
        <w:t xml:space="preserve">cture and acceleration IP blocks to address the accelerated computing market. </w:t>
      </w:r>
    </w:p>
    <w:p w14:paraId="5A1AFC56" w14:textId="77777777" w:rsidR="00960BB8" w:rsidRDefault="00C06650">
      <w:pPr>
        <w:spacing w:after="120"/>
      </w:pPr>
      <w:r>
        <w:rPr>
          <w:rFonts w:ascii="Arial" w:eastAsia="宋体" w:hAnsi="Arial" w:cs="Arial"/>
          <w:color w:val="0068B5"/>
          <w:sz w:val="20"/>
          <w:szCs w:val="20"/>
        </w:rPr>
        <w:t>Products and Competitiveness</w:t>
      </w:r>
    </w:p>
    <w:p w14:paraId="5A1AFC57" w14:textId="77777777" w:rsidR="00960BB8" w:rsidRDefault="00C06650">
      <w:pPr>
        <w:spacing w:after="180"/>
      </w:pPr>
      <w:r>
        <w:rPr>
          <w:rFonts w:ascii="Arial" w:eastAsia="宋体" w:hAnsi="Arial" w:cs="Arial"/>
          <w:color w:val="262626"/>
          <w:sz w:val="18"/>
          <w:szCs w:val="18"/>
        </w:rPr>
        <w:t xml:space="preserve">We operate in a very competitive market. NVIDIA is a competitor in the GPU and CPU market for high-performance computing and AI, as well as </w:t>
      </w:r>
      <w:r>
        <w:rPr>
          <w:rFonts w:ascii="Arial" w:eastAsia="宋体" w:hAnsi="Arial" w:cs="Arial"/>
          <w:color w:val="262626"/>
          <w:sz w:val="18"/>
          <w:szCs w:val="18"/>
        </w:rPr>
        <w:t>graphics solutions for content creation and gaming. AMD is also a competitor in the client and server segments with its line of GPUs and CPUs. CSPs are both customers and indirect competitors as they integrate vertically.</w:t>
      </w:r>
    </w:p>
    <w:p w14:paraId="5A1AFC58" w14:textId="77777777" w:rsidR="00960BB8" w:rsidRDefault="00C06650">
      <w:pPr>
        <w:spacing w:after="180"/>
      </w:pPr>
      <w:r>
        <w:rPr>
          <w:rFonts w:ascii="Arial" w:eastAsia="宋体" w:hAnsi="Arial" w:cs="Arial"/>
          <w:color w:val="262626"/>
          <w:sz w:val="18"/>
          <w:szCs w:val="18"/>
        </w:rPr>
        <w:t>Our advanced and groundbreaking X</w:t>
      </w:r>
      <w:r>
        <w:rPr>
          <w:rFonts w:ascii="Arial" w:eastAsia="宋体" w:hAnsi="Arial" w:cs="Arial"/>
          <w:color w:val="262626"/>
          <w:sz w:val="11"/>
          <w:szCs w:val="11"/>
        </w:rPr>
        <w:t>e</w:t>
      </w:r>
      <w:r>
        <w:rPr>
          <w:rFonts w:ascii="Arial" w:eastAsia="宋体" w:hAnsi="Arial" w:cs="Arial"/>
          <w:color w:val="262626"/>
          <w:sz w:val="18"/>
          <w:szCs w:val="18"/>
        </w:rPr>
        <w:t xml:space="preserve"> Architecture excels at rendering content and accelerating computing that scales from the client to the data center. We empower the industry with open and scalable toolkits and software libraries that enable heterogeneous compute through our oneAPI program</w:t>
      </w:r>
      <w:r>
        <w:rPr>
          <w:rFonts w:ascii="Arial" w:eastAsia="宋体" w:hAnsi="Arial" w:cs="Arial"/>
          <w:color w:val="262626"/>
          <w:sz w:val="18"/>
          <w:szCs w:val="18"/>
        </w:rPr>
        <w:t>ming model. Intel Arc graphics is our high-performance graphics offering for gaming, content creation, and emerging opportunities to enable persistent and immersive computing. To provide a valuable user experience and bring Intel Arc graphics to market, we</w:t>
      </w:r>
      <w:r>
        <w:rPr>
          <w:rFonts w:ascii="Arial" w:eastAsia="宋体" w:hAnsi="Arial" w:cs="Arial"/>
          <w:color w:val="262626"/>
          <w:sz w:val="18"/>
          <w:szCs w:val="18"/>
        </w:rPr>
        <w:t xml:space="preserve"> work with hundreds of software partners to deliver games and applications that are designed to work seamlessly with our products. We also collaborate with the ecosystem to integrate new functionality and features that take advantage of both our hardware a</w:t>
      </w:r>
      <w:r>
        <w:rPr>
          <w:rFonts w:ascii="Arial" w:eastAsia="宋体" w:hAnsi="Arial" w:cs="Arial"/>
          <w:color w:val="262626"/>
          <w:sz w:val="18"/>
          <w:szCs w:val="18"/>
        </w:rPr>
        <w:t>nd software technologies to boost performance and enable high-quality rendering and fluid frame rates.</w:t>
      </w:r>
    </w:p>
    <w:p w14:paraId="5A1AFC59" w14:textId="77777777" w:rsidR="00960BB8" w:rsidRDefault="00C06650">
      <w:pPr>
        <w:spacing w:after="180"/>
      </w:pPr>
      <w:r>
        <w:rPr>
          <w:rFonts w:ascii="Arial" w:eastAsia="宋体" w:hAnsi="Arial" w:cs="Arial"/>
          <w:color w:val="262626"/>
          <w:sz w:val="18"/>
          <w:szCs w:val="18"/>
        </w:rPr>
        <w:t xml:space="preserve">High-performance computing takes advantage of our CPUs and GPUs to power supercomputers that tackle the most computationally challenging problems of our </w:t>
      </w:r>
      <w:r>
        <w:rPr>
          <w:rFonts w:ascii="Arial" w:eastAsia="宋体" w:hAnsi="Arial" w:cs="Arial"/>
          <w:color w:val="262626"/>
          <w:sz w:val="18"/>
          <w:szCs w:val="18"/>
        </w:rPr>
        <w:t>increasingly complex world. Today, many of the world’s supercomputers are based on Intel Xeon processors. Our CPU roadmap strategy is to build upon this foundation and extend to higher compute and memory bandwidth for workloads with increasingly large data</w:t>
      </w:r>
      <w:r>
        <w:rPr>
          <w:rFonts w:ascii="Arial" w:eastAsia="宋体" w:hAnsi="Arial" w:cs="Arial"/>
          <w:color w:val="262626"/>
          <w:sz w:val="18"/>
          <w:szCs w:val="18"/>
        </w:rPr>
        <w:t xml:space="preserve"> sets.</w:t>
      </w:r>
    </w:p>
    <w:p w14:paraId="5A1AFC5A" w14:textId="77777777" w:rsidR="00960BB8" w:rsidRDefault="00C06650">
      <w:pPr>
        <w:spacing w:after="180"/>
      </w:pPr>
      <w:r>
        <w:rPr>
          <w:rFonts w:ascii="Arial" w:eastAsia="宋体" w:hAnsi="Arial" w:cs="Arial"/>
          <w:color w:val="262626"/>
          <w:sz w:val="18"/>
          <w:szCs w:val="18"/>
        </w:rPr>
        <w:t>Our flagship data center GPU, Ponte Vecchio, is designed to take on the most demanding AI and high-performance computing workloads. Combining Ponte Vecchio with Intel Xeon processors can supercharge a platform’s compute density. Our oneAPI cross-arc</w:t>
      </w:r>
      <w:r>
        <w:rPr>
          <w:rFonts w:ascii="Arial" w:eastAsia="宋体" w:hAnsi="Arial" w:cs="Arial"/>
          <w:color w:val="262626"/>
          <w:sz w:val="18"/>
          <w:szCs w:val="18"/>
        </w:rPr>
        <w:t>hitecture programming model is architected to leverage the broad software ecosystem of Intel Xeon processors so that software developers can work across a range of CPUs and accelerators with a single code base.</w:t>
      </w:r>
    </w:p>
    <w:p w14:paraId="5A1AFC5B" w14:textId="77777777" w:rsidR="00960BB8" w:rsidRDefault="00C06650">
      <w:pPr>
        <w:spacing w:after="180"/>
      </w:pPr>
      <w:r>
        <w:rPr>
          <w:rFonts w:ascii="Arial" w:eastAsia="宋体" w:hAnsi="Arial" w:cs="Arial"/>
          <w:color w:val="262626"/>
          <w:sz w:val="18"/>
          <w:szCs w:val="18"/>
        </w:rPr>
        <w:t>With a rich portfolio and a strong roadmap fo</w:t>
      </w:r>
      <w:r>
        <w:rPr>
          <w:rFonts w:ascii="Arial" w:eastAsia="宋体" w:hAnsi="Arial" w:cs="Arial"/>
          <w:color w:val="262626"/>
          <w:sz w:val="18"/>
          <w:szCs w:val="18"/>
        </w:rPr>
        <w:t>r leadership in visual computing, supercomputing, and custom computing, we have a unique opportunity to define the future of computing and accelerate growth for Intel.</w:t>
      </w:r>
    </w:p>
    <w:p w14:paraId="5A1AFC5C" w14:textId="77777777" w:rsidR="00960BB8" w:rsidRDefault="00960BB8">
      <w:pPr>
        <w:spacing w:after="180"/>
      </w:pPr>
    </w:p>
    <w:p w14:paraId="5A1AFC5D" w14:textId="77777777" w:rsidR="00960BB8" w:rsidRDefault="00960BB8">
      <w:pPr>
        <w:spacing w:after="180"/>
      </w:pPr>
    </w:p>
    <w:p w14:paraId="5A1AFC5E" w14:textId="77777777" w:rsidR="00960BB8" w:rsidRDefault="00960BB8">
      <w:pPr>
        <w:jc w:val="center"/>
      </w:pPr>
    </w:p>
    <w:p w14:paraId="5A1AFC5F" w14:textId="77777777" w:rsidR="00960BB8" w:rsidRDefault="00960BB8">
      <w:pPr>
        <w:jc w:val="center"/>
      </w:pPr>
    </w:p>
    <w:p w14:paraId="5A1AFC60" w14:textId="77777777" w:rsidR="00960BB8" w:rsidRDefault="00960BB8">
      <w:pPr>
        <w:jc w:val="center"/>
      </w:pPr>
    </w:p>
    <w:p w14:paraId="5A1AFC61" w14:textId="77777777" w:rsidR="00960BB8" w:rsidRDefault="00960BB8">
      <w:pPr>
        <w:jc w:val="center"/>
      </w:pPr>
    </w:p>
    <w:p w14:paraId="5A1AFC62" w14:textId="77777777" w:rsidR="00960BB8" w:rsidRDefault="00960BB8">
      <w:pPr>
        <w:jc w:val="center"/>
      </w:pPr>
    </w:p>
    <w:p w14:paraId="5A1AFC63" w14:textId="77777777" w:rsidR="00960BB8" w:rsidRDefault="00960BB8">
      <w:pPr>
        <w:jc w:val="center"/>
      </w:pPr>
    </w:p>
    <w:p w14:paraId="5A1AFC64" w14:textId="77777777" w:rsidR="00960BB8" w:rsidRDefault="00960BB8">
      <w:pPr>
        <w:jc w:val="center"/>
      </w:pPr>
    </w:p>
    <w:p w14:paraId="5A1AFC65" w14:textId="77777777" w:rsidR="00960BB8" w:rsidRDefault="00960BB8">
      <w:pPr>
        <w:jc w:val="center"/>
      </w:pPr>
    </w:p>
    <w:p w14:paraId="5A1AFC66" w14:textId="77777777" w:rsidR="00960BB8" w:rsidRDefault="00960BB8">
      <w:pPr>
        <w:jc w:val="center"/>
      </w:pPr>
    </w:p>
    <w:p w14:paraId="5A1AFC67" w14:textId="77777777" w:rsidR="00960BB8" w:rsidRDefault="00960BB8">
      <w:pPr>
        <w:jc w:val="center"/>
      </w:pPr>
    </w:p>
    <w:p w14:paraId="5A1AFC68" w14:textId="77777777" w:rsidR="00960BB8" w:rsidRDefault="00960BB8">
      <w:pPr>
        <w:jc w:val="center"/>
      </w:pPr>
    </w:p>
    <w:p w14:paraId="5A1AFC69" w14:textId="77777777" w:rsidR="00960BB8" w:rsidRDefault="00960BB8">
      <w:pPr>
        <w:jc w:val="center"/>
      </w:pPr>
    </w:p>
    <w:p w14:paraId="5A1AFC6A" w14:textId="77777777" w:rsidR="00960BB8" w:rsidRDefault="00960BB8">
      <w:pPr>
        <w:jc w:val="center"/>
      </w:pPr>
    </w:p>
    <w:p w14:paraId="5A1AFC6B" w14:textId="77777777" w:rsidR="00960BB8" w:rsidRDefault="00960BB8">
      <w:pPr>
        <w:jc w:val="center"/>
      </w:pPr>
    </w:p>
    <w:p w14:paraId="5A1AFC6C" w14:textId="77777777" w:rsidR="00960BB8" w:rsidRDefault="00960BB8">
      <w:pPr>
        <w:jc w:val="center"/>
      </w:pPr>
    </w:p>
    <w:p w14:paraId="5A1AFC6D" w14:textId="77777777" w:rsidR="00960BB8" w:rsidRDefault="00960BB8">
      <w:pPr>
        <w:jc w:val="center"/>
      </w:pPr>
    </w:p>
    <w:p w14:paraId="5A1AFC6E" w14:textId="77777777" w:rsidR="00960BB8" w:rsidRDefault="00960BB8">
      <w:pPr>
        <w:jc w:val="center"/>
      </w:pPr>
    </w:p>
    <w:p w14:paraId="5A1AFC6F" w14:textId="77777777" w:rsidR="00960BB8" w:rsidRDefault="00960BB8">
      <w:pPr>
        <w:jc w:val="center"/>
      </w:pPr>
    </w:p>
    <w:p w14:paraId="5A1AFC70" w14:textId="77777777" w:rsidR="00960BB8" w:rsidRDefault="00960BB8">
      <w:pPr>
        <w:jc w:val="center"/>
      </w:pPr>
    </w:p>
    <w:p w14:paraId="5A1AFC71" w14:textId="77777777" w:rsidR="00960BB8" w:rsidRDefault="00960BB8">
      <w:pPr>
        <w:jc w:val="center"/>
      </w:pPr>
    </w:p>
    <w:p w14:paraId="5A1AFC72" w14:textId="77777777" w:rsidR="00960BB8" w:rsidRDefault="00960BB8">
      <w:pPr>
        <w:jc w:val="center"/>
      </w:pPr>
    </w:p>
    <w:p w14:paraId="5A1AFC73" w14:textId="77777777" w:rsidR="00960BB8" w:rsidRDefault="00960BB8">
      <w:pPr>
        <w:jc w:val="center"/>
      </w:pPr>
    </w:p>
    <w:p w14:paraId="5A1AFC74"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C7E" w14:textId="77777777">
        <w:tc>
          <w:tcPr>
            <w:tcW w:w="50" w:type="pct"/>
            <w:shd w:val="clear" w:color="auto" w:fill="auto"/>
            <w:vAlign w:val="bottom"/>
          </w:tcPr>
          <w:p w14:paraId="5A1AFC75" w14:textId="77777777" w:rsidR="00960BB8" w:rsidRDefault="00960BB8">
            <w:pPr>
              <w:rPr>
                <w:rFonts w:ascii="宋体"/>
              </w:rPr>
            </w:pPr>
          </w:p>
        </w:tc>
        <w:tc>
          <w:tcPr>
            <w:tcW w:w="283" w:type="pct"/>
            <w:shd w:val="clear" w:color="auto" w:fill="auto"/>
            <w:vAlign w:val="bottom"/>
          </w:tcPr>
          <w:p w14:paraId="5A1AFC76" w14:textId="77777777" w:rsidR="00960BB8" w:rsidRDefault="00960BB8">
            <w:pPr>
              <w:rPr>
                <w:rFonts w:ascii="宋体"/>
              </w:rPr>
            </w:pPr>
          </w:p>
        </w:tc>
        <w:tc>
          <w:tcPr>
            <w:tcW w:w="5" w:type="pct"/>
            <w:shd w:val="clear" w:color="auto" w:fill="auto"/>
            <w:vAlign w:val="bottom"/>
          </w:tcPr>
          <w:p w14:paraId="5A1AFC77" w14:textId="77777777" w:rsidR="00960BB8" w:rsidRDefault="00960BB8">
            <w:pPr>
              <w:rPr>
                <w:rFonts w:ascii="宋体"/>
              </w:rPr>
            </w:pPr>
          </w:p>
        </w:tc>
        <w:tc>
          <w:tcPr>
            <w:tcW w:w="50" w:type="pct"/>
            <w:shd w:val="clear" w:color="auto" w:fill="auto"/>
            <w:vAlign w:val="bottom"/>
          </w:tcPr>
          <w:p w14:paraId="5A1AFC78" w14:textId="77777777" w:rsidR="00960BB8" w:rsidRDefault="00960BB8">
            <w:pPr>
              <w:rPr>
                <w:rFonts w:ascii="宋体"/>
              </w:rPr>
            </w:pPr>
          </w:p>
        </w:tc>
        <w:tc>
          <w:tcPr>
            <w:tcW w:w="2656" w:type="pct"/>
            <w:shd w:val="clear" w:color="auto" w:fill="auto"/>
            <w:vAlign w:val="bottom"/>
          </w:tcPr>
          <w:p w14:paraId="5A1AFC79" w14:textId="77777777" w:rsidR="00960BB8" w:rsidRDefault="00960BB8">
            <w:pPr>
              <w:rPr>
                <w:rFonts w:ascii="宋体"/>
              </w:rPr>
            </w:pPr>
          </w:p>
        </w:tc>
        <w:tc>
          <w:tcPr>
            <w:tcW w:w="5" w:type="pct"/>
            <w:shd w:val="clear" w:color="auto" w:fill="auto"/>
            <w:vAlign w:val="bottom"/>
          </w:tcPr>
          <w:p w14:paraId="5A1AFC7A" w14:textId="77777777" w:rsidR="00960BB8" w:rsidRDefault="00960BB8">
            <w:pPr>
              <w:rPr>
                <w:rFonts w:ascii="宋体"/>
              </w:rPr>
            </w:pPr>
          </w:p>
        </w:tc>
        <w:tc>
          <w:tcPr>
            <w:tcW w:w="50" w:type="pct"/>
            <w:shd w:val="clear" w:color="auto" w:fill="auto"/>
            <w:vAlign w:val="bottom"/>
          </w:tcPr>
          <w:p w14:paraId="5A1AFC7B" w14:textId="77777777" w:rsidR="00960BB8" w:rsidRDefault="00960BB8">
            <w:pPr>
              <w:rPr>
                <w:rFonts w:ascii="宋体"/>
              </w:rPr>
            </w:pPr>
          </w:p>
        </w:tc>
        <w:tc>
          <w:tcPr>
            <w:tcW w:w="1894" w:type="pct"/>
            <w:shd w:val="clear" w:color="auto" w:fill="auto"/>
            <w:vAlign w:val="bottom"/>
          </w:tcPr>
          <w:p w14:paraId="5A1AFC7C" w14:textId="77777777" w:rsidR="00960BB8" w:rsidRDefault="00960BB8">
            <w:pPr>
              <w:rPr>
                <w:rFonts w:ascii="宋体"/>
              </w:rPr>
            </w:pPr>
          </w:p>
        </w:tc>
        <w:tc>
          <w:tcPr>
            <w:tcW w:w="5" w:type="pct"/>
            <w:shd w:val="clear" w:color="auto" w:fill="auto"/>
            <w:vAlign w:val="bottom"/>
          </w:tcPr>
          <w:p w14:paraId="5A1AFC7D" w14:textId="77777777" w:rsidR="00960BB8" w:rsidRDefault="00960BB8">
            <w:pPr>
              <w:rPr>
                <w:rFonts w:ascii="宋体"/>
              </w:rPr>
            </w:pPr>
          </w:p>
        </w:tc>
      </w:tr>
      <w:tr w:rsidR="00960BB8" w14:paraId="5A1AFC8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C7F"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D2" wp14:editId="5A1B43D3">
                  <wp:extent cx="304800" cy="304800"/>
                  <wp:effectExtent l="0" t="0" r="0" b="0"/>
                  <wp:docPr id="204" name="图片 14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4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C80"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C81" w14:textId="77777777" w:rsidR="00960BB8" w:rsidRDefault="00C06650">
            <w:pPr>
              <w:jc w:val="right"/>
              <w:textAlignment w:val="center"/>
            </w:pPr>
            <w:r>
              <w:rPr>
                <w:rFonts w:ascii="Arial" w:eastAsia="宋体" w:hAnsi="Arial" w:cs="Arial"/>
                <w:color w:val="262626"/>
                <w:sz w:val="16"/>
                <w:szCs w:val="16"/>
              </w:rPr>
              <w:t>34</w:t>
            </w:r>
          </w:p>
        </w:tc>
      </w:tr>
    </w:tbl>
    <w:p w14:paraId="5A1AFC83" w14:textId="77777777" w:rsidR="00960BB8" w:rsidRDefault="00C06650">
      <w:r>
        <w:pict w14:anchorId="5A1B43D4">
          <v:rect id="_x0000_i1060" style="width:415.3pt;height:1.5pt" o:hralign="center" o:hrstd="t" o:hr="t" fillcolor="#a0a0a0" stroked="f"/>
        </w:pict>
      </w:r>
    </w:p>
    <w:p w14:paraId="5A1AFC84" w14:textId="77777777" w:rsidR="00960BB8" w:rsidRDefault="00C06650">
      <w:pPr>
        <w:jc w:val="right"/>
      </w:pPr>
      <w:hyperlink r:id="rId54" w:anchor="i8aaa7b4dbd2e419ca0f5c30af85a11aa_16" w:history="1">
        <w:r>
          <w:rPr>
            <w:rStyle w:val="a5"/>
            <w:rFonts w:ascii="Arial" w:eastAsia="宋体" w:hAnsi="Arial" w:cs="Arial"/>
            <w:b/>
            <w:bCs/>
            <w:sz w:val="16"/>
            <w:szCs w:val="16"/>
          </w:rPr>
          <w:t>Table of Contents</w:t>
        </w:r>
      </w:hyperlink>
    </w:p>
    <w:p w14:paraId="5A1AFC85" w14:textId="77777777" w:rsidR="00960BB8" w:rsidRDefault="00960BB8">
      <w:pPr>
        <w:jc w:val="right"/>
      </w:pPr>
    </w:p>
    <w:p w14:paraId="5A1AFC86" w14:textId="77777777" w:rsidR="00960BB8" w:rsidRDefault="00C06650">
      <w:pPr>
        <w:spacing w:after="180"/>
      </w:pPr>
      <w:r>
        <w:rPr>
          <w:rFonts w:ascii="Arial" w:eastAsia="宋体" w:hAnsi="Arial" w:cs="Arial"/>
          <w:color w:val="0068B5"/>
        </w:rPr>
        <w:t>Financial Performance</w:t>
      </w:r>
    </w:p>
    <w:tbl>
      <w:tblPr>
        <w:tblW w:w="10980" w:type="dxa"/>
        <w:tblCellMar>
          <w:top w:w="15" w:type="dxa"/>
          <w:left w:w="15" w:type="dxa"/>
          <w:bottom w:w="15" w:type="dxa"/>
          <w:right w:w="15" w:type="dxa"/>
        </w:tblCellMar>
        <w:tblLook w:val="04A0" w:firstRow="1" w:lastRow="0" w:firstColumn="1" w:lastColumn="0" w:noHBand="0" w:noVBand="1"/>
      </w:tblPr>
      <w:tblGrid>
        <w:gridCol w:w="37"/>
        <w:gridCol w:w="123"/>
        <w:gridCol w:w="36"/>
        <w:gridCol w:w="36"/>
        <w:gridCol w:w="4748"/>
        <w:gridCol w:w="36"/>
        <w:gridCol w:w="36"/>
        <w:gridCol w:w="860"/>
        <w:gridCol w:w="36"/>
        <w:gridCol w:w="36"/>
        <w:gridCol w:w="4499"/>
        <w:gridCol w:w="36"/>
        <w:gridCol w:w="36"/>
        <w:gridCol w:w="389"/>
        <w:gridCol w:w="36"/>
      </w:tblGrid>
      <w:tr w:rsidR="00960BB8" w14:paraId="5A1AFC96" w14:textId="77777777">
        <w:tc>
          <w:tcPr>
            <w:tcW w:w="20" w:type="dxa"/>
            <w:shd w:val="clear" w:color="auto" w:fill="auto"/>
            <w:vAlign w:val="bottom"/>
          </w:tcPr>
          <w:p w14:paraId="5A1AFC87" w14:textId="77777777" w:rsidR="00960BB8" w:rsidRDefault="00960BB8">
            <w:pPr>
              <w:rPr>
                <w:rFonts w:ascii="宋体"/>
              </w:rPr>
            </w:pPr>
          </w:p>
        </w:tc>
        <w:tc>
          <w:tcPr>
            <w:tcW w:w="125" w:type="dxa"/>
            <w:shd w:val="clear" w:color="auto" w:fill="auto"/>
            <w:vAlign w:val="bottom"/>
          </w:tcPr>
          <w:p w14:paraId="5A1AFC88" w14:textId="77777777" w:rsidR="00960BB8" w:rsidRDefault="00960BB8">
            <w:pPr>
              <w:rPr>
                <w:rFonts w:ascii="宋体"/>
              </w:rPr>
            </w:pPr>
          </w:p>
        </w:tc>
        <w:tc>
          <w:tcPr>
            <w:tcW w:w="20" w:type="dxa"/>
            <w:shd w:val="clear" w:color="auto" w:fill="auto"/>
            <w:vAlign w:val="bottom"/>
          </w:tcPr>
          <w:p w14:paraId="5A1AFC89" w14:textId="77777777" w:rsidR="00960BB8" w:rsidRDefault="00960BB8">
            <w:pPr>
              <w:rPr>
                <w:rFonts w:ascii="宋体"/>
              </w:rPr>
            </w:pPr>
          </w:p>
        </w:tc>
        <w:tc>
          <w:tcPr>
            <w:tcW w:w="20" w:type="dxa"/>
            <w:shd w:val="clear" w:color="auto" w:fill="auto"/>
            <w:vAlign w:val="bottom"/>
          </w:tcPr>
          <w:p w14:paraId="5A1AFC8A" w14:textId="77777777" w:rsidR="00960BB8" w:rsidRDefault="00960BB8">
            <w:pPr>
              <w:rPr>
                <w:rFonts w:ascii="宋体"/>
              </w:rPr>
            </w:pPr>
          </w:p>
        </w:tc>
        <w:tc>
          <w:tcPr>
            <w:tcW w:w="4820" w:type="dxa"/>
            <w:shd w:val="clear" w:color="auto" w:fill="auto"/>
            <w:vAlign w:val="bottom"/>
          </w:tcPr>
          <w:p w14:paraId="5A1AFC8B" w14:textId="77777777" w:rsidR="00960BB8" w:rsidRDefault="00960BB8">
            <w:pPr>
              <w:rPr>
                <w:rFonts w:ascii="宋体"/>
              </w:rPr>
            </w:pPr>
          </w:p>
        </w:tc>
        <w:tc>
          <w:tcPr>
            <w:tcW w:w="20" w:type="dxa"/>
            <w:shd w:val="clear" w:color="auto" w:fill="auto"/>
            <w:vAlign w:val="bottom"/>
          </w:tcPr>
          <w:p w14:paraId="5A1AFC8C" w14:textId="77777777" w:rsidR="00960BB8" w:rsidRDefault="00960BB8">
            <w:pPr>
              <w:rPr>
                <w:rFonts w:ascii="宋体"/>
              </w:rPr>
            </w:pPr>
          </w:p>
        </w:tc>
        <w:tc>
          <w:tcPr>
            <w:tcW w:w="20" w:type="dxa"/>
            <w:shd w:val="clear" w:color="auto" w:fill="auto"/>
            <w:vAlign w:val="bottom"/>
          </w:tcPr>
          <w:p w14:paraId="5A1AFC8D" w14:textId="77777777" w:rsidR="00960BB8" w:rsidRDefault="00960BB8">
            <w:pPr>
              <w:rPr>
                <w:rFonts w:ascii="宋体"/>
              </w:rPr>
            </w:pPr>
          </w:p>
        </w:tc>
        <w:tc>
          <w:tcPr>
            <w:tcW w:w="875" w:type="dxa"/>
            <w:shd w:val="clear" w:color="auto" w:fill="auto"/>
            <w:vAlign w:val="bottom"/>
          </w:tcPr>
          <w:p w14:paraId="5A1AFC8E" w14:textId="77777777" w:rsidR="00960BB8" w:rsidRDefault="00960BB8">
            <w:pPr>
              <w:rPr>
                <w:rFonts w:ascii="宋体"/>
              </w:rPr>
            </w:pPr>
          </w:p>
        </w:tc>
        <w:tc>
          <w:tcPr>
            <w:tcW w:w="20" w:type="dxa"/>
            <w:shd w:val="clear" w:color="auto" w:fill="auto"/>
            <w:vAlign w:val="bottom"/>
          </w:tcPr>
          <w:p w14:paraId="5A1AFC8F" w14:textId="77777777" w:rsidR="00960BB8" w:rsidRDefault="00960BB8">
            <w:pPr>
              <w:rPr>
                <w:rFonts w:ascii="宋体"/>
              </w:rPr>
            </w:pPr>
          </w:p>
        </w:tc>
        <w:tc>
          <w:tcPr>
            <w:tcW w:w="20" w:type="dxa"/>
            <w:shd w:val="clear" w:color="auto" w:fill="auto"/>
            <w:vAlign w:val="bottom"/>
          </w:tcPr>
          <w:p w14:paraId="5A1AFC90" w14:textId="77777777" w:rsidR="00960BB8" w:rsidRDefault="00960BB8">
            <w:pPr>
              <w:rPr>
                <w:rFonts w:ascii="宋体"/>
              </w:rPr>
            </w:pPr>
          </w:p>
        </w:tc>
        <w:tc>
          <w:tcPr>
            <w:tcW w:w="4565" w:type="dxa"/>
            <w:shd w:val="clear" w:color="auto" w:fill="auto"/>
            <w:vAlign w:val="bottom"/>
          </w:tcPr>
          <w:p w14:paraId="5A1AFC91" w14:textId="77777777" w:rsidR="00960BB8" w:rsidRDefault="00960BB8">
            <w:pPr>
              <w:rPr>
                <w:rFonts w:ascii="宋体"/>
              </w:rPr>
            </w:pPr>
          </w:p>
        </w:tc>
        <w:tc>
          <w:tcPr>
            <w:tcW w:w="20" w:type="dxa"/>
            <w:shd w:val="clear" w:color="auto" w:fill="auto"/>
            <w:vAlign w:val="bottom"/>
          </w:tcPr>
          <w:p w14:paraId="5A1AFC92" w14:textId="77777777" w:rsidR="00960BB8" w:rsidRDefault="00960BB8">
            <w:pPr>
              <w:rPr>
                <w:rFonts w:ascii="宋体"/>
              </w:rPr>
            </w:pPr>
          </w:p>
        </w:tc>
        <w:tc>
          <w:tcPr>
            <w:tcW w:w="20" w:type="dxa"/>
            <w:shd w:val="clear" w:color="auto" w:fill="auto"/>
            <w:vAlign w:val="bottom"/>
          </w:tcPr>
          <w:p w14:paraId="5A1AFC93" w14:textId="77777777" w:rsidR="00960BB8" w:rsidRDefault="00960BB8">
            <w:pPr>
              <w:rPr>
                <w:rFonts w:ascii="宋体"/>
              </w:rPr>
            </w:pPr>
          </w:p>
        </w:tc>
        <w:tc>
          <w:tcPr>
            <w:tcW w:w="395" w:type="dxa"/>
            <w:shd w:val="clear" w:color="auto" w:fill="auto"/>
            <w:vAlign w:val="bottom"/>
          </w:tcPr>
          <w:p w14:paraId="5A1AFC94" w14:textId="77777777" w:rsidR="00960BB8" w:rsidRDefault="00960BB8">
            <w:pPr>
              <w:rPr>
                <w:rFonts w:ascii="宋体"/>
              </w:rPr>
            </w:pPr>
          </w:p>
        </w:tc>
        <w:tc>
          <w:tcPr>
            <w:tcW w:w="20" w:type="dxa"/>
            <w:shd w:val="clear" w:color="auto" w:fill="auto"/>
            <w:vAlign w:val="bottom"/>
          </w:tcPr>
          <w:p w14:paraId="5A1AFC95" w14:textId="77777777" w:rsidR="00960BB8" w:rsidRDefault="00960BB8">
            <w:pPr>
              <w:rPr>
                <w:rFonts w:ascii="宋体"/>
              </w:rPr>
            </w:pPr>
          </w:p>
        </w:tc>
      </w:tr>
      <w:tr w:rsidR="00960BB8" w14:paraId="5A1AFC9C" w14:textId="77777777">
        <w:trPr>
          <w:trHeight w:val="280"/>
        </w:trPr>
        <w:tc>
          <w:tcPr>
            <w:tcW w:w="0" w:type="auto"/>
            <w:gridSpan w:val="3"/>
            <w:shd w:val="clear" w:color="auto" w:fill="auto"/>
            <w:tcMar>
              <w:top w:w="0" w:type="dxa"/>
              <w:left w:w="20" w:type="dxa"/>
              <w:bottom w:w="0" w:type="dxa"/>
              <w:right w:w="20" w:type="dxa"/>
            </w:tcMar>
            <w:vAlign w:val="bottom"/>
          </w:tcPr>
          <w:p w14:paraId="5A1AFC97"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C98" w14:textId="77777777" w:rsidR="00960BB8" w:rsidRDefault="00C06650">
            <w:pPr>
              <w:jc w:val="center"/>
              <w:textAlignment w:val="bottom"/>
            </w:pPr>
            <w:r>
              <w:rPr>
                <w:rFonts w:ascii="Arial" w:eastAsia="宋体" w:hAnsi="Arial" w:cs="Arial"/>
                <w:color w:val="0068B5"/>
                <w:sz w:val="20"/>
                <w:szCs w:val="20"/>
              </w:rPr>
              <w:t>AXG Revenue $B</w:t>
            </w:r>
          </w:p>
        </w:tc>
        <w:tc>
          <w:tcPr>
            <w:tcW w:w="0" w:type="auto"/>
            <w:gridSpan w:val="3"/>
            <w:shd w:val="clear" w:color="auto" w:fill="auto"/>
            <w:tcMar>
              <w:top w:w="0" w:type="dxa"/>
              <w:left w:w="20" w:type="dxa"/>
              <w:bottom w:w="0" w:type="dxa"/>
              <w:right w:w="20" w:type="dxa"/>
            </w:tcMar>
            <w:vAlign w:val="bottom"/>
          </w:tcPr>
          <w:p w14:paraId="5A1AFC99"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C9A" w14:textId="77777777" w:rsidR="00960BB8" w:rsidRDefault="00C06650">
            <w:pPr>
              <w:jc w:val="center"/>
              <w:textAlignment w:val="bottom"/>
            </w:pPr>
            <w:r>
              <w:rPr>
                <w:rFonts w:ascii="Arial" w:eastAsia="宋体" w:hAnsi="Arial" w:cs="Arial"/>
                <w:color w:val="0068B5"/>
                <w:sz w:val="20"/>
                <w:szCs w:val="20"/>
              </w:rPr>
              <w:t xml:space="preserve">AXG Operating Income </w:t>
            </w:r>
            <w:r>
              <w:rPr>
                <w:rFonts w:ascii="Arial" w:eastAsia="宋体" w:hAnsi="Arial" w:cs="Arial"/>
                <w:color w:val="0068B5"/>
                <w:sz w:val="20"/>
                <w:szCs w:val="20"/>
              </w:rPr>
              <w:t>(Loss) $B</w:t>
            </w:r>
          </w:p>
        </w:tc>
        <w:tc>
          <w:tcPr>
            <w:tcW w:w="0" w:type="auto"/>
            <w:gridSpan w:val="3"/>
            <w:shd w:val="clear" w:color="auto" w:fill="auto"/>
            <w:tcMar>
              <w:top w:w="0" w:type="dxa"/>
              <w:left w:w="20" w:type="dxa"/>
              <w:bottom w:w="0" w:type="dxa"/>
              <w:right w:w="20" w:type="dxa"/>
            </w:tcMar>
            <w:vAlign w:val="bottom"/>
          </w:tcPr>
          <w:p w14:paraId="5A1AFC9B" w14:textId="77777777" w:rsidR="00960BB8" w:rsidRDefault="00960BB8">
            <w:pPr>
              <w:rPr>
                <w:rFonts w:ascii="宋体"/>
              </w:rPr>
            </w:pPr>
          </w:p>
        </w:tc>
      </w:tr>
    </w:tbl>
    <w:p w14:paraId="5A1AFC9D" w14:textId="77777777" w:rsidR="00960BB8" w:rsidRDefault="00C06650">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Viewer_files/intc-20221231_g48.jpg"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D5" wp14:editId="5A1B43D6">
            <wp:extent cx="304800" cy="304800"/>
            <wp:effectExtent l="0" t="0" r="0" b="0"/>
            <wp:docPr id="199" name="图片 148"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48" descr="IMG_33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w:instrText>
      </w:r>
      <w:r>
        <w:rPr>
          <w:rFonts w:ascii="宋体" w:eastAsia="宋体" w:hAnsi="宋体" w:cs="宋体"/>
        </w:rPr>
        <w:instrText xml:space="preserve">intc-20221231_g49.jpg"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D7" wp14:editId="5A1B43D8">
            <wp:extent cx="304800" cy="304800"/>
            <wp:effectExtent l="0" t="0" r="0" b="0"/>
            <wp:docPr id="203" name="图片 149"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49" descr="IMG_3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CA1" w14:textId="77777777">
        <w:tc>
          <w:tcPr>
            <w:tcW w:w="50" w:type="pct"/>
            <w:shd w:val="clear" w:color="auto" w:fill="auto"/>
            <w:vAlign w:val="bottom"/>
          </w:tcPr>
          <w:p w14:paraId="5A1AFC9E" w14:textId="77777777" w:rsidR="00960BB8" w:rsidRDefault="00960BB8">
            <w:pPr>
              <w:rPr>
                <w:rFonts w:ascii="宋体"/>
              </w:rPr>
            </w:pPr>
          </w:p>
        </w:tc>
        <w:tc>
          <w:tcPr>
            <w:tcW w:w="4945" w:type="pct"/>
            <w:shd w:val="clear" w:color="auto" w:fill="auto"/>
            <w:vAlign w:val="bottom"/>
          </w:tcPr>
          <w:p w14:paraId="5A1AFC9F" w14:textId="77777777" w:rsidR="00960BB8" w:rsidRDefault="00960BB8">
            <w:pPr>
              <w:rPr>
                <w:rFonts w:ascii="宋体"/>
              </w:rPr>
            </w:pPr>
          </w:p>
        </w:tc>
        <w:tc>
          <w:tcPr>
            <w:tcW w:w="5" w:type="pct"/>
            <w:shd w:val="clear" w:color="auto" w:fill="auto"/>
            <w:vAlign w:val="bottom"/>
          </w:tcPr>
          <w:p w14:paraId="5A1AFCA0" w14:textId="77777777" w:rsidR="00960BB8" w:rsidRDefault="00960BB8">
            <w:pPr>
              <w:rPr>
                <w:rFonts w:ascii="宋体"/>
              </w:rPr>
            </w:pPr>
          </w:p>
        </w:tc>
      </w:tr>
      <w:tr w:rsidR="00960BB8" w14:paraId="5A1AFCA3"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CA2" w14:textId="77777777" w:rsidR="00960BB8" w:rsidRDefault="00C06650">
            <w:pPr>
              <w:textAlignment w:val="bottom"/>
            </w:pPr>
            <w:r>
              <w:rPr>
                <w:rFonts w:ascii="Arial" w:eastAsia="宋体" w:hAnsi="Arial" w:cs="Arial"/>
                <w:color w:val="0068B5"/>
                <w:sz w:val="20"/>
                <w:szCs w:val="20"/>
              </w:rPr>
              <w:t>Revenue and Operating Income (Loss) Summary</w:t>
            </w:r>
          </w:p>
        </w:tc>
      </w:tr>
    </w:tbl>
    <w:p w14:paraId="5A1AFCA4" w14:textId="77777777" w:rsidR="00960BB8" w:rsidRDefault="00C06650">
      <w:pPr>
        <w:spacing w:after="120"/>
      </w:pPr>
      <w:r>
        <w:rPr>
          <w:rFonts w:ascii="Arial" w:eastAsia="宋体" w:hAnsi="Arial" w:cs="Arial"/>
          <w:color w:val="0068B5"/>
          <w:sz w:val="20"/>
          <w:szCs w:val="20"/>
        </w:rPr>
        <w:t>2022 vs. 2021</w:t>
      </w:r>
    </w:p>
    <w:p w14:paraId="5A1AFCA5" w14:textId="77777777" w:rsidR="00960BB8" w:rsidRDefault="00C06650">
      <w:pPr>
        <w:spacing w:after="180"/>
      </w:pPr>
      <w:r>
        <w:rPr>
          <w:rFonts w:ascii="Arial" w:eastAsia="宋体" w:hAnsi="Arial" w:cs="Arial"/>
          <w:color w:val="262626"/>
          <w:sz w:val="18"/>
          <w:szCs w:val="18"/>
        </w:rPr>
        <w:t xml:space="preserve">Revenue was $837 million, up $63 million from 2021. </w:t>
      </w:r>
      <w:r>
        <w:rPr>
          <w:rFonts w:ascii="Arial" w:eastAsia="宋体" w:hAnsi="Arial" w:cs="Arial"/>
          <w:color w:val="000000"/>
          <w:sz w:val="18"/>
          <w:szCs w:val="18"/>
        </w:rPr>
        <w:t xml:space="preserve">We had an operating loss of $1.7 billion, compared to an operating loss of $1.2 billion in </w:t>
      </w:r>
      <w:r>
        <w:rPr>
          <w:rFonts w:ascii="Arial" w:eastAsia="宋体" w:hAnsi="Arial" w:cs="Arial"/>
          <w:color w:val="262626"/>
          <w:sz w:val="18"/>
          <w:szCs w:val="18"/>
        </w:rPr>
        <w:t>2021</w:t>
      </w:r>
      <w:r>
        <w:rPr>
          <w:rFonts w:ascii="Arial" w:eastAsia="宋体" w:hAnsi="Arial" w:cs="Arial"/>
          <w:color w:val="000000"/>
          <w:sz w:val="18"/>
          <w:szCs w:val="18"/>
        </w:rPr>
        <w:t xml:space="preserve">, due to </w:t>
      </w:r>
      <w:r>
        <w:rPr>
          <w:rFonts w:ascii="Arial" w:eastAsia="宋体" w:hAnsi="Arial" w:cs="Arial"/>
          <w:color w:val="262626"/>
          <w:sz w:val="18"/>
          <w:szCs w:val="18"/>
        </w:rPr>
        <w:t>increased inventory reserves taken and investments in our product roadmap.</w:t>
      </w:r>
    </w:p>
    <w:p w14:paraId="5A1AFCA6" w14:textId="77777777" w:rsidR="00960BB8" w:rsidRDefault="00C06650">
      <w:pPr>
        <w:spacing w:after="120"/>
      </w:pPr>
      <w:r>
        <w:rPr>
          <w:rFonts w:ascii="Arial" w:eastAsia="宋体" w:hAnsi="Arial" w:cs="Arial"/>
          <w:color w:val="0068B5"/>
          <w:sz w:val="20"/>
          <w:szCs w:val="20"/>
        </w:rPr>
        <w:t>2021 vs. 2020</w:t>
      </w:r>
    </w:p>
    <w:p w14:paraId="5A1AFCA7" w14:textId="77777777" w:rsidR="00960BB8" w:rsidRDefault="00C06650">
      <w:pPr>
        <w:spacing w:after="180"/>
      </w:pPr>
      <w:r>
        <w:rPr>
          <w:rFonts w:ascii="Arial" w:eastAsia="宋体" w:hAnsi="Arial" w:cs="Arial"/>
          <w:color w:val="262626"/>
          <w:sz w:val="18"/>
          <w:szCs w:val="18"/>
        </w:rPr>
        <w:t xml:space="preserve">Revenue was $774 million, up $123 million primarily due to </w:t>
      </w:r>
      <w:r>
        <w:rPr>
          <w:rFonts w:ascii="Arial" w:eastAsia="宋体" w:hAnsi="Arial" w:cs="Arial"/>
          <w:color w:val="262626"/>
          <w:sz w:val="18"/>
          <w:szCs w:val="18"/>
        </w:rPr>
        <w:t xml:space="preserve">increased demand for our integrated graphics portfolio. We had an operating loss of $1.2 billion, compared to an operating loss of $403 million in 2020, primarily driven by a charge incurred on a federal contract of $333 million and ongoing investments in </w:t>
      </w:r>
      <w:r>
        <w:rPr>
          <w:rFonts w:ascii="Arial" w:eastAsia="宋体" w:hAnsi="Arial" w:cs="Arial"/>
          <w:color w:val="262626"/>
          <w:sz w:val="18"/>
          <w:szCs w:val="18"/>
        </w:rPr>
        <w:t>the business.</w:t>
      </w:r>
    </w:p>
    <w:p w14:paraId="5A1AFCA8" w14:textId="77777777" w:rsidR="00960BB8" w:rsidRDefault="00960BB8">
      <w:pPr>
        <w:spacing w:after="80"/>
      </w:pPr>
    </w:p>
    <w:p w14:paraId="5A1AFCA9" w14:textId="77777777" w:rsidR="00960BB8" w:rsidRDefault="00960BB8">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CB3" w14:textId="77777777">
        <w:tc>
          <w:tcPr>
            <w:tcW w:w="50" w:type="pct"/>
            <w:shd w:val="clear" w:color="auto" w:fill="auto"/>
            <w:vAlign w:val="bottom"/>
          </w:tcPr>
          <w:p w14:paraId="5A1AFCAA" w14:textId="77777777" w:rsidR="00960BB8" w:rsidRDefault="00960BB8">
            <w:pPr>
              <w:rPr>
                <w:rFonts w:ascii="宋体"/>
              </w:rPr>
            </w:pPr>
          </w:p>
        </w:tc>
        <w:tc>
          <w:tcPr>
            <w:tcW w:w="283" w:type="pct"/>
            <w:shd w:val="clear" w:color="auto" w:fill="auto"/>
            <w:vAlign w:val="bottom"/>
          </w:tcPr>
          <w:p w14:paraId="5A1AFCAB" w14:textId="77777777" w:rsidR="00960BB8" w:rsidRDefault="00960BB8">
            <w:pPr>
              <w:rPr>
                <w:rFonts w:ascii="宋体"/>
              </w:rPr>
            </w:pPr>
          </w:p>
        </w:tc>
        <w:tc>
          <w:tcPr>
            <w:tcW w:w="5" w:type="pct"/>
            <w:shd w:val="clear" w:color="auto" w:fill="auto"/>
            <w:vAlign w:val="bottom"/>
          </w:tcPr>
          <w:p w14:paraId="5A1AFCAC" w14:textId="77777777" w:rsidR="00960BB8" w:rsidRDefault="00960BB8">
            <w:pPr>
              <w:rPr>
                <w:rFonts w:ascii="宋体"/>
              </w:rPr>
            </w:pPr>
          </w:p>
        </w:tc>
        <w:tc>
          <w:tcPr>
            <w:tcW w:w="50" w:type="pct"/>
            <w:shd w:val="clear" w:color="auto" w:fill="auto"/>
            <w:vAlign w:val="bottom"/>
          </w:tcPr>
          <w:p w14:paraId="5A1AFCAD" w14:textId="77777777" w:rsidR="00960BB8" w:rsidRDefault="00960BB8">
            <w:pPr>
              <w:rPr>
                <w:rFonts w:ascii="宋体"/>
              </w:rPr>
            </w:pPr>
          </w:p>
        </w:tc>
        <w:tc>
          <w:tcPr>
            <w:tcW w:w="2656" w:type="pct"/>
            <w:shd w:val="clear" w:color="auto" w:fill="auto"/>
            <w:vAlign w:val="bottom"/>
          </w:tcPr>
          <w:p w14:paraId="5A1AFCAE" w14:textId="77777777" w:rsidR="00960BB8" w:rsidRDefault="00960BB8">
            <w:pPr>
              <w:rPr>
                <w:rFonts w:ascii="宋体"/>
              </w:rPr>
            </w:pPr>
          </w:p>
        </w:tc>
        <w:tc>
          <w:tcPr>
            <w:tcW w:w="5" w:type="pct"/>
            <w:shd w:val="clear" w:color="auto" w:fill="auto"/>
            <w:vAlign w:val="bottom"/>
          </w:tcPr>
          <w:p w14:paraId="5A1AFCAF" w14:textId="77777777" w:rsidR="00960BB8" w:rsidRDefault="00960BB8">
            <w:pPr>
              <w:rPr>
                <w:rFonts w:ascii="宋体"/>
              </w:rPr>
            </w:pPr>
          </w:p>
        </w:tc>
        <w:tc>
          <w:tcPr>
            <w:tcW w:w="50" w:type="pct"/>
            <w:shd w:val="clear" w:color="auto" w:fill="auto"/>
            <w:vAlign w:val="bottom"/>
          </w:tcPr>
          <w:p w14:paraId="5A1AFCB0" w14:textId="77777777" w:rsidR="00960BB8" w:rsidRDefault="00960BB8">
            <w:pPr>
              <w:rPr>
                <w:rFonts w:ascii="宋体"/>
              </w:rPr>
            </w:pPr>
          </w:p>
        </w:tc>
        <w:tc>
          <w:tcPr>
            <w:tcW w:w="1894" w:type="pct"/>
            <w:shd w:val="clear" w:color="auto" w:fill="auto"/>
            <w:vAlign w:val="bottom"/>
          </w:tcPr>
          <w:p w14:paraId="5A1AFCB1" w14:textId="77777777" w:rsidR="00960BB8" w:rsidRDefault="00960BB8">
            <w:pPr>
              <w:rPr>
                <w:rFonts w:ascii="宋体"/>
              </w:rPr>
            </w:pPr>
          </w:p>
        </w:tc>
        <w:tc>
          <w:tcPr>
            <w:tcW w:w="5" w:type="pct"/>
            <w:shd w:val="clear" w:color="auto" w:fill="auto"/>
            <w:vAlign w:val="bottom"/>
          </w:tcPr>
          <w:p w14:paraId="5A1AFCB2" w14:textId="77777777" w:rsidR="00960BB8" w:rsidRDefault="00960BB8">
            <w:pPr>
              <w:rPr>
                <w:rFonts w:ascii="宋体"/>
              </w:rPr>
            </w:pPr>
          </w:p>
        </w:tc>
      </w:tr>
      <w:tr w:rsidR="00960BB8" w14:paraId="5A1AFCB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CB4"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D9" wp14:editId="5A1B43DA">
                  <wp:extent cx="304800" cy="304800"/>
                  <wp:effectExtent l="0" t="0" r="0" b="0"/>
                  <wp:docPr id="194" name="图片 15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50"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CB5"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CB6" w14:textId="77777777" w:rsidR="00960BB8" w:rsidRDefault="00C06650">
            <w:pPr>
              <w:jc w:val="right"/>
              <w:textAlignment w:val="center"/>
            </w:pPr>
            <w:r>
              <w:rPr>
                <w:rFonts w:ascii="Arial" w:eastAsia="宋体" w:hAnsi="Arial" w:cs="Arial"/>
                <w:color w:val="262626"/>
                <w:sz w:val="16"/>
                <w:szCs w:val="16"/>
              </w:rPr>
              <w:t>35</w:t>
            </w:r>
          </w:p>
        </w:tc>
      </w:tr>
    </w:tbl>
    <w:p w14:paraId="5A1AFCB8" w14:textId="77777777" w:rsidR="00960BB8" w:rsidRDefault="00C06650">
      <w:r>
        <w:pict w14:anchorId="5A1B43DB">
          <v:rect id="_x0000_i1061" style="width:415.3pt;height:1.5pt" o:hralign="center" o:hrstd="t" o:hr="t" fillcolor="#a0a0a0" stroked="f"/>
        </w:pict>
      </w:r>
    </w:p>
    <w:p w14:paraId="5A1AFCB9" w14:textId="77777777" w:rsidR="00960BB8" w:rsidRDefault="00960BB8"/>
    <w:p w14:paraId="5A1AFCBA" w14:textId="77777777" w:rsidR="00960BB8" w:rsidRDefault="00C06650">
      <w:pPr>
        <w:ind w:hanging="63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Viewer_files/intc-20221231_g50.jpg"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DC" wp14:editId="5A1B43DD">
            <wp:extent cx="304800" cy="304800"/>
            <wp:effectExtent l="0" t="0" r="0" b="0"/>
            <wp:docPr id="192" name="图片 15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52" descr="IMG_33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95" w:type="dxa"/>
        <w:tblInd w:w="-705" w:type="dxa"/>
        <w:tblCellMar>
          <w:top w:w="15" w:type="dxa"/>
          <w:left w:w="15" w:type="dxa"/>
          <w:bottom w:w="15" w:type="dxa"/>
          <w:right w:w="15" w:type="dxa"/>
        </w:tblCellMar>
        <w:tblLook w:val="04A0" w:firstRow="1" w:lastRow="0" w:firstColumn="1" w:lastColumn="0" w:noHBand="0" w:noVBand="1"/>
      </w:tblPr>
      <w:tblGrid>
        <w:gridCol w:w="37"/>
        <w:gridCol w:w="66"/>
        <w:gridCol w:w="664"/>
        <w:gridCol w:w="66"/>
        <w:gridCol w:w="66"/>
        <w:gridCol w:w="8764"/>
        <w:gridCol w:w="65"/>
        <w:gridCol w:w="36"/>
        <w:gridCol w:w="1195"/>
        <w:gridCol w:w="36"/>
      </w:tblGrid>
      <w:tr w:rsidR="00960BB8" w14:paraId="5A1AFCC5" w14:textId="77777777">
        <w:trPr>
          <w:hidden/>
        </w:trPr>
        <w:tc>
          <w:tcPr>
            <w:tcW w:w="0" w:type="auto"/>
            <w:shd w:val="clear" w:color="auto" w:fill="auto"/>
            <w:vAlign w:val="bottom"/>
          </w:tcPr>
          <w:p w14:paraId="5A1AFCBB" w14:textId="77777777" w:rsidR="00960BB8" w:rsidRDefault="00960BB8">
            <w:pPr>
              <w:rPr>
                <w:rFonts w:ascii="宋体"/>
                <w:vanish/>
              </w:rPr>
            </w:pPr>
          </w:p>
        </w:tc>
        <w:tc>
          <w:tcPr>
            <w:tcW w:w="20" w:type="dxa"/>
            <w:shd w:val="clear" w:color="auto" w:fill="auto"/>
            <w:vAlign w:val="bottom"/>
          </w:tcPr>
          <w:p w14:paraId="5A1AFCBC" w14:textId="77777777" w:rsidR="00960BB8" w:rsidRDefault="00960BB8">
            <w:pPr>
              <w:rPr>
                <w:rFonts w:ascii="宋体"/>
              </w:rPr>
            </w:pPr>
          </w:p>
        </w:tc>
        <w:tc>
          <w:tcPr>
            <w:tcW w:w="545" w:type="dxa"/>
            <w:shd w:val="clear" w:color="auto" w:fill="auto"/>
            <w:vAlign w:val="bottom"/>
          </w:tcPr>
          <w:p w14:paraId="5A1AFCBD" w14:textId="77777777" w:rsidR="00960BB8" w:rsidRDefault="00960BB8">
            <w:pPr>
              <w:rPr>
                <w:rFonts w:ascii="宋体"/>
              </w:rPr>
            </w:pPr>
          </w:p>
        </w:tc>
        <w:tc>
          <w:tcPr>
            <w:tcW w:w="20" w:type="dxa"/>
            <w:shd w:val="clear" w:color="auto" w:fill="auto"/>
            <w:vAlign w:val="bottom"/>
          </w:tcPr>
          <w:p w14:paraId="5A1AFCBE" w14:textId="77777777" w:rsidR="00960BB8" w:rsidRDefault="00960BB8">
            <w:pPr>
              <w:rPr>
                <w:rFonts w:ascii="宋体"/>
              </w:rPr>
            </w:pPr>
          </w:p>
        </w:tc>
        <w:tc>
          <w:tcPr>
            <w:tcW w:w="20" w:type="dxa"/>
            <w:shd w:val="clear" w:color="auto" w:fill="auto"/>
            <w:vAlign w:val="bottom"/>
          </w:tcPr>
          <w:p w14:paraId="5A1AFCBF" w14:textId="77777777" w:rsidR="00960BB8" w:rsidRDefault="00960BB8">
            <w:pPr>
              <w:rPr>
                <w:rFonts w:ascii="宋体"/>
              </w:rPr>
            </w:pPr>
          </w:p>
        </w:tc>
        <w:tc>
          <w:tcPr>
            <w:tcW w:w="7805" w:type="dxa"/>
            <w:shd w:val="clear" w:color="auto" w:fill="auto"/>
            <w:vAlign w:val="bottom"/>
          </w:tcPr>
          <w:p w14:paraId="5A1AFCC0" w14:textId="77777777" w:rsidR="00960BB8" w:rsidRDefault="00960BB8">
            <w:pPr>
              <w:rPr>
                <w:rFonts w:ascii="宋体"/>
              </w:rPr>
            </w:pPr>
          </w:p>
        </w:tc>
        <w:tc>
          <w:tcPr>
            <w:tcW w:w="20" w:type="dxa"/>
            <w:shd w:val="clear" w:color="auto" w:fill="auto"/>
            <w:vAlign w:val="bottom"/>
          </w:tcPr>
          <w:p w14:paraId="5A1AFCC1" w14:textId="77777777" w:rsidR="00960BB8" w:rsidRDefault="00960BB8">
            <w:pPr>
              <w:rPr>
                <w:rFonts w:ascii="宋体"/>
              </w:rPr>
            </w:pPr>
          </w:p>
        </w:tc>
        <w:tc>
          <w:tcPr>
            <w:tcW w:w="20" w:type="dxa"/>
            <w:shd w:val="clear" w:color="auto" w:fill="auto"/>
            <w:vAlign w:val="bottom"/>
          </w:tcPr>
          <w:p w14:paraId="5A1AFCC2" w14:textId="77777777" w:rsidR="00960BB8" w:rsidRDefault="00960BB8">
            <w:pPr>
              <w:rPr>
                <w:rFonts w:ascii="宋体"/>
              </w:rPr>
            </w:pPr>
          </w:p>
        </w:tc>
        <w:tc>
          <w:tcPr>
            <w:tcW w:w="2525" w:type="dxa"/>
            <w:shd w:val="clear" w:color="auto" w:fill="auto"/>
            <w:vAlign w:val="bottom"/>
          </w:tcPr>
          <w:p w14:paraId="5A1AFCC3" w14:textId="77777777" w:rsidR="00960BB8" w:rsidRDefault="00960BB8">
            <w:pPr>
              <w:rPr>
                <w:rFonts w:ascii="宋体"/>
              </w:rPr>
            </w:pPr>
          </w:p>
        </w:tc>
        <w:tc>
          <w:tcPr>
            <w:tcW w:w="20" w:type="dxa"/>
            <w:shd w:val="clear" w:color="auto" w:fill="auto"/>
            <w:vAlign w:val="bottom"/>
          </w:tcPr>
          <w:p w14:paraId="5A1AFCC4" w14:textId="77777777" w:rsidR="00960BB8" w:rsidRDefault="00960BB8">
            <w:pPr>
              <w:rPr>
                <w:rFonts w:ascii="宋体"/>
              </w:rPr>
            </w:pPr>
          </w:p>
        </w:tc>
      </w:tr>
      <w:tr w:rsidR="00960BB8" w14:paraId="5A1AFCC9" w14:textId="77777777">
        <w:trPr>
          <w:trHeight w:val="400"/>
          <w:hidden/>
        </w:trPr>
        <w:tc>
          <w:tcPr>
            <w:tcW w:w="0" w:type="auto"/>
            <w:shd w:val="clear" w:color="auto" w:fill="auto"/>
            <w:vAlign w:val="bottom"/>
          </w:tcPr>
          <w:p w14:paraId="5A1AFCC6" w14:textId="77777777" w:rsidR="00960BB8" w:rsidRDefault="00960BB8">
            <w:pPr>
              <w:rPr>
                <w:rFonts w:ascii="宋体"/>
                <w:vanish/>
              </w:rPr>
            </w:pPr>
          </w:p>
        </w:tc>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5A1AFCC7" w14:textId="77777777" w:rsidR="00960BB8" w:rsidRDefault="00C06650">
            <w:pPr>
              <w:textAlignment w:val="bottom"/>
            </w:pPr>
            <w:r>
              <w:rPr>
                <w:rFonts w:ascii="Arial" w:eastAsia="宋体" w:hAnsi="Arial" w:cs="Arial"/>
                <w:color w:val="0068B5"/>
                <w:sz w:val="20"/>
                <w:szCs w:val="20"/>
              </w:rPr>
              <w:t>Overview</w:t>
            </w:r>
          </w:p>
        </w:tc>
        <w:tc>
          <w:tcPr>
            <w:tcW w:w="0" w:type="auto"/>
            <w:gridSpan w:val="3"/>
            <w:shd w:val="clear" w:color="auto" w:fill="auto"/>
            <w:tcMar>
              <w:top w:w="40" w:type="dxa"/>
              <w:left w:w="20" w:type="dxa"/>
              <w:bottom w:w="40" w:type="dxa"/>
              <w:right w:w="20" w:type="dxa"/>
            </w:tcMar>
            <w:vAlign w:val="center"/>
          </w:tcPr>
          <w:p w14:paraId="5A1AFCC8" w14:textId="77777777" w:rsidR="00960BB8" w:rsidRDefault="00C06650">
            <w:pPr>
              <w:jc w:val="center"/>
              <w:textAlignment w:val="center"/>
            </w:pPr>
            <w:r>
              <w:rPr>
                <w:rFonts w:ascii="Arial" w:eastAsia="宋体" w:hAnsi="Arial" w:cs="Arial"/>
                <w:color w:val="0068B5"/>
                <w:sz w:val="18"/>
                <w:szCs w:val="18"/>
              </w:rPr>
              <w:t>% Intel Revenue</w:t>
            </w:r>
          </w:p>
        </w:tc>
      </w:tr>
      <w:tr w:rsidR="00960BB8" w14:paraId="5A1AFCCD" w14:textId="77777777">
        <w:trPr>
          <w:trHeight w:val="1960"/>
          <w:hidden/>
        </w:trPr>
        <w:tc>
          <w:tcPr>
            <w:tcW w:w="0" w:type="auto"/>
            <w:shd w:val="clear" w:color="auto" w:fill="auto"/>
            <w:vAlign w:val="bottom"/>
          </w:tcPr>
          <w:p w14:paraId="5A1AFCCA" w14:textId="77777777" w:rsidR="00960BB8" w:rsidRDefault="00960BB8">
            <w:pPr>
              <w:rPr>
                <w:rFonts w:ascii="宋体"/>
                <w:vanish/>
              </w:rPr>
            </w:pPr>
          </w:p>
        </w:tc>
        <w:tc>
          <w:tcPr>
            <w:tcW w:w="0" w:type="auto"/>
            <w:gridSpan w:val="6"/>
            <w:tcBorders>
              <w:top w:val="single" w:sz="4" w:space="0" w:color="262626"/>
            </w:tcBorders>
            <w:shd w:val="clear" w:color="auto" w:fill="auto"/>
            <w:tcMar>
              <w:top w:w="40" w:type="dxa"/>
              <w:left w:w="20" w:type="dxa"/>
              <w:bottom w:w="40" w:type="dxa"/>
              <w:right w:w="20" w:type="dxa"/>
            </w:tcMar>
          </w:tcPr>
          <w:p w14:paraId="5A1AFCCB" w14:textId="77777777" w:rsidR="00960BB8" w:rsidRDefault="00C06650">
            <w:pPr>
              <w:textAlignment w:val="top"/>
            </w:pPr>
            <w:r>
              <w:rPr>
                <w:rFonts w:ascii="Arial" w:eastAsia="宋体" w:hAnsi="Arial" w:cs="Arial"/>
                <w:color w:val="262626"/>
                <w:sz w:val="18"/>
                <w:szCs w:val="18"/>
              </w:rPr>
              <w:t xml:space="preserve">As the first Open System Foundry, we offer customers </w:t>
            </w:r>
            <w:r>
              <w:rPr>
                <w:rFonts w:ascii="Arial" w:eastAsia="宋体" w:hAnsi="Arial" w:cs="Arial"/>
                <w:color w:val="262626"/>
                <w:sz w:val="18"/>
                <w:szCs w:val="18"/>
              </w:rPr>
              <w:t>differentiated full stack solutions created from the best of Intel and the foundry industry ecosystem, delivered from a secure and sustainable source of supply with an array of flexible business models to enable customers to lead in their industry. In addi</w:t>
            </w:r>
            <w:r>
              <w:rPr>
                <w:rFonts w:ascii="Arial" w:eastAsia="宋体" w:hAnsi="Arial" w:cs="Arial"/>
                <w:color w:val="262626"/>
                <w:sz w:val="18"/>
                <w:szCs w:val="18"/>
              </w:rPr>
              <w:t>tion to a world-class foundry offering enabled by a rich ecosystem, customers have access to our expertise and technologies, including cores, accelerators, and advanced packaging such as EMIB.</w:t>
            </w:r>
            <w:r>
              <w:rPr>
                <w:rFonts w:ascii="Arial" w:eastAsia="宋体" w:hAnsi="Arial" w:cs="Arial"/>
                <w:b/>
                <w:bCs/>
                <w:color w:val="262626"/>
                <w:sz w:val="18"/>
                <w:szCs w:val="18"/>
              </w:rPr>
              <w:t xml:space="preserve"> </w:t>
            </w:r>
            <w:r>
              <w:rPr>
                <w:rFonts w:ascii="Arial" w:eastAsia="宋体" w:hAnsi="Arial" w:cs="Arial"/>
                <w:color w:val="262626"/>
                <w:sz w:val="18"/>
                <w:szCs w:val="18"/>
              </w:rPr>
              <w:t xml:space="preserve">Our early customers and strategic partners include traditional </w:t>
            </w:r>
            <w:r>
              <w:rPr>
                <w:rFonts w:ascii="Arial" w:eastAsia="宋体" w:hAnsi="Arial" w:cs="Arial"/>
                <w:color w:val="262626"/>
                <w:sz w:val="18"/>
                <w:szCs w:val="18"/>
              </w:rPr>
              <w:t>fabless customers, cloud service providers, automotive customers, and military, aerospace, and defense firms. We also offer mask-making equipment for advanced lithography used by many of the world’s leading-edge foundries.</w:t>
            </w:r>
          </w:p>
        </w:tc>
        <w:tc>
          <w:tcPr>
            <w:tcW w:w="0" w:type="auto"/>
            <w:gridSpan w:val="3"/>
            <w:shd w:val="clear" w:color="auto" w:fill="auto"/>
            <w:tcMar>
              <w:top w:w="0" w:type="dxa"/>
              <w:left w:w="20" w:type="dxa"/>
              <w:bottom w:w="0" w:type="dxa"/>
              <w:right w:w="20" w:type="dxa"/>
            </w:tcMar>
            <w:vAlign w:val="bottom"/>
          </w:tcPr>
          <w:p w14:paraId="5A1AFCCC" w14:textId="77777777" w:rsidR="00960BB8" w:rsidRDefault="00C06650">
            <w:pPr>
              <w:jc w:val="center"/>
            </w:pPr>
            <w:r>
              <w:rPr>
                <w:rFonts w:ascii="宋体" w:eastAsia="宋体" w:hAnsi="宋体" w:cs="宋体"/>
              </w:rPr>
              <w:fldChar w:fldCharType="begin"/>
            </w:r>
            <w:r>
              <w:rPr>
                <w:rFonts w:ascii="宋体" w:eastAsia="宋体" w:hAnsi="宋体" w:cs="宋体"/>
              </w:rPr>
              <w:instrText>INCLUDEPICTURE \d "/Users/xuxinru</w:instrText>
            </w:r>
            <w:r>
              <w:rPr>
                <w:rFonts w:ascii="宋体" w:eastAsia="宋体" w:hAnsi="宋体" w:cs="宋体"/>
              </w:rPr>
              <w:instrText xml:space="preserve">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Viewer_files/intc-20221231_g51.jpg"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DE" wp14:editId="5A1B43DF">
                  <wp:extent cx="304800" cy="304800"/>
                  <wp:effectExtent l="0" t="0" r="0" b="0"/>
                  <wp:docPr id="207" name="图片 15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53" descr="IMG_33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960BB8" w14:paraId="5A1AFCD2" w14:textId="77777777">
        <w:trPr>
          <w:hidden/>
        </w:trPr>
        <w:tc>
          <w:tcPr>
            <w:tcW w:w="0" w:type="auto"/>
            <w:shd w:val="clear" w:color="auto" w:fill="auto"/>
            <w:vAlign w:val="bottom"/>
          </w:tcPr>
          <w:p w14:paraId="5A1AFCCE" w14:textId="77777777" w:rsidR="00960BB8" w:rsidRDefault="00960BB8">
            <w:pPr>
              <w:rPr>
                <w:rFonts w:ascii="宋体"/>
                <w:vanish/>
              </w:rPr>
            </w:pPr>
          </w:p>
        </w:tc>
        <w:tc>
          <w:tcPr>
            <w:tcW w:w="0" w:type="auto"/>
            <w:gridSpan w:val="3"/>
            <w:shd w:val="clear" w:color="auto" w:fill="auto"/>
            <w:vAlign w:val="bottom"/>
          </w:tcPr>
          <w:p w14:paraId="5A1AFCCF" w14:textId="77777777" w:rsidR="00960BB8" w:rsidRDefault="00960BB8">
            <w:pPr>
              <w:rPr>
                <w:rFonts w:ascii="宋体"/>
                <w:vanish/>
              </w:rPr>
            </w:pPr>
          </w:p>
        </w:tc>
        <w:tc>
          <w:tcPr>
            <w:tcW w:w="0" w:type="auto"/>
            <w:gridSpan w:val="3"/>
            <w:shd w:val="clear" w:color="auto" w:fill="auto"/>
            <w:vAlign w:val="bottom"/>
          </w:tcPr>
          <w:p w14:paraId="5A1AFCD0" w14:textId="77777777" w:rsidR="00960BB8" w:rsidRDefault="00960BB8">
            <w:pPr>
              <w:rPr>
                <w:rFonts w:ascii="宋体"/>
                <w:vanish/>
              </w:rPr>
            </w:pPr>
          </w:p>
        </w:tc>
        <w:tc>
          <w:tcPr>
            <w:tcW w:w="0" w:type="auto"/>
            <w:gridSpan w:val="3"/>
            <w:shd w:val="clear" w:color="auto" w:fill="auto"/>
            <w:vAlign w:val="bottom"/>
          </w:tcPr>
          <w:p w14:paraId="5A1AFCD1" w14:textId="77777777" w:rsidR="00960BB8" w:rsidRDefault="00960BB8">
            <w:pPr>
              <w:rPr>
                <w:rFonts w:ascii="宋体"/>
                <w:vanish/>
              </w:rPr>
            </w:pPr>
          </w:p>
        </w:tc>
      </w:tr>
      <w:tr w:rsidR="00960BB8" w14:paraId="5A1AFCD6" w14:textId="77777777">
        <w:trPr>
          <w:trHeight w:val="280"/>
          <w:hidden/>
        </w:trPr>
        <w:tc>
          <w:tcPr>
            <w:tcW w:w="0" w:type="auto"/>
            <w:shd w:val="clear" w:color="auto" w:fill="auto"/>
            <w:vAlign w:val="bottom"/>
          </w:tcPr>
          <w:p w14:paraId="5A1AFCD3" w14:textId="77777777" w:rsidR="00960BB8" w:rsidRDefault="00960BB8">
            <w:pPr>
              <w:rPr>
                <w:rFonts w:ascii="宋体"/>
                <w:vanish/>
              </w:rPr>
            </w:pPr>
          </w:p>
        </w:tc>
        <w:tc>
          <w:tcPr>
            <w:tcW w:w="0" w:type="auto"/>
            <w:gridSpan w:val="6"/>
            <w:shd w:val="clear" w:color="auto" w:fill="auto"/>
            <w:tcMar>
              <w:top w:w="40" w:type="dxa"/>
              <w:left w:w="20" w:type="dxa"/>
              <w:bottom w:w="40" w:type="dxa"/>
              <w:right w:w="20" w:type="dxa"/>
            </w:tcMar>
            <w:vAlign w:val="bottom"/>
          </w:tcPr>
          <w:p w14:paraId="5A1AFCD4" w14:textId="77777777" w:rsidR="00960BB8" w:rsidRDefault="00C06650">
            <w:pPr>
              <w:textAlignment w:val="bottom"/>
            </w:pPr>
            <w:r>
              <w:rPr>
                <w:rFonts w:ascii="Arial" w:eastAsia="宋体" w:hAnsi="Arial" w:cs="Arial"/>
                <w:color w:val="0068B5"/>
                <w:sz w:val="20"/>
                <w:szCs w:val="20"/>
              </w:rPr>
              <w:t>Key Developments</w:t>
            </w:r>
          </w:p>
        </w:tc>
        <w:tc>
          <w:tcPr>
            <w:tcW w:w="0" w:type="auto"/>
            <w:gridSpan w:val="3"/>
            <w:shd w:val="clear" w:color="auto" w:fill="auto"/>
            <w:tcMar>
              <w:top w:w="0" w:type="dxa"/>
              <w:left w:w="20" w:type="dxa"/>
              <w:bottom w:w="0" w:type="dxa"/>
              <w:right w:w="20" w:type="dxa"/>
            </w:tcMar>
            <w:vAlign w:val="bottom"/>
          </w:tcPr>
          <w:p w14:paraId="5A1AFCD5" w14:textId="77777777" w:rsidR="00960BB8" w:rsidRDefault="00960BB8">
            <w:pPr>
              <w:rPr>
                <w:rFonts w:ascii="宋体"/>
              </w:rPr>
            </w:pPr>
          </w:p>
        </w:tc>
      </w:tr>
      <w:tr w:rsidR="00960BB8" w14:paraId="5A1AFCDB" w14:textId="77777777">
        <w:trPr>
          <w:hidden/>
        </w:trPr>
        <w:tc>
          <w:tcPr>
            <w:tcW w:w="0" w:type="auto"/>
            <w:shd w:val="clear" w:color="auto" w:fill="auto"/>
            <w:vAlign w:val="bottom"/>
          </w:tcPr>
          <w:p w14:paraId="5A1AFCD7" w14:textId="77777777" w:rsidR="00960BB8" w:rsidRDefault="00960BB8">
            <w:pPr>
              <w:rPr>
                <w:rFonts w:ascii="宋体"/>
                <w:vanish/>
              </w:rPr>
            </w:pPr>
          </w:p>
        </w:tc>
        <w:tc>
          <w:tcPr>
            <w:tcW w:w="0" w:type="auto"/>
            <w:gridSpan w:val="3"/>
            <w:shd w:val="clear" w:color="auto" w:fill="auto"/>
            <w:vAlign w:val="bottom"/>
          </w:tcPr>
          <w:p w14:paraId="5A1AFCD8" w14:textId="77777777" w:rsidR="00960BB8" w:rsidRDefault="00960BB8">
            <w:pPr>
              <w:rPr>
                <w:rFonts w:ascii="宋体"/>
                <w:vanish/>
              </w:rPr>
            </w:pPr>
          </w:p>
        </w:tc>
        <w:tc>
          <w:tcPr>
            <w:tcW w:w="0" w:type="auto"/>
            <w:gridSpan w:val="3"/>
            <w:shd w:val="clear" w:color="auto" w:fill="auto"/>
            <w:vAlign w:val="bottom"/>
          </w:tcPr>
          <w:p w14:paraId="5A1AFCD9" w14:textId="77777777" w:rsidR="00960BB8" w:rsidRDefault="00960BB8">
            <w:pPr>
              <w:rPr>
                <w:rFonts w:ascii="宋体"/>
                <w:vanish/>
              </w:rPr>
            </w:pPr>
          </w:p>
        </w:tc>
        <w:tc>
          <w:tcPr>
            <w:tcW w:w="0" w:type="auto"/>
            <w:gridSpan w:val="3"/>
            <w:shd w:val="clear" w:color="auto" w:fill="auto"/>
            <w:vAlign w:val="bottom"/>
          </w:tcPr>
          <w:p w14:paraId="5A1AFCDA" w14:textId="77777777" w:rsidR="00960BB8" w:rsidRDefault="00960BB8">
            <w:pPr>
              <w:rPr>
                <w:rFonts w:ascii="宋体"/>
                <w:vanish/>
              </w:rPr>
            </w:pPr>
          </w:p>
        </w:tc>
      </w:tr>
      <w:tr w:rsidR="00960BB8" w14:paraId="5A1AFCDF" w14:textId="77777777">
        <w:trPr>
          <w:trHeight w:val="480"/>
          <w:hidden/>
        </w:trPr>
        <w:tc>
          <w:tcPr>
            <w:tcW w:w="0" w:type="auto"/>
            <w:shd w:val="clear" w:color="auto" w:fill="auto"/>
            <w:vAlign w:val="bottom"/>
          </w:tcPr>
          <w:p w14:paraId="5A1AFCDC" w14:textId="77777777" w:rsidR="00960BB8" w:rsidRDefault="00960BB8">
            <w:pPr>
              <w:rPr>
                <w:rFonts w:ascii="宋体"/>
                <w:vanish/>
              </w:rPr>
            </w:pPr>
          </w:p>
        </w:tc>
        <w:tc>
          <w:tcPr>
            <w:tcW w:w="0" w:type="auto"/>
            <w:gridSpan w:val="3"/>
            <w:tcBorders>
              <w:top w:val="single" w:sz="4" w:space="0" w:color="262626"/>
            </w:tcBorders>
            <w:shd w:val="clear" w:color="auto" w:fill="auto"/>
            <w:tcMar>
              <w:top w:w="40" w:type="dxa"/>
              <w:left w:w="20" w:type="dxa"/>
              <w:bottom w:w="40" w:type="dxa"/>
              <w:right w:w="20" w:type="dxa"/>
            </w:tcMar>
          </w:tcPr>
          <w:p w14:paraId="5A1AFCDD" w14:textId="77777777" w:rsidR="00960BB8" w:rsidRDefault="00C06650">
            <w:pPr>
              <w:jc w:val="center"/>
              <w:textAlignment w:val="top"/>
            </w:pPr>
            <w:r>
              <w:rPr>
                <w:rFonts w:ascii="Arial" w:eastAsia="宋体" w:hAnsi="Arial" w:cs="Arial"/>
                <w:color w:val="0068B5"/>
                <w:sz w:val="12"/>
                <w:szCs w:val="12"/>
              </w:rPr>
              <w:t>■</w:t>
            </w:r>
          </w:p>
        </w:tc>
        <w:tc>
          <w:tcPr>
            <w:tcW w:w="0" w:type="auto"/>
            <w:gridSpan w:val="6"/>
            <w:tcBorders>
              <w:top w:val="single" w:sz="4" w:space="0" w:color="262626"/>
            </w:tcBorders>
            <w:shd w:val="clear" w:color="auto" w:fill="auto"/>
            <w:tcMar>
              <w:top w:w="40" w:type="dxa"/>
              <w:left w:w="20" w:type="dxa"/>
              <w:bottom w:w="40" w:type="dxa"/>
              <w:right w:w="20" w:type="dxa"/>
            </w:tcMar>
          </w:tcPr>
          <w:p w14:paraId="5A1AFCDE" w14:textId="77777777" w:rsidR="00960BB8" w:rsidRDefault="00C06650">
            <w:pPr>
              <w:textAlignment w:val="top"/>
            </w:pPr>
            <w:r>
              <w:rPr>
                <w:rFonts w:ascii="Arial" w:eastAsia="宋体" w:hAnsi="Arial" w:cs="Arial"/>
                <w:color w:val="262626"/>
                <w:sz w:val="18"/>
                <w:szCs w:val="18"/>
              </w:rPr>
              <w:t xml:space="preserve">Our revenue was $895 million, up 14% in 2022, primarily driven by higher sales of MBMW tools. Operating loss was $320 million, compared to a loss of $23 million in 2021, primarily due to increased spending to drive strategic growth. </w:t>
            </w:r>
          </w:p>
        </w:tc>
      </w:tr>
      <w:tr w:rsidR="00960BB8" w14:paraId="5A1AFCE3" w14:textId="77777777">
        <w:trPr>
          <w:trHeight w:val="940"/>
          <w:hidden/>
        </w:trPr>
        <w:tc>
          <w:tcPr>
            <w:tcW w:w="0" w:type="auto"/>
            <w:shd w:val="clear" w:color="auto" w:fill="auto"/>
            <w:vAlign w:val="bottom"/>
          </w:tcPr>
          <w:p w14:paraId="5A1AFCE0"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tcPr>
          <w:p w14:paraId="5A1AFCE1"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CE2" w14:textId="77777777" w:rsidR="00960BB8" w:rsidRDefault="00C06650">
            <w:pPr>
              <w:textAlignment w:val="top"/>
            </w:pPr>
            <w:r>
              <w:rPr>
                <w:rFonts w:ascii="Arial" w:eastAsia="宋体" w:hAnsi="Arial" w:cs="Arial"/>
                <w:color w:val="262626"/>
                <w:sz w:val="18"/>
                <w:szCs w:val="18"/>
              </w:rPr>
              <w:t>We have secured an</w:t>
            </w:r>
            <w:r>
              <w:rPr>
                <w:rFonts w:ascii="Arial" w:eastAsia="宋体" w:hAnsi="Arial" w:cs="Arial"/>
                <w:color w:val="262626"/>
                <w:sz w:val="18"/>
                <w:szCs w:val="18"/>
              </w:rPr>
              <w:t>chor customers and are engaged with seven of ten of the industry’s largest foundry customers. Since beginning production in late 2021 with Amazon Web Services as our lead customer, our packaging business expanded to other customers during the year. We expe</w:t>
            </w:r>
            <w:r>
              <w:rPr>
                <w:rFonts w:ascii="Arial" w:eastAsia="宋体" w:hAnsi="Arial" w:cs="Arial"/>
                <w:color w:val="262626"/>
                <w:sz w:val="18"/>
                <w:szCs w:val="18"/>
              </w:rPr>
              <w:t xml:space="preserve">ct Mediatek to be a lead silicon customer using Intel 16 process technology to create smart edge devices, with production expected to begin in 2024. </w:t>
            </w:r>
          </w:p>
        </w:tc>
      </w:tr>
      <w:tr w:rsidR="00960BB8" w14:paraId="5A1AFCE7" w14:textId="77777777">
        <w:trPr>
          <w:trHeight w:val="940"/>
          <w:hidden/>
        </w:trPr>
        <w:tc>
          <w:tcPr>
            <w:tcW w:w="0" w:type="auto"/>
            <w:shd w:val="clear" w:color="auto" w:fill="auto"/>
            <w:vAlign w:val="bottom"/>
          </w:tcPr>
          <w:p w14:paraId="5A1AFCE4"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tcPr>
          <w:p w14:paraId="5A1AFCE5"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CE6" w14:textId="77777777" w:rsidR="00960BB8" w:rsidRDefault="00C06650">
            <w:pPr>
              <w:textAlignment w:val="top"/>
            </w:pPr>
            <w:r>
              <w:rPr>
                <w:rFonts w:ascii="Arial" w:eastAsia="宋体" w:hAnsi="Arial" w:cs="Arial"/>
                <w:color w:val="262626"/>
                <w:sz w:val="18"/>
                <w:szCs w:val="18"/>
              </w:rPr>
              <w:t xml:space="preserve">We launched the IFS Accelerator program, a comprehensive ecosystem alliance designed to help </w:t>
            </w:r>
            <w:r>
              <w:rPr>
                <w:rFonts w:ascii="Arial" w:eastAsia="宋体" w:hAnsi="Arial" w:cs="Arial"/>
                <w:color w:val="262626"/>
                <w:sz w:val="18"/>
                <w:szCs w:val="18"/>
              </w:rPr>
              <w:t>foundry customers seamlessly bring their silicon products from idea to implementation. IFS Accelerator taps the leading capabilities available in the industry to accelerate customer innovation on IFS manufacturing platforms. It features innovative ecosyste</w:t>
            </w:r>
            <w:r>
              <w:rPr>
                <w:rFonts w:ascii="Arial" w:eastAsia="宋体" w:hAnsi="Arial" w:cs="Arial"/>
                <w:color w:val="262626"/>
                <w:sz w:val="18"/>
                <w:szCs w:val="18"/>
              </w:rPr>
              <w:t>m partner companies across each of the five alliances of the program: EDA, IP, Design Services, Cloud, and USMAG Alliances.</w:t>
            </w:r>
          </w:p>
        </w:tc>
      </w:tr>
      <w:tr w:rsidR="00960BB8" w14:paraId="5A1AFCEB" w14:textId="77777777">
        <w:trPr>
          <w:trHeight w:val="940"/>
          <w:hidden/>
        </w:trPr>
        <w:tc>
          <w:tcPr>
            <w:tcW w:w="0" w:type="auto"/>
            <w:shd w:val="clear" w:color="auto" w:fill="auto"/>
            <w:vAlign w:val="bottom"/>
          </w:tcPr>
          <w:p w14:paraId="5A1AFCE8"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tcPr>
          <w:p w14:paraId="5A1AFCE9"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CEA" w14:textId="77777777" w:rsidR="00960BB8" w:rsidRDefault="00C06650">
            <w:pPr>
              <w:spacing w:after="60"/>
              <w:textAlignment w:val="top"/>
            </w:pPr>
            <w:r>
              <w:rPr>
                <w:rFonts w:ascii="Arial" w:eastAsia="宋体" w:hAnsi="Arial" w:cs="Arial"/>
                <w:color w:val="333333"/>
                <w:sz w:val="18"/>
                <w:szCs w:val="18"/>
              </w:rPr>
              <w:t xml:space="preserve">In Q1 </w:t>
            </w:r>
            <w:r>
              <w:rPr>
                <w:rFonts w:ascii="Arial" w:eastAsia="宋体" w:hAnsi="Arial" w:cs="Arial"/>
                <w:color w:val="262626"/>
                <w:sz w:val="18"/>
                <w:szCs w:val="18"/>
              </w:rPr>
              <w:t>2022</w:t>
            </w:r>
            <w:r>
              <w:rPr>
                <w:rFonts w:ascii="Arial" w:eastAsia="宋体" w:hAnsi="Arial" w:cs="Arial"/>
                <w:color w:val="333333"/>
                <w:sz w:val="18"/>
                <w:szCs w:val="18"/>
              </w:rPr>
              <w:t xml:space="preserve">, we entered into a definitive agreement to acquire Tower in a cash-for-stock transaction. The acquisition is </w:t>
            </w:r>
            <w:r>
              <w:rPr>
                <w:rFonts w:ascii="Arial" w:eastAsia="宋体" w:hAnsi="Arial" w:cs="Arial"/>
                <w:color w:val="333333"/>
                <w:sz w:val="18"/>
                <w:szCs w:val="18"/>
              </w:rPr>
              <w:t>expected to advance our IDM 2.0 strategy by accelerating our global end-to-end open systems foundry business. While we continue to work to close within the first quarter of 2023, the transaction may close in the first half of 2023, subject to certain regul</w:t>
            </w:r>
            <w:r>
              <w:rPr>
                <w:rFonts w:ascii="Arial" w:eastAsia="宋体" w:hAnsi="Arial" w:cs="Arial"/>
                <w:color w:val="333333"/>
                <w:sz w:val="18"/>
                <w:szCs w:val="18"/>
              </w:rPr>
              <w:t>atory approvals and customary closing conditions. Tower is a leading foundry for analog semiconductor solutions.</w:t>
            </w:r>
          </w:p>
        </w:tc>
      </w:tr>
      <w:tr w:rsidR="00960BB8" w14:paraId="5A1AFCEF" w14:textId="77777777">
        <w:trPr>
          <w:trHeight w:val="720"/>
          <w:hidden/>
        </w:trPr>
        <w:tc>
          <w:tcPr>
            <w:tcW w:w="0" w:type="auto"/>
            <w:shd w:val="clear" w:color="auto" w:fill="auto"/>
            <w:vAlign w:val="bottom"/>
          </w:tcPr>
          <w:p w14:paraId="5A1AFCEC"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tcPr>
          <w:p w14:paraId="5A1AFCED" w14:textId="77777777" w:rsidR="00960BB8" w:rsidRDefault="00C06650">
            <w:pPr>
              <w:jc w:val="center"/>
              <w:textAlignment w:val="top"/>
            </w:pPr>
            <w:r>
              <w:rPr>
                <w:rFonts w:ascii="Arial" w:eastAsia="宋体" w:hAnsi="Arial" w:cs="Arial"/>
                <w:color w:val="0068B5"/>
                <w:sz w:val="12"/>
                <w:szCs w:val="12"/>
              </w:rPr>
              <w:t>■</w:t>
            </w:r>
          </w:p>
        </w:tc>
        <w:tc>
          <w:tcPr>
            <w:tcW w:w="0" w:type="auto"/>
            <w:gridSpan w:val="6"/>
            <w:shd w:val="clear" w:color="auto" w:fill="auto"/>
            <w:tcMar>
              <w:top w:w="40" w:type="dxa"/>
              <w:left w:w="20" w:type="dxa"/>
              <w:bottom w:w="40" w:type="dxa"/>
              <w:right w:w="20" w:type="dxa"/>
            </w:tcMar>
          </w:tcPr>
          <w:p w14:paraId="5A1AFCEE" w14:textId="77777777" w:rsidR="00960BB8" w:rsidRDefault="00C06650">
            <w:pPr>
              <w:textAlignment w:val="top"/>
            </w:pPr>
            <w:r>
              <w:rPr>
                <w:rFonts w:ascii="Arial" w:eastAsia="宋体" w:hAnsi="Arial" w:cs="Arial"/>
                <w:color w:val="262626"/>
                <w:sz w:val="18"/>
                <w:szCs w:val="18"/>
              </w:rPr>
              <w:t xml:space="preserve">We continue to grow the Foundry organization and have hired over 50 leaders from the foundry and fabless industry to complement the talent </w:t>
            </w:r>
            <w:r>
              <w:rPr>
                <w:rFonts w:ascii="Arial" w:eastAsia="宋体" w:hAnsi="Arial" w:cs="Arial"/>
                <w:color w:val="262626"/>
                <w:sz w:val="18"/>
                <w:szCs w:val="18"/>
              </w:rPr>
              <w:t>recruited within Intel. The pending acquisition of Tower would further expand our talent pool. This combination of internal and external talent will help us deliver the best of Intel and the foundry industry to our customers.</w:t>
            </w:r>
          </w:p>
        </w:tc>
      </w:tr>
      <w:tr w:rsidR="00960BB8" w14:paraId="5A1AFCF4" w14:textId="77777777">
        <w:trPr>
          <w:hidden/>
        </w:trPr>
        <w:tc>
          <w:tcPr>
            <w:tcW w:w="0" w:type="auto"/>
            <w:shd w:val="clear" w:color="auto" w:fill="auto"/>
            <w:vAlign w:val="bottom"/>
          </w:tcPr>
          <w:p w14:paraId="5A1AFCF0" w14:textId="77777777" w:rsidR="00960BB8" w:rsidRDefault="00960BB8">
            <w:pPr>
              <w:rPr>
                <w:rFonts w:ascii="宋体"/>
                <w:vanish/>
              </w:rPr>
            </w:pPr>
          </w:p>
        </w:tc>
        <w:tc>
          <w:tcPr>
            <w:tcW w:w="0" w:type="auto"/>
            <w:gridSpan w:val="3"/>
            <w:shd w:val="clear" w:color="auto" w:fill="auto"/>
            <w:vAlign w:val="bottom"/>
          </w:tcPr>
          <w:p w14:paraId="5A1AFCF1" w14:textId="77777777" w:rsidR="00960BB8" w:rsidRDefault="00960BB8">
            <w:pPr>
              <w:rPr>
                <w:rFonts w:ascii="宋体"/>
                <w:vanish/>
              </w:rPr>
            </w:pPr>
          </w:p>
        </w:tc>
        <w:tc>
          <w:tcPr>
            <w:tcW w:w="0" w:type="auto"/>
            <w:gridSpan w:val="3"/>
            <w:shd w:val="clear" w:color="auto" w:fill="auto"/>
            <w:vAlign w:val="bottom"/>
          </w:tcPr>
          <w:p w14:paraId="5A1AFCF2" w14:textId="77777777" w:rsidR="00960BB8" w:rsidRDefault="00960BB8">
            <w:pPr>
              <w:rPr>
                <w:rFonts w:ascii="宋体"/>
                <w:vanish/>
              </w:rPr>
            </w:pPr>
          </w:p>
        </w:tc>
        <w:tc>
          <w:tcPr>
            <w:tcW w:w="0" w:type="auto"/>
            <w:gridSpan w:val="3"/>
            <w:shd w:val="clear" w:color="auto" w:fill="auto"/>
            <w:vAlign w:val="bottom"/>
          </w:tcPr>
          <w:p w14:paraId="5A1AFCF3" w14:textId="77777777" w:rsidR="00960BB8" w:rsidRDefault="00960BB8">
            <w:pPr>
              <w:rPr>
                <w:rFonts w:ascii="宋体"/>
                <w:vanish/>
              </w:rPr>
            </w:pPr>
          </w:p>
        </w:tc>
      </w:tr>
    </w:tbl>
    <w:p w14:paraId="5A1AFCF5" w14:textId="77777777" w:rsidR="00960BB8" w:rsidRDefault="00960BB8">
      <w:pPr>
        <w:spacing w:after="80"/>
        <w:ind w:hanging="630"/>
      </w:pPr>
    </w:p>
    <w:p w14:paraId="5A1AFCF6"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D00" w14:textId="77777777">
        <w:tc>
          <w:tcPr>
            <w:tcW w:w="50" w:type="pct"/>
            <w:shd w:val="clear" w:color="auto" w:fill="auto"/>
            <w:vAlign w:val="bottom"/>
          </w:tcPr>
          <w:p w14:paraId="5A1AFCF7" w14:textId="77777777" w:rsidR="00960BB8" w:rsidRDefault="00960BB8">
            <w:pPr>
              <w:rPr>
                <w:rFonts w:ascii="宋体"/>
              </w:rPr>
            </w:pPr>
          </w:p>
        </w:tc>
        <w:tc>
          <w:tcPr>
            <w:tcW w:w="283" w:type="pct"/>
            <w:shd w:val="clear" w:color="auto" w:fill="auto"/>
            <w:vAlign w:val="bottom"/>
          </w:tcPr>
          <w:p w14:paraId="5A1AFCF8" w14:textId="77777777" w:rsidR="00960BB8" w:rsidRDefault="00960BB8">
            <w:pPr>
              <w:rPr>
                <w:rFonts w:ascii="宋体"/>
              </w:rPr>
            </w:pPr>
          </w:p>
        </w:tc>
        <w:tc>
          <w:tcPr>
            <w:tcW w:w="5" w:type="pct"/>
            <w:shd w:val="clear" w:color="auto" w:fill="auto"/>
            <w:vAlign w:val="bottom"/>
          </w:tcPr>
          <w:p w14:paraId="5A1AFCF9" w14:textId="77777777" w:rsidR="00960BB8" w:rsidRDefault="00960BB8">
            <w:pPr>
              <w:rPr>
                <w:rFonts w:ascii="宋体"/>
              </w:rPr>
            </w:pPr>
          </w:p>
        </w:tc>
        <w:tc>
          <w:tcPr>
            <w:tcW w:w="50" w:type="pct"/>
            <w:shd w:val="clear" w:color="auto" w:fill="auto"/>
            <w:vAlign w:val="bottom"/>
          </w:tcPr>
          <w:p w14:paraId="5A1AFCFA" w14:textId="77777777" w:rsidR="00960BB8" w:rsidRDefault="00960BB8">
            <w:pPr>
              <w:rPr>
                <w:rFonts w:ascii="宋体"/>
              </w:rPr>
            </w:pPr>
          </w:p>
        </w:tc>
        <w:tc>
          <w:tcPr>
            <w:tcW w:w="2656" w:type="pct"/>
            <w:shd w:val="clear" w:color="auto" w:fill="auto"/>
            <w:vAlign w:val="bottom"/>
          </w:tcPr>
          <w:p w14:paraId="5A1AFCFB" w14:textId="77777777" w:rsidR="00960BB8" w:rsidRDefault="00960BB8">
            <w:pPr>
              <w:rPr>
                <w:rFonts w:ascii="宋体"/>
              </w:rPr>
            </w:pPr>
          </w:p>
        </w:tc>
        <w:tc>
          <w:tcPr>
            <w:tcW w:w="5" w:type="pct"/>
            <w:shd w:val="clear" w:color="auto" w:fill="auto"/>
            <w:vAlign w:val="bottom"/>
          </w:tcPr>
          <w:p w14:paraId="5A1AFCFC" w14:textId="77777777" w:rsidR="00960BB8" w:rsidRDefault="00960BB8">
            <w:pPr>
              <w:rPr>
                <w:rFonts w:ascii="宋体"/>
              </w:rPr>
            </w:pPr>
          </w:p>
        </w:tc>
        <w:tc>
          <w:tcPr>
            <w:tcW w:w="50" w:type="pct"/>
            <w:shd w:val="clear" w:color="auto" w:fill="auto"/>
            <w:vAlign w:val="bottom"/>
          </w:tcPr>
          <w:p w14:paraId="5A1AFCFD" w14:textId="77777777" w:rsidR="00960BB8" w:rsidRDefault="00960BB8">
            <w:pPr>
              <w:rPr>
                <w:rFonts w:ascii="宋体"/>
              </w:rPr>
            </w:pPr>
          </w:p>
        </w:tc>
        <w:tc>
          <w:tcPr>
            <w:tcW w:w="1894" w:type="pct"/>
            <w:shd w:val="clear" w:color="auto" w:fill="auto"/>
            <w:vAlign w:val="bottom"/>
          </w:tcPr>
          <w:p w14:paraId="5A1AFCFE" w14:textId="77777777" w:rsidR="00960BB8" w:rsidRDefault="00960BB8">
            <w:pPr>
              <w:rPr>
                <w:rFonts w:ascii="宋体"/>
              </w:rPr>
            </w:pPr>
          </w:p>
        </w:tc>
        <w:tc>
          <w:tcPr>
            <w:tcW w:w="5" w:type="pct"/>
            <w:shd w:val="clear" w:color="auto" w:fill="auto"/>
            <w:vAlign w:val="bottom"/>
          </w:tcPr>
          <w:p w14:paraId="5A1AFCFF" w14:textId="77777777" w:rsidR="00960BB8" w:rsidRDefault="00960BB8">
            <w:pPr>
              <w:rPr>
                <w:rFonts w:ascii="宋体"/>
              </w:rPr>
            </w:pPr>
          </w:p>
        </w:tc>
      </w:tr>
      <w:tr w:rsidR="00960BB8" w14:paraId="5A1AFD0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D01"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E0" wp14:editId="5A1B43E1">
                  <wp:extent cx="304800" cy="304800"/>
                  <wp:effectExtent l="0" t="0" r="0" b="0"/>
                  <wp:docPr id="212" name="图片 15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5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D02"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D03" w14:textId="77777777" w:rsidR="00960BB8" w:rsidRDefault="00C06650">
            <w:pPr>
              <w:jc w:val="right"/>
              <w:textAlignment w:val="center"/>
            </w:pPr>
            <w:r>
              <w:rPr>
                <w:rFonts w:ascii="Arial" w:eastAsia="宋体" w:hAnsi="Arial" w:cs="Arial"/>
                <w:color w:val="262626"/>
                <w:sz w:val="16"/>
                <w:szCs w:val="16"/>
              </w:rPr>
              <w:t>36</w:t>
            </w:r>
          </w:p>
        </w:tc>
      </w:tr>
    </w:tbl>
    <w:p w14:paraId="5A1AFD05" w14:textId="77777777" w:rsidR="00960BB8" w:rsidRDefault="00C06650">
      <w:r>
        <w:pict w14:anchorId="5A1B43E2">
          <v:rect id="_x0000_i1062" style="width:415.3pt;height:1.5pt" o:hralign="center" o:hrstd="t" o:hr="t" fillcolor="#a0a0a0" stroked="f"/>
        </w:pict>
      </w:r>
    </w:p>
    <w:p w14:paraId="5A1AFD06" w14:textId="77777777" w:rsidR="00960BB8" w:rsidRDefault="00C06650">
      <w:pPr>
        <w:jc w:val="right"/>
      </w:pPr>
      <w:hyperlink r:id="rId55" w:anchor="i8aaa7b4dbd2e419ca0f5c30af85a11aa_16" w:history="1">
        <w:r>
          <w:rPr>
            <w:rStyle w:val="a5"/>
            <w:rFonts w:ascii="Arial" w:eastAsia="宋体" w:hAnsi="Arial" w:cs="Arial"/>
            <w:b/>
            <w:bCs/>
            <w:sz w:val="16"/>
            <w:szCs w:val="16"/>
          </w:rPr>
          <w:t>Table of Contents</w:t>
        </w:r>
      </w:hyperlink>
    </w:p>
    <w:p w14:paraId="5A1AFD07" w14:textId="77777777" w:rsidR="00960BB8" w:rsidRDefault="00960BB8">
      <w:pPr>
        <w:jc w:val="right"/>
      </w:pPr>
    </w:p>
    <w:p w14:paraId="5A1AFD08" w14:textId="77777777" w:rsidR="00960BB8" w:rsidRDefault="00C06650">
      <w:pPr>
        <w:spacing w:after="180"/>
      </w:pPr>
      <w:r>
        <w:rPr>
          <w:rFonts w:ascii="Arial" w:eastAsia="宋体" w:hAnsi="Arial" w:cs="Arial"/>
          <w:color w:val="0068B5"/>
        </w:rPr>
        <w:t>Market and Business Overview</w:t>
      </w:r>
    </w:p>
    <w:p w14:paraId="5A1AFD09" w14:textId="77777777" w:rsidR="00960BB8" w:rsidRDefault="00C06650">
      <w:pPr>
        <w:spacing w:after="120"/>
      </w:pPr>
      <w:r>
        <w:rPr>
          <w:rFonts w:ascii="Arial" w:eastAsia="宋体" w:hAnsi="Arial" w:cs="Arial"/>
          <w:color w:val="0068B5"/>
          <w:sz w:val="20"/>
          <w:szCs w:val="20"/>
        </w:rPr>
        <w:t>Market Trends and Strategy</w:t>
      </w:r>
    </w:p>
    <w:p w14:paraId="5A1AFD0A" w14:textId="77777777" w:rsidR="00960BB8" w:rsidRDefault="00C06650">
      <w:pPr>
        <w:spacing w:after="180"/>
      </w:pPr>
      <w:r>
        <w:rPr>
          <w:rFonts w:ascii="Arial" w:eastAsia="宋体" w:hAnsi="Arial" w:cs="Arial"/>
          <w:color w:val="262626"/>
          <w:sz w:val="18"/>
          <w:szCs w:val="18"/>
        </w:rPr>
        <w:t xml:space="preserve">The chip industry is </w:t>
      </w:r>
      <w:r>
        <w:rPr>
          <w:rFonts w:ascii="Arial" w:eastAsia="宋体" w:hAnsi="Arial" w:cs="Arial"/>
          <w:color w:val="262626"/>
          <w:sz w:val="18"/>
          <w:szCs w:val="18"/>
        </w:rPr>
        <w:t>undergoing a structural transformation driven by:</w:t>
      </w:r>
    </w:p>
    <w:p w14:paraId="5A1AFD0B"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000000"/>
          <w:sz w:val="18"/>
          <w:szCs w:val="18"/>
        </w:rPr>
        <w:t xml:space="preserve">The digitization of everything, accelerated by the five superpowers: compute, pervasive connectivity, cloud-to-edge infrastructure, AI, and sensing. </w:t>
      </w:r>
    </w:p>
    <w:p w14:paraId="5A1AFD0C"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000000"/>
          <w:sz w:val="18"/>
          <w:szCs w:val="18"/>
        </w:rPr>
        <w:t>A generational shift in computer architectures: a move</w:t>
      </w:r>
      <w:r>
        <w:rPr>
          <w:rFonts w:ascii="Arial" w:eastAsia="宋体" w:hAnsi="Arial" w:cs="Arial"/>
          <w:color w:val="000000"/>
          <w:sz w:val="18"/>
          <w:szCs w:val="18"/>
        </w:rPr>
        <w:t xml:space="preserve"> from SoC to chiplets, increased tailoring of chips to workloads, and instruction set diversification. </w:t>
      </w:r>
    </w:p>
    <w:p w14:paraId="5A1AFD0D"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000000"/>
          <w:sz w:val="18"/>
          <w:szCs w:val="18"/>
        </w:rPr>
        <w:t xml:space="preserve">The vertical integration into chip making by OEMs and CSPs. </w:t>
      </w:r>
    </w:p>
    <w:p w14:paraId="5A1AFD0E"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000000"/>
          <w:sz w:val="18"/>
          <w:szCs w:val="18"/>
        </w:rPr>
        <w:t>Increasing costs of R&amp;D and capacity for advanced node technologies.</w:t>
      </w:r>
    </w:p>
    <w:p w14:paraId="5A1AFD0F"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000000"/>
          <w:sz w:val="18"/>
          <w:szCs w:val="18"/>
        </w:rPr>
        <w:t xml:space="preserve">Supply chain </w:t>
      </w:r>
      <w:r>
        <w:rPr>
          <w:rFonts w:ascii="Arial" w:eastAsia="宋体" w:hAnsi="Arial" w:cs="Arial"/>
          <w:color w:val="000000"/>
          <w:sz w:val="18"/>
          <w:szCs w:val="18"/>
        </w:rPr>
        <w:t>risk highlighted by the pandemic and geo-political issues.</w:t>
      </w:r>
    </w:p>
    <w:p w14:paraId="5A1AFD10" w14:textId="77777777" w:rsidR="00960BB8" w:rsidRDefault="00C06650">
      <w:pPr>
        <w:spacing w:after="180"/>
      </w:pPr>
      <w:r>
        <w:rPr>
          <w:rFonts w:ascii="Arial" w:eastAsia="宋体" w:hAnsi="Arial" w:cs="Arial"/>
          <w:color w:val="262626"/>
          <w:sz w:val="18"/>
          <w:szCs w:val="18"/>
        </w:rPr>
        <w:t>These transformation trends are driving significant semiconductor market growth in leading-edge advanced nodes driven by Mobile, Compute, and Automotive applications. The increasing heterogeneity o</w:t>
      </w:r>
      <w:r>
        <w:rPr>
          <w:rFonts w:ascii="Arial" w:eastAsia="宋体" w:hAnsi="Arial" w:cs="Arial"/>
          <w:color w:val="262626"/>
          <w:sz w:val="18"/>
          <w:szCs w:val="18"/>
        </w:rPr>
        <w:t xml:space="preserve">f chips increases the complexity of designing chips with optimized PPAC that are manufacturable with high yield. Additionally, integrating these diverse chips into systems becomes more complex and requires optimized interconnects and a software stack that </w:t>
      </w:r>
      <w:r>
        <w:rPr>
          <w:rFonts w:ascii="Arial" w:eastAsia="宋体" w:hAnsi="Arial" w:cs="Arial"/>
          <w:color w:val="262626"/>
          <w:sz w:val="18"/>
          <w:szCs w:val="18"/>
        </w:rPr>
        <w:t>can easily accept this diversity of chips without compromising PPAC. This is causing a paradigm shift from focusing on optimizing devices to focusing on optimizing the system, known as system technology co-optimization. In this new paradigm, customers requ</w:t>
      </w:r>
      <w:r>
        <w:rPr>
          <w:rFonts w:ascii="Arial" w:eastAsia="宋体" w:hAnsi="Arial" w:cs="Arial"/>
          <w:color w:val="262626"/>
          <w:sz w:val="18"/>
          <w:szCs w:val="18"/>
        </w:rPr>
        <w:t xml:space="preserve">ire solutions that address every layer of the application stack, rather than just the chip itself. </w:t>
      </w:r>
    </w:p>
    <w:p w14:paraId="5A1AFD11" w14:textId="77777777" w:rsidR="00960BB8" w:rsidRDefault="00C06650">
      <w:pPr>
        <w:spacing w:after="180"/>
      </w:pPr>
      <w:r>
        <w:rPr>
          <w:rFonts w:ascii="Arial" w:eastAsia="宋体" w:hAnsi="Arial" w:cs="Arial"/>
          <w:color w:val="262626"/>
          <w:sz w:val="18"/>
          <w:szCs w:val="18"/>
        </w:rPr>
        <w:t>Additionally, the COVID-19 pandemic and recent geo-political issues have highlighted the world’s dependence on semiconductors and the vulnerable supply chai</w:t>
      </w:r>
      <w:r>
        <w:rPr>
          <w:rFonts w:ascii="Arial" w:eastAsia="宋体" w:hAnsi="Arial" w:cs="Arial"/>
          <w:color w:val="262626"/>
          <w:sz w:val="18"/>
          <w:szCs w:val="18"/>
        </w:rPr>
        <w:t>n that underpins the industry. Approximately 88% of the world’s semiconductor manufacturing capacity is in Asia, and only 4.5% is in the US</w:t>
      </w:r>
      <w:r>
        <w:rPr>
          <w:rFonts w:ascii="Arial" w:eastAsia="宋体" w:hAnsi="Arial" w:cs="Arial"/>
          <w:color w:val="262626"/>
          <w:sz w:val="11"/>
          <w:szCs w:val="11"/>
        </w:rPr>
        <w:t>1</w:t>
      </w:r>
      <w:r>
        <w:rPr>
          <w:rFonts w:ascii="Arial" w:eastAsia="宋体" w:hAnsi="Arial" w:cs="Arial"/>
          <w:color w:val="262626"/>
          <w:sz w:val="18"/>
          <w:szCs w:val="18"/>
        </w:rPr>
        <w:t xml:space="preserve">. </w:t>
      </w:r>
    </w:p>
    <w:p w14:paraId="5A1AFD12" w14:textId="77777777" w:rsidR="00960BB8" w:rsidRDefault="00C06650">
      <w:pPr>
        <w:spacing w:after="120"/>
      </w:pPr>
      <w:r>
        <w:rPr>
          <w:rFonts w:ascii="Arial" w:eastAsia="宋体" w:hAnsi="Arial" w:cs="Arial"/>
          <w:color w:val="0068B5"/>
          <w:sz w:val="20"/>
          <w:szCs w:val="20"/>
        </w:rPr>
        <w:t>Products and Competition</w:t>
      </w:r>
    </w:p>
    <w:p w14:paraId="5A1AFD13" w14:textId="77777777" w:rsidR="00960BB8" w:rsidRDefault="00C06650">
      <w:pPr>
        <w:spacing w:after="180"/>
      </w:pPr>
      <w:r>
        <w:rPr>
          <w:rFonts w:ascii="Arial" w:eastAsia="宋体" w:hAnsi="Arial" w:cs="Arial"/>
          <w:color w:val="262626"/>
          <w:sz w:val="18"/>
          <w:szCs w:val="18"/>
        </w:rPr>
        <w:t>We seek to address this tectonic shift in the industry by creating an open system foundr</w:t>
      </w:r>
      <w:r>
        <w:rPr>
          <w:rFonts w:ascii="Arial" w:eastAsia="宋体" w:hAnsi="Arial" w:cs="Arial"/>
          <w:color w:val="262626"/>
          <w:sz w:val="18"/>
          <w:szCs w:val="18"/>
        </w:rPr>
        <w:t>y that enables our customers to lead in their industries by creating full-stack solutions from their choice of the best of Intel and the ecosystem. The open system foundry has four components: wafer fabrication, packaging, chiplet standard, and software. T</w:t>
      </w:r>
      <w:r>
        <w:rPr>
          <w:rFonts w:ascii="Arial" w:eastAsia="宋体" w:hAnsi="Arial" w:cs="Arial"/>
          <w:color w:val="262626"/>
          <w:sz w:val="18"/>
          <w:szCs w:val="18"/>
        </w:rPr>
        <w:t>he open system foundry involves engaging with customers at multiple levels, from basic wafer manufacturing to helping define and implement their desired system architecture. We intend to build our customers' silicon design and deliver full end-to-end capab</w:t>
      </w:r>
      <w:r>
        <w:rPr>
          <w:rFonts w:ascii="Arial" w:eastAsia="宋体" w:hAnsi="Arial" w:cs="Arial"/>
          <w:color w:val="262626"/>
          <w:sz w:val="18"/>
          <w:szCs w:val="18"/>
        </w:rPr>
        <w:t xml:space="preserve">ilities to produce their products, built with our advanced packaging technology and delivered from a resilient, geo-diverse and sustainable source of supply. </w:t>
      </w:r>
    </w:p>
    <w:p w14:paraId="5A1AFD14" w14:textId="77777777" w:rsidR="00960BB8" w:rsidRDefault="00C06650">
      <w:pPr>
        <w:spacing w:after="180"/>
      </w:pPr>
      <w:r>
        <w:rPr>
          <w:rFonts w:ascii="Arial" w:eastAsia="宋体" w:hAnsi="Arial" w:cs="Arial"/>
          <w:color w:val="262626"/>
          <w:sz w:val="18"/>
          <w:szCs w:val="18"/>
        </w:rPr>
        <w:t>The foundation of our IFS strategy is a world-class foundry offering consisting of process technologies complemented by a robust ecosystem for IP, EDA, and design services. Chips created with IFS can be packaged using our advanced packaging technologies or</w:t>
      </w:r>
      <w:r>
        <w:rPr>
          <w:rFonts w:ascii="Arial" w:eastAsia="宋体" w:hAnsi="Arial" w:cs="Arial"/>
          <w:color w:val="262626"/>
          <w:sz w:val="18"/>
          <w:szCs w:val="18"/>
        </w:rPr>
        <w:t xml:space="preserve"> by OSATs and connected by optimized interconnects that we will help drive as standard for the industry, such as, UCIe. We expect to accelerate our customers' designs by providing services and software that leverage our vast experience in designing systems</w:t>
      </w:r>
      <w:r>
        <w:rPr>
          <w:rFonts w:ascii="Arial" w:eastAsia="宋体" w:hAnsi="Arial" w:cs="Arial"/>
          <w:color w:val="262626"/>
          <w:sz w:val="18"/>
          <w:szCs w:val="18"/>
        </w:rPr>
        <w:t xml:space="preserve"> of chips, and by providing cores from Intel and the ecosystem that are optimized for Intel process technologies. The combination of cores and accelerators can be seamlessly integrated into systems using oneAPI. These offerings will accelerate customer tim</w:t>
      </w:r>
      <w:r>
        <w:rPr>
          <w:rFonts w:ascii="Arial" w:eastAsia="宋体" w:hAnsi="Arial" w:cs="Arial"/>
          <w:color w:val="262626"/>
          <w:sz w:val="18"/>
          <w:szCs w:val="18"/>
        </w:rPr>
        <w:t xml:space="preserve">e to value with PPAC-optimized systems delivered from a reliable supply chain. </w:t>
      </w:r>
    </w:p>
    <w:p w14:paraId="5A1AFD15" w14:textId="77777777" w:rsidR="00960BB8" w:rsidRDefault="00C06650">
      <w:pPr>
        <w:spacing w:after="180"/>
      </w:pPr>
      <w:r>
        <w:rPr>
          <w:rFonts w:ascii="Arial" w:eastAsia="宋体" w:hAnsi="Arial" w:cs="Arial"/>
          <w:color w:val="262626"/>
          <w:sz w:val="18"/>
          <w:szCs w:val="18"/>
        </w:rPr>
        <w:t>Our competitors are mostly pure-play foundries that focus on delivering a pure-play foundry offering from fabrication plants based in Asia. Of the five major semiconductor foun</w:t>
      </w:r>
      <w:r>
        <w:rPr>
          <w:rFonts w:ascii="Arial" w:eastAsia="宋体" w:hAnsi="Arial" w:cs="Arial"/>
          <w:color w:val="262626"/>
          <w:sz w:val="18"/>
          <w:szCs w:val="18"/>
        </w:rPr>
        <w:t>dries, Taiwan Semiconductor Manufacturing Corporation (TSMC), Samsung, Global Foundries (GF), United Microelectronics Corporation (UMC) and Semiconductor Manufacturing International Corporation, only Samsung is an IDM and foundry, and only GF is headquarte</w:t>
      </w:r>
      <w:r>
        <w:rPr>
          <w:rFonts w:ascii="Arial" w:eastAsia="宋体" w:hAnsi="Arial" w:cs="Arial"/>
          <w:color w:val="262626"/>
          <w:sz w:val="18"/>
          <w:szCs w:val="18"/>
        </w:rPr>
        <w:t>red in the US. TSMC and Samsung are the only companies with advanced technologies below 10nm, and TSMC leads the market with 53% market share, followed by Samsung at 18% in 2021</w:t>
      </w:r>
      <w:r>
        <w:rPr>
          <w:rFonts w:ascii="Arial" w:eastAsia="宋体" w:hAnsi="Arial" w:cs="Arial"/>
          <w:color w:val="262626"/>
          <w:sz w:val="11"/>
          <w:szCs w:val="11"/>
        </w:rPr>
        <w:t>2</w:t>
      </w:r>
      <w:r>
        <w:rPr>
          <w:rFonts w:ascii="Arial" w:eastAsia="宋体" w:hAnsi="Arial" w:cs="Arial"/>
          <w:color w:val="262626"/>
          <w:sz w:val="18"/>
          <w:szCs w:val="18"/>
        </w:rPr>
        <w:t xml:space="preserve">. Neither Samsung nor TSMC currently offer its most advanced nodes outside of </w:t>
      </w:r>
      <w:r>
        <w:rPr>
          <w:rFonts w:ascii="Arial" w:eastAsia="宋体" w:hAnsi="Arial" w:cs="Arial"/>
          <w:color w:val="262626"/>
          <w:sz w:val="18"/>
          <w:szCs w:val="18"/>
        </w:rPr>
        <w:t xml:space="preserve">Asia and both have limited advanced-node capacity in the US. </w:t>
      </w:r>
    </w:p>
    <w:p w14:paraId="5A1AFD16" w14:textId="77777777" w:rsidR="00960BB8" w:rsidRDefault="00C06650">
      <w:pPr>
        <w:spacing w:after="180"/>
      </w:pPr>
      <w:r>
        <w:rPr>
          <w:rFonts w:ascii="Arial" w:eastAsia="宋体" w:hAnsi="Arial" w:cs="Arial"/>
          <w:color w:val="262626"/>
          <w:sz w:val="18"/>
          <w:szCs w:val="18"/>
        </w:rPr>
        <w:t>We believe the open system foundry model will deliver differentiated capabilities to help our customers lead in their industries while bringing stability to the global semiconductor supply chain</w:t>
      </w:r>
      <w:r>
        <w:rPr>
          <w:rFonts w:ascii="Arial" w:eastAsia="宋体" w:hAnsi="Arial" w:cs="Arial"/>
          <w:color w:val="262626"/>
          <w:sz w:val="18"/>
          <w:szCs w:val="18"/>
        </w:rPr>
        <w:t>. The interest we are seeing from customers demonstrates that our strategy and offerings are resonating, and we look to continue to build on this in 2023 and in prospective periods.</w:t>
      </w:r>
    </w:p>
    <w:p w14:paraId="5A1AFD17" w14:textId="77777777" w:rsidR="00960BB8" w:rsidRDefault="00960BB8"/>
    <w:p w14:paraId="5A1AFD18" w14:textId="77777777" w:rsidR="00960BB8" w:rsidRDefault="00960BB8"/>
    <w:p w14:paraId="5A1AFD19" w14:textId="77777777" w:rsidR="00960BB8" w:rsidRDefault="00960BB8"/>
    <w:p w14:paraId="5A1AFD1A" w14:textId="77777777" w:rsidR="00960BB8" w:rsidRDefault="00960BB8"/>
    <w:p w14:paraId="5A1AFD1B" w14:textId="77777777" w:rsidR="00960BB8" w:rsidRDefault="00960BB8"/>
    <w:p w14:paraId="5A1AFD1C" w14:textId="77777777" w:rsidR="00960BB8" w:rsidRDefault="00960BB8"/>
    <w:p w14:paraId="5A1AFD1D" w14:textId="77777777" w:rsidR="00960BB8" w:rsidRDefault="00960BB8"/>
    <w:p w14:paraId="5A1AFD1E" w14:textId="77777777" w:rsidR="00960BB8" w:rsidRDefault="00960BB8"/>
    <w:p w14:paraId="5A1AFD1F" w14:textId="77777777" w:rsidR="00960BB8" w:rsidRDefault="00C06650">
      <w:r>
        <w:rPr>
          <w:rFonts w:ascii="Arial" w:eastAsia="宋体" w:hAnsi="Arial" w:cs="Arial"/>
          <w:i/>
          <w:iCs/>
          <w:color w:val="262626"/>
          <w:sz w:val="10"/>
          <w:szCs w:val="10"/>
        </w:rPr>
        <w:t>1</w:t>
      </w:r>
      <w:r>
        <w:rPr>
          <w:rFonts w:ascii="Arial" w:eastAsia="宋体" w:hAnsi="Arial" w:cs="Arial"/>
          <w:i/>
          <w:iCs/>
          <w:color w:val="262626"/>
          <w:sz w:val="16"/>
          <w:szCs w:val="16"/>
        </w:rPr>
        <w:t>Source: 2022 Gartner Worldwide Foundry Capacity Forecast by Regio</w:t>
      </w:r>
      <w:r>
        <w:rPr>
          <w:rFonts w:ascii="Arial" w:eastAsia="宋体" w:hAnsi="Arial" w:cs="Arial"/>
          <w:i/>
          <w:iCs/>
          <w:color w:val="262626"/>
          <w:sz w:val="16"/>
          <w:szCs w:val="16"/>
        </w:rPr>
        <w:t>n, 2020-2026.</w:t>
      </w:r>
    </w:p>
    <w:p w14:paraId="5A1AFD20" w14:textId="77777777" w:rsidR="00960BB8" w:rsidRDefault="00C06650">
      <w:r>
        <w:rPr>
          <w:rFonts w:ascii="Arial" w:eastAsia="宋体" w:hAnsi="Arial" w:cs="Arial"/>
          <w:i/>
          <w:iCs/>
          <w:color w:val="262626"/>
          <w:sz w:val="10"/>
          <w:szCs w:val="10"/>
        </w:rPr>
        <w:t>2</w:t>
      </w:r>
      <w:r>
        <w:rPr>
          <w:rFonts w:ascii="Arial" w:eastAsia="宋体" w:hAnsi="Arial" w:cs="Arial"/>
          <w:i/>
          <w:iCs/>
          <w:color w:val="262626"/>
          <w:sz w:val="16"/>
          <w:szCs w:val="16"/>
        </w:rPr>
        <w:t>Source: TrendForce.</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D2A" w14:textId="77777777">
        <w:tc>
          <w:tcPr>
            <w:tcW w:w="50" w:type="pct"/>
            <w:shd w:val="clear" w:color="auto" w:fill="auto"/>
            <w:vAlign w:val="bottom"/>
          </w:tcPr>
          <w:p w14:paraId="5A1AFD21" w14:textId="77777777" w:rsidR="00960BB8" w:rsidRDefault="00960BB8">
            <w:pPr>
              <w:rPr>
                <w:rFonts w:ascii="宋体"/>
              </w:rPr>
            </w:pPr>
          </w:p>
        </w:tc>
        <w:tc>
          <w:tcPr>
            <w:tcW w:w="283" w:type="pct"/>
            <w:shd w:val="clear" w:color="auto" w:fill="auto"/>
            <w:vAlign w:val="bottom"/>
          </w:tcPr>
          <w:p w14:paraId="5A1AFD22" w14:textId="77777777" w:rsidR="00960BB8" w:rsidRDefault="00960BB8">
            <w:pPr>
              <w:rPr>
                <w:rFonts w:ascii="宋体"/>
              </w:rPr>
            </w:pPr>
          </w:p>
        </w:tc>
        <w:tc>
          <w:tcPr>
            <w:tcW w:w="5" w:type="pct"/>
            <w:shd w:val="clear" w:color="auto" w:fill="auto"/>
            <w:vAlign w:val="bottom"/>
          </w:tcPr>
          <w:p w14:paraId="5A1AFD23" w14:textId="77777777" w:rsidR="00960BB8" w:rsidRDefault="00960BB8">
            <w:pPr>
              <w:rPr>
                <w:rFonts w:ascii="宋体"/>
              </w:rPr>
            </w:pPr>
          </w:p>
        </w:tc>
        <w:tc>
          <w:tcPr>
            <w:tcW w:w="50" w:type="pct"/>
            <w:shd w:val="clear" w:color="auto" w:fill="auto"/>
            <w:vAlign w:val="bottom"/>
          </w:tcPr>
          <w:p w14:paraId="5A1AFD24" w14:textId="77777777" w:rsidR="00960BB8" w:rsidRDefault="00960BB8">
            <w:pPr>
              <w:rPr>
                <w:rFonts w:ascii="宋体"/>
              </w:rPr>
            </w:pPr>
          </w:p>
        </w:tc>
        <w:tc>
          <w:tcPr>
            <w:tcW w:w="2656" w:type="pct"/>
            <w:shd w:val="clear" w:color="auto" w:fill="auto"/>
            <w:vAlign w:val="bottom"/>
          </w:tcPr>
          <w:p w14:paraId="5A1AFD25" w14:textId="77777777" w:rsidR="00960BB8" w:rsidRDefault="00960BB8">
            <w:pPr>
              <w:rPr>
                <w:rFonts w:ascii="宋体"/>
              </w:rPr>
            </w:pPr>
          </w:p>
        </w:tc>
        <w:tc>
          <w:tcPr>
            <w:tcW w:w="5" w:type="pct"/>
            <w:shd w:val="clear" w:color="auto" w:fill="auto"/>
            <w:vAlign w:val="bottom"/>
          </w:tcPr>
          <w:p w14:paraId="5A1AFD26" w14:textId="77777777" w:rsidR="00960BB8" w:rsidRDefault="00960BB8">
            <w:pPr>
              <w:rPr>
                <w:rFonts w:ascii="宋体"/>
              </w:rPr>
            </w:pPr>
          </w:p>
        </w:tc>
        <w:tc>
          <w:tcPr>
            <w:tcW w:w="50" w:type="pct"/>
            <w:shd w:val="clear" w:color="auto" w:fill="auto"/>
            <w:vAlign w:val="bottom"/>
          </w:tcPr>
          <w:p w14:paraId="5A1AFD27" w14:textId="77777777" w:rsidR="00960BB8" w:rsidRDefault="00960BB8">
            <w:pPr>
              <w:rPr>
                <w:rFonts w:ascii="宋体"/>
              </w:rPr>
            </w:pPr>
          </w:p>
        </w:tc>
        <w:tc>
          <w:tcPr>
            <w:tcW w:w="1894" w:type="pct"/>
            <w:shd w:val="clear" w:color="auto" w:fill="auto"/>
            <w:vAlign w:val="bottom"/>
          </w:tcPr>
          <w:p w14:paraId="5A1AFD28" w14:textId="77777777" w:rsidR="00960BB8" w:rsidRDefault="00960BB8">
            <w:pPr>
              <w:rPr>
                <w:rFonts w:ascii="宋体"/>
              </w:rPr>
            </w:pPr>
          </w:p>
        </w:tc>
        <w:tc>
          <w:tcPr>
            <w:tcW w:w="5" w:type="pct"/>
            <w:shd w:val="clear" w:color="auto" w:fill="auto"/>
            <w:vAlign w:val="bottom"/>
          </w:tcPr>
          <w:p w14:paraId="5A1AFD29" w14:textId="77777777" w:rsidR="00960BB8" w:rsidRDefault="00960BB8">
            <w:pPr>
              <w:rPr>
                <w:rFonts w:ascii="宋体"/>
              </w:rPr>
            </w:pPr>
          </w:p>
        </w:tc>
      </w:tr>
      <w:tr w:rsidR="00960BB8" w14:paraId="5A1AFD2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D2B"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E3" wp14:editId="5A1B43E4">
                  <wp:extent cx="304800" cy="304800"/>
                  <wp:effectExtent l="0" t="0" r="0" b="0"/>
                  <wp:docPr id="206" name="图片 15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5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D2C"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D2D" w14:textId="77777777" w:rsidR="00960BB8" w:rsidRDefault="00C06650">
            <w:pPr>
              <w:jc w:val="right"/>
              <w:textAlignment w:val="center"/>
            </w:pPr>
            <w:r>
              <w:rPr>
                <w:rFonts w:ascii="Arial" w:eastAsia="宋体" w:hAnsi="Arial" w:cs="Arial"/>
                <w:color w:val="262626"/>
                <w:sz w:val="16"/>
                <w:szCs w:val="16"/>
              </w:rPr>
              <w:t>37</w:t>
            </w:r>
          </w:p>
        </w:tc>
      </w:tr>
    </w:tbl>
    <w:p w14:paraId="5A1AFD2F" w14:textId="77777777" w:rsidR="00960BB8" w:rsidRDefault="00C06650">
      <w:r>
        <w:pict w14:anchorId="5A1B43E5">
          <v:rect id="_x0000_i1063" style="width:415.3pt;height:1.5pt" o:hralign="center" o:hrstd="t" o:hr="t" fillcolor="#a0a0a0" stroked="f"/>
        </w:pict>
      </w:r>
    </w:p>
    <w:p w14:paraId="5A1AFD30" w14:textId="77777777" w:rsidR="00960BB8" w:rsidRDefault="00C06650">
      <w:pPr>
        <w:jc w:val="right"/>
      </w:pPr>
      <w:hyperlink r:id="rId56" w:anchor="i8aaa7b4dbd2e419ca0f5c30af85a11aa_16" w:history="1">
        <w:r>
          <w:rPr>
            <w:rStyle w:val="a5"/>
            <w:rFonts w:ascii="Arial" w:eastAsia="宋体" w:hAnsi="Arial" w:cs="Arial"/>
            <w:b/>
            <w:bCs/>
            <w:sz w:val="16"/>
            <w:szCs w:val="16"/>
          </w:rPr>
          <w:t>Table of Contents</w:t>
        </w:r>
      </w:hyperlink>
    </w:p>
    <w:p w14:paraId="5A1AFD31" w14:textId="77777777" w:rsidR="00960BB8" w:rsidRDefault="00960BB8">
      <w:pPr>
        <w:jc w:val="right"/>
      </w:pPr>
    </w:p>
    <w:p w14:paraId="5A1AFD32" w14:textId="77777777" w:rsidR="00960BB8" w:rsidRDefault="00C06650">
      <w:pPr>
        <w:spacing w:after="120"/>
      </w:pPr>
      <w:r>
        <w:rPr>
          <w:rFonts w:ascii="Arial" w:eastAsia="宋体" w:hAnsi="Arial" w:cs="Arial"/>
          <w:color w:val="0068B5"/>
        </w:rPr>
        <w:t>Financial Performance</w:t>
      </w:r>
    </w:p>
    <w:tbl>
      <w:tblPr>
        <w:tblW w:w="10770" w:type="dxa"/>
        <w:tblCellMar>
          <w:top w:w="15" w:type="dxa"/>
          <w:left w:w="15" w:type="dxa"/>
          <w:bottom w:w="15" w:type="dxa"/>
          <w:right w:w="15" w:type="dxa"/>
        </w:tblCellMar>
        <w:tblLook w:val="04A0" w:firstRow="1" w:lastRow="0" w:firstColumn="1" w:lastColumn="0" w:noHBand="0" w:noVBand="1"/>
      </w:tblPr>
      <w:tblGrid>
        <w:gridCol w:w="36"/>
        <w:gridCol w:w="122"/>
        <w:gridCol w:w="36"/>
        <w:gridCol w:w="36"/>
        <w:gridCol w:w="4747"/>
        <w:gridCol w:w="36"/>
        <w:gridCol w:w="36"/>
        <w:gridCol w:w="654"/>
        <w:gridCol w:w="36"/>
        <w:gridCol w:w="36"/>
        <w:gridCol w:w="4498"/>
        <w:gridCol w:w="36"/>
        <w:gridCol w:w="36"/>
        <w:gridCol w:w="389"/>
        <w:gridCol w:w="36"/>
      </w:tblGrid>
      <w:tr w:rsidR="00960BB8" w14:paraId="5A1AFD42" w14:textId="77777777">
        <w:tc>
          <w:tcPr>
            <w:tcW w:w="20" w:type="dxa"/>
            <w:shd w:val="clear" w:color="auto" w:fill="auto"/>
            <w:vAlign w:val="bottom"/>
          </w:tcPr>
          <w:p w14:paraId="5A1AFD33" w14:textId="77777777" w:rsidR="00960BB8" w:rsidRDefault="00960BB8">
            <w:pPr>
              <w:rPr>
                <w:rFonts w:ascii="宋体"/>
              </w:rPr>
            </w:pPr>
          </w:p>
        </w:tc>
        <w:tc>
          <w:tcPr>
            <w:tcW w:w="125" w:type="dxa"/>
            <w:shd w:val="clear" w:color="auto" w:fill="auto"/>
            <w:vAlign w:val="bottom"/>
          </w:tcPr>
          <w:p w14:paraId="5A1AFD34" w14:textId="77777777" w:rsidR="00960BB8" w:rsidRDefault="00960BB8">
            <w:pPr>
              <w:rPr>
                <w:rFonts w:ascii="宋体"/>
              </w:rPr>
            </w:pPr>
          </w:p>
        </w:tc>
        <w:tc>
          <w:tcPr>
            <w:tcW w:w="20" w:type="dxa"/>
            <w:shd w:val="clear" w:color="auto" w:fill="auto"/>
            <w:vAlign w:val="bottom"/>
          </w:tcPr>
          <w:p w14:paraId="5A1AFD35" w14:textId="77777777" w:rsidR="00960BB8" w:rsidRDefault="00960BB8">
            <w:pPr>
              <w:rPr>
                <w:rFonts w:ascii="宋体"/>
              </w:rPr>
            </w:pPr>
          </w:p>
        </w:tc>
        <w:tc>
          <w:tcPr>
            <w:tcW w:w="20" w:type="dxa"/>
            <w:shd w:val="clear" w:color="auto" w:fill="auto"/>
            <w:vAlign w:val="bottom"/>
          </w:tcPr>
          <w:p w14:paraId="5A1AFD36" w14:textId="77777777" w:rsidR="00960BB8" w:rsidRDefault="00960BB8">
            <w:pPr>
              <w:rPr>
                <w:rFonts w:ascii="宋体"/>
              </w:rPr>
            </w:pPr>
          </w:p>
        </w:tc>
        <w:tc>
          <w:tcPr>
            <w:tcW w:w="4820" w:type="dxa"/>
            <w:shd w:val="clear" w:color="auto" w:fill="auto"/>
            <w:vAlign w:val="bottom"/>
          </w:tcPr>
          <w:p w14:paraId="5A1AFD37" w14:textId="77777777" w:rsidR="00960BB8" w:rsidRDefault="00960BB8">
            <w:pPr>
              <w:rPr>
                <w:rFonts w:ascii="宋体"/>
              </w:rPr>
            </w:pPr>
          </w:p>
        </w:tc>
        <w:tc>
          <w:tcPr>
            <w:tcW w:w="20" w:type="dxa"/>
            <w:shd w:val="clear" w:color="auto" w:fill="auto"/>
            <w:vAlign w:val="bottom"/>
          </w:tcPr>
          <w:p w14:paraId="5A1AFD38" w14:textId="77777777" w:rsidR="00960BB8" w:rsidRDefault="00960BB8">
            <w:pPr>
              <w:rPr>
                <w:rFonts w:ascii="宋体"/>
              </w:rPr>
            </w:pPr>
          </w:p>
        </w:tc>
        <w:tc>
          <w:tcPr>
            <w:tcW w:w="20" w:type="dxa"/>
            <w:shd w:val="clear" w:color="auto" w:fill="auto"/>
            <w:vAlign w:val="bottom"/>
          </w:tcPr>
          <w:p w14:paraId="5A1AFD39" w14:textId="77777777" w:rsidR="00960BB8" w:rsidRDefault="00960BB8">
            <w:pPr>
              <w:rPr>
                <w:rFonts w:ascii="宋体"/>
              </w:rPr>
            </w:pPr>
          </w:p>
        </w:tc>
        <w:tc>
          <w:tcPr>
            <w:tcW w:w="665" w:type="dxa"/>
            <w:shd w:val="clear" w:color="auto" w:fill="auto"/>
            <w:vAlign w:val="bottom"/>
          </w:tcPr>
          <w:p w14:paraId="5A1AFD3A" w14:textId="77777777" w:rsidR="00960BB8" w:rsidRDefault="00960BB8">
            <w:pPr>
              <w:rPr>
                <w:rFonts w:ascii="宋体"/>
              </w:rPr>
            </w:pPr>
          </w:p>
        </w:tc>
        <w:tc>
          <w:tcPr>
            <w:tcW w:w="20" w:type="dxa"/>
            <w:shd w:val="clear" w:color="auto" w:fill="auto"/>
            <w:vAlign w:val="bottom"/>
          </w:tcPr>
          <w:p w14:paraId="5A1AFD3B" w14:textId="77777777" w:rsidR="00960BB8" w:rsidRDefault="00960BB8">
            <w:pPr>
              <w:rPr>
                <w:rFonts w:ascii="宋体"/>
              </w:rPr>
            </w:pPr>
          </w:p>
        </w:tc>
        <w:tc>
          <w:tcPr>
            <w:tcW w:w="20" w:type="dxa"/>
            <w:shd w:val="clear" w:color="auto" w:fill="auto"/>
            <w:vAlign w:val="bottom"/>
          </w:tcPr>
          <w:p w14:paraId="5A1AFD3C" w14:textId="77777777" w:rsidR="00960BB8" w:rsidRDefault="00960BB8">
            <w:pPr>
              <w:rPr>
                <w:rFonts w:ascii="宋体"/>
              </w:rPr>
            </w:pPr>
          </w:p>
        </w:tc>
        <w:tc>
          <w:tcPr>
            <w:tcW w:w="4565" w:type="dxa"/>
            <w:shd w:val="clear" w:color="auto" w:fill="auto"/>
            <w:vAlign w:val="bottom"/>
          </w:tcPr>
          <w:p w14:paraId="5A1AFD3D" w14:textId="77777777" w:rsidR="00960BB8" w:rsidRDefault="00960BB8">
            <w:pPr>
              <w:rPr>
                <w:rFonts w:ascii="宋体"/>
              </w:rPr>
            </w:pPr>
          </w:p>
        </w:tc>
        <w:tc>
          <w:tcPr>
            <w:tcW w:w="20" w:type="dxa"/>
            <w:shd w:val="clear" w:color="auto" w:fill="auto"/>
            <w:vAlign w:val="bottom"/>
          </w:tcPr>
          <w:p w14:paraId="5A1AFD3E" w14:textId="77777777" w:rsidR="00960BB8" w:rsidRDefault="00960BB8">
            <w:pPr>
              <w:rPr>
                <w:rFonts w:ascii="宋体"/>
              </w:rPr>
            </w:pPr>
          </w:p>
        </w:tc>
        <w:tc>
          <w:tcPr>
            <w:tcW w:w="20" w:type="dxa"/>
            <w:shd w:val="clear" w:color="auto" w:fill="auto"/>
            <w:vAlign w:val="bottom"/>
          </w:tcPr>
          <w:p w14:paraId="5A1AFD3F" w14:textId="77777777" w:rsidR="00960BB8" w:rsidRDefault="00960BB8">
            <w:pPr>
              <w:rPr>
                <w:rFonts w:ascii="宋体"/>
              </w:rPr>
            </w:pPr>
          </w:p>
        </w:tc>
        <w:tc>
          <w:tcPr>
            <w:tcW w:w="395" w:type="dxa"/>
            <w:shd w:val="clear" w:color="auto" w:fill="auto"/>
            <w:vAlign w:val="bottom"/>
          </w:tcPr>
          <w:p w14:paraId="5A1AFD40" w14:textId="77777777" w:rsidR="00960BB8" w:rsidRDefault="00960BB8">
            <w:pPr>
              <w:rPr>
                <w:rFonts w:ascii="宋体"/>
              </w:rPr>
            </w:pPr>
          </w:p>
        </w:tc>
        <w:tc>
          <w:tcPr>
            <w:tcW w:w="20" w:type="dxa"/>
            <w:shd w:val="clear" w:color="auto" w:fill="auto"/>
            <w:vAlign w:val="bottom"/>
          </w:tcPr>
          <w:p w14:paraId="5A1AFD41" w14:textId="77777777" w:rsidR="00960BB8" w:rsidRDefault="00960BB8">
            <w:pPr>
              <w:rPr>
                <w:rFonts w:ascii="宋体"/>
              </w:rPr>
            </w:pPr>
          </w:p>
        </w:tc>
      </w:tr>
      <w:tr w:rsidR="00960BB8" w14:paraId="5A1AFD48" w14:textId="77777777">
        <w:trPr>
          <w:trHeight w:val="280"/>
        </w:trPr>
        <w:tc>
          <w:tcPr>
            <w:tcW w:w="0" w:type="auto"/>
            <w:gridSpan w:val="3"/>
            <w:shd w:val="clear" w:color="auto" w:fill="auto"/>
            <w:tcMar>
              <w:top w:w="0" w:type="dxa"/>
              <w:left w:w="20" w:type="dxa"/>
              <w:bottom w:w="0" w:type="dxa"/>
              <w:right w:w="20" w:type="dxa"/>
            </w:tcMar>
            <w:vAlign w:val="bottom"/>
          </w:tcPr>
          <w:p w14:paraId="5A1AFD43"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D44" w14:textId="77777777" w:rsidR="00960BB8" w:rsidRDefault="00C06650">
            <w:pPr>
              <w:jc w:val="center"/>
              <w:textAlignment w:val="bottom"/>
            </w:pPr>
            <w:r>
              <w:rPr>
                <w:rFonts w:ascii="Arial" w:eastAsia="宋体" w:hAnsi="Arial" w:cs="Arial"/>
                <w:color w:val="0068B5"/>
                <w:sz w:val="20"/>
                <w:szCs w:val="20"/>
              </w:rPr>
              <w:t>IFS Revenue $B</w:t>
            </w:r>
          </w:p>
        </w:tc>
        <w:tc>
          <w:tcPr>
            <w:tcW w:w="0" w:type="auto"/>
            <w:gridSpan w:val="3"/>
            <w:shd w:val="clear" w:color="auto" w:fill="auto"/>
            <w:tcMar>
              <w:top w:w="0" w:type="dxa"/>
              <w:left w:w="20" w:type="dxa"/>
              <w:bottom w:w="0" w:type="dxa"/>
              <w:right w:w="20" w:type="dxa"/>
            </w:tcMar>
            <w:vAlign w:val="bottom"/>
          </w:tcPr>
          <w:p w14:paraId="5A1AFD45"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D46" w14:textId="77777777" w:rsidR="00960BB8" w:rsidRDefault="00C06650">
            <w:pPr>
              <w:jc w:val="center"/>
              <w:textAlignment w:val="bottom"/>
            </w:pPr>
            <w:r>
              <w:rPr>
                <w:rFonts w:ascii="Arial" w:eastAsia="宋体" w:hAnsi="Arial" w:cs="Arial"/>
                <w:color w:val="0068B5"/>
                <w:sz w:val="20"/>
                <w:szCs w:val="20"/>
              </w:rPr>
              <w:t xml:space="preserve">IFS Operating Income </w:t>
            </w:r>
            <w:r>
              <w:rPr>
                <w:rFonts w:ascii="Arial" w:eastAsia="宋体" w:hAnsi="Arial" w:cs="Arial"/>
                <w:color w:val="0068B5"/>
                <w:sz w:val="20"/>
                <w:szCs w:val="20"/>
              </w:rPr>
              <w:t>(Loss) $B</w:t>
            </w:r>
          </w:p>
        </w:tc>
        <w:tc>
          <w:tcPr>
            <w:tcW w:w="0" w:type="auto"/>
            <w:gridSpan w:val="3"/>
            <w:shd w:val="clear" w:color="auto" w:fill="auto"/>
            <w:tcMar>
              <w:top w:w="0" w:type="dxa"/>
              <w:left w:w="20" w:type="dxa"/>
              <w:bottom w:w="0" w:type="dxa"/>
              <w:right w:w="20" w:type="dxa"/>
            </w:tcMar>
            <w:vAlign w:val="bottom"/>
          </w:tcPr>
          <w:p w14:paraId="5A1AFD47" w14:textId="77777777" w:rsidR="00960BB8" w:rsidRDefault="00960BB8">
            <w:pPr>
              <w:rPr>
                <w:rFonts w:ascii="宋体"/>
              </w:rPr>
            </w:pPr>
          </w:p>
        </w:tc>
      </w:tr>
    </w:tbl>
    <w:p w14:paraId="5A1AFD49" w14:textId="77777777" w:rsidR="00960BB8" w:rsidRDefault="00C06650">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Viewer_files/intc-20221231_g52.jpg"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E6" wp14:editId="5A1B43E7">
            <wp:extent cx="304800" cy="304800"/>
            <wp:effectExtent l="0" t="0" r="0" b="0"/>
            <wp:docPr id="213" name="图片 158"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58" descr="IMG_34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w:instrText>
      </w:r>
      <w:r>
        <w:rPr>
          <w:rFonts w:ascii="宋体" w:eastAsia="宋体" w:hAnsi="宋体" w:cs="宋体"/>
        </w:rPr>
        <w:instrText xml:space="preserve">intc-20221231_g53.jpg"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E8" wp14:editId="5A1B43E9">
            <wp:extent cx="304800" cy="304800"/>
            <wp:effectExtent l="0" t="0" r="0" b="0"/>
            <wp:docPr id="214" name="图片 159"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59" descr="IMG_34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D4D" w14:textId="77777777">
        <w:tc>
          <w:tcPr>
            <w:tcW w:w="50" w:type="pct"/>
            <w:shd w:val="clear" w:color="auto" w:fill="auto"/>
            <w:vAlign w:val="bottom"/>
          </w:tcPr>
          <w:p w14:paraId="5A1AFD4A" w14:textId="77777777" w:rsidR="00960BB8" w:rsidRDefault="00960BB8">
            <w:pPr>
              <w:rPr>
                <w:rFonts w:ascii="宋体"/>
              </w:rPr>
            </w:pPr>
          </w:p>
        </w:tc>
        <w:tc>
          <w:tcPr>
            <w:tcW w:w="4945" w:type="pct"/>
            <w:shd w:val="clear" w:color="auto" w:fill="auto"/>
            <w:vAlign w:val="bottom"/>
          </w:tcPr>
          <w:p w14:paraId="5A1AFD4B" w14:textId="77777777" w:rsidR="00960BB8" w:rsidRDefault="00960BB8">
            <w:pPr>
              <w:rPr>
                <w:rFonts w:ascii="宋体"/>
              </w:rPr>
            </w:pPr>
          </w:p>
        </w:tc>
        <w:tc>
          <w:tcPr>
            <w:tcW w:w="5" w:type="pct"/>
            <w:shd w:val="clear" w:color="auto" w:fill="auto"/>
            <w:vAlign w:val="bottom"/>
          </w:tcPr>
          <w:p w14:paraId="5A1AFD4C" w14:textId="77777777" w:rsidR="00960BB8" w:rsidRDefault="00960BB8">
            <w:pPr>
              <w:rPr>
                <w:rFonts w:ascii="宋体"/>
              </w:rPr>
            </w:pPr>
          </w:p>
        </w:tc>
      </w:tr>
      <w:tr w:rsidR="00960BB8" w14:paraId="5A1AFD4F"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D4E" w14:textId="77777777" w:rsidR="00960BB8" w:rsidRDefault="00C06650">
            <w:pPr>
              <w:textAlignment w:val="bottom"/>
            </w:pPr>
            <w:r>
              <w:rPr>
                <w:rFonts w:ascii="Arial" w:eastAsia="宋体" w:hAnsi="Arial" w:cs="Arial"/>
                <w:color w:val="0068B5"/>
                <w:sz w:val="20"/>
                <w:szCs w:val="20"/>
              </w:rPr>
              <w:t>Revenue and Operating Income (Loss) Summary</w:t>
            </w:r>
          </w:p>
        </w:tc>
      </w:tr>
    </w:tbl>
    <w:p w14:paraId="5A1AFD50" w14:textId="77777777" w:rsidR="00960BB8" w:rsidRDefault="00C06650">
      <w:pPr>
        <w:spacing w:after="120"/>
      </w:pPr>
      <w:r>
        <w:rPr>
          <w:rFonts w:ascii="Arial" w:eastAsia="宋体" w:hAnsi="Arial" w:cs="Arial"/>
          <w:color w:val="0068B5"/>
          <w:sz w:val="20"/>
          <w:szCs w:val="20"/>
        </w:rPr>
        <w:t>2022 vs. 2021</w:t>
      </w:r>
    </w:p>
    <w:p w14:paraId="5A1AFD51" w14:textId="77777777" w:rsidR="00960BB8" w:rsidRDefault="00C06650">
      <w:pPr>
        <w:spacing w:after="180"/>
      </w:pPr>
      <w:r>
        <w:rPr>
          <w:rFonts w:ascii="Arial" w:eastAsia="宋体" w:hAnsi="Arial" w:cs="Arial"/>
          <w:color w:val="000000"/>
          <w:sz w:val="18"/>
          <w:szCs w:val="18"/>
        </w:rPr>
        <w:t xml:space="preserve">Revenue was $895 million, up $109 million from 2021, primarily driven by higher sales of MBMW tools. We had an operating loss of </w:t>
      </w:r>
      <w:r>
        <w:rPr>
          <w:rFonts w:ascii="Arial" w:eastAsia="宋体" w:hAnsi="Arial" w:cs="Arial"/>
          <w:color w:val="262626"/>
          <w:sz w:val="18"/>
          <w:szCs w:val="18"/>
        </w:rPr>
        <w:t>$320 million</w:t>
      </w:r>
      <w:r>
        <w:rPr>
          <w:rFonts w:ascii="Arial" w:eastAsia="宋体" w:hAnsi="Arial" w:cs="Arial"/>
          <w:color w:val="000000"/>
          <w:sz w:val="18"/>
          <w:szCs w:val="18"/>
        </w:rPr>
        <w:t xml:space="preserve">, compared to an operating loss of </w:t>
      </w:r>
      <w:r>
        <w:rPr>
          <w:rFonts w:ascii="Arial" w:eastAsia="宋体" w:hAnsi="Arial" w:cs="Arial"/>
          <w:color w:val="262626"/>
          <w:sz w:val="18"/>
          <w:szCs w:val="18"/>
        </w:rPr>
        <w:t>$23 million</w:t>
      </w:r>
      <w:r>
        <w:rPr>
          <w:rFonts w:ascii="Arial" w:eastAsia="宋体" w:hAnsi="Arial" w:cs="Arial"/>
          <w:color w:val="000000"/>
          <w:sz w:val="18"/>
          <w:szCs w:val="18"/>
        </w:rPr>
        <w:t xml:space="preserve"> from </w:t>
      </w:r>
      <w:r>
        <w:rPr>
          <w:rFonts w:ascii="Arial" w:eastAsia="宋体" w:hAnsi="Arial" w:cs="Arial"/>
          <w:color w:val="262626"/>
          <w:sz w:val="18"/>
          <w:szCs w:val="18"/>
        </w:rPr>
        <w:t>2021,</w:t>
      </w:r>
      <w:r>
        <w:rPr>
          <w:rFonts w:ascii="Arial" w:eastAsia="宋体" w:hAnsi="Arial" w:cs="Arial"/>
          <w:color w:val="000000"/>
          <w:sz w:val="18"/>
          <w:szCs w:val="18"/>
        </w:rPr>
        <w:t xml:space="preserve"> </w:t>
      </w:r>
      <w:r>
        <w:rPr>
          <w:rFonts w:ascii="Arial" w:eastAsia="宋体" w:hAnsi="Arial" w:cs="Arial"/>
          <w:color w:val="262626"/>
          <w:sz w:val="18"/>
          <w:szCs w:val="18"/>
        </w:rPr>
        <w:t xml:space="preserve">primarily due to increased spending to drive </w:t>
      </w:r>
      <w:r>
        <w:rPr>
          <w:rFonts w:ascii="Arial" w:eastAsia="宋体" w:hAnsi="Arial" w:cs="Arial"/>
          <w:color w:val="262626"/>
          <w:sz w:val="18"/>
          <w:szCs w:val="18"/>
        </w:rPr>
        <w:t>strategic growth</w:t>
      </w:r>
      <w:r>
        <w:rPr>
          <w:rFonts w:ascii="Arial" w:eastAsia="宋体" w:hAnsi="Arial" w:cs="Arial"/>
          <w:color w:val="000000"/>
          <w:sz w:val="18"/>
          <w:szCs w:val="18"/>
        </w:rPr>
        <w:t>.</w:t>
      </w:r>
    </w:p>
    <w:p w14:paraId="5A1AFD52" w14:textId="77777777" w:rsidR="00960BB8" w:rsidRDefault="00C06650">
      <w:pPr>
        <w:spacing w:after="120"/>
      </w:pPr>
      <w:r>
        <w:rPr>
          <w:rFonts w:ascii="Arial" w:eastAsia="宋体" w:hAnsi="Arial" w:cs="Arial"/>
          <w:color w:val="0068B5"/>
          <w:sz w:val="20"/>
          <w:szCs w:val="20"/>
        </w:rPr>
        <w:t>2021 vs. 2020</w:t>
      </w:r>
    </w:p>
    <w:p w14:paraId="5A1AFD53" w14:textId="77777777" w:rsidR="00960BB8" w:rsidRDefault="00C06650">
      <w:pPr>
        <w:spacing w:after="180"/>
      </w:pPr>
      <w:r>
        <w:rPr>
          <w:rFonts w:ascii="Arial" w:eastAsia="宋体" w:hAnsi="Arial" w:cs="Arial"/>
          <w:color w:val="262626"/>
          <w:sz w:val="18"/>
          <w:szCs w:val="18"/>
        </w:rPr>
        <w:t>Revenue was $786 million, up $71 million from 2020, primarily due to higher revenue from certain design services. We had an operating loss of $23 million, compared to operating income of $45 million in 2020, due to ongoing i</w:t>
      </w:r>
      <w:r>
        <w:rPr>
          <w:rFonts w:ascii="Arial" w:eastAsia="宋体" w:hAnsi="Arial" w:cs="Arial"/>
          <w:color w:val="262626"/>
          <w:sz w:val="18"/>
          <w:szCs w:val="18"/>
        </w:rPr>
        <w:t>nvestments in the business.</w:t>
      </w:r>
    </w:p>
    <w:p w14:paraId="5A1AFD54" w14:textId="77777777" w:rsidR="00960BB8" w:rsidRDefault="00960BB8">
      <w:pPr>
        <w:spacing w:after="80"/>
      </w:pPr>
    </w:p>
    <w:p w14:paraId="5A1AFD55" w14:textId="77777777" w:rsidR="00960BB8" w:rsidRDefault="00960BB8">
      <w:pPr>
        <w:spacing w:after="12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D5F" w14:textId="77777777">
        <w:tc>
          <w:tcPr>
            <w:tcW w:w="50" w:type="pct"/>
            <w:shd w:val="clear" w:color="auto" w:fill="auto"/>
            <w:vAlign w:val="bottom"/>
          </w:tcPr>
          <w:p w14:paraId="5A1AFD56" w14:textId="77777777" w:rsidR="00960BB8" w:rsidRDefault="00960BB8">
            <w:pPr>
              <w:rPr>
                <w:rFonts w:ascii="宋体"/>
              </w:rPr>
            </w:pPr>
          </w:p>
        </w:tc>
        <w:tc>
          <w:tcPr>
            <w:tcW w:w="283" w:type="pct"/>
            <w:shd w:val="clear" w:color="auto" w:fill="auto"/>
            <w:vAlign w:val="bottom"/>
          </w:tcPr>
          <w:p w14:paraId="5A1AFD57" w14:textId="77777777" w:rsidR="00960BB8" w:rsidRDefault="00960BB8">
            <w:pPr>
              <w:rPr>
                <w:rFonts w:ascii="宋体"/>
              </w:rPr>
            </w:pPr>
          </w:p>
        </w:tc>
        <w:tc>
          <w:tcPr>
            <w:tcW w:w="5" w:type="pct"/>
            <w:shd w:val="clear" w:color="auto" w:fill="auto"/>
            <w:vAlign w:val="bottom"/>
          </w:tcPr>
          <w:p w14:paraId="5A1AFD58" w14:textId="77777777" w:rsidR="00960BB8" w:rsidRDefault="00960BB8">
            <w:pPr>
              <w:rPr>
                <w:rFonts w:ascii="宋体"/>
              </w:rPr>
            </w:pPr>
          </w:p>
        </w:tc>
        <w:tc>
          <w:tcPr>
            <w:tcW w:w="50" w:type="pct"/>
            <w:shd w:val="clear" w:color="auto" w:fill="auto"/>
            <w:vAlign w:val="bottom"/>
          </w:tcPr>
          <w:p w14:paraId="5A1AFD59" w14:textId="77777777" w:rsidR="00960BB8" w:rsidRDefault="00960BB8">
            <w:pPr>
              <w:rPr>
                <w:rFonts w:ascii="宋体"/>
              </w:rPr>
            </w:pPr>
          </w:p>
        </w:tc>
        <w:tc>
          <w:tcPr>
            <w:tcW w:w="2656" w:type="pct"/>
            <w:shd w:val="clear" w:color="auto" w:fill="auto"/>
            <w:vAlign w:val="bottom"/>
          </w:tcPr>
          <w:p w14:paraId="5A1AFD5A" w14:textId="77777777" w:rsidR="00960BB8" w:rsidRDefault="00960BB8">
            <w:pPr>
              <w:rPr>
                <w:rFonts w:ascii="宋体"/>
              </w:rPr>
            </w:pPr>
          </w:p>
        </w:tc>
        <w:tc>
          <w:tcPr>
            <w:tcW w:w="5" w:type="pct"/>
            <w:shd w:val="clear" w:color="auto" w:fill="auto"/>
            <w:vAlign w:val="bottom"/>
          </w:tcPr>
          <w:p w14:paraId="5A1AFD5B" w14:textId="77777777" w:rsidR="00960BB8" w:rsidRDefault="00960BB8">
            <w:pPr>
              <w:rPr>
                <w:rFonts w:ascii="宋体"/>
              </w:rPr>
            </w:pPr>
          </w:p>
        </w:tc>
        <w:tc>
          <w:tcPr>
            <w:tcW w:w="50" w:type="pct"/>
            <w:shd w:val="clear" w:color="auto" w:fill="auto"/>
            <w:vAlign w:val="bottom"/>
          </w:tcPr>
          <w:p w14:paraId="5A1AFD5C" w14:textId="77777777" w:rsidR="00960BB8" w:rsidRDefault="00960BB8">
            <w:pPr>
              <w:rPr>
                <w:rFonts w:ascii="宋体"/>
              </w:rPr>
            </w:pPr>
          </w:p>
        </w:tc>
        <w:tc>
          <w:tcPr>
            <w:tcW w:w="1894" w:type="pct"/>
            <w:shd w:val="clear" w:color="auto" w:fill="auto"/>
            <w:vAlign w:val="bottom"/>
          </w:tcPr>
          <w:p w14:paraId="5A1AFD5D" w14:textId="77777777" w:rsidR="00960BB8" w:rsidRDefault="00960BB8">
            <w:pPr>
              <w:rPr>
                <w:rFonts w:ascii="宋体"/>
              </w:rPr>
            </w:pPr>
          </w:p>
        </w:tc>
        <w:tc>
          <w:tcPr>
            <w:tcW w:w="5" w:type="pct"/>
            <w:shd w:val="clear" w:color="auto" w:fill="auto"/>
            <w:vAlign w:val="bottom"/>
          </w:tcPr>
          <w:p w14:paraId="5A1AFD5E" w14:textId="77777777" w:rsidR="00960BB8" w:rsidRDefault="00960BB8">
            <w:pPr>
              <w:rPr>
                <w:rFonts w:ascii="宋体"/>
              </w:rPr>
            </w:pPr>
          </w:p>
        </w:tc>
      </w:tr>
      <w:tr w:rsidR="00960BB8" w14:paraId="5A1AFD6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D60"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EA" wp14:editId="5A1B43EB">
                  <wp:extent cx="304800" cy="304800"/>
                  <wp:effectExtent l="0" t="0" r="0" b="0"/>
                  <wp:docPr id="216" name="图片 16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60"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D61"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D62" w14:textId="77777777" w:rsidR="00960BB8" w:rsidRDefault="00C06650">
            <w:pPr>
              <w:jc w:val="right"/>
              <w:textAlignment w:val="center"/>
            </w:pPr>
            <w:r>
              <w:rPr>
                <w:rFonts w:ascii="Arial" w:eastAsia="宋体" w:hAnsi="Arial" w:cs="Arial"/>
                <w:color w:val="262626"/>
                <w:sz w:val="16"/>
                <w:szCs w:val="16"/>
              </w:rPr>
              <w:t>38</w:t>
            </w:r>
          </w:p>
        </w:tc>
      </w:tr>
    </w:tbl>
    <w:p w14:paraId="5A1AFD64" w14:textId="77777777" w:rsidR="00960BB8" w:rsidRDefault="00C06650">
      <w:r>
        <w:pict w14:anchorId="5A1B43EC">
          <v:rect id="_x0000_i1064" style="width:415.3pt;height:1.5pt" o:hralign="center" o:hrstd="t" o:hr="t" fillcolor="#a0a0a0" stroked="f"/>
        </w:pict>
      </w:r>
    </w:p>
    <w:p w14:paraId="5A1AFD65" w14:textId="77777777" w:rsidR="00960BB8" w:rsidRDefault="00C06650">
      <w:pPr>
        <w:jc w:val="right"/>
      </w:pPr>
      <w:hyperlink r:id="rId57" w:anchor="i8aaa7b4dbd2e419ca0f5c30af85a11aa_16" w:history="1">
        <w:r>
          <w:rPr>
            <w:rStyle w:val="a5"/>
            <w:rFonts w:ascii="Arial" w:eastAsia="宋体" w:hAnsi="Arial" w:cs="Arial"/>
            <w:b/>
            <w:bCs/>
            <w:sz w:val="16"/>
            <w:szCs w:val="16"/>
          </w:rPr>
          <w:t>Table of Contents</w:t>
        </w:r>
      </w:hyperlink>
    </w:p>
    <w:p w14:paraId="5A1AFD66"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AFD6D" w14:textId="77777777">
        <w:tc>
          <w:tcPr>
            <w:tcW w:w="50" w:type="pct"/>
            <w:shd w:val="clear" w:color="auto" w:fill="auto"/>
            <w:vAlign w:val="bottom"/>
          </w:tcPr>
          <w:p w14:paraId="5A1AFD67" w14:textId="77777777" w:rsidR="00960BB8" w:rsidRDefault="00960BB8">
            <w:pPr>
              <w:rPr>
                <w:rFonts w:ascii="宋体"/>
              </w:rPr>
            </w:pPr>
          </w:p>
        </w:tc>
        <w:tc>
          <w:tcPr>
            <w:tcW w:w="4870" w:type="pct"/>
            <w:shd w:val="clear" w:color="auto" w:fill="auto"/>
            <w:vAlign w:val="bottom"/>
          </w:tcPr>
          <w:p w14:paraId="5A1AFD68" w14:textId="77777777" w:rsidR="00960BB8" w:rsidRDefault="00960BB8">
            <w:pPr>
              <w:rPr>
                <w:rFonts w:ascii="宋体"/>
              </w:rPr>
            </w:pPr>
          </w:p>
        </w:tc>
        <w:tc>
          <w:tcPr>
            <w:tcW w:w="5" w:type="pct"/>
            <w:shd w:val="clear" w:color="auto" w:fill="auto"/>
            <w:vAlign w:val="bottom"/>
          </w:tcPr>
          <w:p w14:paraId="5A1AFD69" w14:textId="77777777" w:rsidR="00960BB8" w:rsidRDefault="00960BB8">
            <w:pPr>
              <w:rPr>
                <w:rFonts w:ascii="宋体"/>
              </w:rPr>
            </w:pPr>
          </w:p>
        </w:tc>
        <w:tc>
          <w:tcPr>
            <w:tcW w:w="5" w:type="pct"/>
            <w:shd w:val="clear" w:color="auto" w:fill="auto"/>
            <w:vAlign w:val="bottom"/>
          </w:tcPr>
          <w:p w14:paraId="5A1AFD6A" w14:textId="77777777" w:rsidR="00960BB8" w:rsidRDefault="00960BB8">
            <w:pPr>
              <w:rPr>
                <w:rFonts w:ascii="宋体"/>
              </w:rPr>
            </w:pPr>
          </w:p>
        </w:tc>
        <w:tc>
          <w:tcPr>
            <w:tcW w:w="64" w:type="pct"/>
            <w:shd w:val="clear" w:color="auto" w:fill="auto"/>
            <w:vAlign w:val="bottom"/>
          </w:tcPr>
          <w:p w14:paraId="5A1AFD6B" w14:textId="77777777" w:rsidR="00960BB8" w:rsidRDefault="00960BB8">
            <w:pPr>
              <w:rPr>
                <w:rFonts w:ascii="宋体"/>
              </w:rPr>
            </w:pPr>
          </w:p>
        </w:tc>
        <w:tc>
          <w:tcPr>
            <w:tcW w:w="5" w:type="pct"/>
            <w:shd w:val="clear" w:color="auto" w:fill="auto"/>
            <w:vAlign w:val="bottom"/>
          </w:tcPr>
          <w:p w14:paraId="5A1AFD6C" w14:textId="77777777" w:rsidR="00960BB8" w:rsidRDefault="00960BB8">
            <w:pPr>
              <w:rPr>
                <w:rFonts w:ascii="宋体"/>
              </w:rPr>
            </w:pPr>
          </w:p>
        </w:tc>
      </w:tr>
      <w:tr w:rsidR="00960BB8" w14:paraId="5A1AFD70" w14:textId="77777777">
        <w:tc>
          <w:tcPr>
            <w:tcW w:w="0" w:type="auto"/>
            <w:gridSpan w:val="3"/>
            <w:shd w:val="clear" w:color="auto" w:fill="004A86"/>
            <w:tcMar>
              <w:top w:w="40" w:type="dxa"/>
              <w:left w:w="20" w:type="dxa"/>
              <w:bottom w:w="40" w:type="dxa"/>
              <w:right w:w="20" w:type="dxa"/>
            </w:tcMar>
            <w:vAlign w:val="center"/>
          </w:tcPr>
          <w:p w14:paraId="5A1AFD6E" w14:textId="77777777" w:rsidR="00960BB8" w:rsidRDefault="00C06650">
            <w:pPr>
              <w:textAlignment w:val="center"/>
            </w:pPr>
            <w:r>
              <w:rPr>
                <w:rFonts w:ascii="Arial" w:eastAsia="宋体" w:hAnsi="Arial" w:cs="Arial"/>
                <w:color w:val="FFFFFF"/>
                <w:sz w:val="36"/>
                <w:szCs w:val="36"/>
              </w:rPr>
              <w:t>Consolidated Results of Operations</w:t>
            </w:r>
          </w:p>
        </w:tc>
        <w:tc>
          <w:tcPr>
            <w:tcW w:w="0" w:type="auto"/>
            <w:gridSpan w:val="3"/>
            <w:shd w:val="clear" w:color="auto" w:fill="auto"/>
            <w:tcMar>
              <w:top w:w="0" w:type="dxa"/>
              <w:left w:w="20" w:type="dxa"/>
              <w:bottom w:w="0" w:type="dxa"/>
              <w:right w:w="20" w:type="dxa"/>
            </w:tcMar>
            <w:vAlign w:val="bottom"/>
          </w:tcPr>
          <w:p w14:paraId="5A1AFD6F" w14:textId="77777777" w:rsidR="00960BB8" w:rsidRDefault="00960BB8">
            <w:pPr>
              <w:rPr>
                <w:rFonts w:ascii="宋体"/>
              </w:rPr>
            </w:pPr>
          </w:p>
        </w:tc>
      </w:tr>
      <w:tr w:rsidR="00960BB8" w14:paraId="5A1AFD73" w14:textId="77777777">
        <w:trPr>
          <w:trHeight w:val="160"/>
        </w:trPr>
        <w:tc>
          <w:tcPr>
            <w:tcW w:w="0" w:type="auto"/>
            <w:gridSpan w:val="3"/>
            <w:shd w:val="clear" w:color="auto" w:fill="auto"/>
            <w:tcMar>
              <w:top w:w="0" w:type="dxa"/>
              <w:left w:w="20" w:type="dxa"/>
              <w:bottom w:w="0" w:type="dxa"/>
              <w:right w:w="20" w:type="dxa"/>
            </w:tcMar>
            <w:vAlign w:val="bottom"/>
          </w:tcPr>
          <w:p w14:paraId="5A1AFD71"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AFD72" w14:textId="77777777" w:rsidR="00960BB8" w:rsidRDefault="00960BB8">
            <w:pPr>
              <w:rPr>
                <w:rFonts w:ascii="宋体"/>
              </w:rPr>
            </w:pPr>
          </w:p>
        </w:tc>
      </w:tr>
    </w:tbl>
    <w:p w14:paraId="5A1AFD74" w14:textId="77777777" w:rsidR="00960BB8" w:rsidRDefault="00C06650">
      <w:pPr>
        <w:spacing w:after="180"/>
      </w:pPr>
      <w:r>
        <w:rPr>
          <w:rFonts w:ascii="Arial" w:eastAsia="宋体" w:hAnsi="Arial" w:cs="Arial"/>
          <w:color w:val="262626"/>
          <w:sz w:val="18"/>
          <w:szCs w:val="18"/>
        </w:rPr>
        <w:t xml:space="preserve">For additional key </w:t>
      </w:r>
      <w:r>
        <w:rPr>
          <w:rFonts w:ascii="Arial" w:eastAsia="宋体" w:hAnsi="Arial" w:cs="Arial"/>
          <w:color w:val="262626"/>
          <w:sz w:val="18"/>
          <w:szCs w:val="18"/>
        </w:rPr>
        <w:t>highlights of our results of operations, see "A Year in Review."</w:t>
      </w:r>
    </w:p>
    <w:tbl>
      <w:tblPr>
        <w:tblW w:w="10935" w:type="dxa"/>
        <w:tblCellMar>
          <w:top w:w="15" w:type="dxa"/>
          <w:left w:w="15" w:type="dxa"/>
          <w:bottom w:w="15" w:type="dxa"/>
          <w:right w:w="15" w:type="dxa"/>
        </w:tblCellMar>
        <w:tblLook w:val="04A0" w:firstRow="1" w:lastRow="0" w:firstColumn="1" w:lastColumn="0" w:noHBand="0" w:noVBand="1"/>
      </w:tblPr>
      <w:tblGrid>
        <w:gridCol w:w="41"/>
        <w:gridCol w:w="3552"/>
        <w:gridCol w:w="40"/>
        <w:gridCol w:w="36"/>
        <w:gridCol w:w="36"/>
        <w:gridCol w:w="36"/>
        <w:gridCol w:w="121"/>
        <w:gridCol w:w="931"/>
        <w:gridCol w:w="36"/>
        <w:gridCol w:w="36"/>
        <w:gridCol w:w="36"/>
        <w:gridCol w:w="36"/>
        <w:gridCol w:w="36"/>
        <w:gridCol w:w="913"/>
        <w:gridCol w:w="181"/>
        <w:gridCol w:w="36"/>
        <w:gridCol w:w="36"/>
        <w:gridCol w:w="36"/>
        <w:gridCol w:w="121"/>
        <w:gridCol w:w="931"/>
        <w:gridCol w:w="36"/>
        <w:gridCol w:w="36"/>
        <w:gridCol w:w="36"/>
        <w:gridCol w:w="36"/>
        <w:gridCol w:w="36"/>
        <w:gridCol w:w="913"/>
        <w:gridCol w:w="181"/>
        <w:gridCol w:w="36"/>
        <w:gridCol w:w="36"/>
        <w:gridCol w:w="36"/>
        <w:gridCol w:w="121"/>
        <w:gridCol w:w="931"/>
        <w:gridCol w:w="36"/>
        <w:gridCol w:w="36"/>
        <w:gridCol w:w="36"/>
        <w:gridCol w:w="36"/>
        <w:gridCol w:w="36"/>
        <w:gridCol w:w="913"/>
        <w:gridCol w:w="181"/>
      </w:tblGrid>
      <w:tr w:rsidR="00960BB8" w14:paraId="5A1AFD9C" w14:textId="77777777">
        <w:tc>
          <w:tcPr>
            <w:tcW w:w="20" w:type="dxa"/>
            <w:shd w:val="clear" w:color="auto" w:fill="auto"/>
            <w:vAlign w:val="bottom"/>
          </w:tcPr>
          <w:p w14:paraId="5A1AFD75" w14:textId="77777777" w:rsidR="00960BB8" w:rsidRDefault="00960BB8">
            <w:pPr>
              <w:rPr>
                <w:rFonts w:ascii="宋体"/>
              </w:rPr>
            </w:pPr>
          </w:p>
        </w:tc>
        <w:tc>
          <w:tcPr>
            <w:tcW w:w="3920" w:type="dxa"/>
            <w:shd w:val="clear" w:color="auto" w:fill="auto"/>
            <w:vAlign w:val="bottom"/>
          </w:tcPr>
          <w:p w14:paraId="5A1AFD76" w14:textId="77777777" w:rsidR="00960BB8" w:rsidRDefault="00960BB8">
            <w:pPr>
              <w:rPr>
                <w:rFonts w:ascii="宋体"/>
              </w:rPr>
            </w:pPr>
          </w:p>
        </w:tc>
        <w:tc>
          <w:tcPr>
            <w:tcW w:w="20" w:type="dxa"/>
            <w:shd w:val="clear" w:color="auto" w:fill="auto"/>
            <w:vAlign w:val="bottom"/>
          </w:tcPr>
          <w:p w14:paraId="5A1AFD77" w14:textId="77777777" w:rsidR="00960BB8" w:rsidRDefault="00960BB8">
            <w:pPr>
              <w:rPr>
                <w:rFonts w:ascii="宋体"/>
              </w:rPr>
            </w:pPr>
          </w:p>
        </w:tc>
        <w:tc>
          <w:tcPr>
            <w:tcW w:w="20" w:type="dxa"/>
            <w:shd w:val="clear" w:color="auto" w:fill="auto"/>
            <w:vAlign w:val="bottom"/>
          </w:tcPr>
          <w:p w14:paraId="5A1AFD78" w14:textId="77777777" w:rsidR="00960BB8" w:rsidRDefault="00960BB8">
            <w:pPr>
              <w:rPr>
                <w:rFonts w:ascii="宋体"/>
              </w:rPr>
            </w:pPr>
          </w:p>
        </w:tc>
        <w:tc>
          <w:tcPr>
            <w:tcW w:w="35" w:type="dxa"/>
            <w:shd w:val="clear" w:color="auto" w:fill="auto"/>
            <w:vAlign w:val="bottom"/>
          </w:tcPr>
          <w:p w14:paraId="5A1AFD79" w14:textId="77777777" w:rsidR="00960BB8" w:rsidRDefault="00960BB8">
            <w:pPr>
              <w:rPr>
                <w:rFonts w:ascii="宋体"/>
              </w:rPr>
            </w:pPr>
          </w:p>
        </w:tc>
        <w:tc>
          <w:tcPr>
            <w:tcW w:w="20" w:type="dxa"/>
            <w:shd w:val="clear" w:color="auto" w:fill="auto"/>
            <w:vAlign w:val="bottom"/>
          </w:tcPr>
          <w:p w14:paraId="5A1AFD7A" w14:textId="77777777" w:rsidR="00960BB8" w:rsidRDefault="00960BB8">
            <w:pPr>
              <w:rPr>
                <w:rFonts w:ascii="宋体"/>
              </w:rPr>
            </w:pPr>
          </w:p>
        </w:tc>
        <w:tc>
          <w:tcPr>
            <w:tcW w:w="20" w:type="dxa"/>
            <w:shd w:val="clear" w:color="auto" w:fill="auto"/>
            <w:vAlign w:val="bottom"/>
          </w:tcPr>
          <w:p w14:paraId="5A1AFD7B" w14:textId="77777777" w:rsidR="00960BB8" w:rsidRDefault="00960BB8">
            <w:pPr>
              <w:rPr>
                <w:rFonts w:ascii="宋体"/>
              </w:rPr>
            </w:pPr>
          </w:p>
        </w:tc>
        <w:tc>
          <w:tcPr>
            <w:tcW w:w="1055" w:type="dxa"/>
            <w:shd w:val="clear" w:color="auto" w:fill="auto"/>
            <w:vAlign w:val="bottom"/>
          </w:tcPr>
          <w:p w14:paraId="5A1AFD7C" w14:textId="77777777" w:rsidR="00960BB8" w:rsidRDefault="00960BB8">
            <w:pPr>
              <w:rPr>
                <w:rFonts w:ascii="宋体"/>
              </w:rPr>
            </w:pPr>
          </w:p>
        </w:tc>
        <w:tc>
          <w:tcPr>
            <w:tcW w:w="20" w:type="dxa"/>
            <w:shd w:val="clear" w:color="auto" w:fill="auto"/>
            <w:vAlign w:val="bottom"/>
          </w:tcPr>
          <w:p w14:paraId="5A1AFD7D" w14:textId="77777777" w:rsidR="00960BB8" w:rsidRDefault="00960BB8">
            <w:pPr>
              <w:rPr>
                <w:rFonts w:ascii="宋体"/>
              </w:rPr>
            </w:pPr>
          </w:p>
        </w:tc>
        <w:tc>
          <w:tcPr>
            <w:tcW w:w="20" w:type="dxa"/>
            <w:shd w:val="clear" w:color="auto" w:fill="auto"/>
            <w:vAlign w:val="bottom"/>
          </w:tcPr>
          <w:p w14:paraId="5A1AFD7E" w14:textId="77777777" w:rsidR="00960BB8" w:rsidRDefault="00960BB8">
            <w:pPr>
              <w:rPr>
                <w:rFonts w:ascii="宋体"/>
              </w:rPr>
            </w:pPr>
          </w:p>
        </w:tc>
        <w:tc>
          <w:tcPr>
            <w:tcW w:w="35" w:type="dxa"/>
            <w:shd w:val="clear" w:color="auto" w:fill="auto"/>
            <w:vAlign w:val="bottom"/>
          </w:tcPr>
          <w:p w14:paraId="5A1AFD7F" w14:textId="77777777" w:rsidR="00960BB8" w:rsidRDefault="00960BB8">
            <w:pPr>
              <w:rPr>
                <w:rFonts w:ascii="宋体"/>
              </w:rPr>
            </w:pPr>
          </w:p>
        </w:tc>
        <w:tc>
          <w:tcPr>
            <w:tcW w:w="20" w:type="dxa"/>
            <w:shd w:val="clear" w:color="auto" w:fill="auto"/>
            <w:vAlign w:val="bottom"/>
          </w:tcPr>
          <w:p w14:paraId="5A1AFD80" w14:textId="77777777" w:rsidR="00960BB8" w:rsidRDefault="00960BB8">
            <w:pPr>
              <w:rPr>
                <w:rFonts w:ascii="宋体"/>
              </w:rPr>
            </w:pPr>
          </w:p>
        </w:tc>
        <w:tc>
          <w:tcPr>
            <w:tcW w:w="20" w:type="dxa"/>
            <w:shd w:val="clear" w:color="auto" w:fill="auto"/>
            <w:vAlign w:val="bottom"/>
          </w:tcPr>
          <w:p w14:paraId="5A1AFD81" w14:textId="77777777" w:rsidR="00960BB8" w:rsidRDefault="00960BB8">
            <w:pPr>
              <w:rPr>
                <w:rFonts w:ascii="宋体"/>
              </w:rPr>
            </w:pPr>
          </w:p>
        </w:tc>
        <w:tc>
          <w:tcPr>
            <w:tcW w:w="1040" w:type="dxa"/>
            <w:shd w:val="clear" w:color="auto" w:fill="auto"/>
            <w:vAlign w:val="bottom"/>
          </w:tcPr>
          <w:p w14:paraId="5A1AFD82" w14:textId="77777777" w:rsidR="00960BB8" w:rsidRDefault="00960BB8">
            <w:pPr>
              <w:rPr>
                <w:rFonts w:ascii="宋体"/>
              </w:rPr>
            </w:pPr>
          </w:p>
        </w:tc>
        <w:tc>
          <w:tcPr>
            <w:tcW w:w="20" w:type="dxa"/>
            <w:shd w:val="clear" w:color="auto" w:fill="auto"/>
            <w:vAlign w:val="bottom"/>
          </w:tcPr>
          <w:p w14:paraId="5A1AFD83" w14:textId="77777777" w:rsidR="00960BB8" w:rsidRDefault="00960BB8">
            <w:pPr>
              <w:rPr>
                <w:rFonts w:ascii="宋体"/>
              </w:rPr>
            </w:pPr>
          </w:p>
        </w:tc>
        <w:tc>
          <w:tcPr>
            <w:tcW w:w="20" w:type="dxa"/>
            <w:shd w:val="clear" w:color="auto" w:fill="auto"/>
            <w:vAlign w:val="bottom"/>
          </w:tcPr>
          <w:p w14:paraId="5A1AFD84" w14:textId="77777777" w:rsidR="00960BB8" w:rsidRDefault="00960BB8">
            <w:pPr>
              <w:rPr>
                <w:rFonts w:ascii="宋体"/>
              </w:rPr>
            </w:pPr>
          </w:p>
        </w:tc>
        <w:tc>
          <w:tcPr>
            <w:tcW w:w="35" w:type="dxa"/>
            <w:shd w:val="clear" w:color="auto" w:fill="auto"/>
            <w:vAlign w:val="bottom"/>
          </w:tcPr>
          <w:p w14:paraId="5A1AFD85" w14:textId="77777777" w:rsidR="00960BB8" w:rsidRDefault="00960BB8">
            <w:pPr>
              <w:rPr>
                <w:rFonts w:ascii="宋体"/>
              </w:rPr>
            </w:pPr>
          </w:p>
        </w:tc>
        <w:tc>
          <w:tcPr>
            <w:tcW w:w="20" w:type="dxa"/>
            <w:shd w:val="clear" w:color="auto" w:fill="auto"/>
            <w:vAlign w:val="bottom"/>
          </w:tcPr>
          <w:p w14:paraId="5A1AFD86" w14:textId="77777777" w:rsidR="00960BB8" w:rsidRDefault="00960BB8">
            <w:pPr>
              <w:rPr>
                <w:rFonts w:ascii="宋体"/>
              </w:rPr>
            </w:pPr>
          </w:p>
        </w:tc>
        <w:tc>
          <w:tcPr>
            <w:tcW w:w="20" w:type="dxa"/>
            <w:shd w:val="clear" w:color="auto" w:fill="auto"/>
            <w:vAlign w:val="bottom"/>
          </w:tcPr>
          <w:p w14:paraId="5A1AFD87" w14:textId="77777777" w:rsidR="00960BB8" w:rsidRDefault="00960BB8">
            <w:pPr>
              <w:rPr>
                <w:rFonts w:ascii="宋体"/>
              </w:rPr>
            </w:pPr>
          </w:p>
        </w:tc>
        <w:tc>
          <w:tcPr>
            <w:tcW w:w="1055" w:type="dxa"/>
            <w:shd w:val="clear" w:color="auto" w:fill="auto"/>
            <w:vAlign w:val="bottom"/>
          </w:tcPr>
          <w:p w14:paraId="5A1AFD88" w14:textId="77777777" w:rsidR="00960BB8" w:rsidRDefault="00960BB8">
            <w:pPr>
              <w:rPr>
                <w:rFonts w:ascii="宋体"/>
              </w:rPr>
            </w:pPr>
          </w:p>
        </w:tc>
        <w:tc>
          <w:tcPr>
            <w:tcW w:w="20" w:type="dxa"/>
            <w:shd w:val="clear" w:color="auto" w:fill="auto"/>
            <w:vAlign w:val="bottom"/>
          </w:tcPr>
          <w:p w14:paraId="5A1AFD89" w14:textId="77777777" w:rsidR="00960BB8" w:rsidRDefault="00960BB8">
            <w:pPr>
              <w:rPr>
                <w:rFonts w:ascii="宋体"/>
              </w:rPr>
            </w:pPr>
          </w:p>
        </w:tc>
        <w:tc>
          <w:tcPr>
            <w:tcW w:w="20" w:type="dxa"/>
            <w:shd w:val="clear" w:color="auto" w:fill="auto"/>
            <w:vAlign w:val="bottom"/>
          </w:tcPr>
          <w:p w14:paraId="5A1AFD8A" w14:textId="77777777" w:rsidR="00960BB8" w:rsidRDefault="00960BB8">
            <w:pPr>
              <w:rPr>
                <w:rFonts w:ascii="宋体"/>
              </w:rPr>
            </w:pPr>
          </w:p>
        </w:tc>
        <w:tc>
          <w:tcPr>
            <w:tcW w:w="35" w:type="dxa"/>
            <w:shd w:val="clear" w:color="auto" w:fill="auto"/>
            <w:vAlign w:val="bottom"/>
          </w:tcPr>
          <w:p w14:paraId="5A1AFD8B" w14:textId="77777777" w:rsidR="00960BB8" w:rsidRDefault="00960BB8">
            <w:pPr>
              <w:rPr>
                <w:rFonts w:ascii="宋体"/>
              </w:rPr>
            </w:pPr>
          </w:p>
        </w:tc>
        <w:tc>
          <w:tcPr>
            <w:tcW w:w="20" w:type="dxa"/>
            <w:shd w:val="clear" w:color="auto" w:fill="auto"/>
            <w:vAlign w:val="bottom"/>
          </w:tcPr>
          <w:p w14:paraId="5A1AFD8C" w14:textId="77777777" w:rsidR="00960BB8" w:rsidRDefault="00960BB8">
            <w:pPr>
              <w:rPr>
                <w:rFonts w:ascii="宋体"/>
              </w:rPr>
            </w:pPr>
          </w:p>
        </w:tc>
        <w:tc>
          <w:tcPr>
            <w:tcW w:w="20" w:type="dxa"/>
            <w:shd w:val="clear" w:color="auto" w:fill="auto"/>
            <w:vAlign w:val="bottom"/>
          </w:tcPr>
          <w:p w14:paraId="5A1AFD8D" w14:textId="77777777" w:rsidR="00960BB8" w:rsidRDefault="00960BB8">
            <w:pPr>
              <w:rPr>
                <w:rFonts w:ascii="宋体"/>
              </w:rPr>
            </w:pPr>
          </w:p>
        </w:tc>
        <w:tc>
          <w:tcPr>
            <w:tcW w:w="1040" w:type="dxa"/>
            <w:shd w:val="clear" w:color="auto" w:fill="auto"/>
            <w:vAlign w:val="bottom"/>
          </w:tcPr>
          <w:p w14:paraId="5A1AFD8E" w14:textId="77777777" w:rsidR="00960BB8" w:rsidRDefault="00960BB8">
            <w:pPr>
              <w:rPr>
                <w:rFonts w:ascii="宋体"/>
              </w:rPr>
            </w:pPr>
          </w:p>
        </w:tc>
        <w:tc>
          <w:tcPr>
            <w:tcW w:w="20" w:type="dxa"/>
            <w:shd w:val="clear" w:color="auto" w:fill="auto"/>
            <w:vAlign w:val="bottom"/>
          </w:tcPr>
          <w:p w14:paraId="5A1AFD8F" w14:textId="77777777" w:rsidR="00960BB8" w:rsidRDefault="00960BB8">
            <w:pPr>
              <w:rPr>
                <w:rFonts w:ascii="宋体"/>
              </w:rPr>
            </w:pPr>
          </w:p>
        </w:tc>
        <w:tc>
          <w:tcPr>
            <w:tcW w:w="20" w:type="dxa"/>
            <w:shd w:val="clear" w:color="auto" w:fill="auto"/>
            <w:vAlign w:val="bottom"/>
          </w:tcPr>
          <w:p w14:paraId="5A1AFD90" w14:textId="77777777" w:rsidR="00960BB8" w:rsidRDefault="00960BB8">
            <w:pPr>
              <w:rPr>
                <w:rFonts w:ascii="宋体"/>
              </w:rPr>
            </w:pPr>
          </w:p>
        </w:tc>
        <w:tc>
          <w:tcPr>
            <w:tcW w:w="35" w:type="dxa"/>
            <w:shd w:val="clear" w:color="auto" w:fill="auto"/>
            <w:vAlign w:val="bottom"/>
          </w:tcPr>
          <w:p w14:paraId="5A1AFD91" w14:textId="77777777" w:rsidR="00960BB8" w:rsidRDefault="00960BB8">
            <w:pPr>
              <w:rPr>
                <w:rFonts w:ascii="宋体"/>
              </w:rPr>
            </w:pPr>
          </w:p>
        </w:tc>
        <w:tc>
          <w:tcPr>
            <w:tcW w:w="20" w:type="dxa"/>
            <w:shd w:val="clear" w:color="auto" w:fill="auto"/>
            <w:vAlign w:val="bottom"/>
          </w:tcPr>
          <w:p w14:paraId="5A1AFD92" w14:textId="77777777" w:rsidR="00960BB8" w:rsidRDefault="00960BB8">
            <w:pPr>
              <w:rPr>
                <w:rFonts w:ascii="宋体"/>
              </w:rPr>
            </w:pPr>
          </w:p>
        </w:tc>
        <w:tc>
          <w:tcPr>
            <w:tcW w:w="20" w:type="dxa"/>
            <w:shd w:val="clear" w:color="auto" w:fill="auto"/>
            <w:vAlign w:val="bottom"/>
          </w:tcPr>
          <w:p w14:paraId="5A1AFD93" w14:textId="77777777" w:rsidR="00960BB8" w:rsidRDefault="00960BB8">
            <w:pPr>
              <w:rPr>
                <w:rFonts w:ascii="宋体"/>
              </w:rPr>
            </w:pPr>
          </w:p>
        </w:tc>
        <w:tc>
          <w:tcPr>
            <w:tcW w:w="1055" w:type="dxa"/>
            <w:shd w:val="clear" w:color="auto" w:fill="auto"/>
            <w:vAlign w:val="bottom"/>
          </w:tcPr>
          <w:p w14:paraId="5A1AFD94" w14:textId="77777777" w:rsidR="00960BB8" w:rsidRDefault="00960BB8">
            <w:pPr>
              <w:rPr>
                <w:rFonts w:ascii="宋体"/>
              </w:rPr>
            </w:pPr>
          </w:p>
        </w:tc>
        <w:tc>
          <w:tcPr>
            <w:tcW w:w="20" w:type="dxa"/>
            <w:shd w:val="clear" w:color="auto" w:fill="auto"/>
            <w:vAlign w:val="bottom"/>
          </w:tcPr>
          <w:p w14:paraId="5A1AFD95" w14:textId="77777777" w:rsidR="00960BB8" w:rsidRDefault="00960BB8">
            <w:pPr>
              <w:rPr>
                <w:rFonts w:ascii="宋体"/>
              </w:rPr>
            </w:pPr>
          </w:p>
        </w:tc>
        <w:tc>
          <w:tcPr>
            <w:tcW w:w="20" w:type="dxa"/>
            <w:shd w:val="clear" w:color="auto" w:fill="auto"/>
            <w:vAlign w:val="bottom"/>
          </w:tcPr>
          <w:p w14:paraId="5A1AFD96" w14:textId="77777777" w:rsidR="00960BB8" w:rsidRDefault="00960BB8">
            <w:pPr>
              <w:rPr>
                <w:rFonts w:ascii="宋体"/>
              </w:rPr>
            </w:pPr>
          </w:p>
        </w:tc>
        <w:tc>
          <w:tcPr>
            <w:tcW w:w="35" w:type="dxa"/>
            <w:shd w:val="clear" w:color="auto" w:fill="auto"/>
            <w:vAlign w:val="bottom"/>
          </w:tcPr>
          <w:p w14:paraId="5A1AFD97" w14:textId="77777777" w:rsidR="00960BB8" w:rsidRDefault="00960BB8">
            <w:pPr>
              <w:rPr>
                <w:rFonts w:ascii="宋体"/>
              </w:rPr>
            </w:pPr>
          </w:p>
        </w:tc>
        <w:tc>
          <w:tcPr>
            <w:tcW w:w="20" w:type="dxa"/>
            <w:shd w:val="clear" w:color="auto" w:fill="auto"/>
            <w:vAlign w:val="bottom"/>
          </w:tcPr>
          <w:p w14:paraId="5A1AFD98" w14:textId="77777777" w:rsidR="00960BB8" w:rsidRDefault="00960BB8">
            <w:pPr>
              <w:rPr>
                <w:rFonts w:ascii="宋体"/>
              </w:rPr>
            </w:pPr>
          </w:p>
        </w:tc>
        <w:tc>
          <w:tcPr>
            <w:tcW w:w="20" w:type="dxa"/>
            <w:shd w:val="clear" w:color="auto" w:fill="auto"/>
            <w:vAlign w:val="bottom"/>
          </w:tcPr>
          <w:p w14:paraId="5A1AFD99" w14:textId="77777777" w:rsidR="00960BB8" w:rsidRDefault="00960BB8">
            <w:pPr>
              <w:rPr>
                <w:rFonts w:ascii="宋体"/>
              </w:rPr>
            </w:pPr>
          </w:p>
        </w:tc>
        <w:tc>
          <w:tcPr>
            <w:tcW w:w="1040" w:type="dxa"/>
            <w:shd w:val="clear" w:color="auto" w:fill="auto"/>
            <w:vAlign w:val="bottom"/>
          </w:tcPr>
          <w:p w14:paraId="5A1AFD9A" w14:textId="77777777" w:rsidR="00960BB8" w:rsidRDefault="00960BB8">
            <w:pPr>
              <w:rPr>
                <w:rFonts w:ascii="宋体"/>
              </w:rPr>
            </w:pPr>
          </w:p>
        </w:tc>
        <w:tc>
          <w:tcPr>
            <w:tcW w:w="20" w:type="dxa"/>
            <w:shd w:val="clear" w:color="auto" w:fill="auto"/>
            <w:vAlign w:val="bottom"/>
          </w:tcPr>
          <w:p w14:paraId="5A1AFD9B" w14:textId="77777777" w:rsidR="00960BB8" w:rsidRDefault="00960BB8">
            <w:pPr>
              <w:rPr>
                <w:rFonts w:ascii="宋体"/>
              </w:rPr>
            </w:pPr>
          </w:p>
        </w:tc>
      </w:tr>
      <w:tr w:rsidR="00960BB8" w14:paraId="5A1AFDA4" w14:textId="77777777">
        <w:trPr>
          <w:trHeight w:val="280"/>
        </w:trPr>
        <w:tc>
          <w:tcPr>
            <w:tcW w:w="0" w:type="auto"/>
            <w:gridSpan w:val="3"/>
            <w:vMerge w:val="restart"/>
            <w:shd w:val="clear" w:color="auto" w:fill="auto"/>
            <w:tcMar>
              <w:top w:w="40" w:type="dxa"/>
              <w:left w:w="20" w:type="dxa"/>
              <w:bottom w:w="40" w:type="dxa"/>
              <w:right w:w="20" w:type="dxa"/>
            </w:tcMar>
            <w:vAlign w:val="bottom"/>
          </w:tcPr>
          <w:p w14:paraId="5A1AFD9D" w14:textId="77777777" w:rsidR="00960BB8" w:rsidRDefault="00C06650">
            <w:pPr>
              <w:textAlignment w:val="bottom"/>
            </w:pPr>
            <w:r>
              <w:rPr>
                <w:rFonts w:ascii="Arial" w:eastAsia="宋体" w:hAnsi="Arial" w:cs="Arial"/>
                <w:b/>
                <w:bCs/>
                <w:color w:val="262626"/>
                <w:sz w:val="18"/>
                <w:szCs w:val="18"/>
              </w:rPr>
              <w:t xml:space="preserve">Years Ended </w:t>
            </w:r>
            <w:r>
              <w:rPr>
                <w:rFonts w:ascii="Arial" w:eastAsia="宋体" w:hAnsi="Arial" w:cs="Arial"/>
                <w:b/>
                <w:bCs/>
                <w:color w:val="262626"/>
                <w:sz w:val="18"/>
                <w:szCs w:val="18"/>
              </w:rPr>
              <w:br/>
              <w:t>(In Millions, Except Per Share Amounts)</w:t>
            </w:r>
          </w:p>
        </w:tc>
        <w:tc>
          <w:tcPr>
            <w:tcW w:w="0" w:type="auto"/>
            <w:gridSpan w:val="3"/>
            <w:shd w:val="clear" w:color="auto" w:fill="auto"/>
            <w:tcMar>
              <w:top w:w="0" w:type="dxa"/>
              <w:left w:w="20" w:type="dxa"/>
              <w:bottom w:w="0" w:type="dxa"/>
              <w:right w:w="20" w:type="dxa"/>
            </w:tcMar>
            <w:vAlign w:val="bottom"/>
          </w:tcPr>
          <w:p w14:paraId="5A1AFD9E"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vAlign w:val="bottom"/>
          </w:tcPr>
          <w:p w14:paraId="5A1AFD9F" w14:textId="77777777" w:rsidR="00960BB8" w:rsidRDefault="00C06650">
            <w:pPr>
              <w:jc w:val="center"/>
              <w:textAlignment w:val="bottom"/>
            </w:pPr>
            <w:r>
              <w:rPr>
                <w:rFonts w:ascii="Arial" w:eastAsia="宋体" w:hAnsi="Arial" w:cs="Arial"/>
                <w:b/>
                <w:bCs/>
                <w:color w:val="262626"/>
                <w:sz w:val="18"/>
                <w:szCs w:val="18"/>
              </w:rPr>
              <w:t>December 31, 2022</w:t>
            </w:r>
          </w:p>
        </w:tc>
        <w:tc>
          <w:tcPr>
            <w:tcW w:w="0" w:type="auto"/>
            <w:gridSpan w:val="3"/>
            <w:shd w:val="clear" w:color="auto" w:fill="auto"/>
            <w:tcMar>
              <w:top w:w="0" w:type="dxa"/>
              <w:left w:w="20" w:type="dxa"/>
              <w:bottom w:w="0" w:type="dxa"/>
              <w:right w:w="20" w:type="dxa"/>
            </w:tcMar>
            <w:vAlign w:val="bottom"/>
          </w:tcPr>
          <w:p w14:paraId="5A1AFDA0"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vAlign w:val="bottom"/>
          </w:tcPr>
          <w:p w14:paraId="5A1AFDA1" w14:textId="77777777" w:rsidR="00960BB8" w:rsidRDefault="00C06650">
            <w:pPr>
              <w:jc w:val="center"/>
              <w:textAlignment w:val="bottom"/>
            </w:pPr>
            <w:r>
              <w:rPr>
                <w:rFonts w:ascii="Arial" w:eastAsia="宋体" w:hAnsi="Arial" w:cs="Arial"/>
                <w:b/>
                <w:bCs/>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5A1AFDA2"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vAlign w:val="bottom"/>
          </w:tcPr>
          <w:p w14:paraId="5A1AFDA3" w14:textId="77777777" w:rsidR="00960BB8" w:rsidRDefault="00C06650">
            <w:pPr>
              <w:jc w:val="center"/>
              <w:textAlignment w:val="bottom"/>
            </w:pPr>
            <w:r>
              <w:rPr>
                <w:rFonts w:ascii="Arial" w:eastAsia="宋体" w:hAnsi="Arial" w:cs="Arial"/>
                <w:b/>
                <w:bCs/>
                <w:color w:val="262626"/>
                <w:sz w:val="18"/>
                <w:szCs w:val="18"/>
              </w:rPr>
              <w:t xml:space="preserve">December 26, </w:t>
            </w:r>
            <w:r>
              <w:rPr>
                <w:rFonts w:ascii="Arial" w:eastAsia="宋体" w:hAnsi="Arial" w:cs="Arial"/>
                <w:b/>
                <w:bCs/>
                <w:color w:val="262626"/>
                <w:sz w:val="18"/>
                <w:szCs w:val="18"/>
              </w:rPr>
              <w:t>2020</w:t>
            </w:r>
          </w:p>
        </w:tc>
      </w:tr>
      <w:tr w:rsidR="00960BB8" w14:paraId="5A1AFDB2" w14:textId="77777777">
        <w:trPr>
          <w:trHeight w:val="480"/>
        </w:trPr>
        <w:tc>
          <w:tcPr>
            <w:tcW w:w="0" w:type="auto"/>
            <w:gridSpan w:val="3"/>
            <w:vMerge/>
            <w:shd w:val="clear" w:color="auto" w:fill="auto"/>
            <w:tcMar>
              <w:top w:w="40" w:type="dxa"/>
              <w:left w:w="20" w:type="dxa"/>
              <w:bottom w:w="40" w:type="dxa"/>
              <w:right w:w="20" w:type="dxa"/>
            </w:tcMar>
            <w:vAlign w:val="bottom"/>
          </w:tcPr>
          <w:p w14:paraId="5A1AFDA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DA6"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AFDA7" w14:textId="77777777" w:rsidR="00960BB8" w:rsidRDefault="00C06650">
            <w:pPr>
              <w:jc w:val="center"/>
              <w:textAlignment w:val="bottom"/>
            </w:pPr>
            <w:r>
              <w:rPr>
                <w:rFonts w:ascii="Arial" w:eastAsia="宋体" w:hAnsi="Arial" w:cs="Arial"/>
                <w:b/>
                <w:bCs/>
                <w:color w:val="262626"/>
                <w:sz w:val="18"/>
                <w:szCs w:val="18"/>
              </w:rPr>
              <w:t>Amount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DA8"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AFDA9" w14:textId="77777777" w:rsidR="00960BB8" w:rsidRDefault="00C06650">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5A1AFDAA"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AFDAB" w14:textId="77777777" w:rsidR="00960BB8" w:rsidRDefault="00C06650">
            <w:pPr>
              <w:jc w:val="center"/>
              <w:textAlignment w:val="bottom"/>
            </w:pPr>
            <w:r>
              <w:rPr>
                <w:rFonts w:ascii="Arial" w:eastAsia="宋体" w:hAnsi="Arial" w:cs="Arial"/>
                <w:b/>
                <w:bCs/>
                <w:color w:val="262626"/>
                <w:sz w:val="18"/>
                <w:szCs w:val="18"/>
              </w:rPr>
              <w:t>Amount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DAC"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AFDAD" w14:textId="77777777" w:rsidR="00960BB8" w:rsidRDefault="00C06650">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5A1AFDAE"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AFDAF" w14:textId="77777777" w:rsidR="00960BB8" w:rsidRDefault="00C06650">
            <w:pPr>
              <w:jc w:val="center"/>
              <w:textAlignment w:val="bottom"/>
            </w:pPr>
            <w:r>
              <w:rPr>
                <w:rFonts w:ascii="Arial" w:eastAsia="宋体" w:hAnsi="Arial" w:cs="Arial"/>
                <w:b/>
                <w:bCs/>
                <w:color w:val="262626"/>
                <w:sz w:val="18"/>
                <w:szCs w:val="18"/>
              </w:rPr>
              <w:t>Amount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DB0"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AFDB1" w14:textId="77777777" w:rsidR="00960BB8" w:rsidRDefault="00C06650">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r>
      <w:tr w:rsidR="00960BB8" w14:paraId="5A1AFDC9"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AFDB3" w14:textId="77777777" w:rsidR="00960BB8" w:rsidRDefault="00C06650">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5A1AFDB4"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AFDB5"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AFDB6" w14:textId="77777777" w:rsidR="00960BB8" w:rsidRDefault="00C06650">
            <w:pPr>
              <w:jc w:val="right"/>
              <w:textAlignment w:val="bottom"/>
            </w:pPr>
            <w:r>
              <w:rPr>
                <w:rFonts w:ascii="Arial" w:eastAsia="宋体" w:hAnsi="Arial" w:cs="Arial"/>
                <w:b/>
                <w:bCs/>
                <w:color w:val="0068B5"/>
                <w:sz w:val="18"/>
                <w:szCs w:val="18"/>
              </w:rPr>
              <w:t>63,054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AFDB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DB8"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AFDB9" w14:textId="77777777" w:rsidR="00960BB8" w:rsidRDefault="00C06650">
            <w:pPr>
              <w:jc w:val="right"/>
              <w:textAlignment w:val="bottom"/>
            </w:pPr>
            <w:r>
              <w:rPr>
                <w:rFonts w:ascii="Arial" w:eastAsia="宋体" w:hAnsi="Arial" w:cs="Arial"/>
                <w:b/>
                <w:bCs/>
                <w:color w:val="0068B5"/>
                <w:sz w:val="18"/>
                <w:szCs w:val="18"/>
              </w:rPr>
              <w:t>100.0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AFDBA" w14:textId="77777777" w:rsidR="00960BB8" w:rsidRDefault="00C06650">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DBB"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AFDBC"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AFDBD" w14:textId="77777777" w:rsidR="00960BB8" w:rsidRDefault="00C06650">
            <w:pPr>
              <w:jc w:val="right"/>
              <w:textAlignment w:val="bottom"/>
            </w:pPr>
            <w:r>
              <w:rPr>
                <w:rFonts w:ascii="Arial" w:eastAsia="宋体" w:hAnsi="Arial" w:cs="Arial"/>
                <w:b/>
                <w:bCs/>
                <w:color w:val="262626"/>
                <w:sz w:val="18"/>
                <w:szCs w:val="18"/>
              </w:rPr>
              <w:t>79,024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AFDB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DBF"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AFDC0" w14:textId="77777777" w:rsidR="00960BB8" w:rsidRDefault="00C06650">
            <w:pPr>
              <w:jc w:val="right"/>
              <w:textAlignment w:val="bottom"/>
            </w:pPr>
            <w:r>
              <w:rPr>
                <w:rFonts w:ascii="Arial" w:eastAsia="宋体" w:hAnsi="Arial" w:cs="Arial"/>
                <w:b/>
                <w:bCs/>
                <w:color w:val="262626"/>
                <w:sz w:val="18"/>
                <w:szCs w:val="18"/>
              </w:rPr>
              <w:t>100.0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AFDC1" w14:textId="77777777" w:rsidR="00960BB8" w:rsidRDefault="00C06650">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DC2"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AFDC3"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AFDC4" w14:textId="77777777" w:rsidR="00960BB8" w:rsidRDefault="00C06650">
            <w:pPr>
              <w:jc w:val="right"/>
              <w:textAlignment w:val="bottom"/>
            </w:pPr>
            <w:r>
              <w:rPr>
                <w:rFonts w:ascii="Arial" w:eastAsia="宋体" w:hAnsi="Arial" w:cs="Arial"/>
                <w:b/>
                <w:bCs/>
                <w:color w:val="262626"/>
                <w:sz w:val="18"/>
                <w:szCs w:val="18"/>
              </w:rPr>
              <w:t>77,867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AFDC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DC6"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AFDC7" w14:textId="77777777" w:rsidR="00960BB8" w:rsidRDefault="00C06650">
            <w:pPr>
              <w:jc w:val="right"/>
              <w:textAlignment w:val="bottom"/>
            </w:pPr>
            <w:r>
              <w:rPr>
                <w:rFonts w:ascii="Arial" w:eastAsia="宋体" w:hAnsi="Arial" w:cs="Arial"/>
                <w:b/>
                <w:bCs/>
                <w:color w:val="262626"/>
                <w:sz w:val="18"/>
                <w:szCs w:val="18"/>
              </w:rPr>
              <w:t>100.0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AFDC8" w14:textId="77777777" w:rsidR="00960BB8" w:rsidRDefault="00C06650">
            <w:pPr>
              <w:jc w:val="right"/>
              <w:textAlignment w:val="bottom"/>
            </w:pPr>
            <w:r>
              <w:rPr>
                <w:rFonts w:ascii="Arial" w:eastAsia="宋体" w:hAnsi="Arial" w:cs="Arial"/>
                <w:b/>
                <w:bCs/>
                <w:color w:val="262626"/>
                <w:sz w:val="18"/>
                <w:szCs w:val="18"/>
              </w:rPr>
              <w:t>%</w:t>
            </w:r>
          </w:p>
        </w:tc>
      </w:tr>
      <w:tr w:rsidR="00960BB8" w14:paraId="5A1AFDDD" w14:textId="77777777">
        <w:trPr>
          <w:trHeight w:val="300"/>
        </w:trPr>
        <w:tc>
          <w:tcPr>
            <w:tcW w:w="0" w:type="auto"/>
            <w:gridSpan w:val="3"/>
            <w:shd w:val="clear" w:color="auto" w:fill="auto"/>
            <w:tcMar>
              <w:top w:w="40" w:type="dxa"/>
              <w:left w:w="20" w:type="dxa"/>
              <w:bottom w:w="40" w:type="dxa"/>
              <w:right w:w="20" w:type="dxa"/>
            </w:tcMar>
            <w:vAlign w:val="bottom"/>
          </w:tcPr>
          <w:p w14:paraId="5A1AFDCA" w14:textId="77777777" w:rsidR="00960BB8" w:rsidRDefault="00C06650">
            <w:pPr>
              <w:textAlignment w:val="bottom"/>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5A1AFDC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DCC" w14:textId="77777777" w:rsidR="00960BB8" w:rsidRDefault="00C06650">
            <w:pPr>
              <w:jc w:val="right"/>
              <w:textAlignment w:val="bottom"/>
            </w:pPr>
            <w:r>
              <w:rPr>
                <w:rFonts w:ascii="Arial" w:eastAsia="宋体" w:hAnsi="Arial" w:cs="Arial"/>
                <w:color w:val="0068B5"/>
                <w:sz w:val="18"/>
                <w:szCs w:val="18"/>
              </w:rPr>
              <w:t>36,188 </w:t>
            </w:r>
          </w:p>
        </w:tc>
        <w:tc>
          <w:tcPr>
            <w:tcW w:w="0" w:type="auto"/>
            <w:shd w:val="clear" w:color="auto" w:fill="auto"/>
            <w:tcMar>
              <w:top w:w="40" w:type="dxa"/>
              <w:left w:w="0" w:type="dxa"/>
              <w:bottom w:w="40" w:type="dxa"/>
              <w:right w:w="20" w:type="dxa"/>
            </w:tcMar>
            <w:vAlign w:val="bottom"/>
          </w:tcPr>
          <w:p w14:paraId="5A1AFDC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DC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DCF" w14:textId="77777777" w:rsidR="00960BB8" w:rsidRDefault="00C06650">
            <w:pPr>
              <w:jc w:val="right"/>
              <w:textAlignment w:val="bottom"/>
            </w:pPr>
            <w:r>
              <w:rPr>
                <w:rFonts w:ascii="Arial" w:eastAsia="宋体" w:hAnsi="Arial" w:cs="Arial"/>
                <w:color w:val="0068B5"/>
                <w:sz w:val="18"/>
                <w:szCs w:val="18"/>
              </w:rPr>
              <w:t>57.4 </w:t>
            </w:r>
          </w:p>
        </w:tc>
        <w:tc>
          <w:tcPr>
            <w:tcW w:w="0" w:type="auto"/>
            <w:shd w:val="clear" w:color="auto" w:fill="auto"/>
            <w:tcMar>
              <w:top w:w="40" w:type="dxa"/>
              <w:left w:w="0" w:type="dxa"/>
              <w:bottom w:w="40" w:type="dxa"/>
              <w:right w:w="20" w:type="dxa"/>
            </w:tcMar>
            <w:vAlign w:val="bottom"/>
          </w:tcPr>
          <w:p w14:paraId="5A1AFDD0"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DD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DD2" w14:textId="77777777" w:rsidR="00960BB8" w:rsidRDefault="00C06650">
            <w:pPr>
              <w:jc w:val="right"/>
              <w:textAlignment w:val="bottom"/>
            </w:pPr>
            <w:r>
              <w:rPr>
                <w:rFonts w:ascii="Arial" w:eastAsia="宋体" w:hAnsi="Arial" w:cs="Arial"/>
                <w:color w:val="262626"/>
                <w:sz w:val="18"/>
                <w:szCs w:val="18"/>
              </w:rPr>
              <w:t>35,209 </w:t>
            </w:r>
          </w:p>
        </w:tc>
        <w:tc>
          <w:tcPr>
            <w:tcW w:w="0" w:type="auto"/>
            <w:shd w:val="clear" w:color="auto" w:fill="auto"/>
            <w:tcMar>
              <w:top w:w="40" w:type="dxa"/>
              <w:left w:w="0" w:type="dxa"/>
              <w:bottom w:w="40" w:type="dxa"/>
              <w:right w:w="20" w:type="dxa"/>
            </w:tcMar>
            <w:vAlign w:val="bottom"/>
          </w:tcPr>
          <w:p w14:paraId="5A1AFDD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DD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DD5" w14:textId="77777777" w:rsidR="00960BB8" w:rsidRDefault="00C06650">
            <w:pPr>
              <w:jc w:val="right"/>
              <w:textAlignment w:val="bottom"/>
            </w:pPr>
            <w:r>
              <w:rPr>
                <w:rFonts w:ascii="Arial" w:eastAsia="宋体" w:hAnsi="Arial" w:cs="Arial"/>
                <w:color w:val="262626"/>
                <w:sz w:val="18"/>
                <w:szCs w:val="18"/>
              </w:rPr>
              <w:t>44.6 </w:t>
            </w:r>
          </w:p>
        </w:tc>
        <w:tc>
          <w:tcPr>
            <w:tcW w:w="0" w:type="auto"/>
            <w:shd w:val="clear" w:color="auto" w:fill="auto"/>
            <w:tcMar>
              <w:top w:w="40" w:type="dxa"/>
              <w:left w:w="0" w:type="dxa"/>
              <w:bottom w:w="40" w:type="dxa"/>
              <w:right w:w="20" w:type="dxa"/>
            </w:tcMar>
            <w:vAlign w:val="bottom"/>
          </w:tcPr>
          <w:p w14:paraId="5A1AFDD6"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DD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DD8" w14:textId="77777777" w:rsidR="00960BB8" w:rsidRDefault="00C06650">
            <w:pPr>
              <w:jc w:val="right"/>
              <w:textAlignment w:val="bottom"/>
            </w:pPr>
            <w:r>
              <w:rPr>
                <w:rFonts w:ascii="Arial" w:eastAsia="宋体" w:hAnsi="Arial" w:cs="Arial"/>
                <w:color w:val="262626"/>
                <w:sz w:val="18"/>
                <w:szCs w:val="18"/>
              </w:rPr>
              <w:t>34,255 </w:t>
            </w:r>
          </w:p>
        </w:tc>
        <w:tc>
          <w:tcPr>
            <w:tcW w:w="0" w:type="auto"/>
            <w:shd w:val="clear" w:color="auto" w:fill="auto"/>
            <w:tcMar>
              <w:top w:w="40" w:type="dxa"/>
              <w:left w:w="0" w:type="dxa"/>
              <w:bottom w:w="40" w:type="dxa"/>
              <w:right w:w="20" w:type="dxa"/>
            </w:tcMar>
            <w:vAlign w:val="bottom"/>
          </w:tcPr>
          <w:p w14:paraId="5A1AFDD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DD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DDB" w14:textId="77777777" w:rsidR="00960BB8" w:rsidRDefault="00C06650">
            <w:pPr>
              <w:jc w:val="right"/>
              <w:textAlignment w:val="bottom"/>
            </w:pPr>
            <w:r>
              <w:rPr>
                <w:rFonts w:ascii="Arial" w:eastAsia="宋体" w:hAnsi="Arial" w:cs="Arial"/>
                <w:color w:val="262626"/>
                <w:sz w:val="18"/>
                <w:szCs w:val="18"/>
              </w:rPr>
              <w:t>44.0 </w:t>
            </w:r>
          </w:p>
        </w:tc>
        <w:tc>
          <w:tcPr>
            <w:tcW w:w="0" w:type="auto"/>
            <w:shd w:val="clear" w:color="auto" w:fill="auto"/>
            <w:tcMar>
              <w:top w:w="40" w:type="dxa"/>
              <w:left w:w="0" w:type="dxa"/>
              <w:bottom w:w="40" w:type="dxa"/>
              <w:right w:w="20" w:type="dxa"/>
            </w:tcMar>
            <w:vAlign w:val="bottom"/>
          </w:tcPr>
          <w:p w14:paraId="5A1AFDDC" w14:textId="77777777" w:rsidR="00960BB8" w:rsidRDefault="00C06650">
            <w:pPr>
              <w:jc w:val="right"/>
              <w:textAlignment w:val="bottom"/>
            </w:pPr>
            <w:r>
              <w:rPr>
                <w:rFonts w:ascii="Arial" w:eastAsia="宋体" w:hAnsi="Arial" w:cs="Arial"/>
                <w:color w:val="262626"/>
                <w:sz w:val="18"/>
                <w:szCs w:val="18"/>
              </w:rPr>
              <w:t>%</w:t>
            </w:r>
          </w:p>
        </w:tc>
      </w:tr>
      <w:tr w:rsidR="00960BB8" w14:paraId="5A1AFDF1" w14:textId="77777777">
        <w:trPr>
          <w:trHeight w:val="300"/>
        </w:trPr>
        <w:tc>
          <w:tcPr>
            <w:tcW w:w="0" w:type="auto"/>
            <w:gridSpan w:val="3"/>
            <w:shd w:val="clear" w:color="auto" w:fill="auto"/>
            <w:tcMar>
              <w:top w:w="40" w:type="dxa"/>
              <w:left w:w="20" w:type="dxa"/>
              <w:bottom w:w="40" w:type="dxa"/>
              <w:right w:w="20" w:type="dxa"/>
            </w:tcMar>
            <w:vAlign w:val="bottom"/>
          </w:tcPr>
          <w:p w14:paraId="5A1AFDDE" w14:textId="77777777" w:rsidR="00960BB8" w:rsidRDefault="00C06650">
            <w:pPr>
              <w:textAlignment w:val="bottom"/>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5A1AFDDF"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DE0" w14:textId="77777777" w:rsidR="00960BB8" w:rsidRDefault="00C06650">
            <w:pPr>
              <w:jc w:val="right"/>
              <w:textAlignment w:val="bottom"/>
            </w:pPr>
            <w:r>
              <w:rPr>
                <w:rFonts w:ascii="Arial" w:eastAsia="宋体" w:hAnsi="Arial" w:cs="Arial"/>
                <w:b/>
                <w:bCs/>
                <w:color w:val="0068B5"/>
                <w:sz w:val="18"/>
                <w:szCs w:val="18"/>
              </w:rPr>
              <w:t>26,866</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DE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DE2"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DE3" w14:textId="77777777" w:rsidR="00960BB8" w:rsidRDefault="00C06650">
            <w:pPr>
              <w:jc w:val="right"/>
              <w:textAlignment w:val="bottom"/>
            </w:pPr>
            <w:r>
              <w:rPr>
                <w:rFonts w:ascii="Arial" w:eastAsia="宋体" w:hAnsi="Arial" w:cs="Arial"/>
                <w:b/>
                <w:bCs/>
                <w:color w:val="0068B5"/>
                <w:sz w:val="18"/>
                <w:szCs w:val="18"/>
              </w:rPr>
              <w:t>42.6</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DE4" w14:textId="77777777" w:rsidR="00960BB8" w:rsidRDefault="00C06650">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DE5"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DE6" w14:textId="77777777" w:rsidR="00960BB8" w:rsidRDefault="00C06650">
            <w:pPr>
              <w:jc w:val="right"/>
              <w:textAlignment w:val="bottom"/>
            </w:pPr>
            <w:r>
              <w:rPr>
                <w:rFonts w:ascii="Arial" w:eastAsia="宋体" w:hAnsi="Arial" w:cs="Arial"/>
                <w:b/>
                <w:bCs/>
                <w:color w:val="262626"/>
                <w:sz w:val="18"/>
                <w:szCs w:val="18"/>
              </w:rPr>
              <w:t>43,815</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DE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DE8"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DE9" w14:textId="77777777" w:rsidR="00960BB8" w:rsidRDefault="00C06650">
            <w:pPr>
              <w:jc w:val="right"/>
              <w:textAlignment w:val="bottom"/>
            </w:pPr>
            <w:r>
              <w:rPr>
                <w:rFonts w:ascii="Arial" w:eastAsia="宋体" w:hAnsi="Arial" w:cs="Arial"/>
                <w:b/>
                <w:bCs/>
                <w:color w:val="262626"/>
                <w:sz w:val="18"/>
                <w:szCs w:val="18"/>
              </w:rPr>
              <w:t>55.4</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DEA" w14:textId="77777777" w:rsidR="00960BB8" w:rsidRDefault="00C06650">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DEB"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DEC" w14:textId="77777777" w:rsidR="00960BB8" w:rsidRDefault="00C06650">
            <w:pPr>
              <w:jc w:val="right"/>
              <w:textAlignment w:val="bottom"/>
            </w:pPr>
            <w:r>
              <w:rPr>
                <w:rFonts w:ascii="Arial" w:eastAsia="宋体" w:hAnsi="Arial" w:cs="Arial"/>
                <w:b/>
                <w:bCs/>
                <w:color w:val="262626"/>
                <w:sz w:val="18"/>
                <w:szCs w:val="18"/>
              </w:rPr>
              <w:t>43,612</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DE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DEE"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DEF" w14:textId="77777777" w:rsidR="00960BB8" w:rsidRDefault="00C06650">
            <w:pPr>
              <w:jc w:val="right"/>
              <w:textAlignment w:val="bottom"/>
            </w:pPr>
            <w:r>
              <w:rPr>
                <w:rFonts w:ascii="Arial" w:eastAsia="宋体" w:hAnsi="Arial" w:cs="Arial"/>
                <w:b/>
                <w:bCs/>
                <w:color w:val="262626"/>
                <w:sz w:val="18"/>
                <w:szCs w:val="18"/>
              </w:rPr>
              <w:t>56.0</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DF0" w14:textId="77777777" w:rsidR="00960BB8" w:rsidRDefault="00C06650">
            <w:pPr>
              <w:jc w:val="right"/>
              <w:textAlignment w:val="bottom"/>
            </w:pPr>
            <w:r>
              <w:rPr>
                <w:rFonts w:ascii="Arial" w:eastAsia="宋体" w:hAnsi="Arial" w:cs="Arial"/>
                <w:b/>
                <w:bCs/>
                <w:color w:val="262626"/>
                <w:sz w:val="18"/>
                <w:szCs w:val="18"/>
              </w:rPr>
              <w:t>%</w:t>
            </w:r>
          </w:p>
        </w:tc>
      </w:tr>
      <w:tr w:rsidR="00960BB8" w14:paraId="5A1AFE05" w14:textId="77777777">
        <w:trPr>
          <w:trHeight w:val="300"/>
        </w:trPr>
        <w:tc>
          <w:tcPr>
            <w:tcW w:w="0" w:type="auto"/>
            <w:gridSpan w:val="3"/>
            <w:shd w:val="clear" w:color="auto" w:fill="auto"/>
            <w:tcMar>
              <w:top w:w="40" w:type="dxa"/>
              <w:left w:w="20" w:type="dxa"/>
              <w:bottom w:w="40" w:type="dxa"/>
              <w:right w:w="20" w:type="dxa"/>
            </w:tcMar>
            <w:vAlign w:val="bottom"/>
          </w:tcPr>
          <w:p w14:paraId="5A1AFDF2" w14:textId="77777777" w:rsidR="00960BB8" w:rsidRDefault="00C06650">
            <w:pPr>
              <w:textAlignment w:val="bottom"/>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5A1AFDF3"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DF4" w14:textId="77777777" w:rsidR="00960BB8" w:rsidRDefault="00C06650">
            <w:pPr>
              <w:jc w:val="right"/>
              <w:textAlignment w:val="bottom"/>
            </w:pPr>
            <w:r>
              <w:rPr>
                <w:rFonts w:ascii="Arial" w:eastAsia="宋体" w:hAnsi="Arial" w:cs="Arial"/>
                <w:color w:val="0068B5"/>
                <w:sz w:val="18"/>
                <w:szCs w:val="18"/>
              </w:rPr>
              <w:t>17,528 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DF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DF6"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DF7" w14:textId="77777777" w:rsidR="00960BB8" w:rsidRDefault="00C06650">
            <w:pPr>
              <w:jc w:val="right"/>
              <w:textAlignment w:val="bottom"/>
            </w:pPr>
            <w:r>
              <w:rPr>
                <w:rFonts w:ascii="Arial" w:eastAsia="宋体" w:hAnsi="Arial" w:cs="Arial"/>
                <w:color w:val="0068B5"/>
                <w:sz w:val="18"/>
                <w:szCs w:val="18"/>
              </w:rPr>
              <w:t>27.8 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DF8"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DF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DFA" w14:textId="77777777" w:rsidR="00960BB8" w:rsidRDefault="00C06650">
            <w:pPr>
              <w:jc w:val="right"/>
              <w:textAlignment w:val="bottom"/>
            </w:pPr>
            <w:r>
              <w:rPr>
                <w:rFonts w:ascii="Arial" w:eastAsia="宋体" w:hAnsi="Arial" w:cs="Arial"/>
                <w:color w:val="262626"/>
                <w:sz w:val="18"/>
                <w:szCs w:val="18"/>
              </w:rPr>
              <w:t>15,190 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DF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DFC"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DFD" w14:textId="77777777" w:rsidR="00960BB8" w:rsidRDefault="00C06650">
            <w:pPr>
              <w:jc w:val="right"/>
              <w:textAlignment w:val="bottom"/>
            </w:pPr>
            <w:r>
              <w:rPr>
                <w:rFonts w:ascii="Arial" w:eastAsia="宋体" w:hAnsi="Arial" w:cs="Arial"/>
                <w:color w:val="262626"/>
                <w:sz w:val="18"/>
                <w:szCs w:val="18"/>
              </w:rPr>
              <w:t>19.2 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DFE"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DFF"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00" w14:textId="77777777" w:rsidR="00960BB8" w:rsidRDefault="00C06650">
            <w:pPr>
              <w:jc w:val="right"/>
              <w:textAlignment w:val="bottom"/>
            </w:pPr>
            <w:r>
              <w:rPr>
                <w:rFonts w:ascii="Arial" w:eastAsia="宋体" w:hAnsi="Arial" w:cs="Arial"/>
                <w:color w:val="262626"/>
                <w:sz w:val="18"/>
                <w:szCs w:val="18"/>
              </w:rPr>
              <w:t>13,556 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0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02"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03" w14:textId="77777777" w:rsidR="00960BB8" w:rsidRDefault="00C06650">
            <w:pPr>
              <w:jc w:val="right"/>
              <w:textAlignment w:val="bottom"/>
            </w:pPr>
            <w:r>
              <w:rPr>
                <w:rFonts w:ascii="Arial" w:eastAsia="宋体" w:hAnsi="Arial" w:cs="Arial"/>
                <w:color w:val="262626"/>
                <w:sz w:val="18"/>
                <w:szCs w:val="18"/>
              </w:rPr>
              <w:t>17.4 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04" w14:textId="77777777" w:rsidR="00960BB8" w:rsidRDefault="00C06650">
            <w:pPr>
              <w:jc w:val="right"/>
              <w:textAlignment w:val="bottom"/>
            </w:pPr>
            <w:r>
              <w:rPr>
                <w:rFonts w:ascii="Arial" w:eastAsia="宋体" w:hAnsi="Arial" w:cs="Arial"/>
                <w:color w:val="262626"/>
                <w:sz w:val="18"/>
                <w:szCs w:val="18"/>
              </w:rPr>
              <w:t>%</w:t>
            </w:r>
          </w:p>
        </w:tc>
      </w:tr>
      <w:tr w:rsidR="00960BB8" w14:paraId="5A1AFE19" w14:textId="77777777">
        <w:trPr>
          <w:trHeight w:val="300"/>
        </w:trPr>
        <w:tc>
          <w:tcPr>
            <w:tcW w:w="0" w:type="auto"/>
            <w:gridSpan w:val="3"/>
            <w:shd w:val="clear" w:color="auto" w:fill="auto"/>
            <w:tcMar>
              <w:top w:w="40" w:type="dxa"/>
              <w:left w:w="20" w:type="dxa"/>
              <w:bottom w:w="40" w:type="dxa"/>
              <w:right w:w="20" w:type="dxa"/>
            </w:tcMar>
            <w:vAlign w:val="bottom"/>
          </w:tcPr>
          <w:p w14:paraId="5A1AFE06" w14:textId="77777777" w:rsidR="00960BB8" w:rsidRDefault="00C06650">
            <w:pPr>
              <w:textAlignment w:val="bottom"/>
            </w:pPr>
            <w:r>
              <w:rPr>
                <w:rFonts w:ascii="Arial" w:eastAsia="宋体" w:hAnsi="Arial" w:cs="Arial"/>
                <w:color w:val="262626"/>
                <w:sz w:val="18"/>
                <w:szCs w:val="18"/>
              </w:rPr>
              <w:t>Marketing, general and adm</w:t>
            </w:r>
            <w:r>
              <w:rPr>
                <w:rFonts w:ascii="Arial" w:eastAsia="宋体" w:hAnsi="Arial" w:cs="Arial"/>
                <w:color w:val="262626"/>
                <w:sz w:val="18"/>
                <w:szCs w:val="18"/>
              </w:rPr>
              <w:t>inistrative</w:t>
            </w:r>
          </w:p>
        </w:tc>
        <w:tc>
          <w:tcPr>
            <w:tcW w:w="0" w:type="auto"/>
            <w:gridSpan w:val="3"/>
            <w:shd w:val="clear" w:color="auto" w:fill="auto"/>
            <w:tcMar>
              <w:top w:w="0" w:type="dxa"/>
              <w:left w:w="20" w:type="dxa"/>
              <w:bottom w:w="0" w:type="dxa"/>
              <w:right w:w="20" w:type="dxa"/>
            </w:tcMar>
            <w:vAlign w:val="bottom"/>
          </w:tcPr>
          <w:p w14:paraId="5A1AFE0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08" w14:textId="77777777" w:rsidR="00960BB8" w:rsidRDefault="00C06650">
            <w:pPr>
              <w:jc w:val="right"/>
              <w:textAlignment w:val="bottom"/>
            </w:pPr>
            <w:r>
              <w:rPr>
                <w:rFonts w:ascii="Arial" w:eastAsia="宋体" w:hAnsi="Arial" w:cs="Arial"/>
                <w:color w:val="0068B5"/>
                <w:sz w:val="18"/>
                <w:szCs w:val="18"/>
              </w:rPr>
              <w:t>7,002 </w:t>
            </w:r>
          </w:p>
        </w:tc>
        <w:tc>
          <w:tcPr>
            <w:tcW w:w="0" w:type="auto"/>
            <w:shd w:val="clear" w:color="auto" w:fill="auto"/>
            <w:tcMar>
              <w:top w:w="40" w:type="dxa"/>
              <w:left w:w="0" w:type="dxa"/>
              <w:bottom w:w="40" w:type="dxa"/>
              <w:right w:w="20" w:type="dxa"/>
            </w:tcMar>
            <w:vAlign w:val="bottom"/>
          </w:tcPr>
          <w:p w14:paraId="5A1AFE0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0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0B" w14:textId="77777777" w:rsidR="00960BB8" w:rsidRDefault="00C06650">
            <w:pPr>
              <w:jc w:val="right"/>
              <w:textAlignment w:val="bottom"/>
            </w:pPr>
            <w:r>
              <w:rPr>
                <w:rFonts w:ascii="Arial" w:eastAsia="宋体" w:hAnsi="Arial" w:cs="Arial"/>
                <w:color w:val="0068B5"/>
                <w:sz w:val="18"/>
                <w:szCs w:val="18"/>
              </w:rPr>
              <w:t>11.1 </w:t>
            </w:r>
          </w:p>
        </w:tc>
        <w:tc>
          <w:tcPr>
            <w:tcW w:w="0" w:type="auto"/>
            <w:shd w:val="clear" w:color="auto" w:fill="auto"/>
            <w:tcMar>
              <w:top w:w="40" w:type="dxa"/>
              <w:left w:w="0" w:type="dxa"/>
              <w:bottom w:w="40" w:type="dxa"/>
              <w:right w:w="20" w:type="dxa"/>
            </w:tcMar>
            <w:vAlign w:val="bottom"/>
          </w:tcPr>
          <w:p w14:paraId="5A1AFE0C"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E0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0E" w14:textId="77777777" w:rsidR="00960BB8" w:rsidRDefault="00C06650">
            <w:pPr>
              <w:jc w:val="right"/>
              <w:textAlignment w:val="bottom"/>
            </w:pPr>
            <w:r>
              <w:rPr>
                <w:rFonts w:ascii="Arial" w:eastAsia="宋体" w:hAnsi="Arial" w:cs="Arial"/>
                <w:color w:val="262626"/>
                <w:sz w:val="18"/>
                <w:szCs w:val="18"/>
              </w:rPr>
              <w:t>6,543 </w:t>
            </w:r>
          </w:p>
        </w:tc>
        <w:tc>
          <w:tcPr>
            <w:tcW w:w="0" w:type="auto"/>
            <w:shd w:val="clear" w:color="auto" w:fill="auto"/>
            <w:tcMar>
              <w:top w:w="40" w:type="dxa"/>
              <w:left w:w="0" w:type="dxa"/>
              <w:bottom w:w="40" w:type="dxa"/>
              <w:right w:w="20" w:type="dxa"/>
            </w:tcMar>
            <w:vAlign w:val="bottom"/>
          </w:tcPr>
          <w:p w14:paraId="5A1AFE0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1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11" w14:textId="77777777" w:rsidR="00960BB8" w:rsidRDefault="00C06650">
            <w:pPr>
              <w:jc w:val="right"/>
              <w:textAlignment w:val="bottom"/>
            </w:pPr>
            <w:r>
              <w:rPr>
                <w:rFonts w:ascii="Arial" w:eastAsia="宋体" w:hAnsi="Arial" w:cs="Arial"/>
                <w:color w:val="262626"/>
                <w:sz w:val="18"/>
                <w:szCs w:val="18"/>
              </w:rPr>
              <w:t>8.3 </w:t>
            </w:r>
          </w:p>
        </w:tc>
        <w:tc>
          <w:tcPr>
            <w:tcW w:w="0" w:type="auto"/>
            <w:shd w:val="clear" w:color="auto" w:fill="auto"/>
            <w:tcMar>
              <w:top w:w="40" w:type="dxa"/>
              <w:left w:w="0" w:type="dxa"/>
              <w:bottom w:w="40" w:type="dxa"/>
              <w:right w:w="20" w:type="dxa"/>
            </w:tcMar>
            <w:vAlign w:val="bottom"/>
          </w:tcPr>
          <w:p w14:paraId="5A1AFE12"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E1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14" w14:textId="77777777" w:rsidR="00960BB8" w:rsidRDefault="00C06650">
            <w:pPr>
              <w:jc w:val="right"/>
              <w:textAlignment w:val="bottom"/>
            </w:pPr>
            <w:r>
              <w:rPr>
                <w:rFonts w:ascii="Arial" w:eastAsia="宋体" w:hAnsi="Arial" w:cs="Arial"/>
                <w:color w:val="262626"/>
                <w:sz w:val="18"/>
                <w:szCs w:val="18"/>
              </w:rPr>
              <w:t>6,180 </w:t>
            </w:r>
          </w:p>
        </w:tc>
        <w:tc>
          <w:tcPr>
            <w:tcW w:w="0" w:type="auto"/>
            <w:shd w:val="clear" w:color="auto" w:fill="auto"/>
            <w:tcMar>
              <w:top w:w="40" w:type="dxa"/>
              <w:left w:w="0" w:type="dxa"/>
              <w:bottom w:w="40" w:type="dxa"/>
              <w:right w:w="20" w:type="dxa"/>
            </w:tcMar>
            <w:vAlign w:val="bottom"/>
          </w:tcPr>
          <w:p w14:paraId="5A1AFE1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1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17" w14:textId="77777777" w:rsidR="00960BB8" w:rsidRDefault="00C06650">
            <w:pPr>
              <w:jc w:val="right"/>
              <w:textAlignment w:val="bottom"/>
            </w:pPr>
            <w:r>
              <w:rPr>
                <w:rFonts w:ascii="Arial" w:eastAsia="宋体" w:hAnsi="Arial" w:cs="Arial"/>
                <w:color w:val="262626"/>
                <w:sz w:val="18"/>
                <w:szCs w:val="18"/>
              </w:rPr>
              <w:t>7.9 </w:t>
            </w:r>
          </w:p>
        </w:tc>
        <w:tc>
          <w:tcPr>
            <w:tcW w:w="0" w:type="auto"/>
            <w:shd w:val="clear" w:color="auto" w:fill="auto"/>
            <w:tcMar>
              <w:top w:w="40" w:type="dxa"/>
              <w:left w:w="0" w:type="dxa"/>
              <w:bottom w:w="40" w:type="dxa"/>
              <w:right w:w="20" w:type="dxa"/>
            </w:tcMar>
            <w:vAlign w:val="bottom"/>
          </w:tcPr>
          <w:p w14:paraId="5A1AFE18" w14:textId="77777777" w:rsidR="00960BB8" w:rsidRDefault="00C06650">
            <w:pPr>
              <w:jc w:val="right"/>
              <w:textAlignment w:val="bottom"/>
            </w:pPr>
            <w:r>
              <w:rPr>
                <w:rFonts w:ascii="Arial" w:eastAsia="宋体" w:hAnsi="Arial" w:cs="Arial"/>
                <w:color w:val="262626"/>
                <w:sz w:val="18"/>
                <w:szCs w:val="18"/>
              </w:rPr>
              <w:t>%</w:t>
            </w:r>
          </w:p>
        </w:tc>
      </w:tr>
      <w:tr w:rsidR="00960BB8" w14:paraId="5A1AFE2D" w14:textId="77777777">
        <w:trPr>
          <w:trHeight w:val="300"/>
        </w:trPr>
        <w:tc>
          <w:tcPr>
            <w:tcW w:w="0" w:type="auto"/>
            <w:gridSpan w:val="3"/>
            <w:shd w:val="clear" w:color="auto" w:fill="auto"/>
            <w:tcMar>
              <w:top w:w="40" w:type="dxa"/>
              <w:left w:w="20" w:type="dxa"/>
              <w:bottom w:w="40" w:type="dxa"/>
              <w:right w:w="20" w:type="dxa"/>
            </w:tcMar>
            <w:vAlign w:val="bottom"/>
          </w:tcPr>
          <w:p w14:paraId="5A1AFE1A" w14:textId="77777777" w:rsidR="00960BB8" w:rsidRDefault="00C06650">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5A1AFE1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1C" w14:textId="77777777" w:rsidR="00960BB8" w:rsidRDefault="00C06650">
            <w:pPr>
              <w:jc w:val="right"/>
              <w:textAlignment w:val="bottom"/>
            </w:pPr>
            <w:r>
              <w:rPr>
                <w:rFonts w:ascii="Arial" w:eastAsia="宋体" w:hAnsi="Arial" w:cs="Arial"/>
                <w:color w:val="0068B5"/>
                <w:sz w:val="18"/>
                <w:szCs w:val="18"/>
              </w:rPr>
              <w:t>2 </w:t>
            </w:r>
          </w:p>
        </w:tc>
        <w:tc>
          <w:tcPr>
            <w:tcW w:w="0" w:type="auto"/>
            <w:shd w:val="clear" w:color="auto" w:fill="auto"/>
            <w:tcMar>
              <w:top w:w="40" w:type="dxa"/>
              <w:left w:w="0" w:type="dxa"/>
              <w:bottom w:w="40" w:type="dxa"/>
              <w:right w:w="20" w:type="dxa"/>
            </w:tcMar>
            <w:vAlign w:val="bottom"/>
          </w:tcPr>
          <w:p w14:paraId="5A1AFE1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1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1F"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AFE20"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E2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22" w14:textId="77777777" w:rsidR="00960BB8" w:rsidRDefault="00C06650">
            <w:pPr>
              <w:jc w:val="right"/>
              <w:textAlignment w:val="bottom"/>
            </w:pPr>
            <w:r>
              <w:rPr>
                <w:rFonts w:ascii="Arial" w:eastAsia="宋体" w:hAnsi="Arial" w:cs="Arial"/>
                <w:color w:val="262626"/>
                <w:sz w:val="18"/>
                <w:szCs w:val="18"/>
              </w:rPr>
              <w:t>2,626 </w:t>
            </w:r>
          </w:p>
        </w:tc>
        <w:tc>
          <w:tcPr>
            <w:tcW w:w="0" w:type="auto"/>
            <w:shd w:val="clear" w:color="auto" w:fill="auto"/>
            <w:tcMar>
              <w:top w:w="40" w:type="dxa"/>
              <w:left w:w="0" w:type="dxa"/>
              <w:bottom w:w="40" w:type="dxa"/>
              <w:right w:w="20" w:type="dxa"/>
            </w:tcMar>
            <w:vAlign w:val="bottom"/>
          </w:tcPr>
          <w:p w14:paraId="5A1AFE2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2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25" w14:textId="77777777" w:rsidR="00960BB8" w:rsidRDefault="00C06650">
            <w:pPr>
              <w:jc w:val="right"/>
              <w:textAlignment w:val="bottom"/>
            </w:pPr>
            <w:r>
              <w:rPr>
                <w:rFonts w:ascii="Arial" w:eastAsia="宋体" w:hAnsi="Arial" w:cs="Arial"/>
                <w:color w:val="262626"/>
                <w:sz w:val="18"/>
                <w:szCs w:val="18"/>
              </w:rPr>
              <w:t>3.3 </w:t>
            </w:r>
          </w:p>
        </w:tc>
        <w:tc>
          <w:tcPr>
            <w:tcW w:w="0" w:type="auto"/>
            <w:shd w:val="clear" w:color="auto" w:fill="auto"/>
            <w:tcMar>
              <w:top w:w="40" w:type="dxa"/>
              <w:left w:w="0" w:type="dxa"/>
              <w:bottom w:w="40" w:type="dxa"/>
              <w:right w:w="20" w:type="dxa"/>
            </w:tcMar>
            <w:vAlign w:val="bottom"/>
          </w:tcPr>
          <w:p w14:paraId="5A1AFE26"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E2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28" w14:textId="77777777" w:rsidR="00960BB8" w:rsidRDefault="00C06650">
            <w:pPr>
              <w:jc w:val="right"/>
              <w:textAlignment w:val="bottom"/>
            </w:pPr>
            <w:r>
              <w:rPr>
                <w:rFonts w:ascii="Arial" w:eastAsia="宋体" w:hAnsi="Arial" w:cs="Arial"/>
                <w:color w:val="262626"/>
                <w:sz w:val="18"/>
                <w:szCs w:val="18"/>
              </w:rPr>
              <w:t>198 </w:t>
            </w:r>
          </w:p>
        </w:tc>
        <w:tc>
          <w:tcPr>
            <w:tcW w:w="0" w:type="auto"/>
            <w:shd w:val="clear" w:color="auto" w:fill="auto"/>
            <w:tcMar>
              <w:top w:w="40" w:type="dxa"/>
              <w:left w:w="0" w:type="dxa"/>
              <w:bottom w:w="40" w:type="dxa"/>
              <w:right w:w="20" w:type="dxa"/>
            </w:tcMar>
            <w:vAlign w:val="bottom"/>
          </w:tcPr>
          <w:p w14:paraId="5A1AFE2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2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2B" w14:textId="77777777" w:rsidR="00960BB8" w:rsidRDefault="00C06650">
            <w:pPr>
              <w:jc w:val="right"/>
              <w:textAlignment w:val="bottom"/>
            </w:pPr>
            <w:r>
              <w:rPr>
                <w:rFonts w:ascii="Arial" w:eastAsia="宋体" w:hAnsi="Arial" w:cs="Arial"/>
                <w:color w:val="262626"/>
                <w:sz w:val="18"/>
                <w:szCs w:val="18"/>
              </w:rPr>
              <w:t>0.3 </w:t>
            </w:r>
          </w:p>
        </w:tc>
        <w:tc>
          <w:tcPr>
            <w:tcW w:w="0" w:type="auto"/>
            <w:shd w:val="clear" w:color="auto" w:fill="auto"/>
            <w:tcMar>
              <w:top w:w="40" w:type="dxa"/>
              <w:left w:w="0" w:type="dxa"/>
              <w:bottom w:w="40" w:type="dxa"/>
              <w:right w:w="20" w:type="dxa"/>
            </w:tcMar>
            <w:vAlign w:val="bottom"/>
          </w:tcPr>
          <w:p w14:paraId="5A1AFE2C" w14:textId="77777777" w:rsidR="00960BB8" w:rsidRDefault="00C06650">
            <w:pPr>
              <w:jc w:val="right"/>
              <w:textAlignment w:val="bottom"/>
            </w:pPr>
            <w:r>
              <w:rPr>
                <w:rFonts w:ascii="Arial" w:eastAsia="宋体" w:hAnsi="Arial" w:cs="Arial"/>
                <w:color w:val="262626"/>
                <w:sz w:val="18"/>
                <w:szCs w:val="18"/>
              </w:rPr>
              <w:t>%</w:t>
            </w:r>
          </w:p>
        </w:tc>
      </w:tr>
      <w:tr w:rsidR="00960BB8" w14:paraId="5A1AFE3B" w14:textId="77777777">
        <w:trPr>
          <w:hidden/>
        </w:trPr>
        <w:tc>
          <w:tcPr>
            <w:tcW w:w="0" w:type="auto"/>
            <w:gridSpan w:val="3"/>
            <w:shd w:val="clear" w:color="auto" w:fill="auto"/>
            <w:vAlign w:val="bottom"/>
          </w:tcPr>
          <w:p w14:paraId="5A1AFE2E" w14:textId="77777777" w:rsidR="00960BB8" w:rsidRDefault="00960BB8">
            <w:pPr>
              <w:rPr>
                <w:rFonts w:ascii="宋体"/>
                <w:vanish/>
              </w:rPr>
            </w:pPr>
          </w:p>
        </w:tc>
        <w:tc>
          <w:tcPr>
            <w:tcW w:w="0" w:type="auto"/>
            <w:gridSpan w:val="3"/>
            <w:shd w:val="clear" w:color="auto" w:fill="auto"/>
            <w:vAlign w:val="bottom"/>
          </w:tcPr>
          <w:p w14:paraId="5A1AFE2F" w14:textId="77777777" w:rsidR="00960BB8" w:rsidRDefault="00960BB8">
            <w:pPr>
              <w:rPr>
                <w:rFonts w:ascii="宋体"/>
                <w:vanish/>
              </w:rPr>
            </w:pPr>
          </w:p>
        </w:tc>
        <w:tc>
          <w:tcPr>
            <w:tcW w:w="0" w:type="auto"/>
            <w:gridSpan w:val="3"/>
            <w:shd w:val="clear" w:color="auto" w:fill="auto"/>
            <w:vAlign w:val="bottom"/>
          </w:tcPr>
          <w:p w14:paraId="5A1AFE30" w14:textId="77777777" w:rsidR="00960BB8" w:rsidRDefault="00960BB8">
            <w:pPr>
              <w:rPr>
                <w:rFonts w:ascii="宋体"/>
                <w:vanish/>
              </w:rPr>
            </w:pPr>
          </w:p>
        </w:tc>
        <w:tc>
          <w:tcPr>
            <w:tcW w:w="0" w:type="auto"/>
            <w:gridSpan w:val="3"/>
            <w:shd w:val="clear" w:color="auto" w:fill="auto"/>
            <w:vAlign w:val="bottom"/>
          </w:tcPr>
          <w:p w14:paraId="5A1AFE31" w14:textId="77777777" w:rsidR="00960BB8" w:rsidRDefault="00960BB8">
            <w:pPr>
              <w:rPr>
                <w:rFonts w:ascii="宋体"/>
                <w:vanish/>
              </w:rPr>
            </w:pPr>
          </w:p>
        </w:tc>
        <w:tc>
          <w:tcPr>
            <w:tcW w:w="0" w:type="auto"/>
            <w:gridSpan w:val="3"/>
            <w:shd w:val="clear" w:color="auto" w:fill="auto"/>
            <w:vAlign w:val="bottom"/>
          </w:tcPr>
          <w:p w14:paraId="5A1AFE32" w14:textId="77777777" w:rsidR="00960BB8" w:rsidRDefault="00960BB8">
            <w:pPr>
              <w:rPr>
                <w:rFonts w:ascii="宋体"/>
                <w:vanish/>
              </w:rPr>
            </w:pPr>
          </w:p>
        </w:tc>
        <w:tc>
          <w:tcPr>
            <w:tcW w:w="0" w:type="auto"/>
            <w:gridSpan w:val="3"/>
            <w:shd w:val="clear" w:color="auto" w:fill="auto"/>
            <w:vAlign w:val="bottom"/>
          </w:tcPr>
          <w:p w14:paraId="5A1AFE33" w14:textId="77777777" w:rsidR="00960BB8" w:rsidRDefault="00960BB8">
            <w:pPr>
              <w:rPr>
                <w:rFonts w:ascii="宋体"/>
                <w:vanish/>
              </w:rPr>
            </w:pPr>
          </w:p>
        </w:tc>
        <w:tc>
          <w:tcPr>
            <w:tcW w:w="0" w:type="auto"/>
            <w:gridSpan w:val="3"/>
            <w:shd w:val="clear" w:color="auto" w:fill="auto"/>
            <w:vAlign w:val="bottom"/>
          </w:tcPr>
          <w:p w14:paraId="5A1AFE34" w14:textId="77777777" w:rsidR="00960BB8" w:rsidRDefault="00960BB8">
            <w:pPr>
              <w:rPr>
                <w:rFonts w:ascii="宋体"/>
                <w:vanish/>
              </w:rPr>
            </w:pPr>
          </w:p>
        </w:tc>
        <w:tc>
          <w:tcPr>
            <w:tcW w:w="0" w:type="auto"/>
            <w:gridSpan w:val="3"/>
            <w:shd w:val="clear" w:color="auto" w:fill="auto"/>
            <w:vAlign w:val="bottom"/>
          </w:tcPr>
          <w:p w14:paraId="5A1AFE35" w14:textId="77777777" w:rsidR="00960BB8" w:rsidRDefault="00960BB8">
            <w:pPr>
              <w:rPr>
                <w:rFonts w:ascii="宋体"/>
                <w:vanish/>
              </w:rPr>
            </w:pPr>
          </w:p>
        </w:tc>
        <w:tc>
          <w:tcPr>
            <w:tcW w:w="0" w:type="auto"/>
            <w:gridSpan w:val="3"/>
            <w:shd w:val="clear" w:color="auto" w:fill="auto"/>
            <w:vAlign w:val="bottom"/>
          </w:tcPr>
          <w:p w14:paraId="5A1AFE36" w14:textId="77777777" w:rsidR="00960BB8" w:rsidRDefault="00960BB8">
            <w:pPr>
              <w:rPr>
                <w:rFonts w:ascii="宋体"/>
                <w:vanish/>
              </w:rPr>
            </w:pPr>
          </w:p>
        </w:tc>
        <w:tc>
          <w:tcPr>
            <w:tcW w:w="0" w:type="auto"/>
            <w:gridSpan w:val="3"/>
            <w:shd w:val="clear" w:color="auto" w:fill="auto"/>
            <w:vAlign w:val="bottom"/>
          </w:tcPr>
          <w:p w14:paraId="5A1AFE37" w14:textId="77777777" w:rsidR="00960BB8" w:rsidRDefault="00960BB8">
            <w:pPr>
              <w:rPr>
                <w:rFonts w:ascii="宋体"/>
                <w:vanish/>
              </w:rPr>
            </w:pPr>
          </w:p>
        </w:tc>
        <w:tc>
          <w:tcPr>
            <w:tcW w:w="0" w:type="auto"/>
            <w:gridSpan w:val="3"/>
            <w:shd w:val="clear" w:color="auto" w:fill="auto"/>
            <w:vAlign w:val="bottom"/>
          </w:tcPr>
          <w:p w14:paraId="5A1AFE38" w14:textId="77777777" w:rsidR="00960BB8" w:rsidRDefault="00960BB8">
            <w:pPr>
              <w:rPr>
                <w:rFonts w:ascii="宋体"/>
                <w:vanish/>
              </w:rPr>
            </w:pPr>
          </w:p>
        </w:tc>
        <w:tc>
          <w:tcPr>
            <w:tcW w:w="0" w:type="auto"/>
            <w:gridSpan w:val="3"/>
            <w:shd w:val="clear" w:color="auto" w:fill="auto"/>
            <w:vAlign w:val="bottom"/>
          </w:tcPr>
          <w:p w14:paraId="5A1AFE39" w14:textId="77777777" w:rsidR="00960BB8" w:rsidRDefault="00960BB8">
            <w:pPr>
              <w:rPr>
                <w:rFonts w:ascii="宋体"/>
                <w:vanish/>
              </w:rPr>
            </w:pPr>
          </w:p>
        </w:tc>
        <w:tc>
          <w:tcPr>
            <w:tcW w:w="0" w:type="auto"/>
            <w:gridSpan w:val="3"/>
            <w:shd w:val="clear" w:color="auto" w:fill="auto"/>
            <w:vAlign w:val="bottom"/>
          </w:tcPr>
          <w:p w14:paraId="5A1AFE3A" w14:textId="77777777" w:rsidR="00960BB8" w:rsidRDefault="00960BB8">
            <w:pPr>
              <w:rPr>
                <w:rFonts w:ascii="宋体"/>
                <w:vanish/>
              </w:rPr>
            </w:pPr>
          </w:p>
        </w:tc>
      </w:tr>
      <w:tr w:rsidR="00960BB8" w14:paraId="5A1AFE4F" w14:textId="77777777">
        <w:trPr>
          <w:trHeight w:val="300"/>
        </w:trPr>
        <w:tc>
          <w:tcPr>
            <w:tcW w:w="0" w:type="auto"/>
            <w:gridSpan w:val="3"/>
            <w:shd w:val="clear" w:color="auto" w:fill="auto"/>
            <w:tcMar>
              <w:top w:w="40" w:type="dxa"/>
              <w:left w:w="20" w:type="dxa"/>
              <w:bottom w:w="40" w:type="dxa"/>
              <w:right w:w="20" w:type="dxa"/>
            </w:tcMar>
            <w:vAlign w:val="bottom"/>
          </w:tcPr>
          <w:p w14:paraId="5A1AFE3C" w14:textId="77777777" w:rsidR="00960BB8" w:rsidRDefault="00C06650">
            <w:pPr>
              <w:textAlignment w:val="bottom"/>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vAlign w:val="bottom"/>
          </w:tcPr>
          <w:p w14:paraId="5A1AFE3D"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E3E" w14:textId="77777777" w:rsidR="00960BB8" w:rsidRDefault="00C06650">
            <w:pPr>
              <w:jc w:val="right"/>
              <w:textAlignment w:val="bottom"/>
            </w:pPr>
            <w:r>
              <w:rPr>
                <w:rFonts w:ascii="Arial" w:eastAsia="宋体" w:hAnsi="Arial" w:cs="Arial"/>
                <w:b/>
                <w:bCs/>
                <w:color w:val="0068B5"/>
                <w:sz w:val="18"/>
                <w:szCs w:val="18"/>
              </w:rPr>
              <w:t>2,334</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E3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40"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E41" w14:textId="77777777" w:rsidR="00960BB8" w:rsidRDefault="00C06650">
            <w:pPr>
              <w:jc w:val="right"/>
              <w:textAlignment w:val="bottom"/>
            </w:pPr>
            <w:r>
              <w:rPr>
                <w:rFonts w:ascii="Arial" w:eastAsia="宋体" w:hAnsi="Arial" w:cs="Arial"/>
                <w:b/>
                <w:bCs/>
                <w:color w:val="0068B5"/>
                <w:sz w:val="18"/>
                <w:szCs w:val="18"/>
              </w:rPr>
              <w:t>3.7</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E42" w14:textId="77777777" w:rsidR="00960BB8" w:rsidRDefault="00C06650">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E43"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E44" w14:textId="77777777" w:rsidR="00960BB8" w:rsidRDefault="00C06650">
            <w:pPr>
              <w:jc w:val="right"/>
              <w:textAlignment w:val="bottom"/>
            </w:pPr>
            <w:r>
              <w:rPr>
                <w:rFonts w:ascii="Arial" w:eastAsia="宋体" w:hAnsi="Arial" w:cs="Arial"/>
                <w:b/>
                <w:bCs/>
                <w:color w:val="262626"/>
                <w:sz w:val="18"/>
                <w:szCs w:val="18"/>
              </w:rPr>
              <w:t>19,456</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E4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46"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E47" w14:textId="77777777" w:rsidR="00960BB8" w:rsidRDefault="00C06650">
            <w:pPr>
              <w:jc w:val="right"/>
              <w:textAlignment w:val="bottom"/>
            </w:pPr>
            <w:r>
              <w:rPr>
                <w:rFonts w:ascii="Arial" w:eastAsia="宋体" w:hAnsi="Arial" w:cs="Arial"/>
                <w:b/>
                <w:bCs/>
                <w:color w:val="262626"/>
                <w:sz w:val="18"/>
                <w:szCs w:val="18"/>
              </w:rPr>
              <w:t>24.6</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E48" w14:textId="77777777" w:rsidR="00960BB8" w:rsidRDefault="00C06650">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E49"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E4A" w14:textId="77777777" w:rsidR="00960BB8" w:rsidRDefault="00C06650">
            <w:pPr>
              <w:jc w:val="right"/>
              <w:textAlignment w:val="bottom"/>
            </w:pPr>
            <w:r>
              <w:rPr>
                <w:rFonts w:ascii="Arial" w:eastAsia="宋体" w:hAnsi="Arial" w:cs="Arial"/>
                <w:b/>
                <w:bCs/>
                <w:color w:val="262626"/>
                <w:sz w:val="18"/>
                <w:szCs w:val="18"/>
              </w:rPr>
              <w:t>23,678</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E4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4C"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AFE4D" w14:textId="77777777" w:rsidR="00960BB8" w:rsidRDefault="00C06650">
            <w:pPr>
              <w:jc w:val="right"/>
              <w:textAlignment w:val="bottom"/>
            </w:pPr>
            <w:r>
              <w:rPr>
                <w:rFonts w:ascii="Arial" w:eastAsia="宋体" w:hAnsi="Arial" w:cs="Arial"/>
                <w:b/>
                <w:bCs/>
                <w:color w:val="262626"/>
                <w:sz w:val="18"/>
                <w:szCs w:val="18"/>
              </w:rPr>
              <w:t>30.4</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AFE4E" w14:textId="77777777" w:rsidR="00960BB8" w:rsidRDefault="00C06650">
            <w:pPr>
              <w:jc w:val="right"/>
              <w:textAlignment w:val="bottom"/>
            </w:pPr>
            <w:r>
              <w:rPr>
                <w:rFonts w:ascii="Arial" w:eastAsia="宋体" w:hAnsi="Arial" w:cs="Arial"/>
                <w:b/>
                <w:bCs/>
                <w:color w:val="262626"/>
                <w:sz w:val="18"/>
                <w:szCs w:val="18"/>
              </w:rPr>
              <w:t>%</w:t>
            </w:r>
          </w:p>
        </w:tc>
      </w:tr>
      <w:tr w:rsidR="00960BB8" w14:paraId="5A1AFE63" w14:textId="77777777">
        <w:trPr>
          <w:trHeight w:val="300"/>
        </w:trPr>
        <w:tc>
          <w:tcPr>
            <w:tcW w:w="0" w:type="auto"/>
            <w:gridSpan w:val="3"/>
            <w:shd w:val="clear" w:color="auto" w:fill="auto"/>
            <w:tcMar>
              <w:top w:w="40" w:type="dxa"/>
              <w:left w:w="20" w:type="dxa"/>
              <w:bottom w:w="40" w:type="dxa"/>
              <w:right w:w="20" w:type="dxa"/>
            </w:tcMar>
            <w:vAlign w:val="bottom"/>
          </w:tcPr>
          <w:p w14:paraId="5A1AFE50" w14:textId="77777777" w:rsidR="00960BB8" w:rsidRDefault="00C06650">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5A1AFE51"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52" w14:textId="77777777" w:rsidR="00960BB8" w:rsidRDefault="00C06650">
            <w:pPr>
              <w:jc w:val="right"/>
              <w:textAlignment w:val="bottom"/>
            </w:pPr>
            <w:r>
              <w:rPr>
                <w:rFonts w:ascii="Arial" w:eastAsia="宋体" w:hAnsi="Arial" w:cs="Arial"/>
                <w:color w:val="0068B5"/>
                <w:sz w:val="18"/>
                <w:szCs w:val="18"/>
              </w:rPr>
              <w:t>4,268 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5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54"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55" w14:textId="77777777" w:rsidR="00960BB8" w:rsidRDefault="00C06650">
            <w:pPr>
              <w:jc w:val="right"/>
              <w:textAlignment w:val="bottom"/>
            </w:pPr>
            <w:r>
              <w:rPr>
                <w:rFonts w:ascii="Arial" w:eastAsia="宋体" w:hAnsi="Arial" w:cs="Arial"/>
                <w:color w:val="0068B5"/>
                <w:sz w:val="18"/>
                <w:szCs w:val="18"/>
              </w:rPr>
              <w:t>6.</w:t>
            </w:r>
            <w:r>
              <w:rPr>
                <w:rFonts w:ascii="Arial" w:eastAsia="宋体" w:hAnsi="Arial" w:cs="Arial"/>
                <w:color w:val="0068B5"/>
                <w:sz w:val="18"/>
                <w:szCs w:val="18"/>
              </w:rPr>
              <w:t>8 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56"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E57"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58" w14:textId="77777777" w:rsidR="00960BB8" w:rsidRDefault="00C06650">
            <w:pPr>
              <w:jc w:val="right"/>
              <w:textAlignment w:val="bottom"/>
            </w:pPr>
            <w:r>
              <w:rPr>
                <w:rFonts w:ascii="Arial" w:eastAsia="宋体" w:hAnsi="Arial" w:cs="Arial"/>
                <w:color w:val="262626"/>
                <w:sz w:val="18"/>
                <w:szCs w:val="18"/>
              </w:rPr>
              <w:t>2,729 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5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5A"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5B" w14:textId="77777777" w:rsidR="00960BB8" w:rsidRDefault="00C06650">
            <w:pPr>
              <w:jc w:val="right"/>
              <w:textAlignment w:val="bottom"/>
            </w:pPr>
            <w:r>
              <w:rPr>
                <w:rFonts w:ascii="Arial" w:eastAsia="宋体" w:hAnsi="Arial" w:cs="Arial"/>
                <w:color w:val="262626"/>
                <w:sz w:val="18"/>
                <w:szCs w:val="18"/>
              </w:rPr>
              <w:t>3.5 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5C"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E5D"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5E" w14:textId="77777777" w:rsidR="00960BB8" w:rsidRDefault="00C06650">
            <w:pPr>
              <w:jc w:val="right"/>
              <w:textAlignment w:val="bottom"/>
            </w:pPr>
            <w:r>
              <w:rPr>
                <w:rFonts w:ascii="Arial" w:eastAsia="宋体" w:hAnsi="Arial" w:cs="Arial"/>
                <w:color w:val="262626"/>
                <w:sz w:val="18"/>
                <w:szCs w:val="18"/>
              </w:rPr>
              <w:t>1,904 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5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60"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61" w14:textId="77777777" w:rsidR="00960BB8" w:rsidRDefault="00C06650">
            <w:pPr>
              <w:jc w:val="right"/>
              <w:textAlignment w:val="bottom"/>
            </w:pPr>
            <w:r>
              <w:rPr>
                <w:rFonts w:ascii="Arial" w:eastAsia="宋体" w:hAnsi="Arial" w:cs="Arial"/>
                <w:color w:val="262626"/>
                <w:sz w:val="18"/>
                <w:szCs w:val="18"/>
              </w:rPr>
              <w:t>2.4 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62" w14:textId="77777777" w:rsidR="00960BB8" w:rsidRDefault="00C06650">
            <w:pPr>
              <w:jc w:val="right"/>
              <w:textAlignment w:val="bottom"/>
            </w:pPr>
            <w:r>
              <w:rPr>
                <w:rFonts w:ascii="Arial" w:eastAsia="宋体" w:hAnsi="Arial" w:cs="Arial"/>
                <w:color w:val="262626"/>
                <w:sz w:val="18"/>
                <w:szCs w:val="18"/>
              </w:rPr>
              <w:t>%</w:t>
            </w:r>
          </w:p>
        </w:tc>
      </w:tr>
      <w:tr w:rsidR="00960BB8" w14:paraId="5A1AFE77" w14:textId="77777777">
        <w:trPr>
          <w:trHeight w:val="300"/>
        </w:trPr>
        <w:tc>
          <w:tcPr>
            <w:tcW w:w="0" w:type="auto"/>
            <w:gridSpan w:val="3"/>
            <w:shd w:val="clear" w:color="auto" w:fill="auto"/>
            <w:tcMar>
              <w:top w:w="40" w:type="dxa"/>
              <w:left w:w="20" w:type="dxa"/>
              <w:bottom w:w="40" w:type="dxa"/>
              <w:right w:w="20" w:type="dxa"/>
            </w:tcMar>
            <w:vAlign w:val="bottom"/>
          </w:tcPr>
          <w:p w14:paraId="5A1AFE64" w14:textId="77777777" w:rsidR="00960BB8" w:rsidRDefault="00C06650">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5A1AFE6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66" w14:textId="77777777" w:rsidR="00960BB8" w:rsidRDefault="00C06650">
            <w:pPr>
              <w:jc w:val="right"/>
              <w:textAlignment w:val="bottom"/>
            </w:pPr>
            <w:r>
              <w:rPr>
                <w:rFonts w:ascii="Arial" w:eastAsia="宋体" w:hAnsi="Arial" w:cs="Arial"/>
                <w:color w:val="0068B5"/>
                <w:sz w:val="18"/>
                <w:szCs w:val="18"/>
              </w:rPr>
              <w:t>1,166 </w:t>
            </w:r>
          </w:p>
        </w:tc>
        <w:tc>
          <w:tcPr>
            <w:tcW w:w="0" w:type="auto"/>
            <w:shd w:val="clear" w:color="auto" w:fill="auto"/>
            <w:tcMar>
              <w:top w:w="40" w:type="dxa"/>
              <w:left w:w="0" w:type="dxa"/>
              <w:bottom w:w="40" w:type="dxa"/>
              <w:right w:w="20" w:type="dxa"/>
            </w:tcMar>
            <w:vAlign w:val="bottom"/>
          </w:tcPr>
          <w:p w14:paraId="5A1AFE6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6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69" w14:textId="77777777" w:rsidR="00960BB8" w:rsidRDefault="00C06650">
            <w:pPr>
              <w:jc w:val="right"/>
              <w:textAlignment w:val="bottom"/>
            </w:pPr>
            <w:r>
              <w:rPr>
                <w:rFonts w:ascii="Arial" w:eastAsia="宋体" w:hAnsi="Arial" w:cs="Arial"/>
                <w:color w:val="0068B5"/>
                <w:sz w:val="18"/>
                <w:szCs w:val="18"/>
              </w:rPr>
              <w:t>1.8 </w:t>
            </w:r>
          </w:p>
        </w:tc>
        <w:tc>
          <w:tcPr>
            <w:tcW w:w="0" w:type="auto"/>
            <w:shd w:val="clear" w:color="auto" w:fill="auto"/>
            <w:tcMar>
              <w:top w:w="40" w:type="dxa"/>
              <w:left w:w="0" w:type="dxa"/>
              <w:bottom w:w="40" w:type="dxa"/>
              <w:right w:w="20" w:type="dxa"/>
            </w:tcMar>
            <w:vAlign w:val="bottom"/>
          </w:tcPr>
          <w:p w14:paraId="5A1AFE6A"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E6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6C" w14:textId="77777777" w:rsidR="00960BB8" w:rsidRDefault="00C06650">
            <w:pPr>
              <w:jc w:val="right"/>
              <w:textAlignment w:val="bottom"/>
            </w:pPr>
            <w:r>
              <w:rPr>
                <w:rFonts w:ascii="Arial" w:eastAsia="宋体" w:hAnsi="Arial" w:cs="Arial"/>
                <w:color w:val="262626"/>
                <w:sz w:val="18"/>
                <w:szCs w:val="18"/>
              </w:rPr>
              <w:t>(482)</w:t>
            </w:r>
          </w:p>
        </w:tc>
        <w:tc>
          <w:tcPr>
            <w:tcW w:w="0" w:type="auto"/>
            <w:shd w:val="clear" w:color="auto" w:fill="auto"/>
            <w:tcMar>
              <w:top w:w="40" w:type="dxa"/>
              <w:left w:w="0" w:type="dxa"/>
              <w:bottom w:w="40" w:type="dxa"/>
              <w:right w:w="20" w:type="dxa"/>
            </w:tcMar>
            <w:vAlign w:val="bottom"/>
          </w:tcPr>
          <w:p w14:paraId="5A1AFE6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6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6F" w14:textId="77777777" w:rsidR="00960BB8" w:rsidRDefault="00C06650">
            <w:pPr>
              <w:jc w:val="right"/>
              <w:textAlignment w:val="bottom"/>
            </w:pPr>
            <w:r>
              <w:rPr>
                <w:rFonts w:ascii="Arial" w:eastAsia="宋体" w:hAnsi="Arial" w:cs="Arial"/>
                <w:color w:val="262626"/>
                <w:sz w:val="18"/>
                <w:szCs w:val="18"/>
              </w:rPr>
              <w:t>(0.6)</w:t>
            </w:r>
          </w:p>
        </w:tc>
        <w:tc>
          <w:tcPr>
            <w:tcW w:w="0" w:type="auto"/>
            <w:shd w:val="clear" w:color="auto" w:fill="auto"/>
            <w:tcMar>
              <w:top w:w="40" w:type="dxa"/>
              <w:left w:w="0" w:type="dxa"/>
              <w:bottom w:w="40" w:type="dxa"/>
              <w:right w:w="20" w:type="dxa"/>
            </w:tcMar>
            <w:vAlign w:val="bottom"/>
          </w:tcPr>
          <w:p w14:paraId="5A1AFE70"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E7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72" w14:textId="77777777" w:rsidR="00960BB8" w:rsidRDefault="00C06650">
            <w:pPr>
              <w:jc w:val="right"/>
              <w:textAlignment w:val="bottom"/>
            </w:pPr>
            <w:r>
              <w:rPr>
                <w:rFonts w:ascii="Arial" w:eastAsia="宋体" w:hAnsi="Arial" w:cs="Arial"/>
                <w:color w:val="262626"/>
                <w:sz w:val="18"/>
                <w:szCs w:val="18"/>
              </w:rPr>
              <w:t>(504)</w:t>
            </w:r>
          </w:p>
        </w:tc>
        <w:tc>
          <w:tcPr>
            <w:tcW w:w="0" w:type="auto"/>
            <w:shd w:val="clear" w:color="auto" w:fill="auto"/>
            <w:tcMar>
              <w:top w:w="40" w:type="dxa"/>
              <w:left w:w="0" w:type="dxa"/>
              <w:bottom w:w="40" w:type="dxa"/>
              <w:right w:w="20" w:type="dxa"/>
            </w:tcMar>
            <w:vAlign w:val="bottom"/>
          </w:tcPr>
          <w:p w14:paraId="5A1AFE7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7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75" w14:textId="77777777" w:rsidR="00960BB8" w:rsidRDefault="00C06650">
            <w:pPr>
              <w:jc w:val="right"/>
              <w:textAlignment w:val="bottom"/>
            </w:pPr>
            <w:r>
              <w:rPr>
                <w:rFonts w:ascii="Arial" w:eastAsia="宋体" w:hAnsi="Arial" w:cs="Arial"/>
                <w:color w:val="262626"/>
                <w:sz w:val="18"/>
                <w:szCs w:val="18"/>
              </w:rPr>
              <w:t>(0.6)</w:t>
            </w:r>
          </w:p>
        </w:tc>
        <w:tc>
          <w:tcPr>
            <w:tcW w:w="0" w:type="auto"/>
            <w:shd w:val="clear" w:color="auto" w:fill="auto"/>
            <w:tcMar>
              <w:top w:w="40" w:type="dxa"/>
              <w:left w:w="0" w:type="dxa"/>
              <w:bottom w:w="40" w:type="dxa"/>
              <w:right w:w="20" w:type="dxa"/>
            </w:tcMar>
            <w:vAlign w:val="bottom"/>
          </w:tcPr>
          <w:p w14:paraId="5A1AFE76" w14:textId="77777777" w:rsidR="00960BB8" w:rsidRDefault="00C06650">
            <w:pPr>
              <w:jc w:val="right"/>
              <w:textAlignment w:val="bottom"/>
            </w:pPr>
            <w:r>
              <w:rPr>
                <w:rFonts w:ascii="Arial" w:eastAsia="宋体" w:hAnsi="Arial" w:cs="Arial"/>
                <w:color w:val="262626"/>
                <w:sz w:val="18"/>
                <w:szCs w:val="18"/>
              </w:rPr>
              <w:t>%</w:t>
            </w:r>
          </w:p>
        </w:tc>
      </w:tr>
      <w:tr w:rsidR="00960BB8" w14:paraId="5A1AFE8B" w14:textId="77777777">
        <w:trPr>
          <w:trHeight w:val="300"/>
        </w:trPr>
        <w:tc>
          <w:tcPr>
            <w:tcW w:w="0" w:type="auto"/>
            <w:gridSpan w:val="3"/>
            <w:shd w:val="clear" w:color="auto" w:fill="auto"/>
            <w:tcMar>
              <w:top w:w="40" w:type="dxa"/>
              <w:left w:w="20" w:type="dxa"/>
              <w:bottom w:w="40" w:type="dxa"/>
              <w:right w:w="20" w:type="dxa"/>
            </w:tcMar>
            <w:vAlign w:val="bottom"/>
          </w:tcPr>
          <w:p w14:paraId="5A1AFE78" w14:textId="77777777" w:rsidR="00960BB8" w:rsidRDefault="00C06650">
            <w:pPr>
              <w:textAlignment w:val="bottom"/>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5A1AFE7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7A" w14:textId="77777777" w:rsidR="00960BB8" w:rsidRDefault="00C06650">
            <w:pPr>
              <w:jc w:val="right"/>
              <w:textAlignment w:val="bottom"/>
            </w:pPr>
            <w:r>
              <w:rPr>
                <w:rFonts w:ascii="Arial" w:eastAsia="宋体" w:hAnsi="Arial" w:cs="Arial"/>
                <w:b/>
                <w:bCs/>
                <w:color w:val="0068B5"/>
                <w:sz w:val="18"/>
                <w:szCs w:val="18"/>
              </w:rPr>
              <w:t>7,768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7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7C"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7D" w14:textId="77777777" w:rsidR="00960BB8" w:rsidRDefault="00C06650">
            <w:pPr>
              <w:jc w:val="right"/>
              <w:textAlignment w:val="bottom"/>
            </w:pPr>
            <w:r>
              <w:rPr>
                <w:rFonts w:ascii="Arial" w:eastAsia="宋体" w:hAnsi="Arial" w:cs="Arial"/>
                <w:b/>
                <w:bCs/>
                <w:color w:val="0068B5"/>
                <w:sz w:val="18"/>
                <w:szCs w:val="18"/>
              </w:rPr>
              <w:t>12.3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7E" w14:textId="77777777" w:rsidR="00960BB8" w:rsidRDefault="00C06650">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E7F"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80" w14:textId="77777777" w:rsidR="00960BB8" w:rsidRDefault="00C06650">
            <w:pPr>
              <w:jc w:val="right"/>
              <w:textAlignment w:val="bottom"/>
            </w:pPr>
            <w:r>
              <w:rPr>
                <w:rFonts w:ascii="Arial" w:eastAsia="宋体" w:hAnsi="Arial" w:cs="Arial"/>
                <w:b/>
                <w:bCs/>
                <w:color w:val="262626"/>
                <w:sz w:val="18"/>
                <w:szCs w:val="18"/>
              </w:rPr>
              <w:t>21,703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8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82"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83" w14:textId="77777777" w:rsidR="00960BB8" w:rsidRDefault="00C06650">
            <w:pPr>
              <w:jc w:val="right"/>
              <w:textAlignment w:val="bottom"/>
            </w:pPr>
            <w:r>
              <w:rPr>
                <w:rFonts w:ascii="Arial" w:eastAsia="宋体" w:hAnsi="Arial" w:cs="Arial"/>
                <w:b/>
                <w:bCs/>
                <w:color w:val="262626"/>
                <w:sz w:val="18"/>
                <w:szCs w:val="18"/>
              </w:rPr>
              <w:t>27.5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84" w14:textId="77777777" w:rsidR="00960BB8" w:rsidRDefault="00C06650">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E85"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86" w14:textId="77777777" w:rsidR="00960BB8" w:rsidRDefault="00C06650">
            <w:pPr>
              <w:jc w:val="right"/>
              <w:textAlignment w:val="bottom"/>
            </w:pPr>
            <w:r>
              <w:rPr>
                <w:rFonts w:ascii="Arial" w:eastAsia="宋体" w:hAnsi="Arial" w:cs="Arial"/>
                <w:b/>
                <w:bCs/>
                <w:color w:val="262626"/>
                <w:sz w:val="18"/>
                <w:szCs w:val="18"/>
              </w:rPr>
              <w:t>25,078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8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88"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89" w14:textId="77777777" w:rsidR="00960BB8" w:rsidRDefault="00C06650">
            <w:pPr>
              <w:jc w:val="right"/>
              <w:textAlignment w:val="bottom"/>
            </w:pPr>
            <w:r>
              <w:rPr>
                <w:rFonts w:ascii="Arial" w:eastAsia="宋体" w:hAnsi="Arial" w:cs="Arial"/>
                <w:b/>
                <w:bCs/>
                <w:color w:val="262626"/>
                <w:sz w:val="18"/>
                <w:szCs w:val="18"/>
              </w:rPr>
              <w:t>32.2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8A" w14:textId="77777777" w:rsidR="00960BB8" w:rsidRDefault="00C06650">
            <w:pPr>
              <w:jc w:val="right"/>
              <w:textAlignment w:val="bottom"/>
            </w:pPr>
            <w:r>
              <w:rPr>
                <w:rFonts w:ascii="Arial" w:eastAsia="宋体" w:hAnsi="Arial" w:cs="Arial"/>
                <w:b/>
                <w:bCs/>
                <w:color w:val="262626"/>
                <w:sz w:val="18"/>
                <w:szCs w:val="18"/>
              </w:rPr>
              <w:t>%</w:t>
            </w:r>
          </w:p>
        </w:tc>
      </w:tr>
      <w:tr w:rsidR="00960BB8" w14:paraId="5A1AFE9F" w14:textId="77777777">
        <w:trPr>
          <w:trHeight w:val="300"/>
        </w:trPr>
        <w:tc>
          <w:tcPr>
            <w:tcW w:w="0" w:type="auto"/>
            <w:gridSpan w:val="3"/>
            <w:shd w:val="clear" w:color="auto" w:fill="auto"/>
            <w:tcMar>
              <w:top w:w="40" w:type="dxa"/>
              <w:left w:w="20" w:type="dxa"/>
              <w:bottom w:w="40" w:type="dxa"/>
              <w:right w:w="20" w:type="dxa"/>
            </w:tcMar>
            <w:vAlign w:val="bottom"/>
          </w:tcPr>
          <w:p w14:paraId="5A1AFE8C" w14:textId="77777777" w:rsidR="00960BB8" w:rsidRDefault="00C06650">
            <w:pPr>
              <w:textAlignment w:val="bottom"/>
            </w:pPr>
            <w:r>
              <w:rPr>
                <w:rFonts w:ascii="Arial" w:eastAsia="宋体" w:hAnsi="Arial" w:cs="Arial"/>
                <w:color w:val="262626"/>
                <w:sz w:val="18"/>
                <w:szCs w:val="18"/>
              </w:rPr>
              <w:t>Provision for (benefit from) taxes</w:t>
            </w:r>
          </w:p>
        </w:tc>
        <w:tc>
          <w:tcPr>
            <w:tcW w:w="0" w:type="auto"/>
            <w:gridSpan w:val="3"/>
            <w:shd w:val="clear" w:color="auto" w:fill="auto"/>
            <w:tcMar>
              <w:top w:w="0" w:type="dxa"/>
              <w:left w:w="20" w:type="dxa"/>
              <w:bottom w:w="0" w:type="dxa"/>
              <w:right w:w="20" w:type="dxa"/>
            </w:tcMar>
            <w:vAlign w:val="bottom"/>
          </w:tcPr>
          <w:p w14:paraId="5A1AFE8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8E" w14:textId="77777777" w:rsidR="00960BB8" w:rsidRDefault="00C06650">
            <w:pPr>
              <w:jc w:val="right"/>
              <w:textAlignment w:val="bottom"/>
            </w:pPr>
            <w:r>
              <w:rPr>
                <w:rFonts w:ascii="Arial" w:eastAsia="宋体" w:hAnsi="Arial" w:cs="Arial"/>
                <w:color w:val="0068B5"/>
                <w:sz w:val="18"/>
                <w:szCs w:val="18"/>
              </w:rPr>
              <w:t>(249)</w:t>
            </w:r>
          </w:p>
        </w:tc>
        <w:tc>
          <w:tcPr>
            <w:tcW w:w="0" w:type="auto"/>
            <w:shd w:val="clear" w:color="auto" w:fill="auto"/>
            <w:tcMar>
              <w:top w:w="40" w:type="dxa"/>
              <w:left w:w="0" w:type="dxa"/>
              <w:bottom w:w="40" w:type="dxa"/>
              <w:right w:w="20" w:type="dxa"/>
            </w:tcMar>
            <w:vAlign w:val="bottom"/>
          </w:tcPr>
          <w:p w14:paraId="5A1AFE8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9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91" w14:textId="77777777" w:rsidR="00960BB8" w:rsidRDefault="00C06650">
            <w:pPr>
              <w:jc w:val="right"/>
              <w:textAlignment w:val="bottom"/>
            </w:pPr>
            <w:r>
              <w:rPr>
                <w:rFonts w:ascii="Arial" w:eastAsia="宋体" w:hAnsi="Arial" w:cs="Arial"/>
                <w:color w:val="0068B5"/>
                <w:sz w:val="18"/>
                <w:szCs w:val="18"/>
              </w:rPr>
              <w:t>(0</w:t>
            </w:r>
            <w:r>
              <w:rPr>
                <w:rFonts w:ascii="Arial" w:eastAsia="宋体" w:hAnsi="Arial" w:cs="Arial"/>
                <w:color w:val="0068B5"/>
                <w:sz w:val="18"/>
                <w:szCs w:val="18"/>
              </w:rPr>
              <w:t>.4)</w:t>
            </w:r>
          </w:p>
        </w:tc>
        <w:tc>
          <w:tcPr>
            <w:tcW w:w="0" w:type="auto"/>
            <w:shd w:val="clear" w:color="auto" w:fill="auto"/>
            <w:tcMar>
              <w:top w:w="40" w:type="dxa"/>
              <w:left w:w="0" w:type="dxa"/>
              <w:bottom w:w="40" w:type="dxa"/>
              <w:right w:w="20" w:type="dxa"/>
            </w:tcMar>
            <w:vAlign w:val="bottom"/>
          </w:tcPr>
          <w:p w14:paraId="5A1AFE92"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E9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94" w14:textId="77777777" w:rsidR="00960BB8" w:rsidRDefault="00C06650">
            <w:pPr>
              <w:jc w:val="right"/>
              <w:textAlignment w:val="bottom"/>
            </w:pPr>
            <w:r>
              <w:rPr>
                <w:rFonts w:ascii="Arial" w:eastAsia="宋体" w:hAnsi="Arial" w:cs="Arial"/>
                <w:color w:val="262626"/>
                <w:sz w:val="18"/>
                <w:szCs w:val="18"/>
              </w:rPr>
              <w:t>1,835 </w:t>
            </w:r>
          </w:p>
        </w:tc>
        <w:tc>
          <w:tcPr>
            <w:tcW w:w="0" w:type="auto"/>
            <w:shd w:val="clear" w:color="auto" w:fill="auto"/>
            <w:tcMar>
              <w:top w:w="40" w:type="dxa"/>
              <w:left w:w="0" w:type="dxa"/>
              <w:bottom w:w="40" w:type="dxa"/>
              <w:right w:w="20" w:type="dxa"/>
            </w:tcMar>
            <w:vAlign w:val="bottom"/>
          </w:tcPr>
          <w:p w14:paraId="5A1AFE9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9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97" w14:textId="77777777" w:rsidR="00960BB8" w:rsidRDefault="00C06650">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5A1AFE98"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E9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9A" w14:textId="77777777" w:rsidR="00960BB8" w:rsidRDefault="00C06650">
            <w:pPr>
              <w:jc w:val="right"/>
              <w:textAlignment w:val="bottom"/>
            </w:pPr>
            <w:r>
              <w:rPr>
                <w:rFonts w:ascii="Arial" w:eastAsia="宋体" w:hAnsi="Arial" w:cs="Arial"/>
                <w:color w:val="262626"/>
                <w:sz w:val="18"/>
                <w:szCs w:val="18"/>
              </w:rPr>
              <w:t>4,179 </w:t>
            </w:r>
          </w:p>
        </w:tc>
        <w:tc>
          <w:tcPr>
            <w:tcW w:w="0" w:type="auto"/>
            <w:shd w:val="clear" w:color="auto" w:fill="auto"/>
            <w:tcMar>
              <w:top w:w="40" w:type="dxa"/>
              <w:left w:w="0" w:type="dxa"/>
              <w:bottom w:w="40" w:type="dxa"/>
              <w:right w:w="20" w:type="dxa"/>
            </w:tcMar>
            <w:vAlign w:val="bottom"/>
          </w:tcPr>
          <w:p w14:paraId="5A1AFE9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9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9D" w14:textId="77777777" w:rsidR="00960BB8" w:rsidRDefault="00C06650">
            <w:pPr>
              <w:jc w:val="right"/>
              <w:textAlignment w:val="bottom"/>
            </w:pPr>
            <w:r>
              <w:rPr>
                <w:rFonts w:ascii="Arial" w:eastAsia="宋体" w:hAnsi="Arial" w:cs="Arial"/>
                <w:color w:val="262626"/>
                <w:sz w:val="18"/>
                <w:szCs w:val="18"/>
              </w:rPr>
              <w:t>5.4 </w:t>
            </w:r>
          </w:p>
        </w:tc>
        <w:tc>
          <w:tcPr>
            <w:tcW w:w="0" w:type="auto"/>
            <w:shd w:val="clear" w:color="auto" w:fill="auto"/>
            <w:tcMar>
              <w:top w:w="40" w:type="dxa"/>
              <w:left w:w="0" w:type="dxa"/>
              <w:bottom w:w="40" w:type="dxa"/>
              <w:right w:w="20" w:type="dxa"/>
            </w:tcMar>
            <w:vAlign w:val="bottom"/>
          </w:tcPr>
          <w:p w14:paraId="5A1AFE9E" w14:textId="77777777" w:rsidR="00960BB8" w:rsidRDefault="00C06650">
            <w:pPr>
              <w:jc w:val="right"/>
              <w:textAlignment w:val="bottom"/>
            </w:pPr>
            <w:r>
              <w:rPr>
                <w:rFonts w:ascii="Arial" w:eastAsia="宋体" w:hAnsi="Arial" w:cs="Arial"/>
                <w:color w:val="262626"/>
                <w:sz w:val="18"/>
                <w:szCs w:val="18"/>
              </w:rPr>
              <w:t>%</w:t>
            </w:r>
          </w:p>
        </w:tc>
      </w:tr>
      <w:tr w:rsidR="00960BB8" w14:paraId="5A1AFEB3" w14:textId="77777777">
        <w:trPr>
          <w:trHeight w:val="300"/>
        </w:trPr>
        <w:tc>
          <w:tcPr>
            <w:tcW w:w="0" w:type="auto"/>
            <w:gridSpan w:val="3"/>
            <w:shd w:val="clear" w:color="auto" w:fill="auto"/>
            <w:tcMar>
              <w:top w:w="40" w:type="dxa"/>
              <w:left w:w="20" w:type="dxa"/>
              <w:bottom w:w="40" w:type="dxa"/>
              <w:right w:w="20" w:type="dxa"/>
            </w:tcMar>
            <w:vAlign w:val="bottom"/>
          </w:tcPr>
          <w:p w14:paraId="5A1AFEA0" w14:textId="77777777" w:rsidR="00960BB8" w:rsidRDefault="00C06650">
            <w:pPr>
              <w:textAlignment w:val="bottom"/>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5A1AFEA1"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A2" w14:textId="77777777" w:rsidR="00960BB8" w:rsidRDefault="00C06650">
            <w:pPr>
              <w:jc w:val="right"/>
              <w:textAlignment w:val="bottom"/>
            </w:pPr>
            <w:r>
              <w:rPr>
                <w:rFonts w:ascii="Arial" w:eastAsia="宋体" w:hAnsi="Arial" w:cs="Arial"/>
                <w:b/>
                <w:bCs/>
                <w:color w:val="0068B5"/>
                <w:sz w:val="18"/>
                <w:szCs w:val="18"/>
              </w:rPr>
              <w:t>8,017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A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A4"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A5" w14:textId="77777777" w:rsidR="00960BB8" w:rsidRDefault="00C06650">
            <w:pPr>
              <w:jc w:val="right"/>
              <w:textAlignment w:val="bottom"/>
            </w:pPr>
            <w:r>
              <w:rPr>
                <w:rFonts w:ascii="Arial" w:eastAsia="宋体" w:hAnsi="Arial" w:cs="Arial"/>
                <w:b/>
                <w:bCs/>
                <w:color w:val="0068B5"/>
                <w:sz w:val="18"/>
                <w:szCs w:val="18"/>
              </w:rPr>
              <w:t>12.7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A6" w14:textId="77777777" w:rsidR="00960BB8" w:rsidRDefault="00C06650">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5A1AFEA7"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A8" w14:textId="77777777" w:rsidR="00960BB8" w:rsidRDefault="00C06650">
            <w:pPr>
              <w:jc w:val="right"/>
              <w:textAlignment w:val="bottom"/>
            </w:pPr>
            <w:r>
              <w:rPr>
                <w:rFonts w:ascii="Arial" w:eastAsia="宋体" w:hAnsi="Arial" w:cs="Arial"/>
                <w:b/>
                <w:bCs/>
                <w:color w:val="262626"/>
                <w:sz w:val="18"/>
                <w:szCs w:val="18"/>
              </w:rPr>
              <w:t>19,868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A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AA"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AB" w14:textId="77777777" w:rsidR="00960BB8" w:rsidRDefault="00C06650">
            <w:pPr>
              <w:jc w:val="right"/>
              <w:textAlignment w:val="bottom"/>
            </w:pPr>
            <w:r>
              <w:rPr>
                <w:rFonts w:ascii="Arial" w:eastAsia="宋体" w:hAnsi="Arial" w:cs="Arial"/>
                <w:b/>
                <w:bCs/>
                <w:color w:val="262626"/>
                <w:sz w:val="18"/>
                <w:szCs w:val="18"/>
              </w:rPr>
              <w:t>25.1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AC" w14:textId="77777777" w:rsidR="00960BB8" w:rsidRDefault="00C06650">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5A1AFEAD"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AE" w14:textId="77777777" w:rsidR="00960BB8" w:rsidRDefault="00C06650">
            <w:pPr>
              <w:jc w:val="right"/>
              <w:textAlignment w:val="bottom"/>
            </w:pPr>
            <w:r>
              <w:rPr>
                <w:rFonts w:ascii="Arial" w:eastAsia="宋体" w:hAnsi="Arial" w:cs="Arial"/>
                <w:b/>
                <w:bCs/>
                <w:color w:val="262626"/>
                <w:sz w:val="18"/>
                <w:szCs w:val="18"/>
              </w:rPr>
              <w:t>20,899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A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B0"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B1" w14:textId="77777777" w:rsidR="00960BB8" w:rsidRDefault="00C06650">
            <w:pPr>
              <w:jc w:val="right"/>
              <w:textAlignment w:val="bottom"/>
            </w:pPr>
            <w:r>
              <w:rPr>
                <w:rFonts w:ascii="Arial" w:eastAsia="宋体" w:hAnsi="Arial" w:cs="Arial"/>
                <w:b/>
                <w:bCs/>
                <w:color w:val="262626"/>
                <w:sz w:val="18"/>
                <w:szCs w:val="18"/>
              </w:rPr>
              <w:t>26.8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B2" w14:textId="77777777" w:rsidR="00960BB8" w:rsidRDefault="00C06650">
            <w:pPr>
              <w:jc w:val="right"/>
              <w:textAlignment w:val="bottom"/>
            </w:pPr>
            <w:r>
              <w:rPr>
                <w:rFonts w:ascii="Arial" w:eastAsia="宋体" w:hAnsi="Arial" w:cs="Arial"/>
                <w:b/>
                <w:bCs/>
                <w:color w:val="262626"/>
                <w:sz w:val="18"/>
                <w:szCs w:val="18"/>
              </w:rPr>
              <w:t>%</w:t>
            </w:r>
          </w:p>
        </w:tc>
      </w:tr>
      <w:tr w:rsidR="00960BB8" w14:paraId="5A1AFEC7" w14:textId="77777777">
        <w:trPr>
          <w:trHeight w:val="460"/>
        </w:trPr>
        <w:tc>
          <w:tcPr>
            <w:tcW w:w="0" w:type="auto"/>
            <w:gridSpan w:val="3"/>
            <w:shd w:val="clear" w:color="auto" w:fill="auto"/>
            <w:tcMar>
              <w:top w:w="40" w:type="dxa"/>
              <w:left w:w="20" w:type="dxa"/>
              <w:bottom w:w="40" w:type="dxa"/>
              <w:right w:w="20" w:type="dxa"/>
            </w:tcMar>
            <w:vAlign w:val="bottom"/>
          </w:tcPr>
          <w:p w14:paraId="5A1AFEB4" w14:textId="77777777" w:rsidR="00960BB8" w:rsidRDefault="00C06650">
            <w:pPr>
              <w:textAlignment w:val="bottom"/>
            </w:pPr>
            <w:r>
              <w:rPr>
                <w:rFonts w:ascii="Arial" w:eastAsia="宋体" w:hAnsi="Arial" w:cs="Arial"/>
                <w:color w:val="262626"/>
                <w:sz w:val="18"/>
                <w:szCs w:val="18"/>
              </w:rPr>
              <w:t>Less: Net income attributable to non-controlling inter</w:t>
            </w:r>
            <w:r>
              <w:rPr>
                <w:rFonts w:ascii="Arial" w:eastAsia="宋体" w:hAnsi="Arial" w:cs="Arial"/>
                <w:color w:val="262626"/>
                <w:sz w:val="18"/>
                <w:szCs w:val="18"/>
              </w:rPr>
              <w:t>ests</w:t>
            </w:r>
          </w:p>
        </w:tc>
        <w:tc>
          <w:tcPr>
            <w:tcW w:w="0" w:type="auto"/>
            <w:gridSpan w:val="3"/>
            <w:shd w:val="clear" w:color="auto" w:fill="auto"/>
            <w:tcMar>
              <w:top w:w="0" w:type="dxa"/>
              <w:left w:w="20" w:type="dxa"/>
              <w:bottom w:w="0" w:type="dxa"/>
              <w:right w:w="20" w:type="dxa"/>
            </w:tcMar>
            <w:vAlign w:val="bottom"/>
          </w:tcPr>
          <w:p w14:paraId="5A1AFEB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B6" w14:textId="77777777" w:rsidR="00960BB8" w:rsidRDefault="00C06650">
            <w:pPr>
              <w:jc w:val="right"/>
              <w:textAlignment w:val="bottom"/>
            </w:pPr>
            <w:r>
              <w:rPr>
                <w:rFonts w:ascii="Arial" w:eastAsia="宋体" w:hAnsi="Arial" w:cs="Arial"/>
                <w:color w:val="0068B5"/>
                <w:sz w:val="18"/>
                <w:szCs w:val="18"/>
              </w:rPr>
              <w:t>3 </w:t>
            </w:r>
          </w:p>
        </w:tc>
        <w:tc>
          <w:tcPr>
            <w:tcW w:w="0" w:type="auto"/>
            <w:shd w:val="clear" w:color="auto" w:fill="auto"/>
            <w:tcMar>
              <w:top w:w="40" w:type="dxa"/>
              <w:left w:w="0" w:type="dxa"/>
              <w:bottom w:w="40" w:type="dxa"/>
              <w:right w:w="20" w:type="dxa"/>
            </w:tcMar>
            <w:vAlign w:val="bottom"/>
          </w:tcPr>
          <w:p w14:paraId="5A1AFEB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B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B9"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AFEB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B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BC"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AFEB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B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BF"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AFEC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C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C2"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AFEC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C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AFEC5"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AFEC6" w14:textId="77777777" w:rsidR="00960BB8" w:rsidRDefault="00960BB8">
            <w:pPr>
              <w:jc w:val="right"/>
              <w:rPr>
                <w:rFonts w:ascii="宋体"/>
              </w:rPr>
            </w:pPr>
          </w:p>
        </w:tc>
      </w:tr>
      <w:tr w:rsidR="00960BB8" w14:paraId="5A1AFEDE" w14:textId="77777777">
        <w:trPr>
          <w:trHeight w:val="280"/>
        </w:trPr>
        <w:tc>
          <w:tcPr>
            <w:tcW w:w="0" w:type="auto"/>
            <w:gridSpan w:val="3"/>
            <w:shd w:val="clear" w:color="auto" w:fill="auto"/>
            <w:tcMar>
              <w:top w:w="40" w:type="dxa"/>
              <w:left w:w="20" w:type="dxa"/>
              <w:bottom w:w="40" w:type="dxa"/>
              <w:right w:w="20" w:type="dxa"/>
            </w:tcMar>
            <w:vAlign w:val="bottom"/>
          </w:tcPr>
          <w:p w14:paraId="5A1AFEC8" w14:textId="77777777" w:rsidR="00960BB8" w:rsidRDefault="00C06650">
            <w:pPr>
              <w:textAlignment w:val="bottom"/>
            </w:pPr>
            <w:r>
              <w:rPr>
                <w:rFonts w:ascii="Arial" w:eastAsia="宋体" w:hAnsi="Arial" w:cs="Arial"/>
                <w:b/>
                <w:bCs/>
                <w:color w:val="262626"/>
                <w:sz w:val="18"/>
                <w:szCs w:val="18"/>
              </w:rPr>
              <w:t>Net income attributable to Intel</w:t>
            </w:r>
          </w:p>
        </w:tc>
        <w:tc>
          <w:tcPr>
            <w:tcW w:w="0" w:type="auto"/>
            <w:gridSpan w:val="3"/>
            <w:shd w:val="clear" w:color="auto" w:fill="auto"/>
            <w:tcMar>
              <w:top w:w="0" w:type="dxa"/>
              <w:left w:w="20" w:type="dxa"/>
              <w:bottom w:w="0" w:type="dxa"/>
              <w:right w:w="20" w:type="dxa"/>
            </w:tcMar>
            <w:vAlign w:val="bottom"/>
          </w:tcPr>
          <w:p w14:paraId="5A1AFEC9"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AFECA"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AFECB" w14:textId="77777777" w:rsidR="00960BB8" w:rsidRDefault="00C06650">
            <w:pPr>
              <w:jc w:val="right"/>
              <w:textAlignment w:val="bottom"/>
            </w:pPr>
            <w:r>
              <w:rPr>
                <w:rFonts w:ascii="Arial" w:eastAsia="宋体" w:hAnsi="Arial" w:cs="Arial"/>
                <w:b/>
                <w:bCs/>
                <w:color w:val="0068B5"/>
                <w:sz w:val="18"/>
                <w:szCs w:val="18"/>
              </w:rPr>
              <w:t>8,014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C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CD"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CE" w14:textId="77777777" w:rsidR="00960BB8" w:rsidRDefault="00C06650">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C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D0"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AFED1"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AFED2" w14:textId="77777777" w:rsidR="00960BB8" w:rsidRDefault="00C06650">
            <w:pPr>
              <w:jc w:val="right"/>
              <w:textAlignment w:val="bottom"/>
            </w:pPr>
            <w:r>
              <w:rPr>
                <w:rFonts w:ascii="Arial" w:eastAsia="宋体" w:hAnsi="Arial" w:cs="Arial"/>
                <w:b/>
                <w:bCs/>
                <w:color w:val="262626"/>
                <w:sz w:val="18"/>
                <w:szCs w:val="18"/>
              </w:rPr>
              <w:t>19,868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D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D4"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D5" w14:textId="77777777" w:rsidR="00960BB8" w:rsidRDefault="00C06650">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D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D7"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AFED8"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AFED9" w14:textId="77777777" w:rsidR="00960BB8" w:rsidRDefault="00C06650">
            <w:pPr>
              <w:jc w:val="right"/>
              <w:textAlignment w:val="bottom"/>
            </w:pPr>
            <w:r>
              <w:rPr>
                <w:rFonts w:ascii="Arial" w:eastAsia="宋体" w:hAnsi="Arial" w:cs="Arial"/>
                <w:b/>
                <w:bCs/>
                <w:color w:val="262626"/>
                <w:sz w:val="18"/>
                <w:szCs w:val="18"/>
              </w:rPr>
              <w:t>20,899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D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DB"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EDC" w14:textId="77777777" w:rsidR="00960BB8" w:rsidRDefault="00C06650">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EDD" w14:textId="77777777" w:rsidR="00960BB8" w:rsidRDefault="00960BB8">
            <w:pPr>
              <w:jc w:val="right"/>
              <w:rPr>
                <w:rFonts w:ascii="宋体"/>
              </w:rPr>
            </w:pPr>
          </w:p>
        </w:tc>
      </w:tr>
      <w:tr w:rsidR="00960BB8" w14:paraId="5A1AFEF2" w14:textId="77777777">
        <w:trPr>
          <w:trHeight w:val="460"/>
        </w:trPr>
        <w:tc>
          <w:tcPr>
            <w:tcW w:w="0" w:type="auto"/>
            <w:gridSpan w:val="3"/>
            <w:shd w:val="clear" w:color="auto" w:fill="auto"/>
            <w:tcMar>
              <w:top w:w="40" w:type="dxa"/>
              <w:left w:w="20" w:type="dxa"/>
              <w:bottom w:w="40" w:type="dxa"/>
              <w:right w:w="20" w:type="dxa"/>
            </w:tcMar>
            <w:vAlign w:val="bottom"/>
          </w:tcPr>
          <w:p w14:paraId="5A1AFEDF" w14:textId="77777777" w:rsidR="00960BB8" w:rsidRDefault="00C06650">
            <w:pPr>
              <w:textAlignment w:val="bottom"/>
            </w:pPr>
            <w:r>
              <w:rPr>
                <w:rFonts w:ascii="Arial" w:eastAsia="宋体" w:hAnsi="Arial" w:cs="Arial"/>
                <w:b/>
                <w:bCs/>
                <w:color w:val="262626"/>
                <w:sz w:val="18"/>
                <w:szCs w:val="18"/>
              </w:rPr>
              <w:t>Ear</w:t>
            </w:r>
            <w:r>
              <w:rPr>
                <w:rFonts w:ascii="Arial" w:eastAsia="宋体" w:hAnsi="Arial" w:cs="Arial"/>
                <w:b/>
                <w:bCs/>
                <w:color w:val="262626"/>
                <w:sz w:val="18"/>
                <w:szCs w:val="18"/>
              </w:rPr>
              <w:t>nings per share attributable to Intel—diluted</w:t>
            </w:r>
          </w:p>
        </w:tc>
        <w:tc>
          <w:tcPr>
            <w:tcW w:w="0" w:type="auto"/>
            <w:gridSpan w:val="3"/>
            <w:shd w:val="clear" w:color="auto" w:fill="auto"/>
            <w:tcMar>
              <w:top w:w="0" w:type="dxa"/>
              <w:left w:w="20" w:type="dxa"/>
              <w:bottom w:w="0" w:type="dxa"/>
              <w:right w:w="20" w:type="dxa"/>
            </w:tcMar>
            <w:vAlign w:val="bottom"/>
          </w:tcPr>
          <w:p w14:paraId="5A1AFEE0" w14:textId="77777777" w:rsidR="00960BB8" w:rsidRDefault="00960BB8">
            <w:pPr>
              <w:rPr>
                <w:rFonts w:ascii="宋体"/>
              </w:rPr>
            </w:pPr>
          </w:p>
        </w:tc>
        <w:tc>
          <w:tcPr>
            <w:tcW w:w="0" w:type="auto"/>
            <w:tcBorders>
              <w:top w:val="double" w:sz="6" w:space="0" w:color="000000"/>
              <w:bottom w:val="double" w:sz="6" w:space="0" w:color="000000"/>
            </w:tcBorders>
            <w:shd w:val="clear" w:color="auto" w:fill="auto"/>
            <w:tcMar>
              <w:top w:w="40" w:type="dxa"/>
              <w:left w:w="20" w:type="dxa"/>
              <w:bottom w:w="40" w:type="dxa"/>
              <w:right w:w="0" w:type="dxa"/>
            </w:tcMar>
            <w:vAlign w:val="bottom"/>
          </w:tcPr>
          <w:p w14:paraId="5A1AFEE1" w14:textId="77777777" w:rsidR="00960BB8" w:rsidRDefault="00C06650">
            <w:pPr>
              <w:textAlignment w:val="bottom"/>
            </w:pPr>
            <w:r>
              <w:rPr>
                <w:rFonts w:ascii="Arial" w:eastAsia="宋体" w:hAnsi="Arial" w:cs="Arial"/>
                <w:b/>
                <w:bCs/>
                <w:color w:val="0068B5"/>
                <w:sz w:val="18"/>
                <w:szCs w:val="18"/>
              </w:rPr>
              <w:t>$</w:t>
            </w:r>
          </w:p>
        </w:tc>
        <w:tc>
          <w:tcPr>
            <w:tcW w:w="0" w:type="auto"/>
            <w:tcBorders>
              <w:top w:val="double" w:sz="6" w:space="0" w:color="000000"/>
              <w:bottom w:val="double" w:sz="6" w:space="0" w:color="000000"/>
            </w:tcBorders>
            <w:shd w:val="clear" w:color="auto" w:fill="auto"/>
            <w:tcMar>
              <w:top w:w="40" w:type="dxa"/>
              <w:left w:w="0" w:type="dxa"/>
              <w:bottom w:w="40" w:type="dxa"/>
              <w:right w:w="0" w:type="dxa"/>
            </w:tcMar>
            <w:vAlign w:val="bottom"/>
          </w:tcPr>
          <w:p w14:paraId="5A1AFEE2" w14:textId="77777777" w:rsidR="00960BB8" w:rsidRDefault="00C06650">
            <w:pPr>
              <w:jc w:val="right"/>
              <w:textAlignment w:val="bottom"/>
            </w:pPr>
            <w:r>
              <w:rPr>
                <w:rFonts w:ascii="Arial" w:eastAsia="宋体" w:hAnsi="Arial" w:cs="Arial"/>
                <w:b/>
                <w:bCs/>
                <w:color w:val="0068B5"/>
                <w:sz w:val="18"/>
                <w:szCs w:val="18"/>
              </w:rPr>
              <w:t>1.94</w:t>
            </w:r>
            <w:r>
              <w:rPr>
                <w:rFonts w:ascii="Arial" w:eastAsia="宋体" w:hAnsi="Arial" w:cs="Arial"/>
                <w:color w:val="0068B5"/>
                <w:sz w:val="18"/>
                <w:szCs w:val="18"/>
              </w:rPr>
              <w:t> </w:t>
            </w:r>
          </w:p>
        </w:tc>
        <w:tc>
          <w:tcPr>
            <w:tcW w:w="0" w:type="auto"/>
            <w:tcBorders>
              <w:top w:val="double" w:sz="6" w:space="0" w:color="000000"/>
              <w:bottom w:val="double" w:sz="6" w:space="0" w:color="000000"/>
            </w:tcBorders>
            <w:shd w:val="clear" w:color="auto" w:fill="auto"/>
            <w:tcMar>
              <w:top w:w="40" w:type="dxa"/>
              <w:left w:w="0" w:type="dxa"/>
              <w:bottom w:w="40" w:type="dxa"/>
              <w:right w:w="20" w:type="dxa"/>
            </w:tcMar>
            <w:vAlign w:val="bottom"/>
          </w:tcPr>
          <w:p w14:paraId="5A1AFEE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E4" w14:textId="77777777" w:rsidR="00960BB8" w:rsidRDefault="00960BB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A1AFEE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EE6" w14:textId="77777777" w:rsidR="00960BB8" w:rsidRDefault="00960BB8">
            <w:pPr>
              <w:rPr>
                <w:rFonts w:ascii="宋体"/>
              </w:rPr>
            </w:pPr>
          </w:p>
        </w:tc>
        <w:tc>
          <w:tcPr>
            <w:tcW w:w="0" w:type="auto"/>
            <w:tcBorders>
              <w:top w:val="double" w:sz="6" w:space="0" w:color="000000"/>
              <w:bottom w:val="double" w:sz="6" w:space="0" w:color="262626"/>
            </w:tcBorders>
            <w:shd w:val="clear" w:color="auto" w:fill="auto"/>
            <w:tcMar>
              <w:top w:w="40" w:type="dxa"/>
              <w:left w:w="20" w:type="dxa"/>
              <w:bottom w:w="40" w:type="dxa"/>
              <w:right w:w="0" w:type="dxa"/>
            </w:tcMar>
            <w:vAlign w:val="bottom"/>
          </w:tcPr>
          <w:p w14:paraId="5A1AFEE7" w14:textId="77777777" w:rsidR="00960BB8" w:rsidRDefault="00C06650">
            <w:pPr>
              <w:textAlignment w:val="bottom"/>
            </w:pPr>
            <w:r>
              <w:rPr>
                <w:rFonts w:ascii="Arial" w:eastAsia="宋体" w:hAnsi="Arial" w:cs="Arial"/>
                <w:b/>
                <w:bCs/>
                <w:color w:val="262626"/>
                <w:sz w:val="18"/>
                <w:szCs w:val="18"/>
              </w:rPr>
              <w:t>$</w:t>
            </w:r>
          </w:p>
        </w:tc>
        <w:tc>
          <w:tcPr>
            <w:tcW w:w="0" w:type="auto"/>
            <w:tcBorders>
              <w:top w:val="double" w:sz="6" w:space="0" w:color="000000"/>
              <w:bottom w:val="double" w:sz="6" w:space="0" w:color="262626"/>
            </w:tcBorders>
            <w:shd w:val="clear" w:color="auto" w:fill="auto"/>
            <w:tcMar>
              <w:top w:w="40" w:type="dxa"/>
              <w:left w:w="0" w:type="dxa"/>
              <w:bottom w:w="40" w:type="dxa"/>
              <w:right w:w="0" w:type="dxa"/>
            </w:tcMar>
            <w:vAlign w:val="bottom"/>
          </w:tcPr>
          <w:p w14:paraId="5A1AFEE8" w14:textId="77777777" w:rsidR="00960BB8" w:rsidRDefault="00C06650">
            <w:pPr>
              <w:jc w:val="right"/>
              <w:textAlignment w:val="bottom"/>
            </w:pPr>
            <w:r>
              <w:rPr>
                <w:rFonts w:ascii="Arial" w:eastAsia="宋体" w:hAnsi="Arial" w:cs="Arial"/>
                <w:b/>
                <w:bCs/>
                <w:color w:val="262626"/>
                <w:sz w:val="18"/>
                <w:szCs w:val="18"/>
              </w:rPr>
              <w:t>4.86</w:t>
            </w:r>
            <w:r>
              <w:rPr>
                <w:rFonts w:ascii="Arial" w:eastAsia="宋体" w:hAnsi="Arial" w:cs="Arial"/>
                <w:color w:val="262626"/>
                <w:sz w:val="18"/>
                <w:szCs w:val="18"/>
              </w:rPr>
              <w:t> </w:t>
            </w:r>
          </w:p>
        </w:tc>
        <w:tc>
          <w:tcPr>
            <w:tcW w:w="0" w:type="auto"/>
            <w:tcBorders>
              <w:top w:val="double" w:sz="6" w:space="0" w:color="000000"/>
              <w:bottom w:val="double" w:sz="6" w:space="0" w:color="262626"/>
            </w:tcBorders>
            <w:shd w:val="clear" w:color="auto" w:fill="auto"/>
            <w:tcMar>
              <w:top w:w="40" w:type="dxa"/>
              <w:left w:w="0" w:type="dxa"/>
              <w:bottom w:w="40" w:type="dxa"/>
              <w:right w:w="20" w:type="dxa"/>
            </w:tcMar>
            <w:vAlign w:val="bottom"/>
          </w:tcPr>
          <w:p w14:paraId="5A1AFEE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EA" w14:textId="77777777" w:rsidR="00960BB8" w:rsidRDefault="00960BB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A1AFEE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EEC" w14:textId="77777777" w:rsidR="00960BB8" w:rsidRDefault="00960BB8">
            <w:pPr>
              <w:rPr>
                <w:rFonts w:ascii="宋体"/>
              </w:rPr>
            </w:pPr>
          </w:p>
        </w:tc>
        <w:tc>
          <w:tcPr>
            <w:tcW w:w="0" w:type="auto"/>
            <w:tcBorders>
              <w:top w:val="double" w:sz="6" w:space="0" w:color="000000"/>
              <w:bottom w:val="double" w:sz="6" w:space="0" w:color="262626"/>
            </w:tcBorders>
            <w:shd w:val="clear" w:color="auto" w:fill="auto"/>
            <w:tcMar>
              <w:top w:w="40" w:type="dxa"/>
              <w:left w:w="20" w:type="dxa"/>
              <w:bottom w:w="40" w:type="dxa"/>
              <w:right w:w="0" w:type="dxa"/>
            </w:tcMar>
            <w:vAlign w:val="bottom"/>
          </w:tcPr>
          <w:p w14:paraId="5A1AFEED" w14:textId="77777777" w:rsidR="00960BB8" w:rsidRDefault="00C06650">
            <w:pPr>
              <w:textAlignment w:val="bottom"/>
            </w:pPr>
            <w:r>
              <w:rPr>
                <w:rFonts w:ascii="Arial" w:eastAsia="宋体" w:hAnsi="Arial" w:cs="Arial"/>
                <w:b/>
                <w:bCs/>
                <w:color w:val="262626"/>
                <w:sz w:val="18"/>
                <w:szCs w:val="18"/>
              </w:rPr>
              <w:t>$</w:t>
            </w:r>
          </w:p>
        </w:tc>
        <w:tc>
          <w:tcPr>
            <w:tcW w:w="0" w:type="auto"/>
            <w:tcBorders>
              <w:top w:val="double" w:sz="6" w:space="0" w:color="000000"/>
              <w:bottom w:val="double" w:sz="6" w:space="0" w:color="262626"/>
            </w:tcBorders>
            <w:shd w:val="clear" w:color="auto" w:fill="auto"/>
            <w:tcMar>
              <w:top w:w="40" w:type="dxa"/>
              <w:left w:w="0" w:type="dxa"/>
              <w:bottom w:w="40" w:type="dxa"/>
              <w:right w:w="0" w:type="dxa"/>
            </w:tcMar>
            <w:vAlign w:val="bottom"/>
          </w:tcPr>
          <w:p w14:paraId="5A1AFEEE" w14:textId="77777777" w:rsidR="00960BB8" w:rsidRDefault="00C06650">
            <w:pPr>
              <w:jc w:val="right"/>
              <w:textAlignment w:val="bottom"/>
            </w:pPr>
            <w:r>
              <w:rPr>
                <w:rFonts w:ascii="Arial" w:eastAsia="宋体" w:hAnsi="Arial" w:cs="Arial"/>
                <w:b/>
                <w:bCs/>
                <w:color w:val="262626"/>
                <w:sz w:val="18"/>
                <w:szCs w:val="18"/>
              </w:rPr>
              <w:t>4.94</w:t>
            </w:r>
            <w:r>
              <w:rPr>
                <w:rFonts w:ascii="Arial" w:eastAsia="宋体" w:hAnsi="Arial" w:cs="Arial"/>
                <w:color w:val="262626"/>
                <w:sz w:val="18"/>
                <w:szCs w:val="18"/>
              </w:rPr>
              <w:t> </w:t>
            </w:r>
          </w:p>
        </w:tc>
        <w:tc>
          <w:tcPr>
            <w:tcW w:w="0" w:type="auto"/>
            <w:tcBorders>
              <w:top w:val="double" w:sz="6" w:space="0" w:color="000000"/>
              <w:bottom w:val="double" w:sz="6" w:space="0" w:color="262626"/>
            </w:tcBorders>
            <w:shd w:val="clear" w:color="auto" w:fill="auto"/>
            <w:tcMar>
              <w:top w:w="40" w:type="dxa"/>
              <w:left w:w="0" w:type="dxa"/>
              <w:bottom w:w="40" w:type="dxa"/>
              <w:right w:w="20" w:type="dxa"/>
            </w:tcMar>
            <w:vAlign w:val="bottom"/>
          </w:tcPr>
          <w:p w14:paraId="5A1AFEE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EF0" w14:textId="77777777" w:rsidR="00960BB8" w:rsidRDefault="00960BB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A1AFEF1" w14:textId="77777777" w:rsidR="00960BB8" w:rsidRDefault="00960BB8">
            <w:pPr>
              <w:rPr>
                <w:rFonts w:ascii="宋体"/>
              </w:rPr>
            </w:pPr>
          </w:p>
        </w:tc>
      </w:tr>
    </w:tbl>
    <w:p w14:paraId="5A1AFEF3" w14:textId="77777777" w:rsidR="00960BB8" w:rsidRDefault="00960BB8"/>
    <w:p w14:paraId="5A1AFEF4" w14:textId="77777777" w:rsidR="00960BB8" w:rsidRDefault="00960BB8">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EFE" w14:textId="77777777">
        <w:tc>
          <w:tcPr>
            <w:tcW w:w="50" w:type="pct"/>
            <w:shd w:val="clear" w:color="auto" w:fill="auto"/>
            <w:vAlign w:val="bottom"/>
          </w:tcPr>
          <w:p w14:paraId="5A1AFEF5" w14:textId="77777777" w:rsidR="00960BB8" w:rsidRDefault="00960BB8">
            <w:pPr>
              <w:rPr>
                <w:rFonts w:ascii="宋体"/>
              </w:rPr>
            </w:pPr>
          </w:p>
        </w:tc>
        <w:tc>
          <w:tcPr>
            <w:tcW w:w="283" w:type="pct"/>
            <w:shd w:val="clear" w:color="auto" w:fill="auto"/>
            <w:vAlign w:val="bottom"/>
          </w:tcPr>
          <w:p w14:paraId="5A1AFEF6" w14:textId="77777777" w:rsidR="00960BB8" w:rsidRDefault="00960BB8">
            <w:pPr>
              <w:rPr>
                <w:rFonts w:ascii="宋体"/>
              </w:rPr>
            </w:pPr>
          </w:p>
        </w:tc>
        <w:tc>
          <w:tcPr>
            <w:tcW w:w="5" w:type="pct"/>
            <w:shd w:val="clear" w:color="auto" w:fill="auto"/>
            <w:vAlign w:val="bottom"/>
          </w:tcPr>
          <w:p w14:paraId="5A1AFEF7" w14:textId="77777777" w:rsidR="00960BB8" w:rsidRDefault="00960BB8">
            <w:pPr>
              <w:rPr>
                <w:rFonts w:ascii="宋体"/>
              </w:rPr>
            </w:pPr>
          </w:p>
        </w:tc>
        <w:tc>
          <w:tcPr>
            <w:tcW w:w="50" w:type="pct"/>
            <w:shd w:val="clear" w:color="auto" w:fill="auto"/>
            <w:vAlign w:val="bottom"/>
          </w:tcPr>
          <w:p w14:paraId="5A1AFEF8" w14:textId="77777777" w:rsidR="00960BB8" w:rsidRDefault="00960BB8">
            <w:pPr>
              <w:rPr>
                <w:rFonts w:ascii="宋体"/>
              </w:rPr>
            </w:pPr>
          </w:p>
        </w:tc>
        <w:tc>
          <w:tcPr>
            <w:tcW w:w="2656" w:type="pct"/>
            <w:shd w:val="clear" w:color="auto" w:fill="auto"/>
            <w:vAlign w:val="bottom"/>
          </w:tcPr>
          <w:p w14:paraId="5A1AFEF9" w14:textId="77777777" w:rsidR="00960BB8" w:rsidRDefault="00960BB8">
            <w:pPr>
              <w:rPr>
                <w:rFonts w:ascii="宋体"/>
              </w:rPr>
            </w:pPr>
          </w:p>
        </w:tc>
        <w:tc>
          <w:tcPr>
            <w:tcW w:w="5" w:type="pct"/>
            <w:shd w:val="clear" w:color="auto" w:fill="auto"/>
            <w:vAlign w:val="bottom"/>
          </w:tcPr>
          <w:p w14:paraId="5A1AFEFA" w14:textId="77777777" w:rsidR="00960BB8" w:rsidRDefault="00960BB8">
            <w:pPr>
              <w:rPr>
                <w:rFonts w:ascii="宋体"/>
              </w:rPr>
            </w:pPr>
          </w:p>
        </w:tc>
        <w:tc>
          <w:tcPr>
            <w:tcW w:w="50" w:type="pct"/>
            <w:shd w:val="clear" w:color="auto" w:fill="auto"/>
            <w:vAlign w:val="bottom"/>
          </w:tcPr>
          <w:p w14:paraId="5A1AFEFB" w14:textId="77777777" w:rsidR="00960BB8" w:rsidRDefault="00960BB8">
            <w:pPr>
              <w:rPr>
                <w:rFonts w:ascii="宋体"/>
              </w:rPr>
            </w:pPr>
          </w:p>
        </w:tc>
        <w:tc>
          <w:tcPr>
            <w:tcW w:w="1894" w:type="pct"/>
            <w:shd w:val="clear" w:color="auto" w:fill="auto"/>
            <w:vAlign w:val="bottom"/>
          </w:tcPr>
          <w:p w14:paraId="5A1AFEFC" w14:textId="77777777" w:rsidR="00960BB8" w:rsidRDefault="00960BB8">
            <w:pPr>
              <w:rPr>
                <w:rFonts w:ascii="宋体"/>
              </w:rPr>
            </w:pPr>
          </w:p>
        </w:tc>
        <w:tc>
          <w:tcPr>
            <w:tcW w:w="5" w:type="pct"/>
            <w:shd w:val="clear" w:color="auto" w:fill="auto"/>
            <w:vAlign w:val="bottom"/>
          </w:tcPr>
          <w:p w14:paraId="5A1AFEFD" w14:textId="77777777" w:rsidR="00960BB8" w:rsidRDefault="00960BB8">
            <w:pPr>
              <w:rPr>
                <w:rFonts w:ascii="宋体"/>
              </w:rPr>
            </w:pPr>
          </w:p>
        </w:tc>
      </w:tr>
      <w:tr w:rsidR="00960BB8" w14:paraId="5A1AFF0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EFF"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ED" wp14:editId="5A1B43EE">
                  <wp:extent cx="304800" cy="304800"/>
                  <wp:effectExtent l="0" t="0" r="0" b="0"/>
                  <wp:docPr id="197" name="图片 162"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62"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F00"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F01" w14:textId="77777777" w:rsidR="00960BB8" w:rsidRDefault="00C06650">
            <w:pPr>
              <w:jc w:val="right"/>
              <w:textAlignment w:val="center"/>
            </w:pPr>
            <w:r>
              <w:rPr>
                <w:rFonts w:ascii="Arial" w:eastAsia="宋体" w:hAnsi="Arial" w:cs="Arial"/>
                <w:color w:val="262626"/>
                <w:sz w:val="16"/>
                <w:szCs w:val="16"/>
              </w:rPr>
              <w:t>39</w:t>
            </w:r>
          </w:p>
        </w:tc>
      </w:tr>
    </w:tbl>
    <w:p w14:paraId="5A1AFF03" w14:textId="77777777" w:rsidR="00960BB8" w:rsidRDefault="00C06650">
      <w:r>
        <w:pict w14:anchorId="5A1B43EF">
          <v:rect id="_x0000_i1065" style="width:415.3pt;height:1.5pt" o:hralign="center" o:hrstd="t" o:hr="t" fillcolor="#a0a0a0" stroked="f"/>
        </w:pict>
      </w:r>
    </w:p>
    <w:p w14:paraId="5A1AFF04" w14:textId="77777777" w:rsidR="00960BB8" w:rsidRDefault="00C06650">
      <w:pPr>
        <w:jc w:val="right"/>
      </w:pPr>
      <w:hyperlink r:id="rId58" w:anchor="i8aaa7b4dbd2e419ca0f5c30af85a11aa_16" w:history="1">
        <w:r>
          <w:rPr>
            <w:rStyle w:val="a5"/>
            <w:rFonts w:ascii="Arial" w:eastAsia="宋体" w:hAnsi="Arial" w:cs="Arial"/>
            <w:b/>
            <w:bCs/>
            <w:sz w:val="16"/>
            <w:szCs w:val="16"/>
          </w:rPr>
          <w:t>Table of Contents</w:t>
        </w:r>
      </w:hyperlink>
    </w:p>
    <w:p w14:paraId="5A1AFF05" w14:textId="77777777" w:rsidR="00960BB8" w:rsidRDefault="00960BB8">
      <w:pPr>
        <w:jc w:val="right"/>
      </w:pPr>
    </w:p>
    <w:p w14:paraId="5A1AFF06" w14:textId="77777777" w:rsidR="00960BB8" w:rsidRDefault="00C06650">
      <w:pPr>
        <w:spacing w:after="180"/>
      </w:pPr>
      <w:r>
        <w:rPr>
          <w:rFonts w:ascii="Arial" w:eastAsia="宋体" w:hAnsi="Arial" w:cs="Arial"/>
          <w:color w:val="0068B5"/>
          <w:sz w:val="28"/>
          <w:szCs w:val="28"/>
        </w:rPr>
        <w:t>Revenue</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60BB8" w14:paraId="5A1AFF0A" w14:textId="77777777">
        <w:tc>
          <w:tcPr>
            <w:tcW w:w="50" w:type="pct"/>
            <w:shd w:val="clear" w:color="auto" w:fill="auto"/>
            <w:vAlign w:val="bottom"/>
          </w:tcPr>
          <w:p w14:paraId="5A1AFF07" w14:textId="77777777" w:rsidR="00960BB8" w:rsidRDefault="00960BB8">
            <w:pPr>
              <w:rPr>
                <w:rFonts w:ascii="宋体"/>
              </w:rPr>
            </w:pPr>
          </w:p>
        </w:tc>
        <w:tc>
          <w:tcPr>
            <w:tcW w:w="4945" w:type="pct"/>
            <w:shd w:val="clear" w:color="auto" w:fill="auto"/>
            <w:vAlign w:val="bottom"/>
          </w:tcPr>
          <w:p w14:paraId="5A1AFF08" w14:textId="77777777" w:rsidR="00960BB8" w:rsidRDefault="00960BB8">
            <w:pPr>
              <w:rPr>
                <w:rFonts w:ascii="宋体"/>
              </w:rPr>
            </w:pPr>
          </w:p>
        </w:tc>
        <w:tc>
          <w:tcPr>
            <w:tcW w:w="5" w:type="pct"/>
            <w:shd w:val="clear" w:color="auto" w:fill="auto"/>
            <w:vAlign w:val="bottom"/>
          </w:tcPr>
          <w:p w14:paraId="5A1AFF09" w14:textId="77777777" w:rsidR="00960BB8" w:rsidRDefault="00960BB8">
            <w:pPr>
              <w:rPr>
                <w:rFonts w:ascii="宋体"/>
              </w:rPr>
            </w:pPr>
          </w:p>
        </w:tc>
      </w:tr>
      <w:tr w:rsidR="00960BB8" w14:paraId="5A1AFF0C"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F0B" w14:textId="77777777" w:rsidR="00960BB8" w:rsidRDefault="00C06650">
            <w:pPr>
              <w:jc w:val="center"/>
              <w:textAlignment w:val="bottom"/>
            </w:pPr>
            <w:r>
              <w:rPr>
                <w:rFonts w:ascii="Arial" w:eastAsia="宋体" w:hAnsi="Arial" w:cs="Arial"/>
                <w:color w:val="0068B5"/>
                <w:sz w:val="20"/>
                <w:szCs w:val="20"/>
              </w:rPr>
              <w:t>Segment Revenue Walk $B</w:t>
            </w:r>
          </w:p>
        </w:tc>
      </w:tr>
    </w:tbl>
    <w:p w14:paraId="5A1AFF0D" w14:textId="77777777" w:rsidR="00960BB8" w:rsidRDefault="00C06650">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Viewer_files/intc-20221231_g54.jpg"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F0" wp14:editId="5A1B43F1">
            <wp:extent cx="304800" cy="304800"/>
            <wp:effectExtent l="0" t="0" r="0" b="0"/>
            <wp:docPr id="196" name="图片 164"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64" descr="IMG_34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A1AFF0E" w14:textId="77777777" w:rsidR="00960BB8" w:rsidRDefault="00C06650">
      <w:pPr>
        <w:spacing w:after="180"/>
      </w:pPr>
      <w:r>
        <w:rPr>
          <w:rFonts w:ascii="Arial" w:eastAsia="宋体" w:hAnsi="Arial" w:cs="Arial"/>
          <w:color w:val="262626"/>
          <w:sz w:val="18"/>
          <w:szCs w:val="18"/>
        </w:rPr>
        <w:t>2022 results were impacted by an uncertain macroeconomic environment, with slowing consumer and enterprise dem</w:t>
      </w:r>
      <w:r>
        <w:rPr>
          <w:rFonts w:ascii="Arial" w:eastAsia="宋体" w:hAnsi="Arial" w:cs="Arial"/>
          <w:color w:val="262626"/>
          <w:sz w:val="18"/>
          <w:szCs w:val="18"/>
        </w:rPr>
        <w:t>and, persistent inflation, and higher interest rates, which we believe impacts our target markets and creates a high level of uncertainty with our customers. We expect the macroeconomic uncertainty and the challenging market environment will extend into 20</w:t>
      </w:r>
      <w:r>
        <w:rPr>
          <w:rFonts w:ascii="Arial" w:eastAsia="宋体" w:hAnsi="Arial" w:cs="Arial"/>
          <w:color w:val="262626"/>
          <w:sz w:val="18"/>
          <w:szCs w:val="18"/>
        </w:rPr>
        <w:t>23.</w:t>
      </w:r>
    </w:p>
    <w:p w14:paraId="5A1AFF0F" w14:textId="77777777" w:rsidR="00960BB8" w:rsidRDefault="00C06650">
      <w:pPr>
        <w:spacing w:after="120"/>
      </w:pPr>
      <w:r>
        <w:rPr>
          <w:rFonts w:ascii="Arial" w:eastAsia="宋体" w:hAnsi="Arial" w:cs="Arial"/>
          <w:color w:val="0068B5"/>
          <w:sz w:val="20"/>
          <w:szCs w:val="20"/>
        </w:rPr>
        <w:t>2022 vs. 2021</w:t>
      </w:r>
    </w:p>
    <w:p w14:paraId="5A1AFF10" w14:textId="77777777" w:rsidR="00960BB8" w:rsidRDefault="00C06650">
      <w:pPr>
        <w:spacing w:after="180"/>
      </w:pPr>
      <w:r>
        <w:rPr>
          <w:rFonts w:ascii="Arial" w:eastAsia="宋体" w:hAnsi="Arial" w:cs="Arial"/>
          <w:color w:val="262626"/>
          <w:sz w:val="18"/>
          <w:szCs w:val="18"/>
        </w:rPr>
        <w:t xml:space="preserve">2022 revenue was $63.1 billion, down $16.0 billion, or 20%, from 2021. CCG revenue was down 23% from 2021 due to lower notebook and desktop volume in the consumer and education market segments, and lower revenue due to the </w:t>
      </w:r>
      <w:r>
        <w:rPr>
          <w:rFonts w:ascii="Arial" w:eastAsia="宋体" w:hAnsi="Arial" w:cs="Arial"/>
          <w:color w:val="262626"/>
          <w:sz w:val="18"/>
          <w:szCs w:val="18"/>
        </w:rPr>
        <w:t xml:space="preserve">continued ramp down from the exit of our 5G smartphone modem business and lower demand for our wireless and connectivity products. Notebook volume decreased, driven by lower demand in the consumer and education market segments, while ASPs increased due to </w:t>
      </w:r>
      <w:r>
        <w:rPr>
          <w:rFonts w:ascii="Arial" w:eastAsia="宋体" w:hAnsi="Arial" w:cs="Arial"/>
          <w:color w:val="262626"/>
          <w:sz w:val="18"/>
          <w:szCs w:val="18"/>
        </w:rPr>
        <w:t>the resulting product mix. Desktop volume decreased, driven by lower demand in the consumer and education market segments while ASPs increased due to an increased mix of commercial products. DCAI revenue decreased 15% from 2021 due to lower server demand f</w:t>
      </w:r>
      <w:r>
        <w:rPr>
          <w:rFonts w:ascii="Arial" w:eastAsia="宋体" w:hAnsi="Arial" w:cs="Arial"/>
          <w:color w:val="262626"/>
          <w:sz w:val="18"/>
          <w:szCs w:val="18"/>
        </w:rPr>
        <w:t>rom enterprise customers, and due to customers tempering purchases to reduce existing inventories in a softening data center market. The decrease was partially offset by higher revenue from our FPGA business. Server ASPs decreased due to customer and produ</w:t>
      </w:r>
      <w:r>
        <w:rPr>
          <w:rFonts w:ascii="Arial" w:eastAsia="宋体" w:hAnsi="Arial" w:cs="Arial"/>
          <w:color w:val="262626"/>
          <w:sz w:val="18"/>
          <w:szCs w:val="18"/>
        </w:rPr>
        <w:t>ct mix. NEX revenue increased 11% from 2021, driven by higher Ethernet ASPs and increased demand for 5G products, partially offset by lower demand for Network Xeon. Mobileye revenue increased 35% from 2021, primarily driven by higher demand for EyeQ produc</w:t>
      </w:r>
      <w:r>
        <w:rPr>
          <w:rFonts w:ascii="Arial" w:eastAsia="宋体" w:hAnsi="Arial" w:cs="Arial"/>
          <w:color w:val="262626"/>
          <w:sz w:val="18"/>
          <w:szCs w:val="18"/>
        </w:rPr>
        <w:t>ts and Mobileye Supervision* systems. The decrease in our "all other" revenue was due to revenue from the divested NAND memory business of $4.3 billion recognized in 2021, for which historical results are recorded in “all other,” and $584 million of revenu</w:t>
      </w:r>
      <w:r>
        <w:rPr>
          <w:rFonts w:ascii="Arial" w:eastAsia="宋体" w:hAnsi="Arial" w:cs="Arial"/>
          <w:color w:val="262626"/>
          <w:sz w:val="18"/>
          <w:szCs w:val="18"/>
        </w:rPr>
        <w:t>e recognized in 2021 from a prepaid customer supply agreement.</w:t>
      </w:r>
    </w:p>
    <w:p w14:paraId="5A1AFF11" w14:textId="77777777" w:rsidR="00960BB8" w:rsidRDefault="00C06650">
      <w:pPr>
        <w:spacing w:after="180"/>
      </w:pPr>
      <w:r>
        <w:rPr>
          <w:rFonts w:ascii="Arial" w:eastAsia="宋体" w:hAnsi="Arial" w:cs="Arial"/>
          <w:color w:val="262626"/>
          <w:sz w:val="18"/>
          <w:szCs w:val="18"/>
        </w:rPr>
        <w:t>Incentives offered to certain customers to accelerate purchases and to strategically position our products with customers for market segment share purposes, particularly in CCG, contributed app</w:t>
      </w:r>
      <w:r>
        <w:rPr>
          <w:rFonts w:ascii="Arial" w:eastAsia="宋体" w:hAnsi="Arial" w:cs="Arial"/>
          <w:color w:val="262626"/>
          <w:sz w:val="18"/>
          <w:szCs w:val="18"/>
        </w:rPr>
        <w:t>roximately $1.7 billion to our revenue during Q4 2022, the impacts of which were contemplated in our financial guidance for Q1 2023, as included in our Form 8-K dated January 26, 2023. We expect CCG demand in Q1 2023 to be impacted as customers work throug</w:t>
      </w:r>
      <w:r>
        <w:rPr>
          <w:rFonts w:ascii="Arial" w:eastAsia="宋体" w:hAnsi="Arial" w:cs="Arial"/>
          <w:color w:val="262626"/>
          <w:sz w:val="18"/>
          <w:szCs w:val="18"/>
        </w:rPr>
        <w:t>h additional inventory.</w:t>
      </w:r>
    </w:p>
    <w:p w14:paraId="5A1AFF12" w14:textId="77777777" w:rsidR="00960BB8" w:rsidRDefault="00C06650">
      <w:pPr>
        <w:spacing w:after="120"/>
      </w:pPr>
      <w:r>
        <w:rPr>
          <w:rFonts w:ascii="Arial" w:eastAsia="宋体" w:hAnsi="Arial" w:cs="Arial"/>
          <w:color w:val="0068B5"/>
          <w:sz w:val="20"/>
          <w:szCs w:val="20"/>
        </w:rPr>
        <w:t>2021 vs. 2020</w:t>
      </w:r>
    </w:p>
    <w:p w14:paraId="5A1AFF13" w14:textId="77777777" w:rsidR="00960BB8" w:rsidRDefault="00C06650">
      <w:pPr>
        <w:spacing w:after="180"/>
      </w:pPr>
      <w:r>
        <w:rPr>
          <w:rFonts w:ascii="Arial" w:eastAsia="宋体" w:hAnsi="Arial" w:cs="Arial"/>
          <w:color w:val="262626"/>
          <w:sz w:val="18"/>
          <w:szCs w:val="18"/>
        </w:rPr>
        <w:t>2021 revenue was $79.0 billion, up $1.2 billion, or 1%, from 2020. NEX revenue increased 12% from 2020, primarily driven by higher demand for edge products amid recovery from the economic impacts of COVID-19 as well as</w:t>
      </w:r>
      <w:r>
        <w:rPr>
          <w:rFonts w:ascii="Arial" w:eastAsia="宋体" w:hAnsi="Arial" w:cs="Arial"/>
          <w:color w:val="262626"/>
          <w:sz w:val="18"/>
          <w:szCs w:val="18"/>
        </w:rPr>
        <w:t xml:space="preserve"> a recovery in cloud networking revenue, partially offset by a reduction in the 5G networking volume from elevated levels in 2020. CCG revenue was up 1% from 2020, due to higher notebook and desktop volume driven by consumer and commercial recovery from CO</w:t>
      </w:r>
      <w:r>
        <w:rPr>
          <w:rFonts w:ascii="Arial" w:eastAsia="宋体" w:hAnsi="Arial" w:cs="Arial"/>
          <w:color w:val="262626"/>
          <w:sz w:val="18"/>
          <w:szCs w:val="18"/>
        </w:rPr>
        <w:t>VID-19 lows, partially offset by lower revenue due to the continued ramp down from the exit of our 5G smartphone modem business. Notebook ASPs decreased due to the resulting product mix from higher demand in the consumer and education market segments, whil</w:t>
      </w:r>
      <w:r>
        <w:rPr>
          <w:rFonts w:ascii="Arial" w:eastAsia="宋体" w:hAnsi="Arial" w:cs="Arial"/>
          <w:color w:val="262626"/>
          <w:sz w:val="18"/>
          <w:szCs w:val="18"/>
        </w:rPr>
        <w:t>e desktop ASPs increased driven by commercial recovery from COVID-19. Mobileye revenue increased 43% from 2020, driven by improvement in global vehicle production, recovery from the economic impacts of COVID-19, and increasing adoption of ADAS. DCAI revenu</w:t>
      </w:r>
      <w:r>
        <w:rPr>
          <w:rFonts w:ascii="Arial" w:eastAsia="宋体" w:hAnsi="Arial" w:cs="Arial"/>
          <w:color w:val="262626"/>
          <w:sz w:val="18"/>
          <w:szCs w:val="18"/>
        </w:rPr>
        <w:t>e decreased 3% from 2020 due to lower server revenue, partially offset by increased revenue from other DCAI products. Server volume decreased due to an increasingly competitive environment, partially offset by recovery in government and broader market prod</w:t>
      </w:r>
      <w:r>
        <w:rPr>
          <w:rFonts w:ascii="Arial" w:eastAsia="宋体" w:hAnsi="Arial" w:cs="Arial"/>
          <w:color w:val="262626"/>
          <w:sz w:val="18"/>
          <w:szCs w:val="18"/>
        </w:rPr>
        <w:t>ucts.</w:t>
      </w:r>
    </w:p>
    <w:p w14:paraId="5A1AFF14" w14:textId="77777777" w:rsidR="00960BB8" w:rsidRDefault="00960BB8"/>
    <w:p w14:paraId="5A1AFF15" w14:textId="77777777" w:rsidR="00960BB8" w:rsidRDefault="00960BB8"/>
    <w:p w14:paraId="5A1AFF16"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F20" w14:textId="77777777">
        <w:tc>
          <w:tcPr>
            <w:tcW w:w="50" w:type="pct"/>
            <w:shd w:val="clear" w:color="auto" w:fill="auto"/>
            <w:vAlign w:val="bottom"/>
          </w:tcPr>
          <w:p w14:paraId="5A1AFF17" w14:textId="77777777" w:rsidR="00960BB8" w:rsidRDefault="00960BB8">
            <w:pPr>
              <w:rPr>
                <w:rFonts w:ascii="宋体"/>
              </w:rPr>
            </w:pPr>
          </w:p>
        </w:tc>
        <w:tc>
          <w:tcPr>
            <w:tcW w:w="283" w:type="pct"/>
            <w:shd w:val="clear" w:color="auto" w:fill="auto"/>
            <w:vAlign w:val="bottom"/>
          </w:tcPr>
          <w:p w14:paraId="5A1AFF18" w14:textId="77777777" w:rsidR="00960BB8" w:rsidRDefault="00960BB8">
            <w:pPr>
              <w:rPr>
                <w:rFonts w:ascii="宋体"/>
              </w:rPr>
            </w:pPr>
          </w:p>
        </w:tc>
        <w:tc>
          <w:tcPr>
            <w:tcW w:w="5" w:type="pct"/>
            <w:shd w:val="clear" w:color="auto" w:fill="auto"/>
            <w:vAlign w:val="bottom"/>
          </w:tcPr>
          <w:p w14:paraId="5A1AFF19" w14:textId="77777777" w:rsidR="00960BB8" w:rsidRDefault="00960BB8">
            <w:pPr>
              <w:rPr>
                <w:rFonts w:ascii="宋体"/>
              </w:rPr>
            </w:pPr>
          </w:p>
        </w:tc>
        <w:tc>
          <w:tcPr>
            <w:tcW w:w="50" w:type="pct"/>
            <w:shd w:val="clear" w:color="auto" w:fill="auto"/>
            <w:vAlign w:val="bottom"/>
          </w:tcPr>
          <w:p w14:paraId="5A1AFF1A" w14:textId="77777777" w:rsidR="00960BB8" w:rsidRDefault="00960BB8">
            <w:pPr>
              <w:rPr>
                <w:rFonts w:ascii="宋体"/>
              </w:rPr>
            </w:pPr>
          </w:p>
        </w:tc>
        <w:tc>
          <w:tcPr>
            <w:tcW w:w="2656" w:type="pct"/>
            <w:shd w:val="clear" w:color="auto" w:fill="auto"/>
            <w:vAlign w:val="bottom"/>
          </w:tcPr>
          <w:p w14:paraId="5A1AFF1B" w14:textId="77777777" w:rsidR="00960BB8" w:rsidRDefault="00960BB8">
            <w:pPr>
              <w:rPr>
                <w:rFonts w:ascii="宋体"/>
              </w:rPr>
            </w:pPr>
          </w:p>
        </w:tc>
        <w:tc>
          <w:tcPr>
            <w:tcW w:w="5" w:type="pct"/>
            <w:shd w:val="clear" w:color="auto" w:fill="auto"/>
            <w:vAlign w:val="bottom"/>
          </w:tcPr>
          <w:p w14:paraId="5A1AFF1C" w14:textId="77777777" w:rsidR="00960BB8" w:rsidRDefault="00960BB8">
            <w:pPr>
              <w:rPr>
                <w:rFonts w:ascii="宋体"/>
              </w:rPr>
            </w:pPr>
          </w:p>
        </w:tc>
        <w:tc>
          <w:tcPr>
            <w:tcW w:w="50" w:type="pct"/>
            <w:shd w:val="clear" w:color="auto" w:fill="auto"/>
            <w:vAlign w:val="bottom"/>
          </w:tcPr>
          <w:p w14:paraId="5A1AFF1D" w14:textId="77777777" w:rsidR="00960BB8" w:rsidRDefault="00960BB8">
            <w:pPr>
              <w:rPr>
                <w:rFonts w:ascii="宋体"/>
              </w:rPr>
            </w:pPr>
          </w:p>
        </w:tc>
        <w:tc>
          <w:tcPr>
            <w:tcW w:w="1894" w:type="pct"/>
            <w:shd w:val="clear" w:color="auto" w:fill="auto"/>
            <w:vAlign w:val="bottom"/>
          </w:tcPr>
          <w:p w14:paraId="5A1AFF1E" w14:textId="77777777" w:rsidR="00960BB8" w:rsidRDefault="00960BB8">
            <w:pPr>
              <w:rPr>
                <w:rFonts w:ascii="宋体"/>
              </w:rPr>
            </w:pPr>
          </w:p>
        </w:tc>
        <w:tc>
          <w:tcPr>
            <w:tcW w:w="5" w:type="pct"/>
            <w:shd w:val="clear" w:color="auto" w:fill="auto"/>
            <w:vAlign w:val="bottom"/>
          </w:tcPr>
          <w:p w14:paraId="5A1AFF1F" w14:textId="77777777" w:rsidR="00960BB8" w:rsidRDefault="00960BB8">
            <w:pPr>
              <w:rPr>
                <w:rFonts w:ascii="宋体"/>
              </w:rPr>
            </w:pPr>
          </w:p>
        </w:tc>
      </w:tr>
      <w:tr w:rsidR="00960BB8" w14:paraId="5A1AFF2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F21"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F2" wp14:editId="5A1B43F3">
                  <wp:extent cx="304800" cy="304800"/>
                  <wp:effectExtent l="0" t="0" r="0" b="0"/>
                  <wp:docPr id="205" name="图片 16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6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F22"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F23" w14:textId="77777777" w:rsidR="00960BB8" w:rsidRDefault="00C06650">
            <w:pPr>
              <w:jc w:val="right"/>
              <w:textAlignment w:val="center"/>
            </w:pPr>
            <w:r>
              <w:rPr>
                <w:rFonts w:ascii="Arial" w:eastAsia="宋体" w:hAnsi="Arial" w:cs="Arial"/>
                <w:color w:val="262626"/>
                <w:sz w:val="16"/>
                <w:szCs w:val="16"/>
              </w:rPr>
              <w:t>40</w:t>
            </w:r>
          </w:p>
        </w:tc>
      </w:tr>
    </w:tbl>
    <w:p w14:paraId="5A1AFF25" w14:textId="77777777" w:rsidR="00960BB8" w:rsidRDefault="00C06650">
      <w:r>
        <w:pict w14:anchorId="5A1B43F4">
          <v:rect id="_x0000_i1066" style="width:415.3pt;height:1.5pt" o:hralign="center" o:hrstd="t" o:hr="t" fillcolor="#a0a0a0" stroked="f"/>
        </w:pict>
      </w:r>
    </w:p>
    <w:p w14:paraId="5A1AFF26" w14:textId="77777777" w:rsidR="00960BB8" w:rsidRDefault="00C06650">
      <w:pPr>
        <w:jc w:val="right"/>
      </w:pPr>
      <w:hyperlink r:id="rId59" w:anchor="i8aaa7b4dbd2e419ca0f5c30af85a11aa_16" w:history="1">
        <w:r>
          <w:rPr>
            <w:rStyle w:val="a5"/>
            <w:rFonts w:ascii="Arial" w:eastAsia="宋体" w:hAnsi="Arial" w:cs="Arial"/>
            <w:b/>
            <w:bCs/>
            <w:sz w:val="16"/>
            <w:szCs w:val="16"/>
          </w:rPr>
          <w:t>Table of Contents</w:t>
        </w:r>
      </w:hyperlink>
    </w:p>
    <w:p w14:paraId="5A1AFF27" w14:textId="77777777" w:rsidR="00960BB8" w:rsidRDefault="00960BB8">
      <w:pPr>
        <w:jc w:val="right"/>
      </w:pPr>
    </w:p>
    <w:p w14:paraId="5A1AFF28" w14:textId="77777777" w:rsidR="00960BB8" w:rsidRDefault="00C06650">
      <w:pPr>
        <w:spacing w:after="180"/>
      </w:pPr>
      <w:r>
        <w:rPr>
          <w:rFonts w:ascii="Arial" w:eastAsia="宋体" w:hAnsi="Arial" w:cs="Arial"/>
          <w:color w:val="0068B5"/>
          <w:sz w:val="28"/>
          <w:szCs w:val="28"/>
        </w:rPr>
        <w:t>Gross Margin</w:t>
      </w:r>
    </w:p>
    <w:p w14:paraId="5A1AFF29" w14:textId="77777777" w:rsidR="00960BB8" w:rsidRDefault="00C06650">
      <w:pPr>
        <w:spacing w:after="180"/>
      </w:pPr>
      <w:r>
        <w:rPr>
          <w:rFonts w:ascii="Arial" w:eastAsia="宋体" w:hAnsi="Arial" w:cs="Arial"/>
          <w:color w:val="262626"/>
          <w:sz w:val="18"/>
          <w:szCs w:val="18"/>
        </w:rPr>
        <w:t>We derived most of our overall gross margin in 2022 from the sale of products in the CCG and DCAI operating segments. Our overall gross margin dollars in 2022 decreased by $16.9 billion, or 39%, compared to 2021, and in 2021 increased by $203 million, or a</w:t>
      </w:r>
      <w:r>
        <w:rPr>
          <w:rFonts w:ascii="Arial" w:eastAsia="宋体" w:hAnsi="Arial" w:cs="Arial"/>
          <w:color w:val="262626"/>
          <w:sz w:val="18"/>
          <w:szCs w:val="18"/>
        </w:rPr>
        <w:t xml:space="preserve">pproximately flat, compared to 2020. </w:t>
      </w:r>
    </w:p>
    <w:tbl>
      <w:tblPr>
        <w:tblW w:w="10980" w:type="dxa"/>
        <w:tblCellMar>
          <w:top w:w="15" w:type="dxa"/>
          <w:left w:w="15" w:type="dxa"/>
          <w:bottom w:w="15" w:type="dxa"/>
          <w:right w:w="15" w:type="dxa"/>
        </w:tblCellMar>
        <w:tblLook w:val="04A0" w:firstRow="1" w:lastRow="0" w:firstColumn="1" w:lastColumn="0" w:noHBand="0" w:noVBand="1"/>
      </w:tblPr>
      <w:tblGrid>
        <w:gridCol w:w="36"/>
        <w:gridCol w:w="36"/>
        <w:gridCol w:w="10872"/>
        <w:gridCol w:w="36"/>
      </w:tblGrid>
      <w:tr w:rsidR="00960BB8" w14:paraId="5A1AFF2E" w14:textId="77777777">
        <w:trPr>
          <w:hidden/>
        </w:trPr>
        <w:tc>
          <w:tcPr>
            <w:tcW w:w="0" w:type="auto"/>
            <w:shd w:val="clear" w:color="auto" w:fill="auto"/>
            <w:vAlign w:val="bottom"/>
          </w:tcPr>
          <w:p w14:paraId="5A1AFF2A" w14:textId="77777777" w:rsidR="00960BB8" w:rsidRDefault="00960BB8">
            <w:pPr>
              <w:rPr>
                <w:rFonts w:ascii="宋体"/>
                <w:vanish/>
              </w:rPr>
            </w:pPr>
          </w:p>
        </w:tc>
        <w:tc>
          <w:tcPr>
            <w:tcW w:w="20" w:type="dxa"/>
            <w:shd w:val="clear" w:color="auto" w:fill="auto"/>
            <w:vAlign w:val="bottom"/>
          </w:tcPr>
          <w:p w14:paraId="5A1AFF2B" w14:textId="77777777" w:rsidR="00960BB8" w:rsidRDefault="00960BB8">
            <w:pPr>
              <w:rPr>
                <w:rFonts w:ascii="宋体"/>
              </w:rPr>
            </w:pPr>
          </w:p>
        </w:tc>
        <w:tc>
          <w:tcPr>
            <w:tcW w:w="10940" w:type="dxa"/>
            <w:shd w:val="clear" w:color="auto" w:fill="auto"/>
            <w:vAlign w:val="bottom"/>
          </w:tcPr>
          <w:p w14:paraId="5A1AFF2C" w14:textId="77777777" w:rsidR="00960BB8" w:rsidRDefault="00960BB8">
            <w:pPr>
              <w:rPr>
                <w:rFonts w:ascii="宋体"/>
              </w:rPr>
            </w:pPr>
          </w:p>
        </w:tc>
        <w:tc>
          <w:tcPr>
            <w:tcW w:w="20" w:type="dxa"/>
            <w:shd w:val="clear" w:color="auto" w:fill="auto"/>
            <w:vAlign w:val="bottom"/>
          </w:tcPr>
          <w:p w14:paraId="5A1AFF2D" w14:textId="77777777" w:rsidR="00960BB8" w:rsidRDefault="00960BB8">
            <w:pPr>
              <w:rPr>
                <w:rFonts w:ascii="宋体"/>
              </w:rPr>
            </w:pPr>
          </w:p>
        </w:tc>
      </w:tr>
      <w:tr w:rsidR="00960BB8" w14:paraId="5A1AFF31" w14:textId="77777777">
        <w:trPr>
          <w:trHeight w:val="280"/>
          <w:hidden/>
        </w:trPr>
        <w:tc>
          <w:tcPr>
            <w:tcW w:w="0" w:type="auto"/>
            <w:shd w:val="clear" w:color="auto" w:fill="auto"/>
            <w:vAlign w:val="bottom"/>
          </w:tcPr>
          <w:p w14:paraId="5A1AFF2F"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bottom"/>
          </w:tcPr>
          <w:p w14:paraId="5A1AFF30" w14:textId="77777777" w:rsidR="00960BB8" w:rsidRDefault="00C06650">
            <w:pPr>
              <w:jc w:val="center"/>
              <w:textAlignment w:val="bottom"/>
            </w:pPr>
            <w:r>
              <w:rPr>
                <w:rFonts w:ascii="Arial" w:eastAsia="宋体" w:hAnsi="Arial" w:cs="Arial"/>
                <w:color w:val="0068B5"/>
                <w:sz w:val="20"/>
                <w:szCs w:val="20"/>
              </w:rPr>
              <w:t>Gross Margin $B</w:t>
            </w:r>
          </w:p>
        </w:tc>
      </w:tr>
      <w:tr w:rsidR="00960BB8" w14:paraId="5A1AFF34" w14:textId="77777777">
        <w:trPr>
          <w:trHeight w:val="240"/>
          <w:hidden/>
        </w:trPr>
        <w:tc>
          <w:tcPr>
            <w:tcW w:w="0" w:type="auto"/>
            <w:shd w:val="clear" w:color="auto" w:fill="auto"/>
            <w:vAlign w:val="bottom"/>
          </w:tcPr>
          <w:p w14:paraId="5A1AFF32" w14:textId="77777777" w:rsidR="00960BB8" w:rsidRDefault="00960BB8">
            <w:pPr>
              <w:rPr>
                <w:rFonts w:ascii="宋体"/>
                <w:vanish/>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AFF33" w14:textId="77777777" w:rsidR="00960BB8" w:rsidRDefault="00C06650">
            <w:pPr>
              <w:jc w:val="center"/>
              <w:textAlignment w:val="bottom"/>
            </w:pPr>
            <w:r>
              <w:rPr>
                <w:rFonts w:ascii="Arial" w:eastAsia="宋体" w:hAnsi="Arial" w:cs="Arial"/>
                <w:color w:val="262626"/>
                <w:sz w:val="16"/>
                <w:szCs w:val="16"/>
              </w:rPr>
              <w:t>(Percentages in chart indicate gross margin as a percentage of total revenue)</w:t>
            </w:r>
          </w:p>
        </w:tc>
      </w:tr>
    </w:tbl>
    <w:p w14:paraId="5A1AFF35" w14:textId="77777777" w:rsidR="00960BB8" w:rsidRDefault="00C06650">
      <w:pPr>
        <w:spacing w:after="60"/>
        <w:ind w:firstLine="279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Viewer_files/intc-20221231_g55.jpg"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F5" wp14:editId="5A1B43F6">
            <wp:extent cx="304800" cy="304800"/>
            <wp:effectExtent l="0" t="0" r="0" b="0"/>
            <wp:docPr id="211" name="图片 167"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67" descr="IMG_34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121"/>
        <w:gridCol w:w="1134"/>
        <w:gridCol w:w="36"/>
        <w:gridCol w:w="36"/>
        <w:gridCol w:w="36"/>
        <w:gridCol w:w="36"/>
        <w:gridCol w:w="42"/>
        <w:gridCol w:w="9497"/>
        <w:gridCol w:w="42"/>
      </w:tblGrid>
      <w:tr w:rsidR="00960BB8" w14:paraId="5A1AFF3F" w14:textId="77777777">
        <w:tc>
          <w:tcPr>
            <w:tcW w:w="20" w:type="dxa"/>
            <w:shd w:val="clear" w:color="auto" w:fill="auto"/>
            <w:vAlign w:val="bottom"/>
          </w:tcPr>
          <w:p w14:paraId="5A1AFF36" w14:textId="77777777" w:rsidR="00960BB8" w:rsidRDefault="00960BB8">
            <w:pPr>
              <w:rPr>
                <w:rFonts w:ascii="宋体"/>
              </w:rPr>
            </w:pPr>
          </w:p>
        </w:tc>
        <w:tc>
          <w:tcPr>
            <w:tcW w:w="1265" w:type="dxa"/>
            <w:shd w:val="clear" w:color="auto" w:fill="auto"/>
            <w:vAlign w:val="bottom"/>
          </w:tcPr>
          <w:p w14:paraId="5A1AFF37" w14:textId="77777777" w:rsidR="00960BB8" w:rsidRDefault="00960BB8">
            <w:pPr>
              <w:rPr>
                <w:rFonts w:ascii="宋体"/>
              </w:rPr>
            </w:pPr>
          </w:p>
        </w:tc>
        <w:tc>
          <w:tcPr>
            <w:tcW w:w="20" w:type="dxa"/>
            <w:shd w:val="clear" w:color="auto" w:fill="auto"/>
            <w:vAlign w:val="bottom"/>
          </w:tcPr>
          <w:p w14:paraId="5A1AFF38" w14:textId="77777777" w:rsidR="00960BB8" w:rsidRDefault="00960BB8">
            <w:pPr>
              <w:rPr>
                <w:rFonts w:ascii="宋体"/>
              </w:rPr>
            </w:pPr>
          </w:p>
        </w:tc>
        <w:tc>
          <w:tcPr>
            <w:tcW w:w="20" w:type="dxa"/>
            <w:shd w:val="clear" w:color="auto" w:fill="auto"/>
            <w:vAlign w:val="bottom"/>
          </w:tcPr>
          <w:p w14:paraId="5A1AFF39" w14:textId="77777777" w:rsidR="00960BB8" w:rsidRDefault="00960BB8">
            <w:pPr>
              <w:rPr>
                <w:rFonts w:ascii="宋体"/>
              </w:rPr>
            </w:pPr>
          </w:p>
        </w:tc>
        <w:tc>
          <w:tcPr>
            <w:tcW w:w="35" w:type="dxa"/>
            <w:shd w:val="clear" w:color="auto" w:fill="auto"/>
            <w:vAlign w:val="bottom"/>
          </w:tcPr>
          <w:p w14:paraId="5A1AFF3A" w14:textId="77777777" w:rsidR="00960BB8" w:rsidRDefault="00960BB8">
            <w:pPr>
              <w:rPr>
                <w:rFonts w:ascii="宋体"/>
              </w:rPr>
            </w:pPr>
          </w:p>
        </w:tc>
        <w:tc>
          <w:tcPr>
            <w:tcW w:w="20" w:type="dxa"/>
            <w:shd w:val="clear" w:color="auto" w:fill="auto"/>
            <w:vAlign w:val="bottom"/>
          </w:tcPr>
          <w:p w14:paraId="5A1AFF3B" w14:textId="77777777" w:rsidR="00960BB8" w:rsidRDefault="00960BB8">
            <w:pPr>
              <w:rPr>
                <w:rFonts w:ascii="宋体"/>
              </w:rPr>
            </w:pPr>
          </w:p>
        </w:tc>
        <w:tc>
          <w:tcPr>
            <w:tcW w:w="20" w:type="dxa"/>
            <w:shd w:val="clear" w:color="auto" w:fill="auto"/>
            <w:vAlign w:val="bottom"/>
          </w:tcPr>
          <w:p w14:paraId="5A1AFF3C" w14:textId="77777777" w:rsidR="00960BB8" w:rsidRDefault="00960BB8">
            <w:pPr>
              <w:rPr>
                <w:rFonts w:ascii="宋体"/>
              </w:rPr>
            </w:pPr>
          </w:p>
        </w:tc>
        <w:tc>
          <w:tcPr>
            <w:tcW w:w="9560" w:type="dxa"/>
            <w:shd w:val="clear" w:color="auto" w:fill="auto"/>
            <w:vAlign w:val="bottom"/>
          </w:tcPr>
          <w:p w14:paraId="5A1AFF3D" w14:textId="77777777" w:rsidR="00960BB8" w:rsidRDefault="00960BB8">
            <w:pPr>
              <w:rPr>
                <w:rFonts w:ascii="宋体"/>
              </w:rPr>
            </w:pPr>
          </w:p>
        </w:tc>
        <w:tc>
          <w:tcPr>
            <w:tcW w:w="20" w:type="dxa"/>
            <w:shd w:val="clear" w:color="auto" w:fill="auto"/>
            <w:vAlign w:val="bottom"/>
          </w:tcPr>
          <w:p w14:paraId="5A1AFF3E" w14:textId="77777777" w:rsidR="00960BB8" w:rsidRDefault="00960BB8">
            <w:pPr>
              <w:rPr>
                <w:rFonts w:ascii="宋体"/>
              </w:rPr>
            </w:pPr>
          </w:p>
        </w:tc>
      </w:tr>
      <w:tr w:rsidR="00960BB8" w14:paraId="5A1AFF43" w14:textId="77777777">
        <w:trPr>
          <w:trHeight w:val="300"/>
        </w:trPr>
        <w:tc>
          <w:tcPr>
            <w:tcW w:w="0" w:type="auto"/>
            <w:gridSpan w:val="3"/>
            <w:shd w:val="clear" w:color="auto" w:fill="auto"/>
            <w:tcMar>
              <w:top w:w="40" w:type="dxa"/>
              <w:left w:w="20" w:type="dxa"/>
              <w:bottom w:w="40" w:type="dxa"/>
              <w:right w:w="20" w:type="dxa"/>
            </w:tcMar>
            <w:vAlign w:val="bottom"/>
          </w:tcPr>
          <w:p w14:paraId="5A1AFF40"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AFF4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AFF42" w14:textId="77777777" w:rsidR="00960BB8" w:rsidRDefault="00960BB8">
            <w:pPr>
              <w:rPr>
                <w:rFonts w:ascii="宋体"/>
              </w:rPr>
            </w:pPr>
          </w:p>
        </w:tc>
      </w:tr>
      <w:tr w:rsidR="00960BB8" w14:paraId="5A1AFF49" w14:textId="77777777">
        <w:trPr>
          <w:trHeight w:val="280"/>
        </w:trPr>
        <w:tc>
          <w:tcPr>
            <w:tcW w:w="0" w:type="auto"/>
            <w:tcBorders>
              <w:top w:val="single" w:sz="8" w:space="0" w:color="0068B5"/>
            </w:tcBorders>
            <w:shd w:val="clear" w:color="auto" w:fill="auto"/>
            <w:tcMar>
              <w:top w:w="40" w:type="dxa"/>
              <w:left w:w="20" w:type="dxa"/>
              <w:bottom w:w="40" w:type="dxa"/>
              <w:right w:w="0" w:type="dxa"/>
            </w:tcMar>
            <w:vAlign w:val="bottom"/>
          </w:tcPr>
          <w:p w14:paraId="5A1AFF44"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AFF45" w14:textId="77777777" w:rsidR="00960BB8" w:rsidRDefault="00C06650">
            <w:pPr>
              <w:jc w:val="right"/>
              <w:textAlignment w:val="bottom"/>
            </w:pPr>
            <w:r>
              <w:rPr>
                <w:rFonts w:ascii="Arial" w:eastAsia="宋体" w:hAnsi="Arial" w:cs="Arial"/>
                <w:b/>
                <w:bCs/>
                <w:color w:val="0068B5"/>
                <w:sz w:val="18"/>
                <w:szCs w:val="18"/>
              </w:rPr>
              <w:t>26,866</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AFF4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47"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AFF48" w14:textId="77777777" w:rsidR="00960BB8" w:rsidRDefault="00C06650">
            <w:pPr>
              <w:textAlignment w:val="bottom"/>
            </w:pPr>
            <w:r>
              <w:rPr>
                <w:rFonts w:ascii="Arial" w:eastAsia="宋体" w:hAnsi="Arial" w:cs="Arial"/>
                <w:b/>
                <w:bCs/>
                <w:color w:val="262626"/>
                <w:sz w:val="18"/>
                <w:szCs w:val="18"/>
              </w:rPr>
              <w:t>2022 Gross Margin</w:t>
            </w:r>
          </w:p>
        </w:tc>
      </w:tr>
      <w:tr w:rsidR="00960BB8" w14:paraId="5A1AFF4E" w14:textId="77777777">
        <w:trPr>
          <w:trHeight w:val="280"/>
        </w:trPr>
        <w:tc>
          <w:tcPr>
            <w:tcW w:w="0" w:type="auto"/>
            <w:gridSpan w:val="2"/>
            <w:tcBorders>
              <w:top w:val="single" w:sz="4" w:space="0" w:color="262626"/>
            </w:tcBorders>
            <w:shd w:val="clear" w:color="auto" w:fill="FFFFFF"/>
            <w:tcMar>
              <w:top w:w="40" w:type="dxa"/>
              <w:left w:w="20" w:type="dxa"/>
              <w:bottom w:w="40" w:type="dxa"/>
              <w:right w:w="0" w:type="dxa"/>
            </w:tcMar>
          </w:tcPr>
          <w:p w14:paraId="5A1AFF4A" w14:textId="77777777" w:rsidR="00960BB8" w:rsidRDefault="00C06650">
            <w:pPr>
              <w:jc w:val="right"/>
              <w:textAlignment w:val="top"/>
            </w:pPr>
            <w:r>
              <w:rPr>
                <w:rFonts w:ascii="Arial" w:eastAsia="宋体" w:hAnsi="Arial" w:cs="Arial"/>
                <w:color w:val="0068B5"/>
                <w:sz w:val="18"/>
                <w:szCs w:val="18"/>
              </w:rPr>
              <w:t>(4,673)</w:t>
            </w:r>
          </w:p>
        </w:tc>
        <w:tc>
          <w:tcPr>
            <w:tcW w:w="0" w:type="auto"/>
            <w:tcBorders>
              <w:top w:val="single" w:sz="4" w:space="0" w:color="262626"/>
            </w:tcBorders>
            <w:shd w:val="clear" w:color="auto" w:fill="FFFFFF"/>
            <w:tcMar>
              <w:top w:w="40" w:type="dxa"/>
              <w:left w:w="0" w:type="dxa"/>
              <w:bottom w:w="40" w:type="dxa"/>
              <w:right w:w="20" w:type="dxa"/>
            </w:tcMar>
          </w:tcPr>
          <w:p w14:paraId="5A1AFF4B"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4C" w14:textId="77777777" w:rsidR="00960BB8" w:rsidRDefault="00960BB8">
            <w:pPr>
              <w:rPr>
                <w:rFonts w:ascii="宋体"/>
              </w:rPr>
            </w:pPr>
          </w:p>
        </w:tc>
        <w:tc>
          <w:tcPr>
            <w:tcW w:w="0" w:type="auto"/>
            <w:gridSpan w:val="3"/>
            <w:tcBorders>
              <w:top w:val="single" w:sz="4" w:space="0" w:color="262626"/>
            </w:tcBorders>
            <w:shd w:val="clear" w:color="auto" w:fill="FFFFFF"/>
            <w:tcMar>
              <w:top w:w="40" w:type="dxa"/>
              <w:left w:w="20" w:type="dxa"/>
              <w:bottom w:w="40" w:type="dxa"/>
              <w:right w:w="20" w:type="dxa"/>
            </w:tcMar>
          </w:tcPr>
          <w:p w14:paraId="5A1AFF4D" w14:textId="77777777" w:rsidR="00960BB8" w:rsidRDefault="00C06650">
            <w:pPr>
              <w:textAlignment w:val="top"/>
            </w:pPr>
            <w:r>
              <w:rPr>
                <w:rFonts w:ascii="Arial" w:eastAsia="宋体" w:hAnsi="Arial" w:cs="Arial"/>
                <w:color w:val="000000"/>
                <w:sz w:val="18"/>
                <w:szCs w:val="18"/>
              </w:rPr>
              <w:t xml:space="preserve">Lower gross margin from CCG </w:t>
            </w:r>
            <w:r>
              <w:rPr>
                <w:rFonts w:ascii="Arial" w:eastAsia="宋体" w:hAnsi="Arial" w:cs="Arial"/>
                <w:color w:val="000000"/>
                <w:sz w:val="18"/>
                <w:szCs w:val="18"/>
              </w:rPr>
              <w:t>revenue, driven by notebook and desktop revenue</w:t>
            </w:r>
          </w:p>
        </w:tc>
      </w:tr>
      <w:tr w:rsidR="00960BB8" w14:paraId="5A1AFF53" w14:textId="77777777">
        <w:trPr>
          <w:trHeight w:val="280"/>
        </w:trPr>
        <w:tc>
          <w:tcPr>
            <w:tcW w:w="0" w:type="auto"/>
            <w:gridSpan w:val="2"/>
            <w:shd w:val="clear" w:color="auto" w:fill="FFFFFF"/>
            <w:tcMar>
              <w:top w:w="40" w:type="dxa"/>
              <w:left w:w="20" w:type="dxa"/>
              <w:bottom w:w="40" w:type="dxa"/>
              <w:right w:w="0" w:type="dxa"/>
            </w:tcMar>
          </w:tcPr>
          <w:p w14:paraId="5A1AFF4F" w14:textId="77777777" w:rsidR="00960BB8" w:rsidRDefault="00C06650">
            <w:pPr>
              <w:jc w:val="right"/>
              <w:textAlignment w:val="top"/>
            </w:pPr>
            <w:r>
              <w:rPr>
                <w:rFonts w:ascii="Arial" w:eastAsia="宋体" w:hAnsi="Arial" w:cs="Arial"/>
                <w:color w:val="0068B5"/>
                <w:sz w:val="18"/>
                <w:szCs w:val="18"/>
              </w:rPr>
              <w:t>(3,330)</w:t>
            </w:r>
          </w:p>
        </w:tc>
        <w:tc>
          <w:tcPr>
            <w:tcW w:w="0" w:type="auto"/>
            <w:shd w:val="clear" w:color="auto" w:fill="FFFFFF"/>
            <w:tcMar>
              <w:top w:w="40" w:type="dxa"/>
              <w:left w:w="0" w:type="dxa"/>
              <w:bottom w:w="40" w:type="dxa"/>
              <w:right w:w="20" w:type="dxa"/>
            </w:tcMar>
          </w:tcPr>
          <w:p w14:paraId="5A1AFF50"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51"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bottom"/>
          </w:tcPr>
          <w:p w14:paraId="5A1AFF52" w14:textId="77777777" w:rsidR="00960BB8" w:rsidRDefault="00C06650">
            <w:pPr>
              <w:textAlignment w:val="bottom"/>
            </w:pPr>
            <w:r>
              <w:rPr>
                <w:rFonts w:ascii="Arial" w:eastAsia="宋体" w:hAnsi="Arial" w:cs="Arial"/>
                <w:color w:val="000000"/>
                <w:sz w:val="18"/>
                <w:szCs w:val="18"/>
              </w:rPr>
              <w:t>Lower gross margin from DCAI server revenue</w:t>
            </w:r>
          </w:p>
        </w:tc>
      </w:tr>
      <w:tr w:rsidR="00960BB8" w14:paraId="5A1AFF58" w14:textId="77777777">
        <w:trPr>
          <w:trHeight w:val="280"/>
        </w:trPr>
        <w:tc>
          <w:tcPr>
            <w:tcW w:w="0" w:type="auto"/>
            <w:gridSpan w:val="2"/>
            <w:shd w:val="clear" w:color="auto" w:fill="FFFFFF"/>
            <w:tcMar>
              <w:top w:w="40" w:type="dxa"/>
              <w:left w:w="20" w:type="dxa"/>
              <w:bottom w:w="40" w:type="dxa"/>
              <w:right w:w="0" w:type="dxa"/>
            </w:tcMar>
          </w:tcPr>
          <w:p w14:paraId="5A1AFF54" w14:textId="77777777" w:rsidR="00960BB8" w:rsidRDefault="00C06650">
            <w:pPr>
              <w:jc w:val="right"/>
              <w:textAlignment w:val="top"/>
            </w:pPr>
            <w:r>
              <w:rPr>
                <w:rFonts w:ascii="Arial" w:eastAsia="宋体" w:hAnsi="Arial" w:cs="Arial"/>
                <w:color w:val="0068B5"/>
                <w:sz w:val="18"/>
                <w:szCs w:val="18"/>
              </w:rPr>
              <w:t>(2,663)</w:t>
            </w:r>
          </w:p>
        </w:tc>
        <w:tc>
          <w:tcPr>
            <w:tcW w:w="0" w:type="auto"/>
            <w:shd w:val="clear" w:color="auto" w:fill="FFFFFF"/>
            <w:tcMar>
              <w:top w:w="40" w:type="dxa"/>
              <w:left w:w="0" w:type="dxa"/>
              <w:bottom w:w="40" w:type="dxa"/>
              <w:right w:w="20" w:type="dxa"/>
            </w:tcMar>
          </w:tcPr>
          <w:p w14:paraId="5A1AFF55"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56"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57" w14:textId="77777777" w:rsidR="00960BB8" w:rsidRDefault="00C06650">
            <w:pPr>
              <w:textAlignment w:val="top"/>
            </w:pPr>
            <w:r>
              <w:rPr>
                <w:rFonts w:ascii="Arial" w:eastAsia="宋体" w:hAnsi="Arial" w:cs="Arial"/>
                <w:color w:val="000000"/>
                <w:sz w:val="18"/>
                <w:szCs w:val="18"/>
              </w:rPr>
              <w:t>Higher unit cost primarily from increased mix of Intel 7 products and 10nm SuperFin</w:t>
            </w:r>
          </w:p>
        </w:tc>
      </w:tr>
      <w:tr w:rsidR="00960BB8" w14:paraId="5A1AFF5D" w14:textId="77777777">
        <w:trPr>
          <w:trHeight w:val="280"/>
        </w:trPr>
        <w:tc>
          <w:tcPr>
            <w:tcW w:w="0" w:type="auto"/>
            <w:gridSpan w:val="2"/>
            <w:shd w:val="clear" w:color="auto" w:fill="FFFFFF"/>
            <w:tcMar>
              <w:top w:w="40" w:type="dxa"/>
              <w:left w:w="20" w:type="dxa"/>
              <w:bottom w:w="40" w:type="dxa"/>
              <w:right w:w="0" w:type="dxa"/>
            </w:tcMar>
          </w:tcPr>
          <w:p w14:paraId="5A1AFF59" w14:textId="77777777" w:rsidR="00960BB8" w:rsidRDefault="00C06650">
            <w:pPr>
              <w:jc w:val="right"/>
              <w:textAlignment w:val="top"/>
            </w:pPr>
            <w:r>
              <w:rPr>
                <w:rFonts w:ascii="Arial" w:eastAsia="宋体" w:hAnsi="Arial" w:cs="Arial"/>
                <w:color w:val="0068B5"/>
                <w:sz w:val="18"/>
                <w:szCs w:val="18"/>
              </w:rPr>
              <w:t>(2,159)</w:t>
            </w:r>
          </w:p>
        </w:tc>
        <w:tc>
          <w:tcPr>
            <w:tcW w:w="0" w:type="auto"/>
            <w:shd w:val="clear" w:color="auto" w:fill="FFFFFF"/>
            <w:tcMar>
              <w:top w:w="40" w:type="dxa"/>
              <w:left w:w="0" w:type="dxa"/>
              <w:bottom w:w="40" w:type="dxa"/>
              <w:right w:w="20" w:type="dxa"/>
            </w:tcMar>
          </w:tcPr>
          <w:p w14:paraId="5A1AFF5A"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5B"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5C" w14:textId="77777777" w:rsidR="00960BB8" w:rsidRDefault="00C06650">
            <w:pPr>
              <w:textAlignment w:val="top"/>
            </w:pPr>
            <w:r>
              <w:rPr>
                <w:rFonts w:ascii="Arial" w:eastAsia="宋体" w:hAnsi="Arial" w:cs="Arial"/>
                <w:color w:val="000000"/>
                <w:sz w:val="18"/>
                <w:szCs w:val="18"/>
              </w:rPr>
              <w:t xml:space="preserve">Higher period charges primarily driven by </w:t>
            </w:r>
            <w:r>
              <w:rPr>
                <w:rFonts w:ascii="Arial" w:eastAsia="宋体" w:hAnsi="Arial" w:cs="Arial"/>
                <w:color w:val="000000"/>
                <w:sz w:val="18"/>
                <w:szCs w:val="18"/>
              </w:rPr>
              <w:t>inventory reserves taken in 2022</w:t>
            </w:r>
          </w:p>
        </w:tc>
      </w:tr>
      <w:tr w:rsidR="00960BB8" w14:paraId="5A1AFF62" w14:textId="77777777">
        <w:trPr>
          <w:trHeight w:val="280"/>
        </w:trPr>
        <w:tc>
          <w:tcPr>
            <w:tcW w:w="0" w:type="auto"/>
            <w:gridSpan w:val="2"/>
            <w:shd w:val="clear" w:color="auto" w:fill="FFFFFF"/>
            <w:tcMar>
              <w:top w:w="40" w:type="dxa"/>
              <w:left w:w="20" w:type="dxa"/>
              <w:bottom w:w="40" w:type="dxa"/>
              <w:right w:w="0" w:type="dxa"/>
            </w:tcMar>
          </w:tcPr>
          <w:p w14:paraId="5A1AFF5E" w14:textId="77777777" w:rsidR="00960BB8" w:rsidRDefault="00C06650">
            <w:pPr>
              <w:jc w:val="right"/>
              <w:textAlignment w:val="top"/>
            </w:pPr>
            <w:r>
              <w:rPr>
                <w:rFonts w:ascii="Arial" w:eastAsia="宋体" w:hAnsi="Arial" w:cs="Arial"/>
                <w:color w:val="0068B5"/>
                <w:sz w:val="18"/>
                <w:szCs w:val="18"/>
              </w:rPr>
              <w:t>(2,012)</w:t>
            </w:r>
          </w:p>
        </w:tc>
        <w:tc>
          <w:tcPr>
            <w:tcW w:w="0" w:type="auto"/>
            <w:shd w:val="clear" w:color="auto" w:fill="FFFFFF"/>
            <w:tcMar>
              <w:top w:w="40" w:type="dxa"/>
              <w:left w:w="0" w:type="dxa"/>
              <w:bottom w:w="40" w:type="dxa"/>
              <w:right w:w="20" w:type="dxa"/>
            </w:tcMar>
          </w:tcPr>
          <w:p w14:paraId="5A1AFF5F"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60"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61" w14:textId="77777777" w:rsidR="00960BB8" w:rsidRDefault="00C06650">
            <w:pPr>
              <w:textAlignment w:val="top"/>
            </w:pPr>
            <w:r>
              <w:rPr>
                <w:rFonts w:ascii="Arial" w:eastAsia="宋体" w:hAnsi="Arial" w:cs="Arial"/>
                <w:color w:val="000000"/>
                <w:sz w:val="18"/>
                <w:szCs w:val="18"/>
              </w:rPr>
              <w:t>Higher period charges primarily associated with the ramp up of Intel 4 and other product enhancements</w:t>
            </w:r>
          </w:p>
        </w:tc>
      </w:tr>
      <w:tr w:rsidR="00960BB8" w14:paraId="5A1AFF67" w14:textId="77777777">
        <w:trPr>
          <w:trHeight w:val="280"/>
        </w:trPr>
        <w:tc>
          <w:tcPr>
            <w:tcW w:w="0" w:type="auto"/>
            <w:gridSpan w:val="2"/>
            <w:shd w:val="clear" w:color="auto" w:fill="FFFFFF"/>
            <w:tcMar>
              <w:top w:w="40" w:type="dxa"/>
              <w:left w:w="20" w:type="dxa"/>
              <w:bottom w:w="40" w:type="dxa"/>
              <w:right w:w="0" w:type="dxa"/>
            </w:tcMar>
          </w:tcPr>
          <w:p w14:paraId="5A1AFF63" w14:textId="77777777" w:rsidR="00960BB8" w:rsidRDefault="00C06650">
            <w:pPr>
              <w:jc w:val="right"/>
              <w:textAlignment w:val="top"/>
            </w:pPr>
            <w:r>
              <w:rPr>
                <w:rFonts w:ascii="Arial" w:eastAsia="宋体" w:hAnsi="Arial" w:cs="Arial"/>
                <w:color w:val="0068B5"/>
                <w:sz w:val="18"/>
                <w:szCs w:val="18"/>
              </w:rPr>
              <w:t>(1,995)</w:t>
            </w:r>
          </w:p>
        </w:tc>
        <w:tc>
          <w:tcPr>
            <w:tcW w:w="0" w:type="auto"/>
            <w:shd w:val="clear" w:color="auto" w:fill="FFFFFF"/>
            <w:tcMar>
              <w:top w:w="40" w:type="dxa"/>
              <w:left w:w="0" w:type="dxa"/>
              <w:bottom w:w="40" w:type="dxa"/>
              <w:right w:w="20" w:type="dxa"/>
            </w:tcMar>
          </w:tcPr>
          <w:p w14:paraId="5A1AFF64"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65"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66" w14:textId="77777777" w:rsidR="00960BB8" w:rsidRDefault="00C06650">
            <w:pPr>
              <w:textAlignment w:val="top"/>
            </w:pPr>
            <w:r>
              <w:rPr>
                <w:rFonts w:ascii="Arial" w:eastAsia="宋体" w:hAnsi="Arial" w:cs="Arial"/>
                <w:color w:val="000000"/>
                <w:sz w:val="18"/>
                <w:szCs w:val="18"/>
              </w:rPr>
              <w:t>Lower gross margin related to the divested NAND memory business</w:t>
            </w:r>
          </w:p>
        </w:tc>
      </w:tr>
      <w:tr w:rsidR="00960BB8" w14:paraId="5A1AFF6C" w14:textId="77777777">
        <w:trPr>
          <w:trHeight w:val="280"/>
        </w:trPr>
        <w:tc>
          <w:tcPr>
            <w:tcW w:w="0" w:type="auto"/>
            <w:gridSpan w:val="2"/>
            <w:shd w:val="clear" w:color="auto" w:fill="FFFFFF"/>
            <w:tcMar>
              <w:top w:w="40" w:type="dxa"/>
              <w:left w:w="20" w:type="dxa"/>
              <w:bottom w:w="40" w:type="dxa"/>
              <w:right w:w="0" w:type="dxa"/>
            </w:tcMar>
          </w:tcPr>
          <w:p w14:paraId="5A1AFF68" w14:textId="77777777" w:rsidR="00960BB8" w:rsidRDefault="00C06650">
            <w:pPr>
              <w:jc w:val="right"/>
              <w:textAlignment w:val="top"/>
            </w:pPr>
            <w:r>
              <w:rPr>
                <w:rFonts w:ascii="Arial" w:eastAsia="宋体" w:hAnsi="Arial" w:cs="Arial"/>
                <w:color w:val="0068B5"/>
                <w:sz w:val="18"/>
                <w:szCs w:val="18"/>
              </w:rPr>
              <w:t>(723)</w:t>
            </w:r>
          </w:p>
        </w:tc>
        <w:tc>
          <w:tcPr>
            <w:tcW w:w="0" w:type="auto"/>
            <w:shd w:val="clear" w:color="auto" w:fill="FFFFFF"/>
            <w:tcMar>
              <w:top w:w="40" w:type="dxa"/>
              <w:left w:w="0" w:type="dxa"/>
              <w:bottom w:w="40" w:type="dxa"/>
              <w:right w:w="20" w:type="dxa"/>
            </w:tcMar>
          </w:tcPr>
          <w:p w14:paraId="5A1AFF69"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6A"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6B" w14:textId="77777777" w:rsidR="00960BB8" w:rsidRDefault="00C06650">
            <w:pPr>
              <w:textAlignment w:val="top"/>
            </w:pPr>
            <w:r>
              <w:rPr>
                <w:rFonts w:ascii="Arial" w:eastAsia="宋体" w:hAnsi="Arial" w:cs="Arial"/>
                <w:color w:val="000000"/>
                <w:sz w:val="18"/>
                <w:szCs w:val="18"/>
              </w:rPr>
              <w:t xml:space="preserve">Optane inventory </w:t>
            </w:r>
            <w:r>
              <w:rPr>
                <w:rFonts w:ascii="Arial" w:eastAsia="宋体" w:hAnsi="Arial" w:cs="Arial"/>
                <w:color w:val="000000"/>
                <w:sz w:val="18"/>
                <w:szCs w:val="18"/>
              </w:rPr>
              <w:t>impairment related to the wind down of our Intel Optane memory business</w:t>
            </w:r>
          </w:p>
        </w:tc>
      </w:tr>
      <w:tr w:rsidR="00960BB8" w14:paraId="5A1AFF71" w14:textId="77777777">
        <w:trPr>
          <w:trHeight w:val="280"/>
        </w:trPr>
        <w:tc>
          <w:tcPr>
            <w:tcW w:w="0" w:type="auto"/>
            <w:gridSpan w:val="2"/>
            <w:shd w:val="clear" w:color="auto" w:fill="FFFFFF"/>
            <w:tcMar>
              <w:top w:w="40" w:type="dxa"/>
              <w:left w:w="20" w:type="dxa"/>
              <w:bottom w:w="40" w:type="dxa"/>
              <w:right w:w="0" w:type="dxa"/>
            </w:tcMar>
          </w:tcPr>
          <w:p w14:paraId="5A1AFF6D" w14:textId="77777777" w:rsidR="00960BB8" w:rsidRDefault="00C06650">
            <w:pPr>
              <w:jc w:val="right"/>
              <w:textAlignment w:val="top"/>
            </w:pPr>
            <w:r>
              <w:rPr>
                <w:rFonts w:ascii="Arial" w:eastAsia="宋体" w:hAnsi="Arial" w:cs="Arial"/>
                <w:color w:val="0068B5"/>
                <w:sz w:val="18"/>
                <w:szCs w:val="18"/>
              </w:rPr>
              <w:t>(584)</w:t>
            </w:r>
          </w:p>
        </w:tc>
        <w:tc>
          <w:tcPr>
            <w:tcW w:w="0" w:type="auto"/>
            <w:shd w:val="clear" w:color="auto" w:fill="FFFFFF"/>
            <w:tcMar>
              <w:top w:w="40" w:type="dxa"/>
              <w:left w:w="0" w:type="dxa"/>
              <w:bottom w:w="40" w:type="dxa"/>
              <w:right w:w="20" w:type="dxa"/>
            </w:tcMar>
          </w:tcPr>
          <w:p w14:paraId="5A1AFF6E"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6F"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70" w14:textId="77777777" w:rsidR="00960BB8" w:rsidRDefault="00C06650">
            <w:pPr>
              <w:textAlignment w:val="top"/>
            </w:pPr>
            <w:r>
              <w:rPr>
                <w:rFonts w:ascii="Arial" w:eastAsia="宋体" w:hAnsi="Arial" w:cs="Arial"/>
                <w:color w:val="000000"/>
                <w:sz w:val="18"/>
                <w:szCs w:val="18"/>
              </w:rPr>
              <w:t>Lack of revenue recognized in Q1 2021 from a prepaid customer supply contract</w:t>
            </w:r>
          </w:p>
        </w:tc>
      </w:tr>
      <w:tr w:rsidR="00960BB8" w14:paraId="5A1AFF76" w14:textId="77777777">
        <w:trPr>
          <w:trHeight w:val="280"/>
        </w:trPr>
        <w:tc>
          <w:tcPr>
            <w:tcW w:w="0" w:type="auto"/>
            <w:gridSpan w:val="2"/>
            <w:shd w:val="clear" w:color="auto" w:fill="FFFFFF"/>
            <w:tcMar>
              <w:top w:w="40" w:type="dxa"/>
              <w:left w:w="20" w:type="dxa"/>
              <w:bottom w:w="40" w:type="dxa"/>
              <w:right w:w="0" w:type="dxa"/>
            </w:tcMar>
          </w:tcPr>
          <w:p w14:paraId="5A1AFF72" w14:textId="77777777" w:rsidR="00960BB8" w:rsidRDefault="00C06650">
            <w:pPr>
              <w:jc w:val="right"/>
              <w:textAlignment w:val="top"/>
            </w:pPr>
            <w:r>
              <w:rPr>
                <w:rFonts w:ascii="Arial" w:eastAsia="宋体" w:hAnsi="Arial" w:cs="Arial"/>
                <w:color w:val="0068B5"/>
                <w:sz w:val="18"/>
                <w:szCs w:val="18"/>
              </w:rPr>
              <w:t>(313)</w:t>
            </w:r>
          </w:p>
        </w:tc>
        <w:tc>
          <w:tcPr>
            <w:tcW w:w="0" w:type="auto"/>
            <w:shd w:val="clear" w:color="auto" w:fill="FFFFFF"/>
            <w:tcMar>
              <w:top w:w="40" w:type="dxa"/>
              <w:left w:w="0" w:type="dxa"/>
              <w:bottom w:w="40" w:type="dxa"/>
              <w:right w:w="20" w:type="dxa"/>
            </w:tcMar>
          </w:tcPr>
          <w:p w14:paraId="5A1AFF73"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74"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75" w14:textId="77777777" w:rsidR="00960BB8" w:rsidRDefault="00C06650">
            <w:pPr>
              <w:textAlignment w:val="top"/>
            </w:pPr>
            <w:r>
              <w:rPr>
                <w:rFonts w:ascii="Arial" w:eastAsia="宋体" w:hAnsi="Arial" w:cs="Arial"/>
                <w:color w:val="000000"/>
                <w:sz w:val="18"/>
                <w:szCs w:val="18"/>
              </w:rPr>
              <w:t>Higher stock-based compensation</w:t>
            </w:r>
          </w:p>
        </w:tc>
      </w:tr>
      <w:tr w:rsidR="00960BB8" w14:paraId="5A1AFF7B" w14:textId="77777777">
        <w:trPr>
          <w:trHeight w:val="280"/>
        </w:trPr>
        <w:tc>
          <w:tcPr>
            <w:tcW w:w="0" w:type="auto"/>
            <w:gridSpan w:val="2"/>
            <w:shd w:val="clear" w:color="auto" w:fill="FFFFFF"/>
            <w:tcMar>
              <w:top w:w="40" w:type="dxa"/>
              <w:left w:w="20" w:type="dxa"/>
              <w:bottom w:w="40" w:type="dxa"/>
              <w:right w:w="0" w:type="dxa"/>
            </w:tcMar>
          </w:tcPr>
          <w:p w14:paraId="5A1AFF77" w14:textId="77777777" w:rsidR="00960BB8" w:rsidRDefault="00C06650">
            <w:pPr>
              <w:jc w:val="right"/>
              <w:textAlignment w:val="top"/>
            </w:pPr>
            <w:r>
              <w:rPr>
                <w:rFonts w:ascii="Arial" w:eastAsia="宋体" w:hAnsi="Arial" w:cs="Arial"/>
                <w:color w:val="0068B5"/>
                <w:sz w:val="18"/>
                <w:szCs w:val="18"/>
              </w:rPr>
              <w:t>(423)</w:t>
            </w:r>
          </w:p>
        </w:tc>
        <w:tc>
          <w:tcPr>
            <w:tcW w:w="0" w:type="auto"/>
            <w:shd w:val="clear" w:color="auto" w:fill="FFFFFF"/>
            <w:tcMar>
              <w:top w:w="40" w:type="dxa"/>
              <w:left w:w="0" w:type="dxa"/>
              <w:bottom w:w="40" w:type="dxa"/>
              <w:right w:w="20" w:type="dxa"/>
            </w:tcMar>
          </w:tcPr>
          <w:p w14:paraId="5A1AFF78"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79"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7A" w14:textId="77777777" w:rsidR="00960BB8" w:rsidRDefault="00C06650">
            <w:pPr>
              <w:textAlignment w:val="top"/>
            </w:pPr>
            <w:r>
              <w:rPr>
                <w:rFonts w:ascii="Arial" w:eastAsia="宋体" w:hAnsi="Arial" w:cs="Arial"/>
                <w:color w:val="000000"/>
                <w:sz w:val="18"/>
                <w:szCs w:val="18"/>
              </w:rPr>
              <w:t xml:space="preserve"> Higher period charges due to excess </w:t>
            </w:r>
            <w:r>
              <w:rPr>
                <w:rFonts w:ascii="Arial" w:eastAsia="宋体" w:hAnsi="Arial" w:cs="Arial"/>
                <w:color w:val="000000"/>
                <w:sz w:val="18"/>
                <w:szCs w:val="18"/>
              </w:rPr>
              <w:t>capacity charges</w:t>
            </w:r>
          </w:p>
        </w:tc>
      </w:tr>
      <w:tr w:rsidR="00960BB8" w14:paraId="5A1AFF80" w14:textId="77777777">
        <w:trPr>
          <w:trHeight w:val="280"/>
        </w:trPr>
        <w:tc>
          <w:tcPr>
            <w:tcW w:w="0" w:type="auto"/>
            <w:gridSpan w:val="2"/>
            <w:shd w:val="clear" w:color="auto" w:fill="FFFFFF"/>
            <w:tcMar>
              <w:top w:w="40" w:type="dxa"/>
              <w:left w:w="20" w:type="dxa"/>
              <w:bottom w:w="40" w:type="dxa"/>
              <w:right w:w="0" w:type="dxa"/>
            </w:tcMar>
          </w:tcPr>
          <w:p w14:paraId="5A1AFF7C" w14:textId="77777777" w:rsidR="00960BB8" w:rsidRDefault="00C06650">
            <w:pPr>
              <w:jc w:val="right"/>
              <w:textAlignment w:val="top"/>
            </w:pPr>
            <w:r>
              <w:rPr>
                <w:rFonts w:ascii="Arial" w:eastAsia="宋体" w:hAnsi="Arial" w:cs="Arial"/>
                <w:color w:val="0068B5"/>
                <w:sz w:val="18"/>
                <w:szCs w:val="18"/>
              </w:rPr>
              <w:t>(204)</w:t>
            </w:r>
          </w:p>
        </w:tc>
        <w:tc>
          <w:tcPr>
            <w:tcW w:w="0" w:type="auto"/>
            <w:shd w:val="clear" w:color="auto" w:fill="FFFFFF"/>
            <w:tcMar>
              <w:top w:w="40" w:type="dxa"/>
              <w:left w:w="0" w:type="dxa"/>
              <w:bottom w:w="40" w:type="dxa"/>
              <w:right w:w="20" w:type="dxa"/>
            </w:tcMar>
          </w:tcPr>
          <w:p w14:paraId="5A1AFF7D"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7E"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7F" w14:textId="77777777" w:rsidR="00960BB8" w:rsidRDefault="00C06650">
            <w:pPr>
              <w:textAlignment w:val="top"/>
            </w:pPr>
            <w:r>
              <w:rPr>
                <w:rFonts w:ascii="Arial" w:eastAsia="宋体" w:hAnsi="Arial" w:cs="Arial"/>
                <w:color w:val="000000"/>
                <w:sz w:val="18"/>
                <w:szCs w:val="18"/>
              </w:rPr>
              <w:t>Corporate charges from patent settlement</w:t>
            </w:r>
          </w:p>
        </w:tc>
      </w:tr>
      <w:tr w:rsidR="00960BB8" w14:paraId="5A1AFF85" w14:textId="77777777">
        <w:trPr>
          <w:trHeight w:val="460"/>
        </w:trPr>
        <w:tc>
          <w:tcPr>
            <w:tcW w:w="0" w:type="auto"/>
            <w:gridSpan w:val="2"/>
            <w:shd w:val="clear" w:color="auto" w:fill="FFFFFF"/>
            <w:tcMar>
              <w:top w:w="40" w:type="dxa"/>
              <w:left w:w="20" w:type="dxa"/>
              <w:bottom w:w="40" w:type="dxa"/>
              <w:right w:w="0" w:type="dxa"/>
            </w:tcMar>
          </w:tcPr>
          <w:p w14:paraId="5A1AFF81" w14:textId="77777777" w:rsidR="00960BB8" w:rsidRDefault="00C06650">
            <w:pPr>
              <w:jc w:val="right"/>
              <w:textAlignment w:val="top"/>
            </w:pPr>
            <w:r>
              <w:rPr>
                <w:rFonts w:ascii="Arial" w:eastAsia="宋体" w:hAnsi="Arial" w:cs="Arial"/>
                <w:color w:val="0068B5"/>
                <w:sz w:val="18"/>
                <w:szCs w:val="18"/>
              </w:rPr>
              <w:t>484 </w:t>
            </w:r>
          </w:p>
        </w:tc>
        <w:tc>
          <w:tcPr>
            <w:tcW w:w="0" w:type="auto"/>
            <w:shd w:val="clear" w:color="auto" w:fill="FFFFFF"/>
            <w:tcMar>
              <w:top w:w="40" w:type="dxa"/>
              <w:left w:w="0" w:type="dxa"/>
              <w:bottom w:w="40" w:type="dxa"/>
              <w:right w:w="20" w:type="dxa"/>
            </w:tcMar>
          </w:tcPr>
          <w:p w14:paraId="5A1AFF82"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83"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84" w14:textId="77777777" w:rsidR="00960BB8" w:rsidRDefault="00C06650">
            <w:pPr>
              <w:textAlignment w:val="top"/>
            </w:pPr>
            <w:r>
              <w:rPr>
                <w:rFonts w:ascii="Arial" w:eastAsia="宋体" w:hAnsi="Arial" w:cs="Arial"/>
                <w:color w:val="000000"/>
                <w:sz w:val="18"/>
                <w:szCs w:val="18"/>
              </w:rPr>
              <w:t>Lower period charges due to a benefit related to insurance proceeds received for business interruption and property damage that occurred in 2020</w:t>
            </w:r>
          </w:p>
        </w:tc>
      </w:tr>
      <w:tr w:rsidR="00960BB8" w14:paraId="5A1AFF8A" w14:textId="77777777">
        <w:trPr>
          <w:trHeight w:val="280"/>
        </w:trPr>
        <w:tc>
          <w:tcPr>
            <w:tcW w:w="0" w:type="auto"/>
            <w:gridSpan w:val="2"/>
            <w:shd w:val="clear" w:color="auto" w:fill="FFFFFF"/>
            <w:tcMar>
              <w:top w:w="40" w:type="dxa"/>
              <w:left w:w="20" w:type="dxa"/>
              <w:bottom w:w="40" w:type="dxa"/>
              <w:right w:w="0" w:type="dxa"/>
            </w:tcMar>
          </w:tcPr>
          <w:p w14:paraId="5A1AFF86" w14:textId="77777777" w:rsidR="00960BB8" w:rsidRDefault="00C06650">
            <w:pPr>
              <w:jc w:val="right"/>
              <w:textAlignment w:val="top"/>
            </w:pPr>
            <w:r>
              <w:rPr>
                <w:rFonts w:ascii="Arial" w:eastAsia="宋体" w:hAnsi="Arial" w:cs="Arial"/>
                <w:color w:val="0068B5"/>
                <w:sz w:val="18"/>
                <w:szCs w:val="18"/>
              </w:rPr>
              <w:t>522 </w:t>
            </w:r>
          </w:p>
        </w:tc>
        <w:tc>
          <w:tcPr>
            <w:tcW w:w="0" w:type="auto"/>
            <w:shd w:val="clear" w:color="auto" w:fill="FFFFFF"/>
            <w:tcMar>
              <w:top w:w="40" w:type="dxa"/>
              <w:left w:w="0" w:type="dxa"/>
              <w:bottom w:w="40" w:type="dxa"/>
              <w:right w:w="20" w:type="dxa"/>
            </w:tcMar>
          </w:tcPr>
          <w:p w14:paraId="5A1AFF87"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88"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89" w14:textId="77777777" w:rsidR="00960BB8" w:rsidRDefault="00C06650">
            <w:pPr>
              <w:textAlignment w:val="top"/>
            </w:pPr>
            <w:r>
              <w:rPr>
                <w:rFonts w:ascii="Arial" w:eastAsia="宋体" w:hAnsi="Arial" w:cs="Arial"/>
                <w:color w:val="000000"/>
                <w:sz w:val="18"/>
                <w:szCs w:val="18"/>
              </w:rPr>
              <w:t xml:space="preserve">Higher gross margin from </w:t>
            </w:r>
            <w:r>
              <w:rPr>
                <w:rFonts w:ascii="Arial" w:eastAsia="宋体" w:hAnsi="Arial" w:cs="Arial"/>
                <w:color w:val="000000"/>
                <w:sz w:val="18"/>
                <w:szCs w:val="18"/>
              </w:rPr>
              <w:t>NEX Ethernet revenue</w:t>
            </w:r>
          </w:p>
        </w:tc>
      </w:tr>
      <w:tr w:rsidR="00960BB8" w14:paraId="5A1AFF8F" w14:textId="77777777">
        <w:trPr>
          <w:trHeight w:val="280"/>
        </w:trPr>
        <w:tc>
          <w:tcPr>
            <w:tcW w:w="0" w:type="auto"/>
            <w:gridSpan w:val="2"/>
            <w:shd w:val="clear" w:color="auto" w:fill="FFFFFF"/>
            <w:tcMar>
              <w:top w:w="40" w:type="dxa"/>
              <w:left w:w="20" w:type="dxa"/>
              <w:bottom w:w="40" w:type="dxa"/>
              <w:right w:w="0" w:type="dxa"/>
            </w:tcMar>
          </w:tcPr>
          <w:p w14:paraId="5A1AFF8B" w14:textId="77777777" w:rsidR="00960BB8" w:rsidRDefault="00C06650">
            <w:pPr>
              <w:jc w:val="right"/>
              <w:textAlignment w:val="top"/>
            </w:pPr>
            <w:r>
              <w:rPr>
                <w:rFonts w:ascii="Arial" w:eastAsia="宋体" w:hAnsi="Arial" w:cs="Arial"/>
                <w:color w:val="0068B5"/>
                <w:sz w:val="18"/>
                <w:szCs w:val="18"/>
              </w:rPr>
              <w:t>702 </w:t>
            </w:r>
          </w:p>
        </w:tc>
        <w:tc>
          <w:tcPr>
            <w:tcW w:w="0" w:type="auto"/>
            <w:shd w:val="clear" w:color="auto" w:fill="FFFFFF"/>
            <w:tcMar>
              <w:top w:w="40" w:type="dxa"/>
              <w:left w:w="0" w:type="dxa"/>
              <w:bottom w:w="40" w:type="dxa"/>
              <w:right w:w="20" w:type="dxa"/>
            </w:tcMar>
          </w:tcPr>
          <w:p w14:paraId="5A1AFF8C"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8D"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8E" w14:textId="77777777" w:rsidR="00960BB8" w:rsidRDefault="00C06650">
            <w:pPr>
              <w:textAlignment w:val="top"/>
            </w:pPr>
            <w:r>
              <w:rPr>
                <w:rFonts w:ascii="Arial" w:eastAsia="宋体" w:hAnsi="Arial" w:cs="Arial"/>
                <w:color w:val="000000"/>
                <w:sz w:val="18"/>
                <w:szCs w:val="18"/>
              </w:rPr>
              <w:t>Higher gross margin from DCAI other product revenue</w:t>
            </w:r>
          </w:p>
        </w:tc>
      </w:tr>
      <w:tr w:rsidR="00960BB8" w14:paraId="5A1AFF94" w14:textId="77777777">
        <w:trPr>
          <w:trHeight w:val="280"/>
        </w:trPr>
        <w:tc>
          <w:tcPr>
            <w:tcW w:w="0" w:type="auto"/>
            <w:gridSpan w:val="2"/>
            <w:shd w:val="clear" w:color="auto" w:fill="FFFFFF"/>
            <w:tcMar>
              <w:top w:w="40" w:type="dxa"/>
              <w:left w:w="20" w:type="dxa"/>
              <w:bottom w:w="40" w:type="dxa"/>
              <w:right w:w="0" w:type="dxa"/>
            </w:tcMar>
          </w:tcPr>
          <w:p w14:paraId="5A1AFF90" w14:textId="77777777" w:rsidR="00960BB8" w:rsidRDefault="00C06650">
            <w:pPr>
              <w:jc w:val="right"/>
              <w:textAlignment w:val="top"/>
            </w:pPr>
            <w:r>
              <w:rPr>
                <w:rFonts w:ascii="Arial" w:eastAsia="宋体" w:hAnsi="Arial" w:cs="Arial"/>
                <w:color w:val="0068B5"/>
                <w:sz w:val="18"/>
                <w:szCs w:val="18"/>
              </w:rPr>
              <w:t>422 </w:t>
            </w:r>
          </w:p>
        </w:tc>
        <w:tc>
          <w:tcPr>
            <w:tcW w:w="0" w:type="auto"/>
            <w:shd w:val="clear" w:color="auto" w:fill="FFFFFF"/>
            <w:tcMar>
              <w:top w:w="40" w:type="dxa"/>
              <w:left w:w="0" w:type="dxa"/>
              <w:bottom w:w="40" w:type="dxa"/>
              <w:right w:w="20" w:type="dxa"/>
            </w:tcMar>
          </w:tcPr>
          <w:p w14:paraId="5A1AFF91"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AFF92"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tcPr>
          <w:p w14:paraId="5A1AFF93" w14:textId="77777777" w:rsidR="00960BB8" w:rsidRDefault="00C06650">
            <w:pPr>
              <w:textAlignment w:val="top"/>
            </w:pPr>
            <w:r>
              <w:rPr>
                <w:rFonts w:ascii="Arial" w:eastAsia="宋体" w:hAnsi="Arial" w:cs="Arial"/>
                <w:color w:val="000000"/>
                <w:sz w:val="18"/>
                <w:szCs w:val="18"/>
              </w:rPr>
              <w:t>Other</w:t>
            </w:r>
          </w:p>
        </w:tc>
      </w:tr>
      <w:tr w:rsidR="00960BB8" w14:paraId="5A1AFF9A" w14:textId="77777777">
        <w:trPr>
          <w:trHeight w:val="280"/>
        </w:trPr>
        <w:tc>
          <w:tcPr>
            <w:tcW w:w="0" w:type="auto"/>
            <w:tcBorders>
              <w:top w:val="single" w:sz="4" w:space="0" w:color="262626"/>
            </w:tcBorders>
            <w:shd w:val="clear" w:color="auto" w:fill="auto"/>
            <w:tcMar>
              <w:top w:w="40" w:type="dxa"/>
              <w:left w:w="20" w:type="dxa"/>
              <w:bottom w:w="40" w:type="dxa"/>
              <w:right w:w="0" w:type="dxa"/>
            </w:tcMar>
            <w:vAlign w:val="bottom"/>
          </w:tcPr>
          <w:p w14:paraId="5A1AFF95"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AFF96" w14:textId="77777777" w:rsidR="00960BB8" w:rsidRDefault="00C06650">
            <w:pPr>
              <w:jc w:val="right"/>
              <w:textAlignment w:val="bottom"/>
            </w:pPr>
            <w:r>
              <w:rPr>
                <w:rFonts w:ascii="Arial" w:eastAsia="宋体" w:hAnsi="Arial" w:cs="Arial"/>
                <w:b/>
                <w:bCs/>
                <w:color w:val="262626"/>
                <w:sz w:val="18"/>
                <w:szCs w:val="18"/>
              </w:rPr>
              <w:t>43,815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F9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98"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AFF99" w14:textId="77777777" w:rsidR="00960BB8" w:rsidRDefault="00C06650">
            <w:pPr>
              <w:textAlignment w:val="bottom"/>
            </w:pPr>
            <w:r>
              <w:rPr>
                <w:rFonts w:ascii="Arial" w:eastAsia="宋体" w:hAnsi="Arial" w:cs="Arial"/>
                <w:b/>
                <w:bCs/>
                <w:color w:val="262626"/>
                <w:sz w:val="18"/>
                <w:szCs w:val="18"/>
              </w:rPr>
              <w:t>2021 Gross Margin</w:t>
            </w:r>
          </w:p>
        </w:tc>
      </w:tr>
      <w:tr w:rsidR="00960BB8" w14:paraId="5A1AFF9F" w14:textId="77777777">
        <w:trPr>
          <w:trHeight w:val="300"/>
        </w:trPr>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AFF9B" w14:textId="77777777" w:rsidR="00960BB8" w:rsidRDefault="00C06650">
            <w:pPr>
              <w:jc w:val="right"/>
              <w:textAlignment w:val="bottom"/>
            </w:pPr>
            <w:r>
              <w:rPr>
                <w:rFonts w:ascii="Arial" w:eastAsia="宋体" w:hAnsi="Arial" w:cs="Arial"/>
                <w:color w:val="262626"/>
                <w:sz w:val="18"/>
                <w:szCs w:val="18"/>
              </w:rPr>
              <w:t>790 </w:t>
            </w:r>
          </w:p>
        </w:tc>
        <w:tc>
          <w:tcPr>
            <w:tcW w:w="0" w:type="auto"/>
            <w:tcBorders>
              <w:top w:val="single" w:sz="4" w:space="0" w:color="262626"/>
            </w:tcBorders>
            <w:shd w:val="clear" w:color="auto" w:fill="auto"/>
            <w:tcMar>
              <w:top w:w="40" w:type="dxa"/>
              <w:left w:w="0" w:type="dxa"/>
              <w:bottom w:w="40" w:type="dxa"/>
              <w:right w:w="20" w:type="dxa"/>
            </w:tcMar>
            <w:vAlign w:val="bottom"/>
          </w:tcPr>
          <w:p w14:paraId="5A1AFF9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9D"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5A1AFF9E" w14:textId="77777777" w:rsidR="00960BB8" w:rsidRDefault="00C06650">
            <w:pPr>
              <w:textAlignment w:val="top"/>
            </w:pPr>
            <w:r>
              <w:rPr>
                <w:rFonts w:ascii="Arial" w:eastAsia="宋体" w:hAnsi="Arial" w:cs="Arial"/>
                <w:color w:val="262626"/>
                <w:sz w:val="18"/>
                <w:szCs w:val="18"/>
              </w:rPr>
              <w:t>Higher gross margin from CCG revenue, driven by desktop revenue partially offset by notebook</w:t>
            </w:r>
          </w:p>
        </w:tc>
      </w:tr>
      <w:tr w:rsidR="00960BB8" w14:paraId="5A1AFFA4" w14:textId="77777777">
        <w:trPr>
          <w:trHeight w:val="280"/>
        </w:trPr>
        <w:tc>
          <w:tcPr>
            <w:tcW w:w="0" w:type="auto"/>
            <w:gridSpan w:val="2"/>
            <w:shd w:val="clear" w:color="auto" w:fill="auto"/>
            <w:tcMar>
              <w:top w:w="40" w:type="dxa"/>
              <w:left w:w="20" w:type="dxa"/>
              <w:bottom w:w="40" w:type="dxa"/>
              <w:right w:w="0" w:type="dxa"/>
            </w:tcMar>
          </w:tcPr>
          <w:p w14:paraId="5A1AFFA0" w14:textId="77777777" w:rsidR="00960BB8" w:rsidRDefault="00C06650">
            <w:pPr>
              <w:jc w:val="right"/>
              <w:textAlignment w:val="top"/>
            </w:pPr>
            <w:r>
              <w:rPr>
                <w:rFonts w:ascii="Arial" w:eastAsia="宋体" w:hAnsi="Arial" w:cs="Arial"/>
                <w:color w:val="262626"/>
                <w:sz w:val="18"/>
                <w:szCs w:val="18"/>
              </w:rPr>
              <w:t>584 </w:t>
            </w:r>
          </w:p>
        </w:tc>
        <w:tc>
          <w:tcPr>
            <w:tcW w:w="0" w:type="auto"/>
            <w:shd w:val="clear" w:color="auto" w:fill="auto"/>
            <w:tcMar>
              <w:top w:w="40" w:type="dxa"/>
              <w:left w:w="0" w:type="dxa"/>
              <w:bottom w:w="40" w:type="dxa"/>
              <w:right w:w="20" w:type="dxa"/>
            </w:tcMar>
          </w:tcPr>
          <w:p w14:paraId="5A1AFFA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A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FA3" w14:textId="77777777" w:rsidR="00960BB8" w:rsidRDefault="00C06650">
            <w:pPr>
              <w:textAlignment w:val="top"/>
            </w:pPr>
            <w:r>
              <w:rPr>
                <w:rFonts w:ascii="Arial" w:eastAsia="宋体" w:hAnsi="Arial" w:cs="Arial"/>
                <w:color w:val="262626"/>
                <w:sz w:val="18"/>
                <w:szCs w:val="18"/>
              </w:rPr>
              <w:t xml:space="preserve">Prepaid </w:t>
            </w:r>
            <w:r>
              <w:rPr>
                <w:rFonts w:ascii="Arial" w:eastAsia="宋体" w:hAnsi="Arial" w:cs="Arial"/>
                <w:color w:val="262626"/>
                <w:sz w:val="18"/>
                <w:szCs w:val="18"/>
              </w:rPr>
              <w:t>customer supply agreement settled and recognized to revenue in Q1 2021</w:t>
            </w:r>
          </w:p>
        </w:tc>
      </w:tr>
      <w:tr w:rsidR="00960BB8" w14:paraId="5A1AFFA9" w14:textId="77777777">
        <w:trPr>
          <w:trHeight w:val="280"/>
        </w:trPr>
        <w:tc>
          <w:tcPr>
            <w:tcW w:w="0" w:type="auto"/>
            <w:gridSpan w:val="2"/>
            <w:shd w:val="clear" w:color="auto" w:fill="auto"/>
            <w:tcMar>
              <w:top w:w="40" w:type="dxa"/>
              <w:left w:w="20" w:type="dxa"/>
              <w:bottom w:w="40" w:type="dxa"/>
              <w:right w:w="0" w:type="dxa"/>
            </w:tcMar>
          </w:tcPr>
          <w:p w14:paraId="5A1AFFA5" w14:textId="77777777" w:rsidR="00960BB8" w:rsidRDefault="00C06650">
            <w:pPr>
              <w:jc w:val="right"/>
              <w:textAlignment w:val="top"/>
            </w:pPr>
            <w:r>
              <w:rPr>
                <w:rFonts w:ascii="Arial" w:eastAsia="宋体" w:hAnsi="Arial" w:cs="Arial"/>
                <w:color w:val="262626"/>
                <w:sz w:val="18"/>
                <w:szCs w:val="18"/>
              </w:rPr>
              <w:t>505 </w:t>
            </w:r>
          </w:p>
        </w:tc>
        <w:tc>
          <w:tcPr>
            <w:tcW w:w="0" w:type="auto"/>
            <w:shd w:val="clear" w:color="auto" w:fill="auto"/>
            <w:tcMar>
              <w:top w:w="40" w:type="dxa"/>
              <w:left w:w="0" w:type="dxa"/>
              <w:bottom w:w="40" w:type="dxa"/>
              <w:right w:w="20" w:type="dxa"/>
            </w:tcMar>
          </w:tcPr>
          <w:p w14:paraId="5A1AFFA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A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FA8" w14:textId="77777777" w:rsidR="00960BB8" w:rsidRDefault="00C06650">
            <w:pPr>
              <w:textAlignment w:val="top"/>
            </w:pPr>
            <w:r>
              <w:rPr>
                <w:rFonts w:ascii="Arial" w:eastAsia="宋体" w:hAnsi="Arial" w:cs="Arial"/>
                <w:color w:val="262626"/>
                <w:sz w:val="18"/>
                <w:szCs w:val="18"/>
              </w:rPr>
              <w:t>Lower unit cost primarily due to cost improvements in 10nm SuperFin</w:t>
            </w:r>
          </w:p>
        </w:tc>
      </w:tr>
      <w:tr w:rsidR="00960BB8" w14:paraId="5A1AFFAE" w14:textId="77777777">
        <w:trPr>
          <w:trHeight w:val="280"/>
        </w:trPr>
        <w:tc>
          <w:tcPr>
            <w:tcW w:w="0" w:type="auto"/>
            <w:gridSpan w:val="2"/>
            <w:shd w:val="clear" w:color="auto" w:fill="auto"/>
            <w:tcMar>
              <w:top w:w="40" w:type="dxa"/>
              <w:left w:w="20" w:type="dxa"/>
              <w:bottom w:w="40" w:type="dxa"/>
              <w:right w:w="0" w:type="dxa"/>
            </w:tcMar>
          </w:tcPr>
          <w:p w14:paraId="5A1AFFAA" w14:textId="77777777" w:rsidR="00960BB8" w:rsidRDefault="00C06650">
            <w:pPr>
              <w:jc w:val="right"/>
              <w:textAlignment w:val="top"/>
            </w:pPr>
            <w:r>
              <w:rPr>
                <w:rFonts w:ascii="Arial" w:eastAsia="宋体" w:hAnsi="Arial" w:cs="Arial"/>
                <w:color w:val="262626"/>
                <w:sz w:val="18"/>
                <w:szCs w:val="18"/>
              </w:rPr>
              <w:t>471 </w:t>
            </w:r>
          </w:p>
        </w:tc>
        <w:tc>
          <w:tcPr>
            <w:tcW w:w="0" w:type="auto"/>
            <w:shd w:val="clear" w:color="auto" w:fill="auto"/>
            <w:tcMar>
              <w:top w:w="40" w:type="dxa"/>
              <w:left w:w="0" w:type="dxa"/>
              <w:bottom w:w="40" w:type="dxa"/>
              <w:right w:w="20" w:type="dxa"/>
            </w:tcMar>
          </w:tcPr>
          <w:p w14:paraId="5A1AFFA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A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AFFAD" w14:textId="77777777" w:rsidR="00960BB8" w:rsidRDefault="00C06650">
            <w:pPr>
              <w:textAlignment w:val="top"/>
            </w:pPr>
            <w:r>
              <w:rPr>
                <w:rFonts w:ascii="Arial" w:eastAsia="宋体" w:hAnsi="Arial" w:cs="Arial"/>
                <w:color w:val="262626"/>
                <w:sz w:val="18"/>
                <w:szCs w:val="18"/>
              </w:rPr>
              <w:t>Higher gross margin related to the NAND memory business</w:t>
            </w:r>
          </w:p>
        </w:tc>
      </w:tr>
      <w:tr w:rsidR="00960BB8" w14:paraId="5A1AFFB3" w14:textId="77777777">
        <w:trPr>
          <w:trHeight w:val="280"/>
        </w:trPr>
        <w:tc>
          <w:tcPr>
            <w:tcW w:w="0" w:type="auto"/>
            <w:gridSpan w:val="2"/>
            <w:shd w:val="clear" w:color="auto" w:fill="auto"/>
            <w:tcMar>
              <w:top w:w="40" w:type="dxa"/>
              <w:left w:w="20" w:type="dxa"/>
              <w:bottom w:w="40" w:type="dxa"/>
              <w:right w:w="0" w:type="dxa"/>
            </w:tcMar>
          </w:tcPr>
          <w:p w14:paraId="5A1AFFAF" w14:textId="77777777" w:rsidR="00960BB8" w:rsidRDefault="00C06650">
            <w:pPr>
              <w:jc w:val="right"/>
              <w:textAlignment w:val="top"/>
            </w:pPr>
            <w:r>
              <w:rPr>
                <w:rFonts w:ascii="Arial" w:eastAsia="宋体" w:hAnsi="Arial" w:cs="Arial"/>
                <w:color w:val="262626"/>
                <w:sz w:val="18"/>
                <w:szCs w:val="18"/>
              </w:rPr>
              <w:t>375 </w:t>
            </w:r>
          </w:p>
        </w:tc>
        <w:tc>
          <w:tcPr>
            <w:tcW w:w="0" w:type="auto"/>
            <w:shd w:val="clear" w:color="auto" w:fill="auto"/>
            <w:tcMar>
              <w:top w:w="40" w:type="dxa"/>
              <w:left w:w="0" w:type="dxa"/>
              <w:bottom w:w="40" w:type="dxa"/>
              <w:right w:w="20" w:type="dxa"/>
            </w:tcMar>
          </w:tcPr>
          <w:p w14:paraId="5A1AFFB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B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FB2" w14:textId="77777777" w:rsidR="00960BB8" w:rsidRDefault="00C06650">
            <w:pPr>
              <w:textAlignment w:val="bottom"/>
            </w:pPr>
            <w:r>
              <w:rPr>
                <w:rFonts w:ascii="Arial" w:eastAsia="宋体" w:hAnsi="Arial" w:cs="Arial"/>
                <w:color w:val="262626"/>
                <w:sz w:val="18"/>
                <w:szCs w:val="18"/>
              </w:rPr>
              <w:t xml:space="preserve">Higher gross margin from DCAI </w:t>
            </w:r>
            <w:r>
              <w:rPr>
                <w:rFonts w:ascii="Arial" w:eastAsia="宋体" w:hAnsi="Arial" w:cs="Arial"/>
                <w:color w:val="262626"/>
                <w:sz w:val="18"/>
                <w:szCs w:val="18"/>
              </w:rPr>
              <w:t>other product revenue</w:t>
            </w:r>
          </w:p>
        </w:tc>
      </w:tr>
      <w:tr w:rsidR="00960BB8" w14:paraId="5A1AFFB8" w14:textId="77777777">
        <w:trPr>
          <w:trHeight w:val="280"/>
        </w:trPr>
        <w:tc>
          <w:tcPr>
            <w:tcW w:w="0" w:type="auto"/>
            <w:gridSpan w:val="2"/>
            <w:shd w:val="clear" w:color="auto" w:fill="auto"/>
            <w:tcMar>
              <w:top w:w="40" w:type="dxa"/>
              <w:left w:w="20" w:type="dxa"/>
              <w:bottom w:w="40" w:type="dxa"/>
              <w:right w:w="0" w:type="dxa"/>
            </w:tcMar>
          </w:tcPr>
          <w:p w14:paraId="5A1AFFB4" w14:textId="77777777" w:rsidR="00960BB8" w:rsidRDefault="00C06650">
            <w:pPr>
              <w:jc w:val="right"/>
              <w:textAlignment w:val="top"/>
            </w:pPr>
            <w:r>
              <w:rPr>
                <w:rFonts w:ascii="Arial" w:eastAsia="宋体" w:hAnsi="Arial" w:cs="Arial"/>
                <w:color w:val="262626"/>
                <w:sz w:val="18"/>
                <w:szCs w:val="18"/>
              </w:rPr>
              <w:t>262 </w:t>
            </w:r>
          </w:p>
        </w:tc>
        <w:tc>
          <w:tcPr>
            <w:tcW w:w="0" w:type="auto"/>
            <w:shd w:val="clear" w:color="auto" w:fill="auto"/>
            <w:tcMar>
              <w:top w:w="40" w:type="dxa"/>
              <w:left w:w="0" w:type="dxa"/>
              <w:bottom w:w="40" w:type="dxa"/>
              <w:right w:w="20" w:type="dxa"/>
            </w:tcMar>
          </w:tcPr>
          <w:p w14:paraId="5A1AFFB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B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FB7" w14:textId="77777777" w:rsidR="00960BB8" w:rsidRDefault="00C06650">
            <w:pPr>
              <w:textAlignment w:val="bottom"/>
            </w:pPr>
            <w:r>
              <w:rPr>
                <w:rFonts w:ascii="Arial" w:eastAsia="宋体" w:hAnsi="Arial" w:cs="Arial"/>
                <w:color w:val="262626"/>
                <w:sz w:val="18"/>
                <w:szCs w:val="18"/>
              </w:rPr>
              <w:t>Lower period charges due to reserve sell through, partially offset by reserves taken in 2021</w:t>
            </w:r>
          </w:p>
        </w:tc>
      </w:tr>
      <w:tr w:rsidR="00960BB8" w14:paraId="5A1AFFBD" w14:textId="77777777">
        <w:trPr>
          <w:trHeight w:val="280"/>
        </w:trPr>
        <w:tc>
          <w:tcPr>
            <w:tcW w:w="0" w:type="auto"/>
            <w:gridSpan w:val="2"/>
            <w:shd w:val="clear" w:color="auto" w:fill="auto"/>
            <w:tcMar>
              <w:top w:w="40" w:type="dxa"/>
              <w:left w:w="20" w:type="dxa"/>
              <w:bottom w:w="40" w:type="dxa"/>
              <w:right w:w="0" w:type="dxa"/>
            </w:tcMar>
          </w:tcPr>
          <w:p w14:paraId="5A1AFFB9" w14:textId="77777777" w:rsidR="00960BB8" w:rsidRDefault="00C06650">
            <w:pPr>
              <w:jc w:val="right"/>
              <w:textAlignment w:val="top"/>
            </w:pPr>
            <w:r>
              <w:rPr>
                <w:rFonts w:ascii="Arial" w:eastAsia="宋体" w:hAnsi="Arial" w:cs="Arial"/>
                <w:color w:val="262626"/>
                <w:sz w:val="18"/>
                <w:szCs w:val="18"/>
              </w:rPr>
              <w:t>215 </w:t>
            </w:r>
          </w:p>
        </w:tc>
        <w:tc>
          <w:tcPr>
            <w:tcW w:w="0" w:type="auto"/>
            <w:shd w:val="clear" w:color="auto" w:fill="auto"/>
            <w:tcMar>
              <w:top w:w="40" w:type="dxa"/>
              <w:left w:w="0" w:type="dxa"/>
              <w:bottom w:w="40" w:type="dxa"/>
              <w:right w:w="20" w:type="dxa"/>
            </w:tcMar>
          </w:tcPr>
          <w:p w14:paraId="5A1AFFB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B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FBC" w14:textId="77777777" w:rsidR="00960BB8" w:rsidRDefault="00C06650">
            <w:pPr>
              <w:textAlignment w:val="bottom"/>
            </w:pPr>
            <w:r>
              <w:rPr>
                <w:rFonts w:ascii="Arial" w:eastAsia="宋体" w:hAnsi="Arial" w:cs="Arial"/>
                <w:color w:val="262626"/>
                <w:sz w:val="18"/>
                <w:szCs w:val="18"/>
              </w:rPr>
              <w:t>Higher gross margin from NEX revenue, primarily driven by Ethernet and Edge</w:t>
            </w:r>
          </w:p>
        </w:tc>
      </w:tr>
      <w:tr w:rsidR="00960BB8" w14:paraId="5A1AFFC2" w14:textId="77777777">
        <w:trPr>
          <w:trHeight w:val="280"/>
        </w:trPr>
        <w:tc>
          <w:tcPr>
            <w:tcW w:w="0" w:type="auto"/>
            <w:gridSpan w:val="2"/>
            <w:shd w:val="clear" w:color="auto" w:fill="auto"/>
            <w:tcMar>
              <w:top w:w="40" w:type="dxa"/>
              <w:left w:w="20" w:type="dxa"/>
              <w:bottom w:w="40" w:type="dxa"/>
              <w:right w:w="0" w:type="dxa"/>
            </w:tcMar>
          </w:tcPr>
          <w:p w14:paraId="5A1AFFBE" w14:textId="77777777" w:rsidR="00960BB8" w:rsidRDefault="00C06650">
            <w:pPr>
              <w:jc w:val="right"/>
              <w:textAlignment w:val="top"/>
            </w:pPr>
            <w:r>
              <w:rPr>
                <w:rFonts w:ascii="Arial" w:eastAsia="宋体" w:hAnsi="Arial" w:cs="Arial"/>
                <w:color w:val="262626"/>
                <w:sz w:val="18"/>
                <w:szCs w:val="18"/>
              </w:rPr>
              <w:t>(1,880)</w:t>
            </w:r>
          </w:p>
        </w:tc>
        <w:tc>
          <w:tcPr>
            <w:tcW w:w="0" w:type="auto"/>
            <w:shd w:val="clear" w:color="auto" w:fill="auto"/>
            <w:tcMar>
              <w:top w:w="40" w:type="dxa"/>
              <w:left w:w="0" w:type="dxa"/>
              <w:bottom w:w="40" w:type="dxa"/>
              <w:right w:w="20" w:type="dxa"/>
            </w:tcMar>
          </w:tcPr>
          <w:p w14:paraId="5A1AFFB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C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FC1" w14:textId="77777777" w:rsidR="00960BB8" w:rsidRDefault="00C06650">
            <w:pPr>
              <w:textAlignment w:val="bottom"/>
            </w:pPr>
            <w:r>
              <w:rPr>
                <w:rFonts w:ascii="Arial" w:eastAsia="宋体" w:hAnsi="Arial" w:cs="Arial"/>
                <w:color w:val="262626"/>
                <w:sz w:val="18"/>
                <w:szCs w:val="18"/>
              </w:rPr>
              <w:t xml:space="preserve">Higher period charges </w:t>
            </w:r>
            <w:r>
              <w:rPr>
                <w:rFonts w:ascii="Arial" w:eastAsia="宋体" w:hAnsi="Arial" w:cs="Arial"/>
                <w:color w:val="262626"/>
                <w:sz w:val="18"/>
                <w:szCs w:val="18"/>
              </w:rPr>
              <w:t>primarily associated with ramp up of Intel 4 and subsequent ramp down of 14nm</w:t>
            </w:r>
          </w:p>
        </w:tc>
      </w:tr>
      <w:tr w:rsidR="00960BB8" w14:paraId="5A1AFFC7" w14:textId="77777777">
        <w:trPr>
          <w:trHeight w:val="280"/>
        </w:trPr>
        <w:tc>
          <w:tcPr>
            <w:tcW w:w="0" w:type="auto"/>
            <w:gridSpan w:val="2"/>
            <w:shd w:val="clear" w:color="auto" w:fill="auto"/>
            <w:tcMar>
              <w:top w:w="40" w:type="dxa"/>
              <w:left w:w="20" w:type="dxa"/>
              <w:bottom w:w="40" w:type="dxa"/>
              <w:right w:w="0" w:type="dxa"/>
            </w:tcMar>
          </w:tcPr>
          <w:p w14:paraId="5A1AFFC3" w14:textId="77777777" w:rsidR="00960BB8" w:rsidRDefault="00C06650">
            <w:pPr>
              <w:jc w:val="right"/>
              <w:textAlignment w:val="top"/>
            </w:pPr>
            <w:r>
              <w:rPr>
                <w:rFonts w:ascii="Arial" w:eastAsia="宋体" w:hAnsi="Arial" w:cs="Arial"/>
                <w:color w:val="262626"/>
                <w:sz w:val="18"/>
                <w:szCs w:val="18"/>
              </w:rPr>
              <w:t>(725)</w:t>
            </w:r>
          </w:p>
        </w:tc>
        <w:tc>
          <w:tcPr>
            <w:tcW w:w="0" w:type="auto"/>
            <w:shd w:val="clear" w:color="auto" w:fill="auto"/>
            <w:tcMar>
              <w:top w:w="40" w:type="dxa"/>
              <w:left w:w="0" w:type="dxa"/>
              <w:bottom w:w="40" w:type="dxa"/>
              <w:right w:w="20" w:type="dxa"/>
            </w:tcMar>
          </w:tcPr>
          <w:p w14:paraId="5A1AFFC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C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FC6" w14:textId="77777777" w:rsidR="00960BB8" w:rsidRDefault="00C06650">
            <w:pPr>
              <w:textAlignment w:val="bottom"/>
            </w:pPr>
            <w:r>
              <w:rPr>
                <w:rFonts w:ascii="Arial" w:eastAsia="宋体" w:hAnsi="Arial" w:cs="Arial"/>
                <w:color w:val="262626"/>
                <w:sz w:val="18"/>
                <w:szCs w:val="18"/>
              </w:rPr>
              <w:t>Lower gross margin from DCAI server revenue</w:t>
            </w:r>
          </w:p>
        </w:tc>
      </w:tr>
      <w:tr w:rsidR="00960BB8" w14:paraId="5A1AFFCC" w14:textId="77777777">
        <w:trPr>
          <w:trHeight w:val="280"/>
        </w:trPr>
        <w:tc>
          <w:tcPr>
            <w:tcW w:w="0" w:type="auto"/>
            <w:gridSpan w:val="2"/>
            <w:shd w:val="clear" w:color="auto" w:fill="auto"/>
            <w:tcMar>
              <w:top w:w="40" w:type="dxa"/>
              <w:left w:w="20" w:type="dxa"/>
              <w:bottom w:w="40" w:type="dxa"/>
              <w:right w:w="0" w:type="dxa"/>
            </w:tcMar>
            <w:vAlign w:val="bottom"/>
          </w:tcPr>
          <w:p w14:paraId="5A1AFFC8" w14:textId="77777777" w:rsidR="00960BB8" w:rsidRDefault="00C06650">
            <w:pPr>
              <w:jc w:val="right"/>
              <w:textAlignment w:val="bottom"/>
            </w:pPr>
            <w:r>
              <w:rPr>
                <w:rFonts w:ascii="Arial" w:eastAsia="宋体" w:hAnsi="Arial" w:cs="Arial"/>
                <w:color w:val="262626"/>
                <w:sz w:val="18"/>
                <w:szCs w:val="18"/>
              </w:rPr>
              <w:t>(394)</w:t>
            </w:r>
          </w:p>
        </w:tc>
        <w:tc>
          <w:tcPr>
            <w:tcW w:w="0" w:type="auto"/>
            <w:shd w:val="clear" w:color="auto" w:fill="auto"/>
            <w:tcMar>
              <w:top w:w="40" w:type="dxa"/>
              <w:left w:w="0" w:type="dxa"/>
              <w:bottom w:w="40" w:type="dxa"/>
              <w:right w:w="20" w:type="dxa"/>
            </w:tcMar>
            <w:vAlign w:val="bottom"/>
          </w:tcPr>
          <w:p w14:paraId="5A1AFFC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C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AFFCB" w14:textId="77777777" w:rsidR="00960BB8" w:rsidRDefault="00C06650">
            <w:pPr>
              <w:textAlignment w:val="bottom"/>
            </w:pPr>
            <w:r>
              <w:rPr>
                <w:rFonts w:ascii="Arial" w:eastAsia="宋体" w:hAnsi="Arial" w:cs="Arial"/>
                <w:color w:val="262626"/>
                <w:sz w:val="18"/>
                <w:szCs w:val="18"/>
              </w:rPr>
              <w:t>Other</w:t>
            </w:r>
          </w:p>
        </w:tc>
      </w:tr>
      <w:tr w:rsidR="00960BB8" w14:paraId="5A1AFFD2" w14:textId="77777777">
        <w:trPr>
          <w:trHeight w:val="280"/>
        </w:trPr>
        <w:tc>
          <w:tcPr>
            <w:tcW w:w="0" w:type="auto"/>
            <w:tcBorders>
              <w:top w:val="single" w:sz="4" w:space="0" w:color="000000"/>
              <w:bottom w:val="single" w:sz="4" w:space="0" w:color="000000"/>
            </w:tcBorders>
            <w:shd w:val="clear" w:color="auto" w:fill="auto"/>
            <w:tcMar>
              <w:top w:w="40" w:type="dxa"/>
              <w:left w:w="20" w:type="dxa"/>
              <w:bottom w:w="40" w:type="dxa"/>
              <w:right w:w="0" w:type="dxa"/>
            </w:tcMar>
          </w:tcPr>
          <w:p w14:paraId="5A1AFFCD" w14:textId="77777777" w:rsidR="00960BB8" w:rsidRDefault="00C06650">
            <w:pPr>
              <w:textAlignment w:val="top"/>
            </w:pPr>
            <w:r>
              <w:rPr>
                <w:rFonts w:ascii="Arial" w:eastAsia="宋体" w:hAnsi="Arial" w:cs="Arial"/>
                <w:b/>
                <w:bCs/>
                <w:color w:val="262626"/>
                <w:sz w:val="18"/>
                <w:szCs w:val="18"/>
              </w:rPr>
              <w:t>$</w:t>
            </w:r>
          </w:p>
        </w:tc>
        <w:tc>
          <w:tcPr>
            <w:tcW w:w="0" w:type="auto"/>
            <w:tcBorders>
              <w:top w:val="single" w:sz="4" w:space="0" w:color="000000"/>
              <w:bottom w:val="single" w:sz="4" w:space="0" w:color="000000"/>
            </w:tcBorders>
            <w:shd w:val="clear" w:color="auto" w:fill="auto"/>
            <w:tcMar>
              <w:top w:w="40" w:type="dxa"/>
              <w:left w:w="0" w:type="dxa"/>
              <w:bottom w:w="40" w:type="dxa"/>
              <w:right w:w="0" w:type="dxa"/>
            </w:tcMar>
          </w:tcPr>
          <w:p w14:paraId="5A1AFFCE" w14:textId="77777777" w:rsidR="00960BB8" w:rsidRDefault="00C06650">
            <w:pPr>
              <w:jc w:val="right"/>
              <w:textAlignment w:val="top"/>
            </w:pPr>
            <w:r>
              <w:rPr>
                <w:rFonts w:ascii="Arial" w:eastAsia="宋体" w:hAnsi="Arial" w:cs="Arial"/>
                <w:b/>
                <w:bCs/>
                <w:color w:val="262626"/>
                <w:sz w:val="18"/>
                <w:szCs w:val="18"/>
              </w:rPr>
              <w:t>43,612</w:t>
            </w:r>
            <w:r>
              <w:rPr>
                <w:rFonts w:ascii="Arial" w:eastAsia="宋体" w:hAnsi="Arial" w:cs="Arial"/>
                <w:color w:val="262626"/>
                <w:sz w:val="18"/>
                <w:szCs w:val="18"/>
              </w:rPr>
              <w:t> </w:t>
            </w:r>
          </w:p>
        </w:tc>
        <w:tc>
          <w:tcPr>
            <w:tcW w:w="0" w:type="auto"/>
            <w:tcBorders>
              <w:top w:val="single" w:sz="4" w:space="0" w:color="000000"/>
              <w:bottom w:val="single" w:sz="4" w:space="0" w:color="000000"/>
            </w:tcBorders>
            <w:shd w:val="clear" w:color="auto" w:fill="auto"/>
            <w:tcMar>
              <w:top w:w="40" w:type="dxa"/>
              <w:left w:w="0" w:type="dxa"/>
              <w:bottom w:w="40" w:type="dxa"/>
              <w:right w:w="20" w:type="dxa"/>
            </w:tcMar>
          </w:tcPr>
          <w:p w14:paraId="5A1AFFC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AFFD0" w14:textId="77777777" w:rsidR="00960BB8" w:rsidRDefault="00960BB8">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5A1AFFD1" w14:textId="77777777" w:rsidR="00960BB8" w:rsidRDefault="00C06650">
            <w:pPr>
              <w:textAlignment w:val="bottom"/>
            </w:pPr>
            <w:r>
              <w:rPr>
                <w:rFonts w:ascii="Arial" w:eastAsia="宋体" w:hAnsi="Arial" w:cs="Arial"/>
                <w:b/>
                <w:bCs/>
                <w:color w:val="262626"/>
                <w:sz w:val="18"/>
                <w:szCs w:val="18"/>
              </w:rPr>
              <w:t>2020 Gross Margin</w:t>
            </w:r>
          </w:p>
        </w:tc>
      </w:tr>
    </w:tbl>
    <w:p w14:paraId="5A1AFFD3"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AFFDD" w14:textId="77777777">
        <w:tc>
          <w:tcPr>
            <w:tcW w:w="50" w:type="pct"/>
            <w:shd w:val="clear" w:color="auto" w:fill="auto"/>
            <w:vAlign w:val="bottom"/>
          </w:tcPr>
          <w:p w14:paraId="5A1AFFD4" w14:textId="77777777" w:rsidR="00960BB8" w:rsidRDefault="00960BB8">
            <w:pPr>
              <w:rPr>
                <w:rFonts w:ascii="宋体"/>
              </w:rPr>
            </w:pPr>
          </w:p>
        </w:tc>
        <w:tc>
          <w:tcPr>
            <w:tcW w:w="283" w:type="pct"/>
            <w:shd w:val="clear" w:color="auto" w:fill="auto"/>
            <w:vAlign w:val="bottom"/>
          </w:tcPr>
          <w:p w14:paraId="5A1AFFD5" w14:textId="77777777" w:rsidR="00960BB8" w:rsidRDefault="00960BB8">
            <w:pPr>
              <w:rPr>
                <w:rFonts w:ascii="宋体"/>
              </w:rPr>
            </w:pPr>
          </w:p>
        </w:tc>
        <w:tc>
          <w:tcPr>
            <w:tcW w:w="5" w:type="pct"/>
            <w:shd w:val="clear" w:color="auto" w:fill="auto"/>
            <w:vAlign w:val="bottom"/>
          </w:tcPr>
          <w:p w14:paraId="5A1AFFD6" w14:textId="77777777" w:rsidR="00960BB8" w:rsidRDefault="00960BB8">
            <w:pPr>
              <w:rPr>
                <w:rFonts w:ascii="宋体"/>
              </w:rPr>
            </w:pPr>
          </w:p>
        </w:tc>
        <w:tc>
          <w:tcPr>
            <w:tcW w:w="50" w:type="pct"/>
            <w:shd w:val="clear" w:color="auto" w:fill="auto"/>
            <w:vAlign w:val="bottom"/>
          </w:tcPr>
          <w:p w14:paraId="5A1AFFD7" w14:textId="77777777" w:rsidR="00960BB8" w:rsidRDefault="00960BB8">
            <w:pPr>
              <w:rPr>
                <w:rFonts w:ascii="宋体"/>
              </w:rPr>
            </w:pPr>
          </w:p>
        </w:tc>
        <w:tc>
          <w:tcPr>
            <w:tcW w:w="2656" w:type="pct"/>
            <w:shd w:val="clear" w:color="auto" w:fill="auto"/>
            <w:vAlign w:val="bottom"/>
          </w:tcPr>
          <w:p w14:paraId="5A1AFFD8" w14:textId="77777777" w:rsidR="00960BB8" w:rsidRDefault="00960BB8">
            <w:pPr>
              <w:rPr>
                <w:rFonts w:ascii="宋体"/>
              </w:rPr>
            </w:pPr>
          </w:p>
        </w:tc>
        <w:tc>
          <w:tcPr>
            <w:tcW w:w="5" w:type="pct"/>
            <w:shd w:val="clear" w:color="auto" w:fill="auto"/>
            <w:vAlign w:val="bottom"/>
          </w:tcPr>
          <w:p w14:paraId="5A1AFFD9" w14:textId="77777777" w:rsidR="00960BB8" w:rsidRDefault="00960BB8">
            <w:pPr>
              <w:rPr>
                <w:rFonts w:ascii="宋体"/>
              </w:rPr>
            </w:pPr>
          </w:p>
        </w:tc>
        <w:tc>
          <w:tcPr>
            <w:tcW w:w="50" w:type="pct"/>
            <w:shd w:val="clear" w:color="auto" w:fill="auto"/>
            <w:vAlign w:val="bottom"/>
          </w:tcPr>
          <w:p w14:paraId="5A1AFFDA" w14:textId="77777777" w:rsidR="00960BB8" w:rsidRDefault="00960BB8">
            <w:pPr>
              <w:rPr>
                <w:rFonts w:ascii="宋体"/>
              </w:rPr>
            </w:pPr>
          </w:p>
        </w:tc>
        <w:tc>
          <w:tcPr>
            <w:tcW w:w="1894" w:type="pct"/>
            <w:shd w:val="clear" w:color="auto" w:fill="auto"/>
            <w:vAlign w:val="bottom"/>
          </w:tcPr>
          <w:p w14:paraId="5A1AFFDB" w14:textId="77777777" w:rsidR="00960BB8" w:rsidRDefault="00960BB8">
            <w:pPr>
              <w:rPr>
                <w:rFonts w:ascii="宋体"/>
              </w:rPr>
            </w:pPr>
          </w:p>
        </w:tc>
        <w:tc>
          <w:tcPr>
            <w:tcW w:w="5" w:type="pct"/>
            <w:shd w:val="clear" w:color="auto" w:fill="auto"/>
            <w:vAlign w:val="bottom"/>
          </w:tcPr>
          <w:p w14:paraId="5A1AFFDC" w14:textId="77777777" w:rsidR="00960BB8" w:rsidRDefault="00960BB8">
            <w:pPr>
              <w:rPr>
                <w:rFonts w:ascii="宋体"/>
              </w:rPr>
            </w:pPr>
          </w:p>
        </w:tc>
      </w:tr>
      <w:tr w:rsidR="00960BB8" w14:paraId="5A1AFFE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AFFDE"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F7" wp14:editId="5A1B43F8">
                  <wp:extent cx="304800" cy="304800"/>
                  <wp:effectExtent l="0" t="0" r="0" b="0"/>
                  <wp:docPr id="161" name="图片 16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8"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FDF"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AFFE0" w14:textId="77777777" w:rsidR="00960BB8" w:rsidRDefault="00C06650">
            <w:pPr>
              <w:jc w:val="right"/>
              <w:textAlignment w:val="center"/>
            </w:pPr>
            <w:r>
              <w:rPr>
                <w:rFonts w:ascii="Arial" w:eastAsia="宋体" w:hAnsi="Arial" w:cs="Arial"/>
                <w:color w:val="262626"/>
                <w:sz w:val="16"/>
                <w:szCs w:val="16"/>
              </w:rPr>
              <w:t>41</w:t>
            </w:r>
          </w:p>
        </w:tc>
      </w:tr>
    </w:tbl>
    <w:p w14:paraId="5A1AFFE2" w14:textId="77777777" w:rsidR="00960BB8" w:rsidRDefault="00C06650">
      <w:r>
        <w:pict w14:anchorId="5A1B43F9">
          <v:rect id="_x0000_i1067" style="width:415.3pt;height:1.5pt" o:hralign="center" o:hrstd="t" o:hr="t" fillcolor="#a0a0a0" stroked="f"/>
        </w:pict>
      </w:r>
    </w:p>
    <w:p w14:paraId="5A1AFFE3" w14:textId="77777777" w:rsidR="00960BB8" w:rsidRDefault="00C06650">
      <w:pPr>
        <w:jc w:val="right"/>
      </w:pPr>
      <w:hyperlink r:id="rId60" w:anchor="i8aaa7b4dbd2e419ca0f5c30af85a11aa_16" w:history="1">
        <w:r>
          <w:rPr>
            <w:rStyle w:val="a5"/>
            <w:rFonts w:ascii="Arial" w:eastAsia="宋体" w:hAnsi="Arial" w:cs="Arial"/>
            <w:b/>
            <w:bCs/>
            <w:sz w:val="16"/>
            <w:szCs w:val="16"/>
          </w:rPr>
          <w:t>Table of Contents</w:t>
        </w:r>
      </w:hyperlink>
    </w:p>
    <w:p w14:paraId="5A1AFFE4" w14:textId="77777777" w:rsidR="00960BB8" w:rsidRDefault="00960BB8">
      <w:pPr>
        <w:jc w:val="right"/>
      </w:pPr>
    </w:p>
    <w:p w14:paraId="5A1AFFE5" w14:textId="77777777" w:rsidR="00960BB8" w:rsidRDefault="00C06650">
      <w:pPr>
        <w:spacing w:after="180"/>
      </w:pPr>
      <w:r>
        <w:rPr>
          <w:rFonts w:ascii="Arial" w:eastAsia="宋体" w:hAnsi="Arial" w:cs="Arial"/>
          <w:color w:val="262626"/>
          <w:sz w:val="18"/>
          <w:szCs w:val="18"/>
        </w:rPr>
        <w:t xml:space="preserve">In 2022, we made, and in the next several years we expect to continue to make, </w:t>
      </w:r>
      <w:r>
        <w:rPr>
          <w:rFonts w:ascii="Arial" w:eastAsia="宋体" w:hAnsi="Arial" w:cs="Arial"/>
          <w:color w:val="262626"/>
          <w:sz w:val="18"/>
          <w:szCs w:val="18"/>
        </w:rPr>
        <w:t>capital investments in furtherance of our IDM 2.0 strategy. As of December 31, 2022, our capital investments classified as construction in progress totaled $36.7 billion. These assets are ready for use but have not yet been placed into service and have not</w:t>
      </w:r>
      <w:r>
        <w:rPr>
          <w:rFonts w:ascii="Arial" w:eastAsia="宋体" w:hAnsi="Arial" w:cs="Arial"/>
          <w:color w:val="262626"/>
          <w:sz w:val="18"/>
          <w:szCs w:val="18"/>
        </w:rPr>
        <w:t xml:space="preserve"> yet begun depreciating. As these construction in progress assets are placed into service, we expect to incur depreciation expense that impacts future production costs and, ultimately, cost of sales. To the extent we are unable to grow our revenues to offs</w:t>
      </w:r>
      <w:r>
        <w:rPr>
          <w:rFonts w:ascii="Arial" w:eastAsia="宋体" w:hAnsi="Arial" w:cs="Arial"/>
          <w:color w:val="262626"/>
          <w:sz w:val="18"/>
          <w:szCs w:val="18"/>
        </w:rPr>
        <w:t>et these production costs, our gross margin and operating income will be unfavorably affected. Additionally, we could incur asset impairments on property, plant and equipment assets if our IDM 2.0 strategy is not successful.</w:t>
      </w:r>
    </w:p>
    <w:p w14:paraId="5A1AFFE6" w14:textId="77777777" w:rsidR="00960BB8" w:rsidRDefault="00C06650">
      <w:pPr>
        <w:spacing w:after="180"/>
      </w:pPr>
      <w:r>
        <w:rPr>
          <w:rFonts w:ascii="Arial" w:eastAsia="宋体" w:hAnsi="Arial" w:cs="Arial"/>
          <w:color w:val="262626"/>
          <w:sz w:val="18"/>
          <w:szCs w:val="18"/>
        </w:rPr>
        <w:t>Effective January 2023, we incr</w:t>
      </w:r>
      <w:r>
        <w:rPr>
          <w:rFonts w:ascii="Arial" w:eastAsia="宋体" w:hAnsi="Arial" w:cs="Arial"/>
          <w:color w:val="262626"/>
          <w:sz w:val="18"/>
          <w:szCs w:val="18"/>
        </w:rPr>
        <w:t>eased the estimated useful life of certain production machinery and equipment from 5 years to 8 years. We made this change to better reflect the economic value of our machinery and equipment over time. We considered several factors in making this determina</w:t>
      </w:r>
      <w:r>
        <w:rPr>
          <w:rFonts w:ascii="Arial" w:eastAsia="宋体" w:hAnsi="Arial" w:cs="Arial"/>
          <w:color w:val="262626"/>
          <w:sz w:val="18"/>
          <w:szCs w:val="18"/>
        </w:rPr>
        <w:t>tion, including current usage and expected re-use of machinery and equipment, changes in machinery and equipment technology, future planned cadence between node transitions, a shift to longer duration on trailing-edge technologies, and overall changes in o</w:t>
      </w:r>
      <w:r>
        <w:rPr>
          <w:rFonts w:ascii="Arial" w:eastAsia="宋体" w:hAnsi="Arial" w:cs="Arial"/>
          <w:color w:val="262626"/>
          <w:sz w:val="18"/>
          <w:szCs w:val="18"/>
        </w:rPr>
        <w:t>ur technology roadmap. Our analysis supported a change in useful life and is consistent with the execution of our IDM 2.0 strategy. This change in estimate will be applied prospectively beginning Q1 2023. When compared to the estimated useful life in place</w:t>
      </w:r>
      <w:r>
        <w:rPr>
          <w:rFonts w:ascii="Arial" w:eastAsia="宋体" w:hAnsi="Arial" w:cs="Arial"/>
          <w:color w:val="262626"/>
          <w:sz w:val="18"/>
          <w:szCs w:val="18"/>
        </w:rPr>
        <w:t xml:space="preserve"> as of the end of 2022, we expect total depreciation expense in 2023 to be reduced by as much as $4.2 billion. We expect this change will result in an approximately $2.6 billion increase to gross margin, a $400 million decrease in R&amp;D expenses, and a $1.2 </w:t>
      </w:r>
      <w:r>
        <w:rPr>
          <w:rFonts w:ascii="Arial" w:eastAsia="宋体" w:hAnsi="Arial" w:cs="Arial"/>
          <w:color w:val="262626"/>
          <w:sz w:val="18"/>
          <w:szCs w:val="18"/>
        </w:rPr>
        <w:t>billion decrease in ending inventory values.</w:t>
      </w:r>
    </w:p>
    <w:p w14:paraId="5A1AFFE7" w14:textId="77777777" w:rsidR="00960BB8" w:rsidRDefault="00960BB8"/>
    <w:p w14:paraId="5A1AFFE8" w14:textId="77777777" w:rsidR="00960BB8" w:rsidRDefault="00C06650">
      <w:pPr>
        <w:spacing w:after="180"/>
      </w:pPr>
      <w:r>
        <w:rPr>
          <w:rFonts w:ascii="Arial" w:eastAsia="宋体" w:hAnsi="Arial" w:cs="Arial"/>
          <w:color w:val="0068B5"/>
          <w:sz w:val="28"/>
          <w:szCs w:val="28"/>
        </w:rPr>
        <w:t>Operating Expenses</w:t>
      </w:r>
    </w:p>
    <w:p w14:paraId="5A1AFFE9" w14:textId="77777777" w:rsidR="00960BB8" w:rsidRDefault="00C06650">
      <w:pPr>
        <w:spacing w:after="180"/>
      </w:pPr>
      <w:r>
        <w:rPr>
          <w:rFonts w:ascii="Arial" w:eastAsia="宋体" w:hAnsi="Arial" w:cs="Arial"/>
          <w:color w:val="262626"/>
          <w:sz w:val="18"/>
          <w:szCs w:val="18"/>
        </w:rPr>
        <w:t>Total R&amp;D and MG&amp;A expenses for 2022 were $24.5 billion, up 13% compared to 2021. These expenses represent 38.9% of revenue for 2022 and 27.5% of revenue for 2021. In support of our strategy,</w:t>
      </w:r>
      <w:r>
        <w:rPr>
          <w:rFonts w:ascii="Arial" w:eastAsia="宋体" w:hAnsi="Arial" w:cs="Arial"/>
          <w:color w:val="262626"/>
          <w:sz w:val="18"/>
          <w:szCs w:val="18"/>
        </w:rPr>
        <w:t xml:space="preserve"> we continue to make significant investments to accelerate our process technology roadmap. This requires increased investments in R&amp;D and continued focused efforts to attract and retain talent. In the second half of 2022, we implemented certain cost-cuttin</w:t>
      </w:r>
      <w:r>
        <w:rPr>
          <w:rFonts w:ascii="Arial" w:eastAsia="宋体" w:hAnsi="Arial" w:cs="Arial"/>
          <w:color w:val="262626"/>
          <w:sz w:val="18"/>
          <w:szCs w:val="18"/>
        </w:rPr>
        <w:t xml:space="preserve">g measures, including a slower pace of hiring and other restructuring actions, while at the same time continued to improve our product execution in response to the continued decline in the broader macroeconomic environment. </w:t>
      </w:r>
    </w:p>
    <w:tbl>
      <w:tblPr>
        <w:tblW w:w="10980" w:type="dxa"/>
        <w:tblCellMar>
          <w:top w:w="15" w:type="dxa"/>
          <w:left w:w="15" w:type="dxa"/>
          <w:bottom w:w="15" w:type="dxa"/>
          <w:right w:w="15" w:type="dxa"/>
        </w:tblCellMar>
        <w:tblLook w:val="04A0" w:firstRow="1" w:lastRow="0" w:firstColumn="1" w:lastColumn="0" w:noHBand="0" w:noVBand="1"/>
      </w:tblPr>
      <w:tblGrid>
        <w:gridCol w:w="36"/>
        <w:gridCol w:w="5356"/>
        <w:gridCol w:w="36"/>
        <w:gridCol w:w="36"/>
        <w:gridCol w:w="36"/>
        <w:gridCol w:w="36"/>
        <w:gridCol w:w="36"/>
        <w:gridCol w:w="5372"/>
        <w:gridCol w:w="36"/>
      </w:tblGrid>
      <w:tr w:rsidR="00960BB8" w14:paraId="5A1AFFF3" w14:textId="77777777">
        <w:tc>
          <w:tcPr>
            <w:tcW w:w="20" w:type="dxa"/>
            <w:shd w:val="clear" w:color="auto" w:fill="auto"/>
            <w:vAlign w:val="bottom"/>
          </w:tcPr>
          <w:p w14:paraId="5A1AFFEA" w14:textId="77777777" w:rsidR="00960BB8" w:rsidRDefault="00960BB8">
            <w:pPr>
              <w:rPr>
                <w:rFonts w:ascii="宋体"/>
              </w:rPr>
            </w:pPr>
          </w:p>
        </w:tc>
        <w:tc>
          <w:tcPr>
            <w:tcW w:w="5405" w:type="dxa"/>
            <w:shd w:val="clear" w:color="auto" w:fill="auto"/>
            <w:vAlign w:val="bottom"/>
          </w:tcPr>
          <w:p w14:paraId="5A1AFFEB" w14:textId="77777777" w:rsidR="00960BB8" w:rsidRDefault="00960BB8">
            <w:pPr>
              <w:rPr>
                <w:rFonts w:ascii="宋体"/>
              </w:rPr>
            </w:pPr>
          </w:p>
        </w:tc>
        <w:tc>
          <w:tcPr>
            <w:tcW w:w="20" w:type="dxa"/>
            <w:shd w:val="clear" w:color="auto" w:fill="auto"/>
            <w:vAlign w:val="bottom"/>
          </w:tcPr>
          <w:p w14:paraId="5A1AFFEC" w14:textId="77777777" w:rsidR="00960BB8" w:rsidRDefault="00960BB8">
            <w:pPr>
              <w:rPr>
                <w:rFonts w:ascii="宋体"/>
              </w:rPr>
            </w:pPr>
          </w:p>
        </w:tc>
        <w:tc>
          <w:tcPr>
            <w:tcW w:w="20" w:type="dxa"/>
            <w:shd w:val="clear" w:color="auto" w:fill="auto"/>
            <w:vAlign w:val="bottom"/>
          </w:tcPr>
          <w:p w14:paraId="5A1AFFED" w14:textId="77777777" w:rsidR="00960BB8" w:rsidRDefault="00960BB8">
            <w:pPr>
              <w:rPr>
                <w:rFonts w:ascii="宋体"/>
              </w:rPr>
            </w:pPr>
          </w:p>
        </w:tc>
        <w:tc>
          <w:tcPr>
            <w:tcW w:w="35" w:type="dxa"/>
            <w:shd w:val="clear" w:color="auto" w:fill="auto"/>
            <w:vAlign w:val="bottom"/>
          </w:tcPr>
          <w:p w14:paraId="5A1AFFEE" w14:textId="77777777" w:rsidR="00960BB8" w:rsidRDefault="00960BB8">
            <w:pPr>
              <w:rPr>
                <w:rFonts w:ascii="宋体"/>
              </w:rPr>
            </w:pPr>
          </w:p>
        </w:tc>
        <w:tc>
          <w:tcPr>
            <w:tcW w:w="20" w:type="dxa"/>
            <w:shd w:val="clear" w:color="auto" w:fill="auto"/>
            <w:vAlign w:val="bottom"/>
          </w:tcPr>
          <w:p w14:paraId="5A1AFFEF" w14:textId="77777777" w:rsidR="00960BB8" w:rsidRDefault="00960BB8">
            <w:pPr>
              <w:rPr>
                <w:rFonts w:ascii="宋体"/>
              </w:rPr>
            </w:pPr>
          </w:p>
        </w:tc>
        <w:tc>
          <w:tcPr>
            <w:tcW w:w="20" w:type="dxa"/>
            <w:shd w:val="clear" w:color="auto" w:fill="auto"/>
            <w:vAlign w:val="bottom"/>
          </w:tcPr>
          <w:p w14:paraId="5A1AFFF0" w14:textId="77777777" w:rsidR="00960BB8" w:rsidRDefault="00960BB8">
            <w:pPr>
              <w:rPr>
                <w:rFonts w:ascii="宋体"/>
              </w:rPr>
            </w:pPr>
          </w:p>
        </w:tc>
        <w:tc>
          <w:tcPr>
            <w:tcW w:w="5420" w:type="dxa"/>
            <w:shd w:val="clear" w:color="auto" w:fill="auto"/>
            <w:vAlign w:val="bottom"/>
          </w:tcPr>
          <w:p w14:paraId="5A1AFFF1" w14:textId="77777777" w:rsidR="00960BB8" w:rsidRDefault="00960BB8">
            <w:pPr>
              <w:rPr>
                <w:rFonts w:ascii="宋体"/>
              </w:rPr>
            </w:pPr>
          </w:p>
        </w:tc>
        <w:tc>
          <w:tcPr>
            <w:tcW w:w="20" w:type="dxa"/>
            <w:shd w:val="clear" w:color="auto" w:fill="auto"/>
            <w:vAlign w:val="bottom"/>
          </w:tcPr>
          <w:p w14:paraId="5A1AFFF2" w14:textId="77777777" w:rsidR="00960BB8" w:rsidRDefault="00960BB8">
            <w:pPr>
              <w:rPr>
                <w:rFonts w:ascii="宋体"/>
              </w:rPr>
            </w:pPr>
          </w:p>
        </w:tc>
      </w:tr>
      <w:tr w:rsidR="00960BB8" w14:paraId="5A1AFFF7" w14:textId="77777777">
        <w:trPr>
          <w:trHeight w:val="280"/>
        </w:trPr>
        <w:tc>
          <w:tcPr>
            <w:tcW w:w="0" w:type="auto"/>
            <w:gridSpan w:val="3"/>
            <w:shd w:val="clear" w:color="auto" w:fill="auto"/>
            <w:tcMar>
              <w:top w:w="40" w:type="dxa"/>
              <w:left w:w="20" w:type="dxa"/>
              <w:bottom w:w="40" w:type="dxa"/>
              <w:right w:w="20" w:type="dxa"/>
            </w:tcMar>
            <w:vAlign w:val="bottom"/>
          </w:tcPr>
          <w:p w14:paraId="5A1AFFF4" w14:textId="77777777" w:rsidR="00960BB8" w:rsidRDefault="00C06650">
            <w:pPr>
              <w:jc w:val="center"/>
              <w:textAlignment w:val="bottom"/>
            </w:pPr>
            <w:r>
              <w:rPr>
                <w:rFonts w:ascii="Arial" w:eastAsia="宋体" w:hAnsi="Arial" w:cs="Arial"/>
                <w:color w:val="0068B5"/>
                <w:sz w:val="20"/>
                <w:szCs w:val="20"/>
              </w:rPr>
              <w:t xml:space="preserve">Research and </w:t>
            </w:r>
            <w:r>
              <w:rPr>
                <w:rFonts w:ascii="Arial" w:eastAsia="宋体" w:hAnsi="Arial" w:cs="Arial"/>
                <w:color w:val="0068B5"/>
                <w:sz w:val="20"/>
                <w:szCs w:val="20"/>
              </w:rPr>
              <w:t>Development $B</w:t>
            </w:r>
          </w:p>
        </w:tc>
        <w:tc>
          <w:tcPr>
            <w:tcW w:w="0" w:type="auto"/>
            <w:gridSpan w:val="3"/>
            <w:shd w:val="clear" w:color="auto" w:fill="auto"/>
            <w:tcMar>
              <w:top w:w="0" w:type="dxa"/>
              <w:left w:w="20" w:type="dxa"/>
              <w:bottom w:w="0" w:type="dxa"/>
              <w:right w:w="20" w:type="dxa"/>
            </w:tcMar>
            <w:vAlign w:val="bottom"/>
          </w:tcPr>
          <w:p w14:paraId="5A1AFFF5" w14:textId="77777777" w:rsidR="00960BB8" w:rsidRDefault="00960BB8">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AFFF6" w14:textId="77777777" w:rsidR="00960BB8" w:rsidRDefault="00C06650">
            <w:pPr>
              <w:jc w:val="center"/>
              <w:textAlignment w:val="bottom"/>
            </w:pPr>
            <w:r>
              <w:rPr>
                <w:rFonts w:ascii="Arial" w:eastAsia="宋体" w:hAnsi="Arial" w:cs="Arial"/>
                <w:color w:val="0068B5"/>
                <w:sz w:val="20"/>
                <w:szCs w:val="20"/>
              </w:rPr>
              <w:t>Marketing, General and Administrative $B</w:t>
            </w:r>
          </w:p>
        </w:tc>
      </w:tr>
      <w:tr w:rsidR="00960BB8" w14:paraId="5A1AFFF9" w14:textId="77777777">
        <w:trPr>
          <w:trHeight w:val="280"/>
        </w:trPr>
        <w:tc>
          <w:tcPr>
            <w:tcW w:w="0" w:type="auto"/>
            <w:gridSpan w:val="9"/>
            <w:tcBorders>
              <w:top w:val="single" w:sz="4" w:space="0" w:color="262626"/>
            </w:tcBorders>
            <w:shd w:val="clear" w:color="auto" w:fill="auto"/>
            <w:tcMar>
              <w:top w:w="40" w:type="dxa"/>
              <w:left w:w="20" w:type="dxa"/>
              <w:bottom w:w="40" w:type="dxa"/>
              <w:right w:w="20" w:type="dxa"/>
            </w:tcMar>
            <w:vAlign w:val="bottom"/>
          </w:tcPr>
          <w:p w14:paraId="5A1AFFF8" w14:textId="77777777" w:rsidR="00960BB8" w:rsidRDefault="00C06650">
            <w:pPr>
              <w:jc w:val="center"/>
              <w:textAlignment w:val="bottom"/>
            </w:pPr>
            <w:r>
              <w:rPr>
                <w:rFonts w:ascii="Arial" w:eastAsia="宋体" w:hAnsi="Arial" w:cs="Arial"/>
                <w:color w:val="262626"/>
                <w:sz w:val="16"/>
                <w:szCs w:val="16"/>
              </w:rPr>
              <w:t>(Percentages indicate expenses as a percentage of total revenue)</w:t>
            </w:r>
          </w:p>
        </w:tc>
      </w:tr>
    </w:tbl>
    <w:p w14:paraId="5A1AFFFA" w14:textId="77777777" w:rsidR="00960BB8" w:rsidRDefault="00C06650">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Viewer_files/intc-20221231_g56.jpg"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FA" wp14:editId="5A1B43FB">
            <wp:extent cx="304800" cy="304800"/>
            <wp:effectExtent l="0" t="0" r="0" b="0"/>
            <wp:docPr id="15" name="图片 170"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0" descr="IMG_34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Viewer_files/intc-2022123</w:instrText>
      </w:r>
      <w:r>
        <w:rPr>
          <w:rFonts w:ascii="宋体" w:eastAsia="宋体" w:hAnsi="宋体" w:cs="宋体"/>
        </w:rPr>
        <w:instrText xml:space="preserve">1_g57.jpg"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FC" wp14:editId="5A1B43FD">
            <wp:extent cx="304800" cy="304800"/>
            <wp:effectExtent l="0" t="0" r="0" b="0"/>
            <wp:docPr id="220" name="图片 171"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71" descr="IMG_35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004" w14:textId="77777777">
        <w:tc>
          <w:tcPr>
            <w:tcW w:w="50" w:type="pct"/>
            <w:shd w:val="clear" w:color="auto" w:fill="auto"/>
            <w:vAlign w:val="bottom"/>
          </w:tcPr>
          <w:p w14:paraId="5A1AFFFB" w14:textId="77777777" w:rsidR="00960BB8" w:rsidRDefault="00960BB8">
            <w:pPr>
              <w:rPr>
                <w:rFonts w:ascii="宋体"/>
              </w:rPr>
            </w:pPr>
          </w:p>
        </w:tc>
        <w:tc>
          <w:tcPr>
            <w:tcW w:w="283" w:type="pct"/>
            <w:shd w:val="clear" w:color="auto" w:fill="auto"/>
            <w:vAlign w:val="bottom"/>
          </w:tcPr>
          <w:p w14:paraId="5A1AFFFC" w14:textId="77777777" w:rsidR="00960BB8" w:rsidRDefault="00960BB8">
            <w:pPr>
              <w:rPr>
                <w:rFonts w:ascii="宋体"/>
              </w:rPr>
            </w:pPr>
          </w:p>
        </w:tc>
        <w:tc>
          <w:tcPr>
            <w:tcW w:w="5" w:type="pct"/>
            <w:shd w:val="clear" w:color="auto" w:fill="auto"/>
            <w:vAlign w:val="bottom"/>
          </w:tcPr>
          <w:p w14:paraId="5A1AFFFD" w14:textId="77777777" w:rsidR="00960BB8" w:rsidRDefault="00960BB8">
            <w:pPr>
              <w:rPr>
                <w:rFonts w:ascii="宋体"/>
              </w:rPr>
            </w:pPr>
          </w:p>
        </w:tc>
        <w:tc>
          <w:tcPr>
            <w:tcW w:w="50" w:type="pct"/>
            <w:shd w:val="clear" w:color="auto" w:fill="auto"/>
            <w:vAlign w:val="bottom"/>
          </w:tcPr>
          <w:p w14:paraId="5A1AFFFE" w14:textId="77777777" w:rsidR="00960BB8" w:rsidRDefault="00960BB8">
            <w:pPr>
              <w:rPr>
                <w:rFonts w:ascii="宋体"/>
              </w:rPr>
            </w:pPr>
          </w:p>
        </w:tc>
        <w:tc>
          <w:tcPr>
            <w:tcW w:w="2656" w:type="pct"/>
            <w:shd w:val="clear" w:color="auto" w:fill="auto"/>
            <w:vAlign w:val="bottom"/>
          </w:tcPr>
          <w:p w14:paraId="5A1AFFFF" w14:textId="77777777" w:rsidR="00960BB8" w:rsidRDefault="00960BB8">
            <w:pPr>
              <w:rPr>
                <w:rFonts w:ascii="宋体"/>
              </w:rPr>
            </w:pPr>
          </w:p>
        </w:tc>
        <w:tc>
          <w:tcPr>
            <w:tcW w:w="5" w:type="pct"/>
            <w:shd w:val="clear" w:color="auto" w:fill="auto"/>
            <w:vAlign w:val="bottom"/>
          </w:tcPr>
          <w:p w14:paraId="5A1B0000" w14:textId="77777777" w:rsidR="00960BB8" w:rsidRDefault="00960BB8">
            <w:pPr>
              <w:rPr>
                <w:rFonts w:ascii="宋体"/>
              </w:rPr>
            </w:pPr>
          </w:p>
        </w:tc>
        <w:tc>
          <w:tcPr>
            <w:tcW w:w="50" w:type="pct"/>
            <w:shd w:val="clear" w:color="auto" w:fill="auto"/>
            <w:vAlign w:val="bottom"/>
          </w:tcPr>
          <w:p w14:paraId="5A1B0001" w14:textId="77777777" w:rsidR="00960BB8" w:rsidRDefault="00960BB8">
            <w:pPr>
              <w:rPr>
                <w:rFonts w:ascii="宋体"/>
              </w:rPr>
            </w:pPr>
          </w:p>
        </w:tc>
        <w:tc>
          <w:tcPr>
            <w:tcW w:w="1894" w:type="pct"/>
            <w:shd w:val="clear" w:color="auto" w:fill="auto"/>
            <w:vAlign w:val="bottom"/>
          </w:tcPr>
          <w:p w14:paraId="5A1B0002" w14:textId="77777777" w:rsidR="00960BB8" w:rsidRDefault="00960BB8">
            <w:pPr>
              <w:rPr>
                <w:rFonts w:ascii="宋体"/>
              </w:rPr>
            </w:pPr>
          </w:p>
        </w:tc>
        <w:tc>
          <w:tcPr>
            <w:tcW w:w="5" w:type="pct"/>
            <w:shd w:val="clear" w:color="auto" w:fill="auto"/>
            <w:vAlign w:val="bottom"/>
          </w:tcPr>
          <w:p w14:paraId="5A1B0003" w14:textId="77777777" w:rsidR="00960BB8" w:rsidRDefault="00960BB8">
            <w:pPr>
              <w:rPr>
                <w:rFonts w:ascii="宋体"/>
              </w:rPr>
            </w:pPr>
          </w:p>
        </w:tc>
      </w:tr>
      <w:tr w:rsidR="00960BB8" w14:paraId="5A1B000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005"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3FE" wp14:editId="5A1B43FF">
                  <wp:extent cx="304800" cy="304800"/>
                  <wp:effectExtent l="0" t="0" r="0" b="0"/>
                  <wp:docPr id="172" name="图片 172"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006"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007" w14:textId="77777777" w:rsidR="00960BB8" w:rsidRDefault="00C06650">
            <w:pPr>
              <w:jc w:val="right"/>
              <w:textAlignment w:val="center"/>
            </w:pPr>
            <w:r>
              <w:rPr>
                <w:rFonts w:ascii="Arial" w:eastAsia="宋体" w:hAnsi="Arial" w:cs="Arial"/>
                <w:color w:val="262626"/>
                <w:sz w:val="16"/>
                <w:szCs w:val="16"/>
              </w:rPr>
              <w:t>42</w:t>
            </w:r>
          </w:p>
        </w:tc>
      </w:tr>
    </w:tbl>
    <w:p w14:paraId="5A1B0009" w14:textId="77777777" w:rsidR="00960BB8" w:rsidRDefault="00C06650">
      <w:r>
        <w:pict w14:anchorId="5A1B4400">
          <v:rect id="_x0000_i1068" style="width:415.3pt;height:1.5pt" o:hralign="center" o:hrstd="t" o:hr="t" fillcolor="#a0a0a0" stroked="f"/>
        </w:pict>
      </w:r>
    </w:p>
    <w:p w14:paraId="5A1B000A" w14:textId="77777777" w:rsidR="00960BB8" w:rsidRDefault="00C06650">
      <w:pPr>
        <w:jc w:val="right"/>
      </w:pPr>
      <w:hyperlink r:id="rId61" w:anchor="i8aaa7b4dbd2e419ca0f5c30af85a11aa_16" w:history="1">
        <w:r>
          <w:rPr>
            <w:rStyle w:val="a5"/>
            <w:rFonts w:ascii="Arial" w:eastAsia="宋体" w:hAnsi="Arial" w:cs="Arial"/>
            <w:b/>
            <w:bCs/>
            <w:sz w:val="16"/>
            <w:szCs w:val="16"/>
          </w:rPr>
          <w:t>Table of Contents</w:t>
        </w:r>
      </w:hyperlink>
    </w:p>
    <w:p w14:paraId="5A1B000B" w14:textId="77777777" w:rsidR="00960BB8" w:rsidRDefault="00960BB8">
      <w:pPr>
        <w:jc w:val="right"/>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960BB8" w14:paraId="5A1B000F" w14:textId="77777777">
        <w:tc>
          <w:tcPr>
            <w:tcW w:w="20" w:type="dxa"/>
            <w:shd w:val="clear" w:color="auto" w:fill="auto"/>
            <w:vAlign w:val="bottom"/>
          </w:tcPr>
          <w:p w14:paraId="5A1B000C" w14:textId="77777777" w:rsidR="00960BB8" w:rsidRDefault="00960BB8">
            <w:pPr>
              <w:rPr>
                <w:rFonts w:ascii="宋体"/>
              </w:rPr>
            </w:pPr>
          </w:p>
        </w:tc>
        <w:tc>
          <w:tcPr>
            <w:tcW w:w="10940" w:type="dxa"/>
            <w:shd w:val="clear" w:color="auto" w:fill="auto"/>
            <w:vAlign w:val="bottom"/>
          </w:tcPr>
          <w:p w14:paraId="5A1B000D" w14:textId="77777777" w:rsidR="00960BB8" w:rsidRDefault="00960BB8">
            <w:pPr>
              <w:rPr>
                <w:rFonts w:ascii="宋体"/>
              </w:rPr>
            </w:pPr>
          </w:p>
        </w:tc>
        <w:tc>
          <w:tcPr>
            <w:tcW w:w="20" w:type="dxa"/>
            <w:shd w:val="clear" w:color="auto" w:fill="auto"/>
            <w:vAlign w:val="bottom"/>
          </w:tcPr>
          <w:p w14:paraId="5A1B000E" w14:textId="77777777" w:rsidR="00960BB8" w:rsidRDefault="00960BB8">
            <w:pPr>
              <w:rPr>
                <w:rFonts w:ascii="宋体"/>
              </w:rPr>
            </w:pPr>
          </w:p>
        </w:tc>
      </w:tr>
      <w:tr w:rsidR="00960BB8" w14:paraId="5A1B0011" w14:textId="77777777">
        <w:trPr>
          <w:trHeight w:val="28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B0010" w14:textId="77777777" w:rsidR="00960BB8" w:rsidRDefault="00C06650">
            <w:pPr>
              <w:textAlignment w:val="bottom"/>
            </w:pPr>
            <w:r>
              <w:rPr>
                <w:rFonts w:ascii="Arial" w:eastAsia="宋体" w:hAnsi="Arial" w:cs="Arial"/>
                <w:color w:val="0068B5"/>
                <w:sz w:val="20"/>
                <w:szCs w:val="20"/>
              </w:rPr>
              <w:t>Research and Development</w:t>
            </w:r>
          </w:p>
        </w:tc>
      </w:tr>
    </w:tbl>
    <w:p w14:paraId="5A1B0012"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77"/>
        <w:gridCol w:w="39"/>
        <w:gridCol w:w="52"/>
        <w:gridCol w:w="7918"/>
        <w:gridCol w:w="39"/>
        <w:gridCol w:w="36"/>
        <w:gridCol w:w="36"/>
      </w:tblGrid>
      <w:tr w:rsidR="00960BB8" w14:paraId="5A1B001B" w14:textId="77777777">
        <w:tc>
          <w:tcPr>
            <w:tcW w:w="5" w:type="pct"/>
            <w:shd w:val="clear" w:color="auto" w:fill="auto"/>
            <w:vAlign w:val="bottom"/>
          </w:tcPr>
          <w:p w14:paraId="5A1B0013" w14:textId="77777777" w:rsidR="00960BB8" w:rsidRDefault="00960BB8">
            <w:pPr>
              <w:rPr>
                <w:rFonts w:ascii="宋体"/>
              </w:rPr>
            </w:pPr>
          </w:p>
        </w:tc>
        <w:tc>
          <w:tcPr>
            <w:tcW w:w="126" w:type="pct"/>
            <w:shd w:val="clear" w:color="auto" w:fill="auto"/>
            <w:vAlign w:val="bottom"/>
          </w:tcPr>
          <w:p w14:paraId="5A1B0014" w14:textId="77777777" w:rsidR="00960BB8" w:rsidRDefault="00960BB8">
            <w:pPr>
              <w:rPr>
                <w:rFonts w:ascii="宋体"/>
              </w:rPr>
            </w:pPr>
          </w:p>
        </w:tc>
        <w:tc>
          <w:tcPr>
            <w:tcW w:w="5" w:type="pct"/>
            <w:shd w:val="clear" w:color="auto" w:fill="auto"/>
            <w:vAlign w:val="bottom"/>
          </w:tcPr>
          <w:p w14:paraId="5A1B0015" w14:textId="77777777" w:rsidR="00960BB8" w:rsidRDefault="00960BB8">
            <w:pPr>
              <w:rPr>
                <w:rFonts w:ascii="宋体"/>
              </w:rPr>
            </w:pPr>
          </w:p>
        </w:tc>
        <w:tc>
          <w:tcPr>
            <w:tcW w:w="50" w:type="pct"/>
            <w:shd w:val="clear" w:color="auto" w:fill="auto"/>
            <w:vAlign w:val="bottom"/>
          </w:tcPr>
          <w:p w14:paraId="5A1B0016" w14:textId="77777777" w:rsidR="00960BB8" w:rsidRDefault="00960BB8">
            <w:pPr>
              <w:rPr>
                <w:rFonts w:ascii="宋体"/>
              </w:rPr>
            </w:pPr>
          </w:p>
        </w:tc>
        <w:tc>
          <w:tcPr>
            <w:tcW w:w="4808" w:type="pct"/>
            <w:shd w:val="clear" w:color="auto" w:fill="auto"/>
            <w:vAlign w:val="bottom"/>
          </w:tcPr>
          <w:p w14:paraId="5A1B0017" w14:textId="77777777" w:rsidR="00960BB8" w:rsidRDefault="00960BB8">
            <w:pPr>
              <w:rPr>
                <w:rFonts w:ascii="宋体"/>
              </w:rPr>
            </w:pPr>
          </w:p>
        </w:tc>
        <w:tc>
          <w:tcPr>
            <w:tcW w:w="5" w:type="pct"/>
            <w:shd w:val="clear" w:color="auto" w:fill="auto"/>
            <w:vAlign w:val="bottom"/>
          </w:tcPr>
          <w:p w14:paraId="5A1B0018" w14:textId="77777777" w:rsidR="00960BB8" w:rsidRDefault="00960BB8">
            <w:pPr>
              <w:rPr>
                <w:rFonts w:ascii="宋体"/>
              </w:rPr>
            </w:pPr>
          </w:p>
        </w:tc>
        <w:tc>
          <w:tcPr>
            <w:tcW w:w="0" w:type="auto"/>
            <w:shd w:val="clear" w:color="auto" w:fill="auto"/>
            <w:vAlign w:val="bottom"/>
          </w:tcPr>
          <w:p w14:paraId="5A1B0019" w14:textId="77777777" w:rsidR="00960BB8" w:rsidRDefault="00960BB8">
            <w:pPr>
              <w:rPr>
                <w:rFonts w:ascii="宋体"/>
                <w:vanish/>
              </w:rPr>
            </w:pPr>
          </w:p>
        </w:tc>
        <w:tc>
          <w:tcPr>
            <w:tcW w:w="0" w:type="auto"/>
            <w:shd w:val="clear" w:color="auto" w:fill="auto"/>
            <w:vAlign w:val="bottom"/>
          </w:tcPr>
          <w:p w14:paraId="5A1B001A" w14:textId="77777777" w:rsidR="00960BB8" w:rsidRDefault="00960BB8">
            <w:pPr>
              <w:rPr>
                <w:rFonts w:ascii="宋体"/>
                <w:vanish/>
              </w:rPr>
            </w:pPr>
          </w:p>
        </w:tc>
      </w:tr>
      <w:tr w:rsidR="00960BB8" w14:paraId="5A1B001F" w14:textId="77777777">
        <w:tc>
          <w:tcPr>
            <w:tcW w:w="0" w:type="auto"/>
            <w:gridSpan w:val="6"/>
            <w:shd w:val="clear" w:color="auto" w:fill="auto"/>
            <w:tcMar>
              <w:top w:w="40" w:type="dxa"/>
              <w:left w:w="20" w:type="dxa"/>
              <w:bottom w:w="40" w:type="dxa"/>
              <w:right w:w="20" w:type="dxa"/>
            </w:tcMar>
            <w:vAlign w:val="bottom"/>
          </w:tcPr>
          <w:p w14:paraId="5A1B001C" w14:textId="77777777" w:rsidR="00960BB8" w:rsidRDefault="00C06650">
            <w:pPr>
              <w:textAlignment w:val="bottom"/>
            </w:pPr>
            <w:r>
              <w:rPr>
                <w:rFonts w:ascii="Arial" w:eastAsia="宋体" w:hAnsi="Arial" w:cs="Arial"/>
                <w:color w:val="0068B5"/>
                <w:sz w:val="20"/>
                <w:szCs w:val="20"/>
              </w:rPr>
              <w:t>2022 vs. 2021</w:t>
            </w:r>
          </w:p>
        </w:tc>
        <w:tc>
          <w:tcPr>
            <w:tcW w:w="0" w:type="auto"/>
            <w:shd w:val="clear" w:color="auto" w:fill="auto"/>
            <w:vAlign w:val="bottom"/>
          </w:tcPr>
          <w:p w14:paraId="5A1B001D" w14:textId="77777777" w:rsidR="00960BB8" w:rsidRDefault="00960BB8">
            <w:pPr>
              <w:rPr>
                <w:rFonts w:ascii="宋体"/>
                <w:vanish/>
              </w:rPr>
            </w:pPr>
          </w:p>
        </w:tc>
        <w:tc>
          <w:tcPr>
            <w:tcW w:w="0" w:type="auto"/>
            <w:shd w:val="clear" w:color="auto" w:fill="auto"/>
            <w:vAlign w:val="bottom"/>
          </w:tcPr>
          <w:p w14:paraId="5A1B001E" w14:textId="77777777" w:rsidR="00960BB8" w:rsidRDefault="00960BB8">
            <w:pPr>
              <w:rPr>
                <w:rFonts w:ascii="宋体"/>
                <w:vanish/>
              </w:rPr>
            </w:pPr>
          </w:p>
        </w:tc>
      </w:tr>
      <w:tr w:rsidR="00960BB8" w14:paraId="5A1B0024" w14:textId="77777777">
        <w:trPr>
          <w:hidden/>
        </w:trPr>
        <w:tc>
          <w:tcPr>
            <w:tcW w:w="0" w:type="auto"/>
            <w:gridSpan w:val="3"/>
            <w:shd w:val="clear" w:color="auto" w:fill="auto"/>
            <w:vAlign w:val="bottom"/>
          </w:tcPr>
          <w:p w14:paraId="5A1B0020" w14:textId="77777777" w:rsidR="00960BB8" w:rsidRDefault="00960BB8">
            <w:pPr>
              <w:rPr>
                <w:rFonts w:ascii="宋体"/>
                <w:vanish/>
              </w:rPr>
            </w:pPr>
          </w:p>
        </w:tc>
        <w:tc>
          <w:tcPr>
            <w:tcW w:w="0" w:type="auto"/>
            <w:gridSpan w:val="3"/>
            <w:shd w:val="clear" w:color="auto" w:fill="auto"/>
            <w:vAlign w:val="bottom"/>
          </w:tcPr>
          <w:p w14:paraId="5A1B0021" w14:textId="77777777" w:rsidR="00960BB8" w:rsidRDefault="00960BB8">
            <w:pPr>
              <w:rPr>
                <w:rFonts w:ascii="宋体"/>
                <w:vanish/>
              </w:rPr>
            </w:pPr>
          </w:p>
        </w:tc>
        <w:tc>
          <w:tcPr>
            <w:tcW w:w="0" w:type="auto"/>
            <w:shd w:val="clear" w:color="auto" w:fill="auto"/>
            <w:vAlign w:val="bottom"/>
          </w:tcPr>
          <w:p w14:paraId="5A1B0022" w14:textId="77777777" w:rsidR="00960BB8" w:rsidRDefault="00960BB8">
            <w:pPr>
              <w:rPr>
                <w:rFonts w:ascii="宋体"/>
                <w:vanish/>
              </w:rPr>
            </w:pPr>
          </w:p>
        </w:tc>
        <w:tc>
          <w:tcPr>
            <w:tcW w:w="0" w:type="auto"/>
            <w:shd w:val="clear" w:color="auto" w:fill="auto"/>
            <w:vAlign w:val="bottom"/>
          </w:tcPr>
          <w:p w14:paraId="5A1B0023" w14:textId="77777777" w:rsidR="00960BB8" w:rsidRDefault="00960BB8">
            <w:pPr>
              <w:rPr>
                <w:rFonts w:ascii="宋体"/>
                <w:vanish/>
              </w:rPr>
            </w:pPr>
          </w:p>
        </w:tc>
      </w:tr>
      <w:tr w:rsidR="00960BB8" w14:paraId="5A1B0028" w14:textId="77777777">
        <w:tc>
          <w:tcPr>
            <w:tcW w:w="0" w:type="auto"/>
            <w:gridSpan w:val="6"/>
            <w:shd w:val="clear" w:color="auto" w:fill="auto"/>
            <w:tcMar>
              <w:top w:w="40" w:type="dxa"/>
              <w:left w:w="20" w:type="dxa"/>
              <w:bottom w:w="40" w:type="dxa"/>
              <w:right w:w="20" w:type="dxa"/>
            </w:tcMar>
            <w:vAlign w:val="bottom"/>
          </w:tcPr>
          <w:p w14:paraId="5A1B0025" w14:textId="77777777" w:rsidR="00960BB8" w:rsidRDefault="00C06650">
            <w:pPr>
              <w:textAlignment w:val="bottom"/>
            </w:pPr>
            <w:r>
              <w:rPr>
                <w:rFonts w:ascii="Arial" w:eastAsia="宋体" w:hAnsi="Arial" w:cs="Arial"/>
                <w:color w:val="262626"/>
                <w:sz w:val="18"/>
                <w:szCs w:val="18"/>
              </w:rPr>
              <w:t xml:space="preserve">R&amp;D spending </w:t>
            </w:r>
            <w:r>
              <w:rPr>
                <w:rFonts w:ascii="Arial" w:eastAsia="宋体" w:hAnsi="Arial" w:cs="Arial"/>
                <w:color w:val="262626"/>
                <w:sz w:val="18"/>
                <w:szCs w:val="18"/>
              </w:rPr>
              <w:t>increased by $2.3 billion, or 15%, driven by the following:</w:t>
            </w:r>
          </w:p>
        </w:tc>
        <w:tc>
          <w:tcPr>
            <w:tcW w:w="0" w:type="auto"/>
            <w:shd w:val="clear" w:color="auto" w:fill="auto"/>
            <w:vAlign w:val="bottom"/>
          </w:tcPr>
          <w:p w14:paraId="5A1B0026" w14:textId="77777777" w:rsidR="00960BB8" w:rsidRDefault="00960BB8">
            <w:pPr>
              <w:rPr>
                <w:rFonts w:ascii="宋体"/>
                <w:vanish/>
              </w:rPr>
            </w:pPr>
          </w:p>
        </w:tc>
        <w:tc>
          <w:tcPr>
            <w:tcW w:w="0" w:type="auto"/>
            <w:shd w:val="clear" w:color="auto" w:fill="auto"/>
            <w:vAlign w:val="bottom"/>
          </w:tcPr>
          <w:p w14:paraId="5A1B0027" w14:textId="77777777" w:rsidR="00960BB8" w:rsidRDefault="00960BB8">
            <w:pPr>
              <w:rPr>
                <w:rFonts w:ascii="宋体"/>
                <w:vanish/>
              </w:rPr>
            </w:pPr>
          </w:p>
        </w:tc>
      </w:tr>
      <w:tr w:rsidR="00960BB8" w14:paraId="5A1B002D" w14:textId="77777777">
        <w:trPr>
          <w:hidden/>
        </w:trPr>
        <w:tc>
          <w:tcPr>
            <w:tcW w:w="0" w:type="auto"/>
            <w:gridSpan w:val="3"/>
            <w:shd w:val="clear" w:color="auto" w:fill="auto"/>
            <w:vAlign w:val="bottom"/>
          </w:tcPr>
          <w:p w14:paraId="5A1B0029" w14:textId="77777777" w:rsidR="00960BB8" w:rsidRDefault="00960BB8">
            <w:pPr>
              <w:rPr>
                <w:rFonts w:ascii="宋体"/>
                <w:vanish/>
              </w:rPr>
            </w:pPr>
          </w:p>
        </w:tc>
        <w:tc>
          <w:tcPr>
            <w:tcW w:w="0" w:type="auto"/>
            <w:gridSpan w:val="3"/>
            <w:shd w:val="clear" w:color="auto" w:fill="auto"/>
            <w:vAlign w:val="bottom"/>
          </w:tcPr>
          <w:p w14:paraId="5A1B002A" w14:textId="77777777" w:rsidR="00960BB8" w:rsidRDefault="00960BB8">
            <w:pPr>
              <w:rPr>
                <w:rFonts w:ascii="宋体"/>
                <w:vanish/>
              </w:rPr>
            </w:pPr>
          </w:p>
        </w:tc>
        <w:tc>
          <w:tcPr>
            <w:tcW w:w="0" w:type="auto"/>
            <w:shd w:val="clear" w:color="auto" w:fill="auto"/>
            <w:vAlign w:val="bottom"/>
          </w:tcPr>
          <w:p w14:paraId="5A1B002B" w14:textId="77777777" w:rsidR="00960BB8" w:rsidRDefault="00960BB8">
            <w:pPr>
              <w:rPr>
                <w:rFonts w:ascii="宋体"/>
                <w:vanish/>
              </w:rPr>
            </w:pPr>
          </w:p>
        </w:tc>
        <w:tc>
          <w:tcPr>
            <w:tcW w:w="0" w:type="auto"/>
            <w:shd w:val="clear" w:color="auto" w:fill="auto"/>
            <w:vAlign w:val="bottom"/>
          </w:tcPr>
          <w:p w14:paraId="5A1B002C" w14:textId="77777777" w:rsidR="00960BB8" w:rsidRDefault="00960BB8">
            <w:pPr>
              <w:rPr>
                <w:rFonts w:ascii="宋体"/>
                <w:vanish/>
              </w:rPr>
            </w:pPr>
          </w:p>
        </w:tc>
      </w:tr>
      <w:tr w:rsidR="00960BB8" w14:paraId="5A1B0032" w14:textId="77777777">
        <w:tc>
          <w:tcPr>
            <w:tcW w:w="0" w:type="auto"/>
            <w:gridSpan w:val="3"/>
            <w:shd w:val="clear" w:color="auto" w:fill="auto"/>
            <w:tcMar>
              <w:top w:w="40" w:type="dxa"/>
              <w:left w:w="20" w:type="dxa"/>
              <w:bottom w:w="40" w:type="dxa"/>
              <w:right w:w="20" w:type="dxa"/>
            </w:tcMar>
            <w:vAlign w:val="bottom"/>
          </w:tcPr>
          <w:p w14:paraId="5A1B002E" w14:textId="77777777" w:rsidR="00960BB8" w:rsidRDefault="00C06650">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5A1B002F" w14:textId="77777777" w:rsidR="00960BB8" w:rsidRDefault="00C06650">
            <w:pPr>
              <w:textAlignment w:val="bottom"/>
            </w:pPr>
            <w:r>
              <w:rPr>
                <w:rFonts w:ascii="Arial" w:eastAsia="宋体" w:hAnsi="Arial" w:cs="Arial"/>
                <w:color w:val="262626"/>
                <w:sz w:val="18"/>
                <w:szCs w:val="18"/>
              </w:rPr>
              <w:t>Investments in our process technology</w:t>
            </w:r>
          </w:p>
        </w:tc>
        <w:tc>
          <w:tcPr>
            <w:tcW w:w="0" w:type="auto"/>
            <w:shd w:val="clear" w:color="auto" w:fill="auto"/>
            <w:vAlign w:val="bottom"/>
          </w:tcPr>
          <w:p w14:paraId="5A1B0030" w14:textId="77777777" w:rsidR="00960BB8" w:rsidRDefault="00960BB8">
            <w:pPr>
              <w:rPr>
                <w:rFonts w:ascii="宋体"/>
                <w:vanish/>
              </w:rPr>
            </w:pPr>
          </w:p>
        </w:tc>
        <w:tc>
          <w:tcPr>
            <w:tcW w:w="0" w:type="auto"/>
            <w:shd w:val="clear" w:color="auto" w:fill="auto"/>
            <w:vAlign w:val="bottom"/>
          </w:tcPr>
          <w:p w14:paraId="5A1B0031" w14:textId="77777777" w:rsidR="00960BB8" w:rsidRDefault="00960BB8">
            <w:pPr>
              <w:rPr>
                <w:rFonts w:ascii="宋体"/>
                <w:vanish/>
              </w:rPr>
            </w:pPr>
          </w:p>
        </w:tc>
      </w:tr>
      <w:tr w:rsidR="00960BB8" w14:paraId="5A1B0037" w14:textId="77777777">
        <w:tc>
          <w:tcPr>
            <w:tcW w:w="0" w:type="auto"/>
            <w:gridSpan w:val="3"/>
            <w:shd w:val="clear" w:color="auto" w:fill="auto"/>
            <w:tcMar>
              <w:top w:w="40" w:type="dxa"/>
              <w:left w:w="20" w:type="dxa"/>
              <w:bottom w:w="40" w:type="dxa"/>
              <w:right w:w="20" w:type="dxa"/>
            </w:tcMar>
            <w:vAlign w:val="bottom"/>
          </w:tcPr>
          <w:p w14:paraId="5A1B0033" w14:textId="77777777" w:rsidR="00960BB8" w:rsidRDefault="00C06650">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5A1B0034" w14:textId="77777777" w:rsidR="00960BB8" w:rsidRDefault="00C06650">
            <w:pPr>
              <w:textAlignment w:val="bottom"/>
            </w:pPr>
            <w:r>
              <w:rPr>
                <w:rFonts w:ascii="Arial" w:eastAsia="宋体" w:hAnsi="Arial" w:cs="Arial"/>
                <w:color w:val="262626"/>
                <w:sz w:val="18"/>
                <w:szCs w:val="18"/>
              </w:rPr>
              <w:t>Increase in corporate spending</w:t>
            </w:r>
          </w:p>
        </w:tc>
        <w:tc>
          <w:tcPr>
            <w:tcW w:w="0" w:type="auto"/>
            <w:shd w:val="clear" w:color="auto" w:fill="auto"/>
            <w:vAlign w:val="bottom"/>
          </w:tcPr>
          <w:p w14:paraId="5A1B0035" w14:textId="77777777" w:rsidR="00960BB8" w:rsidRDefault="00960BB8">
            <w:pPr>
              <w:rPr>
                <w:rFonts w:ascii="宋体"/>
                <w:vanish/>
              </w:rPr>
            </w:pPr>
          </w:p>
        </w:tc>
        <w:tc>
          <w:tcPr>
            <w:tcW w:w="0" w:type="auto"/>
            <w:shd w:val="clear" w:color="auto" w:fill="auto"/>
            <w:vAlign w:val="bottom"/>
          </w:tcPr>
          <w:p w14:paraId="5A1B0036" w14:textId="77777777" w:rsidR="00960BB8" w:rsidRDefault="00960BB8">
            <w:pPr>
              <w:rPr>
                <w:rFonts w:ascii="宋体"/>
                <w:vanish/>
              </w:rPr>
            </w:pPr>
          </w:p>
        </w:tc>
      </w:tr>
      <w:tr w:rsidR="00960BB8" w14:paraId="5A1B003C" w14:textId="77777777">
        <w:tc>
          <w:tcPr>
            <w:tcW w:w="0" w:type="auto"/>
            <w:gridSpan w:val="3"/>
            <w:shd w:val="clear" w:color="auto" w:fill="auto"/>
            <w:tcMar>
              <w:top w:w="40" w:type="dxa"/>
              <w:left w:w="20" w:type="dxa"/>
              <w:bottom w:w="40" w:type="dxa"/>
              <w:right w:w="20" w:type="dxa"/>
            </w:tcMar>
            <w:vAlign w:val="bottom"/>
          </w:tcPr>
          <w:p w14:paraId="5A1B0038" w14:textId="77777777" w:rsidR="00960BB8" w:rsidRDefault="00C06650">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5A1B0039" w14:textId="77777777" w:rsidR="00960BB8" w:rsidRDefault="00C06650">
            <w:pPr>
              <w:textAlignment w:val="bottom"/>
            </w:pPr>
            <w:r>
              <w:rPr>
                <w:rFonts w:ascii="Arial" w:eastAsia="宋体" w:hAnsi="Arial" w:cs="Arial"/>
                <w:color w:val="262626"/>
                <w:sz w:val="18"/>
                <w:szCs w:val="18"/>
              </w:rPr>
              <w:t>Investments in our businesses to drive strategic growth</w:t>
            </w:r>
          </w:p>
        </w:tc>
        <w:tc>
          <w:tcPr>
            <w:tcW w:w="0" w:type="auto"/>
            <w:shd w:val="clear" w:color="auto" w:fill="auto"/>
            <w:vAlign w:val="bottom"/>
          </w:tcPr>
          <w:p w14:paraId="5A1B003A" w14:textId="77777777" w:rsidR="00960BB8" w:rsidRDefault="00960BB8">
            <w:pPr>
              <w:rPr>
                <w:rFonts w:ascii="宋体"/>
                <w:vanish/>
              </w:rPr>
            </w:pPr>
          </w:p>
        </w:tc>
        <w:tc>
          <w:tcPr>
            <w:tcW w:w="0" w:type="auto"/>
            <w:shd w:val="clear" w:color="auto" w:fill="auto"/>
            <w:vAlign w:val="bottom"/>
          </w:tcPr>
          <w:p w14:paraId="5A1B003B" w14:textId="77777777" w:rsidR="00960BB8" w:rsidRDefault="00960BB8">
            <w:pPr>
              <w:rPr>
                <w:rFonts w:ascii="宋体"/>
                <w:vanish/>
              </w:rPr>
            </w:pPr>
          </w:p>
        </w:tc>
      </w:tr>
      <w:tr w:rsidR="00960BB8" w14:paraId="5A1B0041" w14:textId="77777777">
        <w:tc>
          <w:tcPr>
            <w:tcW w:w="0" w:type="auto"/>
            <w:gridSpan w:val="3"/>
            <w:shd w:val="clear" w:color="auto" w:fill="auto"/>
            <w:tcMar>
              <w:top w:w="40" w:type="dxa"/>
              <w:left w:w="20" w:type="dxa"/>
              <w:bottom w:w="40" w:type="dxa"/>
              <w:right w:w="20" w:type="dxa"/>
            </w:tcMar>
            <w:vAlign w:val="bottom"/>
          </w:tcPr>
          <w:p w14:paraId="5A1B003D" w14:textId="77777777" w:rsidR="00960BB8" w:rsidRDefault="00C06650">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5A1B003E" w14:textId="77777777" w:rsidR="00960BB8" w:rsidRDefault="00C06650">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5A1B003F" w14:textId="77777777" w:rsidR="00960BB8" w:rsidRDefault="00960BB8">
            <w:pPr>
              <w:rPr>
                <w:rFonts w:ascii="宋体"/>
                <w:vanish/>
              </w:rPr>
            </w:pPr>
          </w:p>
        </w:tc>
        <w:tc>
          <w:tcPr>
            <w:tcW w:w="0" w:type="auto"/>
            <w:shd w:val="clear" w:color="auto" w:fill="auto"/>
            <w:vAlign w:val="bottom"/>
          </w:tcPr>
          <w:p w14:paraId="5A1B0040" w14:textId="77777777" w:rsidR="00960BB8" w:rsidRDefault="00960BB8">
            <w:pPr>
              <w:rPr>
                <w:rFonts w:ascii="宋体"/>
                <w:vanish/>
              </w:rPr>
            </w:pPr>
          </w:p>
        </w:tc>
      </w:tr>
      <w:tr w:rsidR="00960BB8" w14:paraId="5A1B0046" w14:textId="77777777">
        <w:trPr>
          <w:trHeight w:val="60"/>
        </w:trPr>
        <w:tc>
          <w:tcPr>
            <w:tcW w:w="0" w:type="auto"/>
            <w:gridSpan w:val="3"/>
            <w:shd w:val="clear" w:color="auto" w:fill="auto"/>
            <w:tcMar>
              <w:top w:w="0" w:type="dxa"/>
              <w:left w:w="20" w:type="dxa"/>
              <w:bottom w:w="0" w:type="dxa"/>
              <w:right w:w="20" w:type="dxa"/>
            </w:tcMar>
            <w:vAlign w:val="bottom"/>
          </w:tcPr>
          <w:p w14:paraId="5A1B004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043" w14:textId="77777777" w:rsidR="00960BB8" w:rsidRDefault="00960BB8">
            <w:pPr>
              <w:rPr>
                <w:rFonts w:ascii="宋体"/>
              </w:rPr>
            </w:pPr>
          </w:p>
        </w:tc>
        <w:tc>
          <w:tcPr>
            <w:tcW w:w="0" w:type="auto"/>
            <w:shd w:val="clear" w:color="auto" w:fill="auto"/>
            <w:vAlign w:val="bottom"/>
          </w:tcPr>
          <w:p w14:paraId="5A1B0044" w14:textId="77777777" w:rsidR="00960BB8" w:rsidRDefault="00960BB8">
            <w:pPr>
              <w:rPr>
                <w:rFonts w:ascii="宋体"/>
                <w:vanish/>
              </w:rPr>
            </w:pPr>
          </w:p>
        </w:tc>
        <w:tc>
          <w:tcPr>
            <w:tcW w:w="0" w:type="auto"/>
            <w:shd w:val="clear" w:color="auto" w:fill="auto"/>
            <w:vAlign w:val="bottom"/>
          </w:tcPr>
          <w:p w14:paraId="5A1B0045" w14:textId="77777777" w:rsidR="00960BB8" w:rsidRDefault="00960BB8">
            <w:pPr>
              <w:rPr>
                <w:rFonts w:ascii="宋体"/>
                <w:vanish/>
              </w:rPr>
            </w:pPr>
          </w:p>
        </w:tc>
      </w:tr>
      <w:tr w:rsidR="00960BB8" w14:paraId="5A1B004A" w14:textId="77777777">
        <w:tc>
          <w:tcPr>
            <w:tcW w:w="0" w:type="auto"/>
            <w:gridSpan w:val="6"/>
            <w:shd w:val="clear" w:color="auto" w:fill="auto"/>
            <w:tcMar>
              <w:top w:w="40" w:type="dxa"/>
              <w:left w:w="20" w:type="dxa"/>
              <w:bottom w:w="40" w:type="dxa"/>
              <w:right w:w="20" w:type="dxa"/>
            </w:tcMar>
            <w:vAlign w:val="bottom"/>
          </w:tcPr>
          <w:p w14:paraId="5A1B0047" w14:textId="77777777" w:rsidR="00960BB8" w:rsidRDefault="00C06650">
            <w:pPr>
              <w:textAlignment w:val="bottom"/>
            </w:pPr>
            <w:r>
              <w:rPr>
                <w:rFonts w:ascii="Arial" w:eastAsia="宋体" w:hAnsi="Arial" w:cs="Arial"/>
                <w:color w:val="0068B5"/>
                <w:sz w:val="20"/>
                <w:szCs w:val="20"/>
              </w:rPr>
              <w:t>2021 vs. 2020</w:t>
            </w:r>
          </w:p>
        </w:tc>
        <w:tc>
          <w:tcPr>
            <w:tcW w:w="0" w:type="auto"/>
            <w:shd w:val="clear" w:color="auto" w:fill="auto"/>
            <w:vAlign w:val="bottom"/>
          </w:tcPr>
          <w:p w14:paraId="5A1B0048" w14:textId="77777777" w:rsidR="00960BB8" w:rsidRDefault="00960BB8">
            <w:pPr>
              <w:rPr>
                <w:rFonts w:ascii="宋体"/>
                <w:vanish/>
              </w:rPr>
            </w:pPr>
          </w:p>
        </w:tc>
        <w:tc>
          <w:tcPr>
            <w:tcW w:w="0" w:type="auto"/>
            <w:shd w:val="clear" w:color="auto" w:fill="auto"/>
            <w:vAlign w:val="bottom"/>
          </w:tcPr>
          <w:p w14:paraId="5A1B0049" w14:textId="77777777" w:rsidR="00960BB8" w:rsidRDefault="00960BB8">
            <w:pPr>
              <w:rPr>
                <w:rFonts w:ascii="宋体"/>
                <w:vanish/>
              </w:rPr>
            </w:pPr>
          </w:p>
        </w:tc>
      </w:tr>
      <w:tr w:rsidR="00960BB8" w14:paraId="5A1B004F" w14:textId="77777777">
        <w:trPr>
          <w:hidden/>
        </w:trPr>
        <w:tc>
          <w:tcPr>
            <w:tcW w:w="0" w:type="auto"/>
            <w:gridSpan w:val="3"/>
            <w:shd w:val="clear" w:color="auto" w:fill="auto"/>
            <w:vAlign w:val="bottom"/>
          </w:tcPr>
          <w:p w14:paraId="5A1B004B" w14:textId="77777777" w:rsidR="00960BB8" w:rsidRDefault="00960BB8">
            <w:pPr>
              <w:rPr>
                <w:rFonts w:ascii="宋体"/>
                <w:vanish/>
              </w:rPr>
            </w:pPr>
          </w:p>
        </w:tc>
        <w:tc>
          <w:tcPr>
            <w:tcW w:w="0" w:type="auto"/>
            <w:gridSpan w:val="3"/>
            <w:shd w:val="clear" w:color="auto" w:fill="auto"/>
            <w:vAlign w:val="bottom"/>
          </w:tcPr>
          <w:p w14:paraId="5A1B004C" w14:textId="77777777" w:rsidR="00960BB8" w:rsidRDefault="00960BB8">
            <w:pPr>
              <w:rPr>
                <w:rFonts w:ascii="宋体"/>
                <w:vanish/>
              </w:rPr>
            </w:pPr>
          </w:p>
        </w:tc>
        <w:tc>
          <w:tcPr>
            <w:tcW w:w="0" w:type="auto"/>
            <w:shd w:val="clear" w:color="auto" w:fill="auto"/>
            <w:vAlign w:val="bottom"/>
          </w:tcPr>
          <w:p w14:paraId="5A1B004D" w14:textId="77777777" w:rsidR="00960BB8" w:rsidRDefault="00960BB8">
            <w:pPr>
              <w:rPr>
                <w:rFonts w:ascii="宋体"/>
                <w:vanish/>
              </w:rPr>
            </w:pPr>
          </w:p>
        </w:tc>
        <w:tc>
          <w:tcPr>
            <w:tcW w:w="0" w:type="auto"/>
            <w:shd w:val="clear" w:color="auto" w:fill="auto"/>
            <w:vAlign w:val="bottom"/>
          </w:tcPr>
          <w:p w14:paraId="5A1B004E" w14:textId="77777777" w:rsidR="00960BB8" w:rsidRDefault="00960BB8">
            <w:pPr>
              <w:rPr>
                <w:rFonts w:ascii="宋体"/>
                <w:vanish/>
              </w:rPr>
            </w:pPr>
          </w:p>
        </w:tc>
      </w:tr>
      <w:tr w:rsidR="00960BB8" w14:paraId="5A1B0053" w14:textId="77777777">
        <w:tc>
          <w:tcPr>
            <w:tcW w:w="0" w:type="auto"/>
            <w:gridSpan w:val="6"/>
            <w:shd w:val="clear" w:color="auto" w:fill="auto"/>
            <w:tcMar>
              <w:top w:w="40" w:type="dxa"/>
              <w:left w:w="20" w:type="dxa"/>
              <w:bottom w:w="40" w:type="dxa"/>
              <w:right w:w="20" w:type="dxa"/>
            </w:tcMar>
            <w:vAlign w:val="bottom"/>
          </w:tcPr>
          <w:p w14:paraId="5A1B0050" w14:textId="77777777" w:rsidR="00960BB8" w:rsidRDefault="00C06650">
            <w:pPr>
              <w:textAlignment w:val="bottom"/>
            </w:pPr>
            <w:r>
              <w:rPr>
                <w:rFonts w:ascii="Arial" w:eastAsia="宋体" w:hAnsi="Arial" w:cs="Arial"/>
                <w:color w:val="262626"/>
                <w:sz w:val="18"/>
                <w:szCs w:val="18"/>
              </w:rPr>
              <w:t>R&amp;D spending increased by $1.6 billion, or 12%, driven by the following:</w:t>
            </w:r>
          </w:p>
        </w:tc>
        <w:tc>
          <w:tcPr>
            <w:tcW w:w="0" w:type="auto"/>
            <w:shd w:val="clear" w:color="auto" w:fill="auto"/>
            <w:vAlign w:val="bottom"/>
          </w:tcPr>
          <w:p w14:paraId="5A1B0051" w14:textId="77777777" w:rsidR="00960BB8" w:rsidRDefault="00960BB8">
            <w:pPr>
              <w:rPr>
                <w:rFonts w:ascii="宋体"/>
                <w:vanish/>
              </w:rPr>
            </w:pPr>
          </w:p>
        </w:tc>
        <w:tc>
          <w:tcPr>
            <w:tcW w:w="0" w:type="auto"/>
            <w:shd w:val="clear" w:color="auto" w:fill="auto"/>
            <w:vAlign w:val="bottom"/>
          </w:tcPr>
          <w:p w14:paraId="5A1B0052" w14:textId="77777777" w:rsidR="00960BB8" w:rsidRDefault="00960BB8">
            <w:pPr>
              <w:rPr>
                <w:rFonts w:ascii="宋体"/>
                <w:vanish/>
              </w:rPr>
            </w:pPr>
          </w:p>
        </w:tc>
      </w:tr>
      <w:tr w:rsidR="00960BB8" w14:paraId="5A1B0058" w14:textId="77777777">
        <w:trPr>
          <w:hidden/>
        </w:trPr>
        <w:tc>
          <w:tcPr>
            <w:tcW w:w="0" w:type="auto"/>
            <w:gridSpan w:val="3"/>
            <w:shd w:val="clear" w:color="auto" w:fill="auto"/>
            <w:vAlign w:val="bottom"/>
          </w:tcPr>
          <w:p w14:paraId="5A1B0054" w14:textId="77777777" w:rsidR="00960BB8" w:rsidRDefault="00960BB8">
            <w:pPr>
              <w:rPr>
                <w:rFonts w:ascii="宋体"/>
                <w:vanish/>
              </w:rPr>
            </w:pPr>
          </w:p>
        </w:tc>
        <w:tc>
          <w:tcPr>
            <w:tcW w:w="0" w:type="auto"/>
            <w:gridSpan w:val="3"/>
            <w:shd w:val="clear" w:color="auto" w:fill="auto"/>
            <w:vAlign w:val="bottom"/>
          </w:tcPr>
          <w:p w14:paraId="5A1B0055" w14:textId="77777777" w:rsidR="00960BB8" w:rsidRDefault="00960BB8">
            <w:pPr>
              <w:rPr>
                <w:rFonts w:ascii="宋体"/>
                <w:vanish/>
              </w:rPr>
            </w:pPr>
          </w:p>
        </w:tc>
        <w:tc>
          <w:tcPr>
            <w:tcW w:w="0" w:type="auto"/>
            <w:shd w:val="clear" w:color="auto" w:fill="auto"/>
            <w:vAlign w:val="bottom"/>
          </w:tcPr>
          <w:p w14:paraId="5A1B0056" w14:textId="77777777" w:rsidR="00960BB8" w:rsidRDefault="00960BB8">
            <w:pPr>
              <w:rPr>
                <w:rFonts w:ascii="宋体"/>
                <w:vanish/>
              </w:rPr>
            </w:pPr>
          </w:p>
        </w:tc>
        <w:tc>
          <w:tcPr>
            <w:tcW w:w="0" w:type="auto"/>
            <w:shd w:val="clear" w:color="auto" w:fill="auto"/>
            <w:vAlign w:val="bottom"/>
          </w:tcPr>
          <w:p w14:paraId="5A1B0057" w14:textId="77777777" w:rsidR="00960BB8" w:rsidRDefault="00960BB8">
            <w:pPr>
              <w:rPr>
                <w:rFonts w:ascii="宋体"/>
                <w:vanish/>
              </w:rPr>
            </w:pPr>
          </w:p>
        </w:tc>
      </w:tr>
      <w:tr w:rsidR="00960BB8" w14:paraId="5A1B005D" w14:textId="77777777">
        <w:tc>
          <w:tcPr>
            <w:tcW w:w="0" w:type="auto"/>
            <w:gridSpan w:val="3"/>
            <w:shd w:val="clear" w:color="auto" w:fill="auto"/>
            <w:tcMar>
              <w:top w:w="40" w:type="dxa"/>
              <w:left w:w="20" w:type="dxa"/>
              <w:bottom w:w="40" w:type="dxa"/>
              <w:right w:w="20" w:type="dxa"/>
            </w:tcMar>
            <w:vAlign w:val="bottom"/>
          </w:tcPr>
          <w:p w14:paraId="5A1B0059" w14:textId="77777777" w:rsidR="00960BB8" w:rsidRDefault="00C06650">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5A1B005A" w14:textId="77777777" w:rsidR="00960BB8" w:rsidRDefault="00C06650">
            <w:pPr>
              <w:textAlignment w:val="bottom"/>
            </w:pPr>
            <w:r>
              <w:rPr>
                <w:rFonts w:ascii="Arial" w:eastAsia="宋体" w:hAnsi="Arial" w:cs="Arial"/>
                <w:color w:val="262626"/>
                <w:sz w:val="18"/>
                <w:szCs w:val="18"/>
              </w:rPr>
              <w:t>Investments in our businesses to drive strategic growth</w:t>
            </w:r>
          </w:p>
        </w:tc>
        <w:tc>
          <w:tcPr>
            <w:tcW w:w="0" w:type="auto"/>
            <w:shd w:val="clear" w:color="auto" w:fill="auto"/>
            <w:vAlign w:val="bottom"/>
          </w:tcPr>
          <w:p w14:paraId="5A1B005B" w14:textId="77777777" w:rsidR="00960BB8" w:rsidRDefault="00960BB8">
            <w:pPr>
              <w:rPr>
                <w:rFonts w:ascii="宋体"/>
                <w:vanish/>
              </w:rPr>
            </w:pPr>
          </w:p>
        </w:tc>
        <w:tc>
          <w:tcPr>
            <w:tcW w:w="0" w:type="auto"/>
            <w:shd w:val="clear" w:color="auto" w:fill="auto"/>
            <w:vAlign w:val="bottom"/>
          </w:tcPr>
          <w:p w14:paraId="5A1B005C" w14:textId="77777777" w:rsidR="00960BB8" w:rsidRDefault="00960BB8">
            <w:pPr>
              <w:rPr>
                <w:rFonts w:ascii="宋体"/>
                <w:vanish/>
              </w:rPr>
            </w:pPr>
          </w:p>
        </w:tc>
      </w:tr>
      <w:tr w:rsidR="00960BB8" w14:paraId="5A1B0062" w14:textId="77777777">
        <w:tc>
          <w:tcPr>
            <w:tcW w:w="0" w:type="auto"/>
            <w:gridSpan w:val="3"/>
            <w:shd w:val="clear" w:color="auto" w:fill="auto"/>
            <w:tcMar>
              <w:top w:w="40" w:type="dxa"/>
              <w:left w:w="20" w:type="dxa"/>
              <w:bottom w:w="40" w:type="dxa"/>
              <w:right w:w="20" w:type="dxa"/>
            </w:tcMar>
            <w:vAlign w:val="bottom"/>
          </w:tcPr>
          <w:p w14:paraId="5A1B005E" w14:textId="77777777" w:rsidR="00960BB8" w:rsidRDefault="00C06650">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5A1B005F" w14:textId="77777777" w:rsidR="00960BB8" w:rsidRDefault="00C06650">
            <w:pPr>
              <w:textAlignment w:val="bottom"/>
            </w:pPr>
            <w:r>
              <w:rPr>
                <w:rFonts w:ascii="Arial" w:eastAsia="宋体" w:hAnsi="Arial" w:cs="Arial"/>
                <w:color w:val="262626"/>
                <w:sz w:val="18"/>
                <w:szCs w:val="18"/>
              </w:rPr>
              <w:t>Investments in our process technology</w:t>
            </w:r>
          </w:p>
        </w:tc>
        <w:tc>
          <w:tcPr>
            <w:tcW w:w="0" w:type="auto"/>
            <w:shd w:val="clear" w:color="auto" w:fill="auto"/>
            <w:vAlign w:val="bottom"/>
          </w:tcPr>
          <w:p w14:paraId="5A1B0060" w14:textId="77777777" w:rsidR="00960BB8" w:rsidRDefault="00960BB8">
            <w:pPr>
              <w:rPr>
                <w:rFonts w:ascii="宋体"/>
                <w:vanish/>
              </w:rPr>
            </w:pPr>
          </w:p>
        </w:tc>
        <w:tc>
          <w:tcPr>
            <w:tcW w:w="0" w:type="auto"/>
            <w:shd w:val="clear" w:color="auto" w:fill="auto"/>
            <w:vAlign w:val="bottom"/>
          </w:tcPr>
          <w:p w14:paraId="5A1B0061" w14:textId="77777777" w:rsidR="00960BB8" w:rsidRDefault="00960BB8">
            <w:pPr>
              <w:rPr>
                <w:rFonts w:ascii="宋体"/>
                <w:vanish/>
              </w:rPr>
            </w:pPr>
          </w:p>
        </w:tc>
      </w:tr>
      <w:tr w:rsidR="00960BB8" w14:paraId="5A1B0067" w14:textId="77777777">
        <w:tc>
          <w:tcPr>
            <w:tcW w:w="0" w:type="auto"/>
            <w:gridSpan w:val="3"/>
            <w:shd w:val="clear" w:color="auto" w:fill="auto"/>
            <w:tcMar>
              <w:top w:w="40" w:type="dxa"/>
              <w:left w:w="20" w:type="dxa"/>
              <w:bottom w:w="40" w:type="dxa"/>
              <w:right w:w="20" w:type="dxa"/>
            </w:tcMar>
            <w:vAlign w:val="bottom"/>
          </w:tcPr>
          <w:p w14:paraId="5A1B0063" w14:textId="77777777" w:rsidR="00960BB8" w:rsidRDefault="00C06650">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5A1B0064" w14:textId="77777777" w:rsidR="00960BB8" w:rsidRDefault="00C06650">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5A1B0065" w14:textId="77777777" w:rsidR="00960BB8" w:rsidRDefault="00960BB8">
            <w:pPr>
              <w:rPr>
                <w:rFonts w:ascii="宋体"/>
                <w:vanish/>
              </w:rPr>
            </w:pPr>
          </w:p>
        </w:tc>
        <w:tc>
          <w:tcPr>
            <w:tcW w:w="0" w:type="auto"/>
            <w:shd w:val="clear" w:color="auto" w:fill="auto"/>
            <w:vAlign w:val="bottom"/>
          </w:tcPr>
          <w:p w14:paraId="5A1B0066" w14:textId="77777777" w:rsidR="00960BB8" w:rsidRDefault="00960BB8">
            <w:pPr>
              <w:rPr>
                <w:rFonts w:ascii="宋体"/>
                <w:vanish/>
              </w:rPr>
            </w:pPr>
          </w:p>
        </w:tc>
      </w:tr>
      <w:tr w:rsidR="00960BB8" w14:paraId="5A1B006C" w14:textId="77777777">
        <w:trPr>
          <w:hidden/>
        </w:trPr>
        <w:tc>
          <w:tcPr>
            <w:tcW w:w="0" w:type="auto"/>
            <w:gridSpan w:val="3"/>
            <w:shd w:val="clear" w:color="auto" w:fill="auto"/>
            <w:vAlign w:val="bottom"/>
          </w:tcPr>
          <w:p w14:paraId="5A1B0068" w14:textId="77777777" w:rsidR="00960BB8" w:rsidRDefault="00960BB8">
            <w:pPr>
              <w:rPr>
                <w:rFonts w:ascii="宋体"/>
                <w:vanish/>
              </w:rPr>
            </w:pPr>
          </w:p>
        </w:tc>
        <w:tc>
          <w:tcPr>
            <w:tcW w:w="0" w:type="auto"/>
            <w:gridSpan w:val="3"/>
            <w:shd w:val="clear" w:color="auto" w:fill="auto"/>
            <w:vAlign w:val="bottom"/>
          </w:tcPr>
          <w:p w14:paraId="5A1B0069" w14:textId="77777777" w:rsidR="00960BB8" w:rsidRDefault="00960BB8">
            <w:pPr>
              <w:rPr>
                <w:rFonts w:ascii="宋体"/>
                <w:vanish/>
              </w:rPr>
            </w:pPr>
          </w:p>
        </w:tc>
        <w:tc>
          <w:tcPr>
            <w:tcW w:w="0" w:type="auto"/>
            <w:shd w:val="clear" w:color="auto" w:fill="auto"/>
            <w:vAlign w:val="bottom"/>
          </w:tcPr>
          <w:p w14:paraId="5A1B006A" w14:textId="77777777" w:rsidR="00960BB8" w:rsidRDefault="00960BB8">
            <w:pPr>
              <w:rPr>
                <w:rFonts w:ascii="宋体"/>
                <w:vanish/>
              </w:rPr>
            </w:pPr>
          </w:p>
        </w:tc>
        <w:tc>
          <w:tcPr>
            <w:tcW w:w="0" w:type="auto"/>
            <w:shd w:val="clear" w:color="auto" w:fill="auto"/>
            <w:vAlign w:val="bottom"/>
          </w:tcPr>
          <w:p w14:paraId="5A1B006B" w14:textId="77777777" w:rsidR="00960BB8" w:rsidRDefault="00960BB8">
            <w:pPr>
              <w:rPr>
                <w:rFonts w:ascii="宋体"/>
                <w:vanish/>
              </w:rPr>
            </w:pPr>
          </w:p>
        </w:tc>
      </w:tr>
      <w:tr w:rsidR="00960BB8" w14:paraId="5A1B0071" w14:textId="77777777">
        <w:trPr>
          <w:hidden/>
        </w:trPr>
        <w:tc>
          <w:tcPr>
            <w:tcW w:w="0" w:type="auto"/>
            <w:gridSpan w:val="3"/>
            <w:shd w:val="clear" w:color="auto" w:fill="auto"/>
            <w:vAlign w:val="bottom"/>
          </w:tcPr>
          <w:p w14:paraId="5A1B006D" w14:textId="77777777" w:rsidR="00960BB8" w:rsidRDefault="00960BB8">
            <w:pPr>
              <w:rPr>
                <w:rFonts w:ascii="宋体"/>
                <w:vanish/>
              </w:rPr>
            </w:pPr>
          </w:p>
        </w:tc>
        <w:tc>
          <w:tcPr>
            <w:tcW w:w="0" w:type="auto"/>
            <w:gridSpan w:val="3"/>
            <w:shd w:val="clear" w:color="auto" w:fill="auto"/>
            <w:vAlign w:val="bottom"/>
          </w:tcPr>
          <w:p w14:paraId="5A1B006E" w14:textId="77777777" w:rsidR="00960BB8" w:rsidRDefault="00960BB8">
            <w:pPr>
              <w:rPr>
                <w:rFonts w:ascii="宋体"/>
                <w:vanish/>
              </w:rPr>
            </w:pPr>
          </w:p>
        </w:tc>
        <w:tc>
          <w:tcPr>
            <w:tcW w:w="0" w:type="auto"/>
            <w:shd w:val="clear" w:color="auto" w:fill="auto"/>
            <w:vAlign w:val="bottom"/>
          </w:tcPr>
          <w:p w14:paraId="5A1B006F" w14:textId="77777777" w:rsidR="00960BB8" w:rsidRDefault="00960BB8">
            <w:pPr>
              <w:rPr>
                <w:rFonts w:ascii="宋体"/>
                <w:vanish/>
              </w:rPr>
            </w:pPr>
          </w:p>
        </w:tc>
        <w:tc>
          <w:tcPr>
            <w:tcW w:w="0" w:type="auto"/>
            <w:shd w:val="clear" w:color="auto" w:fill="auto"/>
            <w:vAlign w:val="bottom"/>
          </w:tcPr>
          <w:p w14:paraId="5A1B0070" w14:textId="77777777" w:rsidR="00960BB8" w:rsidRDefault="00960BB8">
            <w:pPr>
              <w:rPr>
                <w:rFonts w:ascii="宋体"/>
                <w:vanish/>
              </w:rPr>
            </w:pPr>
          </w:p>
        </w:tc>
      </w:tr>
    </w:tbl>
    <w:p w14:paraId="5A1B0072" w14:textId="77777777" w:rsidR="00960BB8" w:rsidRDefault="00960BB8">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960BB8" w14:paraId="5A1B0076" w14:textId="77777777">
        <w:tc>
          <w:tcPr>
            <w:tcW w:w="20" w:type="dxa"/>
            <w:shd w:val="clear" w:color="auto" w:fill="auto"/>
            <w:vAlign w:val="bottom"/>
          </w:tcPr>
          <w:p w14:paraId="5A1B0073" w14:textId="77777777" w:rsidR="00960BB8" w:rsidRDefault="00960BB8">
            <w:pPr>
              <w:rPr>
                <w:rFonts w:ascii="宋体"/>
              </w:rPr>
            </w:pPr>
          </w:p>
        </w:tc>
        <w:tc>
          <w:tcPr>
            <w:tcW w:w="10940" w:type="dxa"/>
            <w:shd w:val="clear" w:color="auto" w:fill="auto"/>
            <w:vAlign w:val="bottom"/>
          </w:tcPr>
          <w:p w14:paraId="5A1B0074" w14:textId="77777777" w:rsidR="00960BB8" w:rsidRDefault="00960BB8">
            <w:pPr>
              <w:rPr>
                <w:rFonts w:ascii="宋体"/>
              </w:rPr>
            </w:pPr>
          </w:p>
        </w:tc>
        <w:tc>
          <w:tcPr>
            <w:tcW w:w="20" w:type="dxa"/>
            <w:shd w:val="clear" w:color="auto" w:fill="auto"/>
            <w:vAlign w:val="bottom"/>
          </w:tcPr>
          <w:p w14:paraId="5A1B0075" w14:textId="77777777" w:rsidR="00960BB8" w:rsidRDefault="00960BB8">
            <w:pPr>
              <w:rPr>
                <w:rFonts w:ascii="宋体"/>
              </w:rPr>
            </w:pPr>
          </w:p>
        </w:tc>
      </w:tr>
      <w:tr w:rsidR="00960BB8" w14:paraId="5A1B0078" w14:textId="77777777">
        <w:trPr>
          <w:trHeight w:val="28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5A1B0077" w14:textId="77777777" w:rsidR="00960BB8" w:rsidRDefault="00C06650">
            <w:pPr>
              <w:textAlignment w:val="bottom"/>
            </w:pPr>
            <w:r>
              <w:rPr>
                <w:rFonts w:ascii="Arial" w:eastAsia="宋体" w:hAnsi="Arial" w:cs="Arial"/>
                <w:color w:val="0068B5"/>
                <w:sz w:val="20"/>
                <w:szCs w:val="20"/>
              </w:rPr>
              <w:t>Marketing, General and Administrative</w:t>
            </w:r>
          </w:p>
        </w:tc>
      </w:tr>
    </w:tbl>
    <w:p w14:paraId="5A1B0079"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77"/>
        <w:gridCol w:w="39"/>
        <w:gridCol w:w="52"/>
        <w:gridCol w:w="7919"/>
        <w:gridCol w:w="38"/>
        <w:gridCol w:w="36"/>
        <w:gridCol w:w="36"/>
      </w:tblGrid>
      <w:tr w:rsidR="00960BB8" w14:paraId="5A1B0082" w14:textId="77777777">
        <w:tc>
          <w:tcPr>
            <w:tcW w:w="5" w:type="pct"/>
            <w:shd w:val="clear" w:color="auto" w:fill="auto"/>
            <w:vAlign w:val="bottom"/>
          </w:tcPr>
          <w:p w14:paraId="5A1B007A" w14:textId="77777777" w:rsidR="00960BB8" w:rsidRDefault="00960BB8">
            <w:pPr>
              <w:rPr>
                <w:rFonts w:ascii="宋体"/>
              </w:rPr>
            </w:pPr>
          </w:p>
        </w:tc>
        <w:tc>
          <w:tcPr>
            <w:tcW w:w="126" w:type="pct"/>
            <w:shd w:val="clear" w:color="auto" w:fill="auto"/>
            <w:vAlign w:val="bottom"/>
          </w:tcPr>
          <w:p w14:paraId="5A1B007B" w14:textId="77777777" w:rsidR="00960BB8" w:rsidRDefault="00960BB8">
            <w:pPr>
              <w:rPr>
                <w:rFonts w:ascii="宋体"/>
              </w:rPr>
            </w:pPr>
          </w:p>
        </w:tc>
        <w:tc>
          <w:tcPr>
            <w:tcW w:w="5" w:type="pct"/>
            <w:shd w:val="clear" w:color="auto" w:fill="auto"/>
            <w:vAlign w:val="bottom"/>
          </w:tcPr>
          <w:p w14:paraId="5A1B007C" w14:textId="77777777" w:rsidR="00960BB8" w:rsidRDefault="00960BB8">
            <w:pPr>
              <w:rPr>
                <w:rFonts w:ascii="宋体"/>
              </w:rPr>
            </w:pPr>
          </w:p>
        </w:tc>
        <w:tc>
          <w:tcPr>
            <w:tcW w:w="50" w:type="pct"/>
            <w:shd w:val="clear" w:color="auto" w:fill="auto"/>
            <w:vAlign w:val="bottom"/>
          </w:tcPr>
          <w:p w14:paraId="5A1B007D" w14:textId="77777777" w:rsidR="00960BB8" w:rsidRDefault="00960BB8">
            <w:pPr>
              <w:rPr>
                <w:rFonts w:ascii="宋体"/>
              </w:rPr>
            </w:pPr>
          </w:p>
        </w:tc>
        <w:tc>
          <w:tcPr>
            <w:tcW w:w="4808" w:type="pct"/>
            <w:shd w:val="clear" w:color="auto" w:fill="auto"/>
            <w:vAlign w:val="bottom"/>
          </w:tcPr>
          <w:p w14:paraId="5A1B007E" w14:textId="77777777" w:rsidR="00960BB8" w:rsidRDefault="00960BB8">
            <w:pPr>
              <w:rPr>
                <w:rFonts w:ascii="宋体"/>
              </w:rPr>
            </w:pPr>
          </w:p>
        </w:tc>
        <w:tc>
          <w:tcPr>
            <w:tcW w:w="5" w:type="pct"/>
            <w:shd w:val="clear" w:color="auto" w:fill="auto"/>
            <w:vAlign w:val="bottom"/>
          </w:tcPr>
          <w:p w14:paraId="5A1B007F" w14:textId="77777777" w:rsidR="00960BB8" w:rsidRDefault="00960BB8">
            <w:pPr>
              <w:rPr>
                <w:rFonts w:ascii="宋体"/>
              </w:rPr>
            </w:pPr>
          </w:p>
        </w:tc>
        <w:tc>
          <w:tcPr>
            <w:tcW w:w="0" w:type="auto"/>
            <w:shd w:val="clear" w:color="auto" w:fill="auto"/>
            <w:vAlign w:val="bottom"/>
          </w:tcPr>
          <w:p w14:paraId="5A1B0080" w14:textId="77777777" w:rsidR="00960BB8" w:rsidRDefault="00960BB8">
            <w:pPr>
              <w:rPr>
                <w:rFonts w:ascii="宋体"/>
                <w:vanish/>
              </w:rPr>
            </w:pPr>
          </w:p>
        </w:tc>
        <w:tc>
          <w:tcPr>
            <w:tcW w:w="0" w:type="auto"/>
            <w:shd w:val="clear" w:color="auto" w:fill="auto"/>
            <w:vAlign w:val="bottom"/>
          </w:tcPr>
          <w:p w14:paraId="5A1B0081" w14:textId="77777777" w:rsidR="00960BB8" w:rsidRDefault="00960BB8">
            <w:pPr>
              <w:rPr>
                <w:rFonts w:ascii="宋体"/>
                <w:vanish/>
              </w:rPr>
            </w:pPr>
          </w:p>
        </w:tc>
      </w:tr>
      <w:tr w:rsidR="00960BB8" w14:paraId="5A1B0086" w14:textId="77777777">
        <w:tc>
          <w:tcPr>
            <w:tcW w:w="0" w:type="auto"/>
            <w:gridSpan w:val="6"/>
            <w:shd w:val="clear" w:color="auto" w:fill="auto"/>
            <w:tcMar>
              <w:top w:w="40" w:type="dxa"/>
              <w:left w:w="20" w:type="dxa"/>
              <w:bottom w:w="40" w:type="dxa"/>
              <w:right w:w="20" w:type="dxa"/>
            </w:tcMar>
            <w:vAlign w:val="bottom"/>
          </w:tcPr>
          <w:p w14:paraId="5A1B0083" w14:textId="77777777" w:rsidR="00960BB8" w:rsidRDefault="00C06650">
            <w:pPr>
              <w:textAlignment w:val="bottom"/>
            </w:pPr>
            <w:r>
              <w:rPr>
                <w:rFonts w:ascii="Arial" w:eastAsia="宋体" w:hAnsi="Arial" w:cs="Arial"/>
                <w:color w:val="0068B5"/>
                <w:sz w:val="20"/>
                <w:szCs w:val="20"/>
              </w:rPr>
              <w:t>2022 vs. 2021</w:t>
            </w:r>
          </w:p>
        </w:tc>
        <w:tc>
          <w:tcPr>
            <w:tcW w:w="0" w:type="auto"/>
            <w:shd w:val="clear" w:color="auto" w:fill="auto"/>
            <w:vAlign w:val="bottom"/>
          </w:tcPr>
          <w:p w14:paraId="5A1B0084" w14:textId="77777777" w:rsidR="00960BB8" w:rsidRDefault="00960BB8">
            <w:pPr>
              <w:rPr>
                <w:rFonts w:ascii="宋体"/>
                <w:vanish/>
              </w:rPr>
            </w:pPr>
          </w:p>
        </w:tc>
        <w:tc>
          <w:tcPr>
            <w:tcW w:w="0" w:type="auto"/>
            <w:shd w:val="clear" w:color="auto" w:fill="auto"/>
            <w:vAlign w:val="bottom"/>
          </w:tcPr>
          <w:p w14:paraId="5A1B0085" w14:textId="77777777" w:rsidR="00960BB8" w:rsidRDefault="00960BB8">
            <w:pPr>
              <w:rPr>
                <w:rFonts w:ascii="宋体"/>
                <w:vanish/>
              </w:rPr>
            </w:pPr>
          </w:p>
        </w:tc>
      </w:tr>
      <w:tr w:rsidR="00960BB8" w14:paraId="5A1B008B" w14:textId="77777777">
        <w:trPr>
          <w:hidden/>
        </w:trPr>
        <w:tc>
          <w:tcPr>
            <w:tcW w:w="0" w:type="auto"/>
            <w:gridSpan w:val="3"/>
            <w:shd w:val="clear" w:color="auto" w:fill="auto"/>
            <w:vAlign w:val="bottom"/>
          </w:tcPr>
          <w:p w14:paraId="5A1B0087" w14:textId="77777777" w:rsidR="00960BB8" w:rsidRDefault="00960BB8">
            <w:pPr>
              <w:rPr>
                <w:rFonts w:ascii="宋体"/>
                <w:vanish/>
              </w:rPr>
            </w:pPr>
          </w:p>
        </w:tc>
        <w:tc>
          <w:tcPr>
            <w:tcW w:w="0" w:type="auto"/>
            <w:gridSpan w:val="3"/>
            <w:shd w:val="clear" w:color="auto" w:fill="auto"/>
            <w:vAlign w:val="bottom"/>
          </w:tcPr>
          <w:p w14:paraId="5A1B0088" w14:textId="77777777" w:rsidR="00960BB8" w:rsidRDefault="00960BB8">
            <w:pPr>
              <w:rPr>
                <w:rFonts w:ascii="宋体"/>
                <w:vanish/>
              </w:rPr>
            </w:pPr>
          </w:p>
        </w:tc>
        <w:tc>
          <w:tcPr>
            <w:tcW w:w="0" w:type="auto"/>
            <w:shd w:val="clear" w:color="auto" w:fill="auto"/>
            <w:vAlign w:val="bottom"/>
          </w:tcPr>
          <w:p w14:paraId="5A1B0089" w14:textId="77777777" w:rsidR="00960BB8" w:rsidRDefault="00960BB8">
            <w:pPr>
              <w:rPr>
                <w:rFonts w:ascii="宋体"/>
                <w:vanish/>
              </w:rPr>
            </w:pPr>
          </w:p>
        </w:tc>
        <w:tc>
          <w:tcPr>
            <w:tcW w:w="0" w:type="auto"/>
            <w:shd w:val="clear" w:color="auto" w:fill="auto"/>
            <w:vAlign w:val="bottom"/>
          </w:tcPr>
          <w:p w14:paraId="5A1B008A" w14:textId="77777777" w:rsidR="00960BB8" w:rsidRDefault="00960BB8">
            <w:pPr>
              <w:rPr>
                <w:rFonts w:ascii="宋体"/>
                <w:vanish/>
              </w:rPr>
            </w:pPr>
          </w:p>
        </w:tc>
      </w:tr>
      <w:tr w:rsidR="00960BB8" w14:paraId="5A1B008F" w14:textId="77777777">
        <w:tc>
          <w:tcPr>
            <w:tcW w:w="0" w:type="auto"/>
            <w:gridSpan w:val="6"/>
            <w:shd w:val="clear" w:color="auto" w:fill="auto"/>
            <w:tcMar>
              <w:top w:w="40" w:type="dxa"/>
              <w:left w:w="20" w:type="dxa"/>
              <w:bottom w:w="40" w:type="dxa"/>
              <w:right w:w="20" w:type="dxa"/>
            </w:tcMar>
            <w:vAlign w:val="bottom"/>
          </w:tcPr>
          <w:p w14:paraId="5A1B008C" w14:textId="77777777" w:rsidR="00960BB8" w:rsidRDefault="00C06650">
            <w:pPr>
              <w:textAlignment w:val="bottom"/>
            </w:pPr>
            <w:r>
              <w:rPr>
                <w:rFonts w:ascii="Arial" w:eastAsia="宋体" w:hAnsi="Arial" w:cs="Arial"/>
                <w:color w:val="262626"/>
                <w:sz w:val="18"/>
                <w:szCs w:val="18"/>
              </w:rPr>
              <w:t>MG&amp;A spending increased by $459 million, or 7%, driven by the following:</w:t>
            </w:r>
          </w:p>
        </w:tc>
        <w:tc>
          <w:tcPr>
            <w:tcW w:w="0" w:type="auto"/>
            <w:shd w:val="clear" w:color="auto" w:fill="auto"/>
            <w:vAlign w:val="bottom"/>
          </w:tcPr>
          <w:p w14:paraId="5A1B008D" w14:textId="77777777" w:rsidR="00960BB8" w:rsidRDefault="00960BB8">
            <w:pPr>
              <w:rPr>
                <w:rFonts w:ascii="宋体"/>
                <w:vanish/>
              </w:rPr>
            </w:pPr>
          </w:p>
        </w:tc>
        <w:tc>
          <w:tcPr>
            <w:tcW w:w="0" w:type="auto"/>
            <w:shd w:val="clear" w:color="auto" w:fill="auto"/>
            <w:vAlign w:val="bottom"/>
          </w:tcPr>
          <w:p w14:paraId="5A1B008E" w14:textId="77777777" w:rsidR="00960BB8" w:rsidRDefault="00960BB8">
            <w:pPr>
              <w:rPr>
                <w:rFonts w:ascii="宋体"/>
                <w:vanish/>
              </w:rPr>
            </w:pPr>
          </w:p>
        </w:tc>
      </w:tr>
      <w:tr w:rsidR="00960BB8" w14:paraId="5A1B0094" w14:textId="77777777">
        <w:trPr>
          <w:hidden/>
        </w:trPr>
        <w:tc>
          <w:tcPr>
            <w:tcW w:w="0" w:type="auto"/>
            <w:gridSpan w:val="3"/>
            <w:shd w:val="clear" w:color="auto" w:fill="auto"/>
            <w:vAlign w:val="bottom"/>
          </w:tcPr>
          <w:p w14:paraId="5A1B0090" w14:textId="77777777" w:rsidR="00960BB8" w:rsidRDefault="00960BB8">
            <w:pPr>
              <w:rPr>
                <w:rFonts w:ascii="宋体"/>
                <w:vanish/>
              </w:rPr>
            </w:pPr>
          </w:p>
        </w:tc>
        <w:tc>
          <w:tcPr>
            <w:tcW w:w="0" w:type="auto"/>
            <w:gridSpan w:val="3"/>
            <w:shd w:val="clear" w:color="auto" w:fill="auto"/>
            <w:vAlign w:val="bottom"/>
          </w:tcPr>
          <w:p w14:paraId="5A1B0091" w14:textId="77777777" w:rsidR="00960BB8" w:rsidRDefault="00960BB8">
            <w:pPr>
              <w:rPr>
                <w:rFonts w:ascii="宋体"/>
                <w:vanish/>
              </w:rPr>
            </w:pPr>
          </w:p>
        </w:tc>
        <w:tc>
          <w:tcPr>
            <w:tcW w:w="0" w:type="auto"/>
            <w:shd w:val="clear" w:color="auto" w:fill="auto"/>
            <w:vAlign w:val="bottom"/>
          </w:tcPr>
          <w:p w14:paraId="5A1B0092" w14:textId="77777777" w:rsidR="00960BB8" w:rsidRDefault="00960BB8">
            <w:pPr>
              <w:rPr>
                <w:rFonts w:ascii="宋体"/>
                <w:vanish/>
              </w:rPr>
            </w:pPr>
          </w:p>
        </w:tc>
        <w:tc>
          <w:tcPr>
            <w:tcW w:w="0" w:type="auto"/>
            <w:shd w:val="clear" w:color="auto" w:fill="auto"/>
            <w:vAlign w:val="bottom"/>
          </w:tcPr>
          <w:p w14:paraId="5A1B0093" w14:textId="77777777" w:rsidR="00960BB8" w:rsidRDefault="00960BB8">
            <w:pPr>
              <w:rPr>
                <w:rFonts w:ascii="宋体"/>
                <w:vanish/>
              </w:rPr>
            </w:pPr>
          </w:p>
        </w:tc>
      </w:tr>
      <w:tr w:rsidR="00960BB8" w14:paraId="5A1B0099" w14:textId="77777777">
        <w:tc>
          <w:tcPr>
            <w:tcW w:w="0" w:type="auto"/>
            <w:gridSpan w:val="3"/>
            <w:shd w:val="clear" w:color="auto" w:fill="auto"/>
            <w:tcMar>
              <w:top w:w="40" w:type="dxa"/>
              <w:left w:w="20" w:type="dxa"/>
              <w:bottom w:w="40" w:type="dxa"/>
              <w:right w:w="20" w:type="dxa"/>
            </w:tcMar>
            <w:vAlign w:val="bottom"/>
          </w:tcPr>
          <w:p w14:paraId="5A1B0095" w14:textId="77777777" w:rsidR="00960BB8" w:rsidRDefault="00C06650">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5A1B0096" w14:textId="77777777" w:rsidR="00960BB8" w:rsidRDefault="00C06650">
            <w:pPr>
              <w:textAlignment w:val="bottom"/>
            </w:pPr>
            <w:r>
              <w:rPr>
                <w:rFonts w:ascii="Arial" w:eastAsia="宋体" w:hAnsi="Arial" w:cs="Arial"/>
                <w:color w:val="262626"/>
                <w:sz w:val="18"/>
                <w:szCs w:val="18"/>
              </w:rPr>
              <w:t>Increase in corporate spending</w:t>
            </w:r>
          </w:p>
        </w:tc>
        <w:tc>
          <w:tcPr>
            <w:tcW w:w="0" w:type="auto"/>
            <w:shd w:val="clear" w:color="auto" w:fill="auto"/>
            <w:vAlign w:val="bottom"/>
          </w:tcPr>
          <w:p w14:paraId="5A1B0097" w14:textId="77777777" w:rsidR="00960BB8" w:rsidRDefault="00960BB8">
            <w:pPr>
              <w:rPr>
                <w:rFonts w:ascii="宋体"/>
                <w:vanish/>
              </w:rPr>
            </w:pPr>
          </w:p>
        </w:tc>
        <w:tc>
          <w:tcPr>
            <w:tcW w:w="0" w:type="auto"/>
            <w:shd w:val="clear" w:color="auto" w:fill="auto"/>
            <w:vAlign w:val="bottom"/>
          </w:tcPr>
          <w:p w14:paraId="5A1B0098" w14:textId="77777777" w:rsidR="00960BB8" w:rsidRDefault="00960BB8">
            <w:pPr>
              <w:rPr>
                <w:rFonts w:ascii="宋体"/>
                <w:vanish/>
              </w:rPr>
            </w:pPr>
          </w:p>
        </w:tc>
      </w:tr>
      <w:tr w:rsidR="00960BB8" w14:paraId="5A1B009E" w14:textId="77777777">
        <w:tc>
          <w:tcPr>
            <w:tcW w:w="0" w:type="auto"/>
            <w:gridSpan w:val="3"/>
            <w:shd w:val="clear" w:color="auto" w:fill="auto"/>
            <w:tcMar>
              <w:top w:w="40" w:type="dxa"/>
              <w:left w:w="20" w:type="dxa"/>
              <w:bottom w:w="40" w:type="dxa"/>
              <w:right w:w="20" w:type="dxa"/>
            </w:tcMar>
            <w:vAlign w:val="bottom"/>
          </w:tcPr>
          <w:p w14:paraId="5A1B009A" w14:textId="77777777" w:rsidR="00960BB8" w:rsidRDefault="00C06650">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5A1B009B" w14:textId="77777777" w:rsidR="00960BB8" w:rsidRDefault="00C06650">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5A1B009C" w14:textId="77777777" w:rsidR="00960BB8" w:rsidRDefault="00960BB8">
            <w:pPr>
              <w:rPr>
                <w:rFonts w:ascii="宋体"/>
                <w:vanish/>
              </w:rPr>
            </w:pPr>
          </w:p>
        </w:tc>
        <w:tc>
          <w:tcPr>
            <w:tcW w:w="0" w:type="auto"/>
            <w:shd w:val="clear" w:color="auto" w:fill="auto"/>
            <w:vAlign w:val="bottom"/>
          </w:tcPr>
          <w:p w14:paraId="5A1B009D" w14:textId="77777777" w:rsidR="00960BB8" w:rsidRDefault="00960BB8">
            <w:pPr>
              <w:rPr>
                <w:rFonts w:ascii="宋体"/>
                <w:vanish/>
              </w:rPr>
            </w:pPr>
          </w:p>
        </w:tc>
      </w:tr>
      <w:tr w:rsidR="00960BB8" w14:paraId="5A1B00A3" w14:textId="77777777">
        <w:trPr>
          <w:hidden/>
        </w:trPr>
        <w:tc>
          <w:tcPr>
            <w:tcW w:w="0" w:type="auto"/>
            <w:gridSpan w:val="3"/>
            <w:shd w:val="clear" w:color="auto" w:fill="auto"/>
            <w:vAlign w:val="bottom"/>
          </w:tcPr>
          <w:p w14:paraId="5A1B009F" w14:textId="77777777" w:rsidR="00960BB8" w:rsidRDefault="00960BB8">
            <w:pPr>
              <w:rPr>
                <w:rFonts w:ascii="宋体"/>
                <w:vanish/>
              </w:rPr>
            </w:pPr>
          </w:p>
        </w:tc>
        <w:tc>
          <w:tcPr>
            <w:tcW w:w="0" w:type="auto"/>
            <w:gridSpan w:val="3"/>
            <w:shd w:val="clear" w:color="auto" w:fill="auto"/>
            <w:vAlign w:val="bottom"/>
          </w:tcPr>
          <w:p w14:paraId="5A1B00A0" w14:textId="77777777" w:rsidR="00960BB8" w:rsidRDefault="00960BB8">
            <w:pPr>
              <w:rPr>
                <w:rFonts w:ascii="宋体"/>
                <w:vanish/>
              </w:rPr>
            </w:pPr>
          </w:p>
        </w:tc>
        <w:tc>
          <w:tcPr>
            <w:tcW w:w="0" w:type="auto"/>
            <w:shd w:val="clear" w:color="auto" w:fill="auto"/>
            <w:vAlign w:val="bottom"/>
          </w:tcPr>
          <w:p w14:paraId="5A1B00A1" w14:textId="77777777" w:rsidR="00960BB8" w:rsidRDefault="00960BB8">
            <w:pPr>
              <w:rPr>
                <w:rFonts w:ascii="宋体"/>
                <w:vanish/>
              </w:rPr>
            </w:pPr>
          </w:p>
        </w:tc>
        <w:tc>
          <w:tcPr>
            <w:tcW w:w="0" w:type="auto"/>
            <w:shd w:val="clear" w:color="auto" w:fill="auto"/>
            <w:vAlign w:val="bottom"/>
          </w:tcPr>
          <w:p w14:paraId="5A1B00A2" w14:textId="77777777" w:rsidR="00960BB8" w:rsidRDefault="00960BB8">
            <w:pPr>
              <w:rPr>
                <w:rFonts w:ascii="宋体"/>
                <w:vanish/>
              </w:rPr>
            </w:pPr>
          </w:p>
        </w:tc>
      </w:tr>
      <w:tr w:rsidR="00960BB8" w14:paraId="5A1B00A8" w14:textId="77777777">
        <w:trPr>
          <w:hidden/>
        </w:trPr>
        <w:tc>
          <w:tcPr>
            <w:tcW w:w="0" w:type="auto"/>
            <w:gridSpan w:val="3"/>
            <w:shd w:val="clear" w:color="auto" w:fill="auto"/>
            <w:vAlign w:val="bottom"/>
          </w:tcPr>
          <w:p w14:paraId="5A1B00A4" w14:textId="77777777" w:rsidR="00960BB8" w:rsidRDefault="00960BB8">
            <w:pPr>
              <w:rPr>
                <w:rFonts w:ascii="宋体"/>
                <w:vanish/>
              </w:rPr>
            </w:pPr>
          </w:p>
        </w:tc>
        <w:tc>
          <w:tcPr>
            <w:tcW w:w="0" w:type="auto"/>
            <w:gridSpan w:val="3"/>
            <w:shd w:val="clear" w:color="auto" w:fill="auto"/>
            <w:vAlign w:val="bottom"/>
          </w:tcPr>
          <w:p w14:paraId="5A1B00A5" w14:textId="77777777" w:rsidR="00960BB8" w:rsidRDefault="00960BB8">
            <w:pPr>
              <w:rPr>
                <w:rFonts w:ascii="宋体"/>
                <w:vanish/>
              </w:rPr>
            </w:pPr>
          </w:p>
        </w:tc>
        <w:tc>
          <w:tcPr>
            <w:tcW w:w="0" w:type="auto"/>
            <w:shd w:val="clear" w:color="auto" w:fill="auto"/>
            <w:vAlign w:val="bottom"/>
          </w:tcPr>
          <w:p w14:paraId="5A1B00A6" w14:textId="77777777" w:rsidR="00960BB8" w:rsidRDefault="00960BB8">
            <w:pPr>
              <w:rPr>
                <w:rFonts w:ascii="宋体"/>
                <w:vanish/>
              </w:rPr>
            </w:pPr>
          </w:p>
        </w:tc>
        <w:tc>
          <w:tcPr>
            <w:tcW w:w="0" w:type="auto"/>
            <w:shd w:val="clear" w:color="auto" w:fill="auto"/>
            <w:vAlign w:val="bottom"/>
          </w:tcPr>
          <w:p w14:paraId="5A1B00A7" w14:textId="77777777" w:rsidR="00960BB8" w:rsidRDefault="00960BB8">
            <w:pPr>
              <w:rPr>
                <w:rFonts w:ascii="宋体"/>
                <w:vanish/>
              </w:rPr>
            </w:pPr>
          </w:p>
        </w:tc>
      </w:tr>
      <w:tr w:rsidR="00960BB8" w14:paraId="5A1B00AD" w14:textId="77777777">
        <w:trPr>
          <w:trHeight w:val="60"/>
        </w:trPr>
        <w:tc>
          <w:tcPr>
            <w:tcW w:w="0" w:type="auto"/>
            <w:gridSpan w:val="3"/>
            <w:shd w:val="clear" w:color="auto" w:fill="auto"/>
            <w:tcMar>
              <w:top w:w="0" w:type="dxa"/>
              <w:left w:w="20" w:type="dxa"/>
              <w:bottom w:w="0" w:type="dxa"/>
              <w:right w:w="20" w:type="dxa"/>
            </w:tcMar>
            <w:vAlign w:val="bottom"/>
          </w:tcPr>
          <w:p w14:paraId="5A1B00A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0AA" w14:textId="77777777" w:rsidR="00960BB8" w:rsidRDefault="00960BB8">
            <w:pPr>
              <w:rPr>
                <w:rFonts w:ascii="宋体"/>
              </w:rPr>
            </w:pPr>
          </w:p>
        </w:tc>
        <w:tc>
          <w:tcPr>
            <w:tcW w:w="0" w:type="auto"/>
            <w:shd w:val="clear" w:color="auto" w:fill="auto"/>
            <w:vAlign w:val="bottom"/>
          </w:tcPr>
          <w:p w14:paraId="5A1B00AB" w14:textId="77777777" w:rsidR="00960BB8" w:rsidRDefault="00960BB8">
            <w:pPr>
              <w:rPr>
                <w:rFonts w:ascii="宋体"/>
                <w:vanish/>
              </w:rPr>
            </w:pPr>
          </w:p>
        </w:tc>
        <w:tc>
          <w:tcPr>
            <w:tcW w:w="0" w:type="auto"/>
            <w:shd w:val="clear" w:color="auto" w:fill="auto"/>
            <w:vAlign w:val="bottom"/>
          </w:tcPr>
          <w:p w14:paraId="5A1B00AC" w14:textId="77777777" w:rsidR="00960BB8" w:rsidRDefault="00960BB8">
            <w:pPr>
              <w:rPr>
                <w:rFonts w:ascii="宋体"/>
                <w:vanish/>
              </w:rPr>
            </w:pPr>
          </w:p>
        </w:tc>
      </w:tr>
      <w:tr w:rsidR="00960BB8" w14:paraId="5A1B00B1" w14:textId="77777777">
        <w:tc>
          <w:tcPr>
            <w:tcW w:w="0" w:type="auto"/>
            <w:gridSpan w:val="6"/>
            <w:shd w:val="clear" w:color="auto" w:fill="auto"/>
            <w:tcMar>
              <w:top w:w="40" w:type="dxa"/>
              <w:left w:w="20" w:type="dxa"/>
              <w:bottom w:w="40" w:type="dxa"/>
              <w:right w:w="20" w:type="dxa"/>
            </w:tcMar>
            <w:vAlign w:val="bottom"/>
          </w:tcPr>
          <w:p w14:paraId="5A1B00AE" w14:textId="77777777" w:rsidR="00960BB8" w:rsidRDefault="00C06650">
            <w:pPr>
              <w:textAlignment w:val="bottom"/>
            </w:pPr>
            <w:r>
              <w:rPr>
                <w:rFonts w:ascii="Arial" w:eastAsia="宋体" w:hAnsi="Arial" w:cs="Arial"/>
                <w:color w:val="0068B5"/>
                <w:sz w:val="20"/>
                <w:szCs w:val="20"/>
              </w:rPr>
              <w:t xml:space="preserve">2021 </w:t>
            </w:r>
            <w:r>
              <w:rPr>
                <w:rFonts w:ascii="Arial" w:eastAsia="宋体" w:hAnsi="Arial" w:cs="Arial"/>
                <w:color w:val="0068B5"/>
                <w:sz w:val="20"/>
                <w:szCs w:val="20"/>
              </w:rPr>
              <w:t>vs. 2020</w:t>
            </w:r>
          </w:p>
        </w:tc>
        <w:tc>
          <w:tcPr>
            <w:tcW w:w="0" w:type="auto"/>
            <w:shd w:val="clear" w:color="auto" w:fill="auto"/>
            <w:vAlign w:val="bottom"/>
          </w:tcPr>
          <w:p w14:paraId="5A1B00AF" w14:textId="77777777" w:rsidR="00960BB8" w:rsidRDefault="00960BB8">
            <w:pPr>
              <w:rPr>
                <w:rFonts w:ascii="宋体"/>
                <w:vanish/>
              </w:rPr>
            </w:pPr>
          </w:p>
        </w:tc>
        <w:tc>
          <w:tcPr>
            <w:tcW w:w="0" w:type="auto"/>
            <w:shd w:val="clear" w:color="auto" w:fill="auto"/>
            <w:vAlign w:val="bottom"/>
          </w:tcPr>
          <w:p w14:paraId="5A1B00B0" w14:textId="77777777" w:rsidR="00960BB8" w:rsidRDefault="00960BB8">
            <w:pPr>
              <w:rPr>
                <w:rFonts w:ascii="宋体"/>
                <w:vanish/>
              </w:rPr>
            </w:pPr>
          </w:p>
        </w:tc>
      </w:tr>
      <w:tr w:rsidR="00960BB8" w14:paraId="5A1B00B6" w14:textId="77777777">
        <w:trPr>
          <w:hidden/>
        </w:trPr>
        <w:tc>
          <w:tcPr>
            <w:tcW w:w="0" w:type="auto"/>
            <w:gridSpan w:val="3"/>
            <w:shd w:val="clear" w:color="auto" w:fill="auto"/>
            <w:vAlign w:val="bottom"/>
          </w:tcPr>
          <w:p w14:paraId="5A1B00B2" w14:textId="77777777" w:rsidR="00960BB8" w:rsidRDefault="00960BB8">
            <w:pPr>
              <w:rPr>
                <w:rFonts w:ascii="宋体"/>
                <w:vanish/>
              </w:rPr>
            </w:pPr>
          </w:p>
        </w:tc>
        <w:tc>
          <w:tcPr>
            <w:tcW w:w="0" w:type="auto"/>
            <w:gridSpan w:val="3"/>
            <w:shd w:val="clear" w:color="auto" w:fill="auto"/>
            <w:vAlign w:val="bottom"/>
          </w:tcPr>
          <w:p w14:paraId="5A1B00B3" w14:textId="77777777" w:rsidR="00960BB8" w:rsidRDefault="00960BB8">
            <w:pPr>
              <w:rPr>
                <w:rFonts w:ascii="宋体"/>
                <w:vanish/>
              </w:rPr>
            </w:pPr>
          </w:p>
        </w:tc>
        <w:tc>
          <w:tcPr>
            <w:tcW w:w="0" w:type="auto"/>
            <w:shd w:val="clear" w:color="auto" w:fill="auto"/>
            <w:vAlign w:val="bottom"/>
          </w:tcPr>
          <w:p w14:paraId="5A1B00B4" w14:textId="77777777" w:rsidR="00960BB8" w:rsidRDefault="00960BB8">
            <w:pPr>
              <w:rPr>
                <w:rFonts w:ascii="宋体"/>
                <w:vanish/>
              </w:rPr>
            </w:pPr>
          </w:p>
        </w:tc>
        <w:tc>
          <w:tcPr>
            <w:tcW w:w="0" w:type="auto"/>
            <w:shd w:val="clear" w:color="auto" w:fill="auto"/>
            <w:vAlign w:val="bottom"/>
          </w:tcPr>
          <w:p w14:paraId="5A1B00B5" w14:textId="77777777" w:rsidR="00960BB8" w:rsidRDefault="00960BB8">
            <w:pPr>
              <w:rPr>
                <w:rFonts w:ascii="宋体"/>
                <w:vanish/>
              </w:rPr>
            </w:pPr>
          </w:p>
        </w:tc>
      </w:tr>
      <w:tr w:rsidR="00960BB8" w14:paraId="5A1B00BA" w14:textId="77777777">
        <w:tc>
          <w:tcPr>
            <w:tcW w:w="0" w:type="auto"/>
            <w:gridSpan w:val="6"/>
            <w:shd w:val="clear" w:color="auto" w:fill="auto"/>
            <w:tcMar>
              <w:top w:w="40" w:type="dxa"/>
              <w:left w:w="20" w:type="dxa"/>
              <w:bottom w:w="40" w:type="dxa"/>
              <w:right w:w="20" w:type="dxa"/>
            </w:tcMar>
            <w:vAlign w:val="bottom"/>
          </w:tcPr>
          <w:p w14:paraId="5A1B00B7" w14:textId="77777777" w:rsidR="00960BB8" w:rsidRDefault="00C06650">
            <w:pPr>
              <w:textAlignment w:val="bottom"/>
            </w:pPr>
            <w:r>
              <w:rPr>
                <w:rFonts w:ascii="Arial" w:eastAsia="宋体" w:hAnsi="Arial" w:cs="Arial"/>
                <w:color w:val="262626"/>
                <w:sz w:val="18"/>
                <w:szCs w:val="18"/>
              </w:rPr>
              <w:t>MG&amp;A spending increased by $363 million, or 6%, driven by the following:</w:t>
            </w:r>
          </w:p>
        </w:tc>
        <w:tc>
          <w:tcPr>
            <w:tcW w:w="0" w:type="auto"/>
            <w:shd w:val="clear" w:color="auto" w:fill="auto"/>
            <w:vAlign w:val="bottom"/>
          </w:tcPr>
          <w:p w14:paraId="5A1B00B8" w14:textId="77777777" w:rsidR="00960BB8" w:rsidRDefault="00960BB8">
            <w:pPr>
              <w:rPr>
                <w:rFonts w:ascii="宋体"/>
                <w:vanish/>
              </w:rPr>
            </w:pPr>
          </w:p>
        </w:tc>
        <w:tc>
          <w:tcPr>
            <w:tcW w:w="0" w:type="auto"/>
            <w:shd w:val="clear" w:color="auto" w:fill="auto"/>
            <w:vAlign w:val="bottom"/>
          </w:tcPr>
          <w:p w14:paraId="5A1B00B9" w14:textId="77777777" w:rsidR="00960BB8" w:rsidRDefault="00960BB8">
            <w:pPr>
              <w:rPr>
                <w:rFonts w:ascii="宋体"/>
                <w:vanish/>
              </w:rPr>
            </w:pPr>
          </w:p>
        </w:tc>
      </w:tr>
      <w:tr w:rsidR="00960BB8" w14:paraId="5A1B00BF" w14:textId="77777777">
        <w:trPr>
          <w:hidden/>
        </w:trPr>
        <w:tc>
          <w:tcPr>
            <w:tcW w:w="0" w:type="auto"/>
            <w:gridSpan w:val="3"/>
            <w:shd w:val="clear" w:color="auto" w:fill="auto"/>
            <w:vAlign w:val="bottom"/>
          </w:tcPr>
          <w:p w14:paraId="5A1B00BB" w14:textId="77777777" w:rsidR="00960BB8" w:rsidRDefault="00960BB8">
            <w:pPr>
              <w:rPr>
                <w:rFonts w:ascii="宋体"/>
                <w:vanish/>
              </w:rPr>
            </w:pPr>
          </w:p>
        </w:tc>
        <w:tc>
          <w:tcPr>
            <w:tcW w:w="0" w:type="auto"/>
            <w:gridSpan w:val="3"/>
            <w:shd w:val="clear" w:color="auto" w:fill="auto"/>
            <w:vAlign w:val="bottom"/>
          </w:tcPr>
          <w:p w14:paraId="5A1B00BC" w14:textId="77777777" w:rsidR="00960BB8" w:rsidRDefault="00960BB8">
            <w:pPr>
              <w:rPr>
                <w:rFonts w:ascii="宋体"/>
                <w:vanish/>
              </w:rPr>
            </w:pPr>
          </w:p>
        </w:tc>
        <w:tc>
          <w:tcPr>
            <w:tcW w:w="0" w:type="auto"/>
            <w:shd w:val="clear" w:color="auto" w:fill="auto"/>
            <w:vAlign w:val="bottom"/>
          </w:tcPr>
          <w:p w14:paraId="5A1B00BD" w14:textId="77777777" w:rsidR="00960BB8" w:rsidRDefault="00960BB8">
            <w:pPr>
              <w:rPr>
                <w:rFonts w:ascii="宋体"/>
                <w:vanish/>
              </w:rPr>
            </w:pPr>
          </w:p>
        </w:tc>
        <w:tc>
          <w:tcPr>
            <w:tcW w:w="0" w:type="auto"/>
            <w:shd w:val="clear" w:color="auto" w:fill="auto"/>
            <w:vAlign w:val="bottom"/>
          </w:tcPr>
          <w:p w14:paraId="5A1B00BE" w14:textId="77777777" w:rsidR="00960BB8" w:rsidRDefault="00960BB8">
            <w:pPr>
              <w:rPr>
                <w:rFonts w:ascii="宋体"/>
                <w:vanish/>
              </w:rPr>
            </w:pPr>
          </w:p>
        </w:tc>
      </w:tr>
      <w:tr w:rsidR="00960BB8" w14:paraId="5A1B00C4" w14:textId="77777777">
        <w:tc>
          <w:tcPr>
            <w:tcW w:w="0" w:type="auto"/>
            <w:gridSpan w:val="3"/>
            <w:shd w:val="clear" w:color="auto" w:fill="auto"/>
            <w:tcMar>
              <w:top w:w="40" w:type="dxa"/>
              <w:left w:w="20" w:type="dxa"/>
              <w:bottom w:w="40" w:type="dxa"/>
              <w:right w:w="20" w:type="dxa"/>
            </w:tcMar>
            <w:vAlign w:val="bottom"/>
          </w:tcPr>
          <w:p w14:paraId="5A1B00C0" w14:textId="77777777" w:rsidR="00960BB8" w:rsidRDefault="00C06650">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5A1B00C1" w14:textId="77777777" w:rsidR="00960BB8" w:rsidRDefault="00C06650">
            <w:pPr>
              <w:textAlignment w:val="bottom"/>
            </w:pPr>
            <w:r>
              <w:rPr>
                <w:rFonts w:ascii="Arial" w:eastAsia="宋体" w:hAnsi="Arial" w:cs="Arial"/>
                <w:color w:val="262626"/>
                <w:sz w:val="18"/>
                <w:szCs w:val="18"/>
              </w:rPr>
              <w:t>Increase in corporate spending</w:t>
            </w:r>
          </w:p>
        </w:tc>
        <w:tc>
          <w:tcPr>
            <w:tcW w:w="0" w:type="auto"/>
            <w:shd w:val="clear" w:color="auto" w:fill="auto"/>
            <w:vAlign w:val="bottom"/>
          </w:tcPr>
          <w:p w14:paraId="5A1B00C2" w14:textId="77777777" w:rsidR="00960BB8" w:rsidRDefault="00960BB8">
            <w:pPr>
              <w:rPr>
                <w:rFonts w:ascii="宋体"/>
                <w:vanish/>
              </w:rPr>
            </w:pPr>
          </w:p>
        </w:tc>
        <w:tc>
          <w:tcPr>
            <w:tcW w:w="0" w:type="auto"/>
            <w:shd w:val="clear" w:color="auto" w:fill="auto"/>
            <w:vAlign w:val="bottom"/>
          </w:tcPr>
          <w:p w14:paraId="5A1B00C3" w14:textId="77777777" w:rsidR="00960BB8" w:rsidRDefault="00960BB8">
            <w:pPr>
              <w:rPr>
                <w:rFonts w:ascii="宋体"/>
                <w:vanish/>
              </w:rPr>
            </w:pPr>
          </w:p>
        </w:tc>
      </w:tr>
      <w:tr w:rsidR="00960BB8" w14:paraId="5A1B00C9" w14:textId="77777777">
        <w:tc>
          <w:tcPr>
            <w:tcW w:w="0" w:type="auto"/>
            <w:gridSpan w:val="3"/>
            <w:shd w:val="clear" w:color="auto" w:fill="auto"/>
            <w:tcMar>
              <w:top w:w="40" w:type="dxa"/>
              <w:left w:w="20" w:type="dxa"/>
              <w:bottom w:w="40" w:type="dxa"/>
              <w:right w:w="20" w:type="dxa"/>
            </w:tcMar>
            <w:vAlign w:val="bottom"/>
          </w:tcPr>
          <w:p w14:paraId="5A1B00C5" w14:textId="77777777" w:rsidR="00960BB8" w:rsidRDefault="00C06650">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5A1B00C6" w14:textId="77777777" w:rsidR="00960BB8" w:rsidRDefault="00C06650">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5A1B00C7" w14:textId="77777777" w:rsidR="00960BB8" w:rsidRDefault="00960BB8">
            <w:pPr>
              <w:rPr>
                <w:rFonts w:ascii="宋体"/>
                <w:vanish/>
              </w:rPr>
            </w:pPr>
          </w:p>
        </w:tc>
        <w:tc>
          <w:tcPr>
            <w:tcW w:w="0" w:type="auto"/>
            <w:shd w:val="clear" w:color="auto" w:fill="auto"/>
            <w:vAlign w:val="bottom"/>
          </w:tcPr>
          <w:p w14:paraId="5A1B00C8" w14:textId="77777777" w:rsidR="00960BB8" w:rsidRDefault="00960BB8">
            <w:pPr>
              <w:rPr>
                <w:rFonts w:ascii="宋体"/>
                <w:vanish/>
              </w:rPr>
            </w:pPr>
          </w:p>
        </w:tc>
      </w:tr>
      <w:tr w:rsidR="00960BB8" w14:paraId="5A1B00CE" w14:textId="77777777">
        <w:trPr>
          <w:hidden/>
        </w:trPr>
        <w:tc>
          <w:tcPr>
            <w:tcW w:w="0" w:type="auto"/>
            <w:gridSpan w:val="3"/>
            <w:shd w:val="clear" w:color="auto" w:fill="auto"/>
            <w:vAlign w:val="bottom"/>
          </w:tcPr>
          <w:p w14:paraId="5A1B00CA" w14:textId="77777777" w:rsidR="00960BB8" w:rsidRDefault="00960BB8">
            <w:pPr>
              <w:rPr>
                <w:rFonts w:ascii="宋体"/>
                <w:vanish/>
              </w:rPr>
            </w:pPr>
          </w:p>
        </w:tc>
        <w:tc>
          <w:tcPr>
            <w:tcW w:w="0" w:type="auto"/>
            <w:gridSpan w:val="3"/>
            <w:shd w:val="clear" w:color="auto" w:fill="auto"/>
            <w:vAlign w:val="bottom"/>
          </w:tcPr>
          <w:p w14:paraId="5A1B00CB" w14:textId="77777777" w:rsidR="00960BB8" w:rsidRDefault="00960BB8">
            <w:pPr>
              <w:rPr>
                <w:rFonts w:ascii="宋体"/>
                <w:vanish/>
              </w:rPr>
            </w:pPr>
          </w:p>
        </w:tc>
        <w:tc>
          <w:tcPr>
            <w:tcW w:w="0" w:type="auto"/>
            <w:shd w:val="clear" w:color="auto" w:fill="auto"/>
            <w:vAlign w:val="bottom"/>
          </w:tcPr>
          <w:p w14:paraId="5A1B00CC" w14:textId="77777777" w:rsidR="00960BB8" w:rsidRDefault="00960BB8">
            <w:pPr>
              <w:rPr>
                <w:rFonts w:ascii="宋体"/>
                <w:vanish/>
              </w:rPr>
            </w:pPr>
          </w:p>
        </w:tc>
        <w:tc>
          <w:tcPr>
            <w:tcW w:w="0" w:type="auto"/>
            <w:shd w:val="clear" w:color="auto" w:fill="auto"/>
            <w:vAlign w:val="bottom"/>
          </w:tcPr>
          <w:p w14:paraId="5A1B00CD" w14:textId="77777777" w:rsidR="00960BB8" w:rsidRDefault="00960BB8">
            <w:pPr>
              <w:rPr>
                <w:rFonts w:ascii="宋体"/>
                <w:vanish/>
              </w:rPr>
            </w:pPr>
          </w:p>
        </w:tc>
      </w:tr>
      <w:tr w:rsidR="00960BB8" w14:paraId="5A1B00D3" w14:textId="77777777">
        <w:trPr>
          <w:hidden/>
        </w:trPr>
        <w:tc>
          <w:tcPr>
            <w:tcW w:w="0" w:type="auto"/>
            <w:gridSpan w:val="3"/>
            <w:shd w:val="clear" w:color="auto" w:fill="auto"/>
            <w:vAlign w:val="bottom"/>
          </w:tcPr>
          <w:p w14:paraId="5A1B00CF" w14:textId="77777777" w:rsidR="00960BB8" w:rsidRDefault="00960BB8">
            <w:pPr>
              <w:rPr>
                <w:rFonts w:ascii="宋体"/>
                <w:vanish/>
              </w:rPr>
            </w:pPr>
          </w:p>
        </w:tc>
        <w:tc>
          <w:tcPr>
            <w:tcW w:w="0" w:type="auto"/>
            <w:gridSpan w:val="3"/>
            <w:shd w:val="clear" w:color="auto" w:fill="auto"/>
            <w:vAlign w:val="bottom"/>
          </w:tcPr>
          <w:p w14:paraId="5A1B00D0" w14:textId="77777777" w:rsidR="00960BB8" w:rsidRDefault="00960BB8">
            <w:pPr>
              <w:rPr>
                <w:rFonts w:ascii="宋体"/>
                <w:vanish/>
              </w:rPr>
            </w:pPr>
          </w:p>
        </w:tc>
        <w:tc>
          <w:tcPr>
            <w:tcW w:w="0" w:type="auto"/>
            <w:shd w:val="clear" w:color="auto" w:fill="auto"/>
            <w:vAlign w:val="bottom"/>
          </w:tcPr>
          <w:p w14:paraId="5A1B00D1" w14:textId="77777777" w:rsidR="00960BB8" w:rsidRDefault="00960BB8">
            <w:pPr>
              <w:rPr>
                <w:rFonts w:ascii="宋体"/>
                <w:vanish/>
              </w:rPr>
            </w:pPr>
          </w:p>
        </w:tc>
        <w:tc>
          <w:tcPr>
            <w:tcW w:w="0" w:type="auto"/>
            <w:shd w:val="clear" w:color="auto" w:fill="auto"/>
            <w:vAlign w:val="bottom"/>
          </w:tcPr>
          <w:p w14:paraId="5A1B00D2" w14:textId="77777777" w:rsidR="00960BB8" w:rsidRDefault="00960BB8">
            <w:pPr>
              <w:rPr>
                <w:rFonts w:ascii="宋体"/>
                <w:vanish/>
              </w:rPr>
            </w:pPr>
          </w:p>
        </w:tc>
      </w:tr>
      <w:tr w:rsidR="00960BB8" w14:paraId="5A1B00D8" w14:textId="77777777">
        <w:trPr>
          <w:hidden/>
        </w:trPr>
        <w:tc>
          <w:tcPr>
            <w:tcW w:w="0" w:type="auto"/>
            <w:gridSpan w:val="3"/>
            <w:shd w:val="clear" w:color="auto" w:fill="auto"/>
            <w:vAlign w:val="bottom"/>
          </w:tcPr>
          <w:p w14:paraId="5A1B00D4" w14:textId="77777777" w:rsidR="00960BB8" w:rsidRDefault="00960BB8">
            <w:pPr>
              <w:rPr>
                <w:rFonts w:ascii="宋体"/>
                <w:vanish/>
              </w:rPr>
            </w:pPr>
          </w:p>
        </w:tc>
        <w:tc>
          <w:tcPr>
            <w:tcW w:w="0" w:type="auto"/>
            <w:gridSpan w:val="3"/>
            <w:shd w:val="clear" w:color="auto" w:fill="auto"/>
            <w:vAlign w:val="bottom"/>
          </w:tcPr>
          <w:p w14:paraId="5A1B00D5" w14:textId="77777777" w:rsidR="00960BB8" w:rsidRDefault="00960BB8">
            <w:pPr>
              <w:rPr>
                <w:rFonts w:ascii="宋体"/>
                <w:vanish/>
              </w:rPr>
            </w:pPr>
          </w:p>
        </w:tc>
        <w:tc>
          <w:tcPr>
            <w:tcW w:w="0" w:type="auto"/>
            <w:shd w:val="clear" w:color="auto" w:fill="auto"/>
            <w:vAlign w:val="bottom"/>
          </w:tcPr>
          <w:p w14:paraId="5A1B00D6" w14:textId="77777777" w:rsidR="00960BB8" w:rsidRDefault="00960BB8">
            <w:pPr>
              <w:rPr>
                <w:rFonts w:ascii="宋体"/>
                <w:vanish/>
              </w:rPr>
            </w:pPr>
          </w:p>
        </w:tc>
        <w:tc>
          <w:tcPr>
            <w:tcW w:w="0" w:type="auto"/>
            <w:shd w:val="clear" w:color="auto" w:fill="auto"/>
            <w:vAlign w:val="bottom"/>
          </w:tcPr>
          <w:p w14:paraId="5A1B00D7" w14:textId="77777777" w:rsidR="00960BB8" w:rsidRDefault="00960BB8">
            <w:pPr>
              <w:rPr>
                <w:rFonts w:ascii="宋体"/>
                <w:vanish/>
              </w:rPr>
            </w:pPr>
          </w:p>
        </w:tc>
      </w:tr>
    </w:tbl>
    <w:p w14:paraId="5A1B00D9" w14:textId="77777777" w:rsidR="00960BB8" w:rsidRDefault="00960BB8">
      <w:pPr>
        <w:ind w:hanging="180"/>
      </w:pPr>
    </w:p>
    <w:p w14:paraId="5A1B00DA" w14:textId="77777777" w:rsidR="00960BB8" w:rsidRDefault="00960BB8"/>
    <w:p w14:paraId="5A1B00DB" w14:textId="77777777" w:rsidR="00960BB8" w:rsidRDefault="00C06650">
      <w:pPr>
        <w:spacing w:after="180"/>
      </w:pPr>
      <w:r>
        <w:rPr>
          <w:rFonts w:ascii="Arial" w:eastAsia="宋体" w:hAnsi="Arial" w:cs="Arial"/>
          <w:color w:val="0068B5"/>
          <w:sz w:val="28"/>
          <w:szCs w:val="28"/>
        </w:rPr>
        <w:t>Restructuring and Other Charges</w:t>
      </w:r>
    </w:p>
    <w:tbl>
      <w:tblPr>
        <w:tblW w:w="5000" w:type="pct"/>
        <w:tblCellMar>
          <w:top w:w="15" w:type="dxa"/>
          <w:left w:w="15" w:type="dxa"/>
          <w:bottom w:w="15" w:type="dxa"/>
          <w:right w:w="15" w:type="dxa"/>
        </w:tblCellMar>
        <w:tblLook w:val="04A0" w:firstRow="1" w:lastRow="0" w:firstColumn="1" w:lastColumn="0" w:noHBand="0" w:noVBand="1"/>
      </w:tblPr>
      <w:tblGrid>
        <w:gridCol w:w="38"/>
        <w:gridCol w:w="4999"/>
        <w:gridCol w:w="37"/>
        <w:gridCol w:w="36"/>
        <w:gridCol w:w="36"/>
        <w:gridCol w:w="36"/>
        <w:gridCol w:w="121"/>
        <w:gridCol w:w="780"/>
        <w:gridCol w:w="36"/>
        <w:gridCol w:w="36"/>
        <w:gridCol w:w="36"/>
        <w:gridCol w:w="36"/>
        <w:gridCol w:w="121"/>
        <w:gridCol w:w="780"/>
        <w:gridCol w:w="36"/>
        <w:gridCol w:w="36"/>
        <w:gridCol w:w="36"/>
        <w:gridCol w:w="36"/>
        <w:gridCol w:w="121"/>
        <w:gridCol w:w="835"/>
        <w:gridCol w:w="36"/>
        <w:gridCol w:w="36"/>
        <w:gridCol w:w="36"/>
      </w:tblGrid>
      <w:tr w:rsidR="00960BB8" w14:paraId="5A1B00F3" w14:textId="77777777">
        <w:tc>
          <w:tcPr>
            <w:tcW w:w="50" w:type="pct"/>
            <w:shd w:val="clear" w:color="auto" w:fill="auto"/>
            <w:vAlign w:val="bottom"/>
          </w:tcPr>
          <w:p w14:paraId="5A1B00DC" w14:textId="77777777" w:rsidR="00960BB8" w:rsidRDefault="00960BB8">
            <w:pPr>
              <w:rPr>
                <w:rFonts w:ascii="宋体"/>
              </w:rPr>
            </w:pPr>
          </w:p>
        </w:tc>
        <w:tc>
          <w:tcPr>
            <w:tcW w:w="3066" w:type="pct"/>
            <w:shd w:val="clear" w:color="auto" w:fill="auto"/>
            <w:vAlign w:val="bottom"/>
          </w:tcPr>
          <w:p w14:paraId="5A1B00DD" w14:textId="77777777" w:rsidR="00960BB8" w:rsidRDefault="00960BB8">
            <w:pPr>
              <w:rPr>
                <w:rFonts w:ascii="宋体"/>
              </w:rPr>
            </w:pPr>
          </w:p>
        </w:tc>
        <w:tc>
          <w:tcPr>
            <w:tcW w:w="5" w:type="pct"/>
            <w:shd w:val="clear" w:color="auto" w:fill="auto"/>
            <w:vAlign w:val="bottom"/>
          </w:tcPr>
          <w:p w14:paraId="5A1B00DE" w14:textId="77777777" w:rsidR="00960BB8" w:rsidRDefault="00960BB8">
            <w:pPr>
              <w:rPr>
                <w:rFonts w:ascii="宋体"/>
              </w:rPr>
            </w:pPr>
          </w:p>
        </w:tc>
        <w:tc>
          <w:tcPr>
            <w:tcW w:w="5" w:type="pct"/>
            <w:shd w:val="clear" w:color="auto" w:fill="auto"/>
            <w:vAlign w:val="bottom"/>
          </w:tcPr>
          <w:p w14:paraId="5A1B00DF" w14:textId="77777777" w:rsidR="00960BB8" w:rsidRDefault="00960BB8">
            <w:pPr>
              <w:rPr>
                <w:rFonts w:ascii="宋体"/>
              </w:rPr>
            </w:pPr>
          </w:p>
        </w:tc>
        <w:tc>
          <w:tcPr>
            <w:tcW w:w="24" w:type="pct"/>
            <w:shd w:val="clear" w:color="auto" w:fill="auto"/>
            <w:vAlign w:val="bottom"/>
          </w:tcPr>
          <w:p w14:paraId="5A1B00E0" w14:textId="77777777" w:rsidR="00960BB8" w:rsidRDefault="00960BB8">
            <w:pPr>
              <w:rPr>
                <w:rFonts w:ascii="宋体"/>
              </w:rPr>
            </w:pPr>
          </w:p>
        </w:tc>
        <w:tc>
          <w:tcPr>
            <w:tcW w:w="5" w:type="pct"/>
            <w:shd w:val="clear" w:color="auto" w:fill="auto"/>
            <w:vAlign w:val="bottom"/>
          </w:tcPr>
          <w:p w14:paraId="5A1B00E1" w14:textId="77777777" w:rsidR="00960BB8" w:rsidRDefault="00960BB8">
            <w:pPr>
              <w:rPr>
                <w:rFonts w:ascii="宋体"/>
              </w:rPr>
            </w:pPr>
          </w:p>
        </w:tc>
        <w:tc>
          <w:tcPr>
            <w:tcW w:w="50" w:type="pct"/>
            <w:shd w:val="clear" w:color="auto" w:fill="auto"/>
            <w:vAlign w:val="bottom"/>
          </w:tcPr>
          <w:p w14:paraId="5A1B00E2" w14:textId="77777777" w:rsidR="00960BB8" w:rsidRDefault="00960BB8">
            <w:pPr>
              <w:rPr>
                <w:rFonts w:ascii="宋体"/>
              </w:rPr>
            </w:pPr>
          </w:p>
        </w:tc>
        <w:tc>
          <w:tcPr>
            <w:tcW w:w="539" w:type="pct"/>
            <w:shd w:val="clear" w:color="auto" w:fill="auto"/>
            <w:vAlign w:val="bottom"/>
          </w:tcPr>
          <w:p w14:paraId="5A1B00E3" w14:textId="77777777" w:rsidR="00960BB8" w:rsidRDefault="00960BB8">
            <w:pPr>
              <w:rPr>
                <w:rFonts w:ascii="宋体"/>
              </w:rPr>
            </w:pPr>
          </w:p>
        </w:tc>
        <w:tc>
          <w:tcPr>
            <w:tcW w:w="5" w:type="pct"/>
            <w:shd w:val="clear" w:color="auto" w:fill="auto"/>
            <w:vAlign w:val="bottom"/>
          </w:tcPr>
          <w:p w14:paraId="5A1B00E4" w14:textId="77777777" w:rsidR="00960BB8" w:rsidRDefault="00960BB8">
            <w:pPr>
              <w:rPr>
                <w:rFonts w:ascii="宋体"/>
              </w:rPr>
            </w:pPr>
          </w:p>
        </w:tc>
        <w:tc>
          <w:tcPr>
            <w:tcW w:w="5" w:type="pct"/>
            <w:shd w:val="clear" w:color="auto" w:fill="auto"/>
            <w:vAlign w:val="bottom"/>
          </w:tcPr>
          <w:p w14:paraId="5A1B00E5" w14:textId="77777777" w:rsidR="00960BB8" w:rsidRDefault="00960BB8">
            <w:pPr>
              <w:rPr>
                <w:rFonts w:ascii="宋体"/>
              </w:rPr>
            </w:pPr>
          </w:p>
        </w:tc>
        <w:tc>
          <w:tcPr>
            <w:tcW w:w="24" w:type="pct"/>
            <w:shd w:val="clear" w:color="auto" w:fill="auto"/>
            <w:vAlign w:val="bottom"/>
          </w:tcPr>
          <w:p w14:paraId="5A1B00E6" w14:textId="77777777" w:rsidR="00960BB8" w:rsidRDefault="00960BB8">
            <w:pPr>
              <w:rPr>
                <w:rFonts w:ascii="宋体"/>
              </w:rPr>
            </w:pPr>
          </w:p>
        </w:tc>
        <w:tc>
          <w:tcPr>
            <w:tcW w:w="5" w:type="pct"/>
            <w:shd w:val="clear" w:color="auto" w:fill="auto"/>
            <w:vAlign w:val="bottom"/>
          </w:tcPr>
          <w:p w14:paraId="5A1B00E7" w14:textId="77777777" w:rsidR="00960BB8" w:rsidRDefault="00960BB8">
            <w:pPr>
              <w:rPr>
                <w:rFonts w:ascii="宋体"/>
              </w:rPr>
            </w:pPr>
          </w:p>
        </w:tc>
        <w:tc>
          <w:tcPr>
            <w:tcW w:w="50" w:type="pct"/>
            <w:shd w:val="clear" w:color="auto" w:fill="auto"/>
            <w:vAlign w:val="bottom"/>
          </w:tcPr>
          <w:p w14:paraId="5A1B00E8" w14:textId="77777777" w:rsidR="00960BB8" w:rsidRDefault="00960BB8">
            <w:pPr>
              <w:rPr>
                <w:rFonts w:ascii="宋体"/>
              </w:rPr>
            </w:pPr>
          </w:p>
        </w:tc>
        <w:tc>
          <w:tcPr>
            <w:tcW w:w="539" w:type="pct"/>
            <w:shd w:val="clear" w:color="auto" w:fill="auto"/>
            <w:vAlign w:val="bottom"/>
          </w:tcPr>
          <w:p w14:paraId="5A1B00E9" w14:textId="77777777" w:rsidR="00960BB8" w:rsidRDefault="00960BB8">
            <w:pPr>
              <w:rPr>
                <w:rFonts w:ascii="宋体"/>
              </w:rPr>
            </w:pPr>
          </w:p>
        </w:tc>
        <w:tc>
          <w:tcPr>
            <w:tcW w:w="5" w:type="pct"/>
            <w:shd w:val="clear" w:color="auto" w:fill="auto"/>
            <w:vAlign w:val="bottom"/>
          </w:tcPr>
          <w:p w14:paraId="5A1B00EA" w14:textId="77777777" w:rsidR="00960BB8" w:rsidRDefault="00960BB8">
            <w:pPr>
              <w:rPr>
                <w:rFonts w:ascii="宋体"/>
              </w:rPr>
            </w:pPr>
          </w:p>
        </w:tc>
        <w:tc>
          <w:tcPr>
            <w:tcW w:w="5" w:type="pct"/>
            <w:shd w:val="clear" w:color="auto" w:fill="auto"/>
            <w:vAlign w:val="bottom"/>
          </w:tcPr>
          <w:p w14:paraId="5A1B00EB" w14:textId="77777777" w:rsidR="00960BB8" w:rsidRDefault="00960BB8">
            <w:pPr>
              <w:rPr>
                <w:rFonts w:ascii="宋体"/>
              </w:rPr>
            </w:pPr>
          </w:p>
        </w:tc>
        <w:tc>
          <w:tcPr>
            <w:tcW w:w="17" w:type="pct"/>
            <w:shd w:val="clear" w:color="auto" w:fill="auto"/>
            <w:vAlign w:val="bottom"/>
          </w:tcPr>
          <w:p w14:paraId="5A1B00EC" w14:textId="77777777" w:rsidR="00960BB8" w:rsidRDefault="00960BB8">
            <w:pPr>
              <w:rPr>
                <w:rFonts w:ascii="宋体"/>
              </w:rPr>
            </w:pPr>
          </w:p>
        </w:tc>
        <w:tc>
          <w:tcPr>
            <w:tcW w:w="5" w:type="pct"/>
            <w:shd w:val="clear" w:color="auto" w:fill="auto"/>
            <w:vAlign w:val="bottom"/>
          </w:tcPr>
          <w:p w14:paraId="5A1B00ED" w14:textId="77777777" w:rsidR="00960BB8" w:rsidRDefault="00960BB8">
            <w:pPr>
              <w:rPr>
                <w:rFonts w:ascii="宋体"/>
              </w:rPr>
            </w:pPr>
          </w:p>
        </w:tc>
        <w:tc>
          <w:tcPr>
            <w:tcW w:w="50" w:type="pct"/>
            <w:shd w:val="clear" w:color="auto" w:fill="auto"/>
            <w:vAlign w:val="bottom"/>
          </w:tcPr>
          <w:p w14:paraId="5A1B00EE" w14:textId="77777777" w:rsidR="00960BB8" w:rsidRDefault="00960BB8">
            <w:pPr>
              <w:rPr>
                <w:rFonts w:ascii="宋体"/>
              </w:rPr>
            </w:pPr>
          </w:p>
        </w:tc>
        <w:tc>
          <w:tcPr>
            <w:tcW w:w="539" w:type="pct"/>
            <w:shd w:val="clear" w:color="auto" w:fill="auto"/>
            <w:vAlign w:val="bottom"/>
          </w:tcPr>
          <w:p w14:paraId="5A1B00EF" w14:textId="77777777" w:rsidR="00960BB8" w:rsidRDefault="00960BB8">
            <w:pPr>
              <w:rPr>
                <w:rFonts w:ascii="宋体"/>
              </w:rPr>
            </w:pPr>
          </w:p>
        </w:tc>
        <w:tc>
          <w:tcPr>
            <w:tcW w:w="5" w:type="pct"/>
            <w:shd w:val="clear" w:color="auto" w:fill="auto"/>
            <w:vAlign w:val="bottom"/>
          </w:tcPr>
          <w:p w14:paraId="5A1B00F0" w14:textId="77777777" w:rsidR="00960BB8" w:rsidRDefault="00960BB8">
            <w:pPr>
              <w:rPr>
                <w:rFonts w:ascii="宋体"/>
              </w:rPr>
            </w:pPr>
          </w:p>
        </w:tc>
        <w:tc>
          <w:tcPr>
            <w:tcW w:w="0" w:type="auto"/>
            <w:shd w:val="clear" w:color="auto" w:fill="auto"/>
            <w:vAlign w:val="bottom"/>
          </w:tcPr>
          <w:p w14:paraId="5A1B00F1" w14:textId="77777777" w:rsidR="00960BB8" w:rsidRDefault="00960BB8">
            <w:pPr>
              <w:rPr>
                <w:rFonts w:ascii="宋体"/>
                <w:vanish/>
              </w:rPr>
            </w:pPr>
          </w:p>
        </w:tc>
        <w:tc>
          <w:tcPr>
            <w:tcW w:w="0" w:type="auto"/>
            <w:shd w:val="clear" w:color="auto" w:fill="auto"/>
            <w:vAlign w:val="bottom"/>
          </w:tcPr>
          <w:p w14:paraId="5A1B00F2" w14:textId="77777777" w:rsidR="00960BB8" w:rsidRDefault="00960BB8">
            <w:pPr>
              <w:rPr>
                <w:rFonts w:ascii="宋体"/>
                <w:vanish/>
              </w:rPr>
            </w:pPr>
          </w:p>
        </w:tc>
      </w:tr>
      <w:tr w:rsidR="00960BB8" w14:paraId="5A1B00FD" w14:textId="77777777">
        <w:tc>
          <w:tcPr>
            <w:tcW w:w="0" w:type="auto"/>
            <w:gridSpan w:val="3"/>
            <w:shd w:val="clear" w:color="auto" w:fill="auto"/>
            <w:tcMar>
              <w:top w:w="40" w:type="dxa"/>
              <w:left w:w="20" w:type="dxa"/>
              <w:bottom w:w="40" w:type="dxa"/>
              <w:right w:w="20" w:type="dxa"/>
            </w:tcMar>
            <w:vAlign w:val="bottom"/>
          </w:tcPr>
          <w:p w14:paraId="5A1B00F4" w14:textId="77777777" w:rsidR="00960BB8" w:rsidRDefault="00C06650">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5A1B00F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0F6"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00F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0F8"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00F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0FA" w14:textId="77777777" w:rsidR="00960BB8" w:rsidRDefault="00C06650">
            <w:pPr>
              <w:jc w:val="center"/>
              <w:textAlignment w:val="bottom"/>
            </w:pPr>
            <w:r>
              <w:rPr>
                <w:rFonts w:ascii="Arial" w:eastAsia="宋体" w:hAnsi="Arial" w:cs="Arial"/>
                <w:b/>
                <w:bCs/>
                <w:color w:val="262626"/>
                <w:sz w:val="18"/>
                <w:szCs w:val="18"/>
              </w:rPr>
              <w:t>Dec 26, 2020</w:t>
            </w:r>
          </w:p>
        </w:tc>
        <w:tc>
          <w:tcPr>
            <w:tcW w:w="0" w:type="auto"/>
            <w:shd w:val="clear" w:color="auto" w:fill="auto"/>
            <w:vAlign w:val="bottom"/>
          </w:tcPr>
          <w:p w14:paraId="5A1B00FB" w14:textId="77777777" w:rsidR="00960BB8" w:rsidRDefault="00960BB8">
            <w:pPr>
              <w:rPr>
                <w:rFonts w:ascii="宋体"/>
                <w:vanish/>
              </w:rPr>
            </w:pPr>
          </w:p>
        </w:tc>
        <w:tc>
          <w:tcPr>
            <w:tcW w:w="0" w:type="auto"/>
            <w:shd w:val="clear" w:color="auto" w:fill="auto"/>
            <w:vAlign w:val="bottom"/>
          </w:tcPr>
          <w:p w14:paraId="5A1B00FC" w14:textId="77777777" w:rsidR="00960BB8" w:rsidRDefault="00960BB8">
            <w:pPr>
              <w:rPr>
                <w:rFonts w:ascii="宋体"/>
                <w:vanish/>
              </w:rPr>
            </w:pPr>
          </w:p>
        </w:tc>
      </w:tr>
      <w:tr w:rsidR="00960BB8" w14:paraId="5A1B010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0FE" w14:textId="77777777" w:rsidR="00960BB8" w:rsidRDefault="00C06650">
            <w:pPr>
              <w:textAlignment w:val="bottom"/>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5A1B00FF"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100"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101" w14:textId="77777777" w:rsidR="00960BB8" w:rsidRDefault="00C06650">
            <w:pPr>
              <w:jc w:val="right"/>
              <w:textAlignment w:val="bottom"/>
            </w:pPr>
            <w:r>
              <w:rPr>
                <w:rFonts w:ascii="Arial" w:eastAsia="宋体" w:hAnsi="Arial" w:cs="Arial"/>
                <w:color w:val="0068B5"/>
                <w:sz w:val="18"/>
                <w:szCs w:val="18"/>
              </w:rPr>
              <w:t>1,038 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10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0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104"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105" w14:textId="77777777" w:rsidR="00960BB8" w:rsidRDefault="00C06650">
            <w:pPr>
              <w:jc w:val="right"/>
              <w:textAlignment w:val="bottom"/>
            </w:pPr>
            <w:r>
              <w:rPr>
                <w:rFonts w:ascii="Arial" w:eastAsia="宋体" w:hAnsi="Arial" w:cs="Arial"/>
                <w:color w:val="262626"/>
                <w:sz w:val="18"/>
                <w:szCs w:val="18"/>
              </w:rPr>
              <w:t>48 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10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07"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108"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109" w14:textId="77777777" w:rsidR="00960BB8" w:rsidRDefault="00C06650">
            <w:pPr>
              <w:jc w:val="right"/>
              <w:textAlignment w:val="bottom"/>
            </w:pPr>
            <w:r>
              <w:rPr>
                <w:rFonts w:ascii="Arial" w:eastAsia="宋体" w:hAnsi="Arial" w:cs="Arial"/>
                <w:color w:val="262626"/>
                <w:sz w:val="18"/>
                <w:szCs w:val="18"/>
              </w:rPr>
              <w:t>124 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10A" w14:textId="77777777" w:rsidR="00960BB8" w:rsidRDefault="00960BB8">
            <w:pPr>
              <w:jc w:val="right"/>
              <w:rPr>
                <w:rFonts w:ascii="宋体"/>
              </w:rPr>
            </w:pPr>
          </w:p>
        </w:tc>
        <w:tc>
          <w:tcPr>
            <w:tcW w:w="0" w:type="auto"/>
            <w:shd w:val="clear" w:color="auto" w:fill="auto"/>
            <w:vAlign w:val="bottom"/>
          </w:tcPr>
          <w:p w14:paraId="5A1B010B" w14:textId="77777777" w:rsidR="00960BB8" w:rsidRDefault="00960BB8">
            <w:pPr>
              <w:rPr>
                <w:rFonts w:ascii="宋体"/>
                <w:vanish/>
              </w:rPr>
            </w:pPr>
          </w:p>
        </w:tc>
        <w:tc>
          <w:tcPr>
            <w:tcW w:w="0" w:type="auto"/>
            <w:shd w:val="clear" w:color="auto" w:fill="auto"/>
            <w:vAlign w:val="bottom"/>
          </w:tcPr>
          <w:p w14:paraId="5A1B010C" w14:textId="77777777" w:rsidR="00960BB8" w:rsidRDefault="00960BB8">
            <w:pPr>
              <w:rPr>
                <w:rFonts w:ascii="宋体"/>
                <w:vanish/>
              </w:rPr>
            </w:pPr>
          </w:p>
        </w:tc>
      </w:tr>
      <w:tr w:rsidR="00960BB8" w14:paraId="5A1B011A" w14:textId="77777777">
        <w:tc>
          <w:tcPr>
            <w:tcW w:w="0" w:type="auto"/>
            <w:gridSpan w:val="3"/>
            <w:shd w:val="clear" w:color="auto" w:fill="auto"/>
            <w:tcMar>
              <w:top w:w="40" w:type="dxa"/>
              <w:left w:w="20" w:type="dxa"/>
              <w:bottom w:w="40" w:type="dxa"/>
              <w:right w:w="20" w:type="dxa"/>
            </w:tcMar>
            <w:vAlign w:val="bottom"/>
          </w:tcPr>
          <w:p w14:paraId="5A1B010E" w14:textId="77777777" w:rsidR="00960BB8" w:rsidRDefault="00C06650">
            <w:pPr>
              <w:textAlignment w:val="bottom"/>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5A1B010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10" w14:textId="77777777" w:rsidR="00960BB8" w:rsidRDefault="00C06650">
            <w:pPr>
              <w:jc w:val="right"/>
              <w:textAlignment w:val="bottom"/>
            </w:pPr>
            <w:r>
              <w:rPr>
                <w:rFonts w:ascii="Arial" w:eastAsia="宋体" w:hAnsi="Arial" w:cs="Arial"/>
                <w:color w:val="0068B5"/>
                <w:sz w:val="18"/>
                <w:szCs w:val="18"/>
              </w:rPr>
              <w:t>(1,187)</w:t>
            </w:r>
          </w:p>
        </w:tc>
        <w:tc>
          <w:tcPr>
            <w:tcW w:w="0" w:type="auto"/>
            <w:shd w:val="clear" w:color="auto" w:fill="auto"/>
            <w:tcMar>
              <w:top w:w="40" w:type="dxa"/>
              <w:left w:w="0" w:type="dxa"/>
              <w:bottom w:w="40" w:type="dxa"/>
              <w:right w:w="20" w:type="dxa"/>
            </w:tcMar>
            <w:vAlign w:val="bottom"/>
          </w:tcPr>
          <w:p w14:paraId="5A1B011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1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13" w14:textId="77777777" w:rsidR="00960BB8" w:rsidRDefault="00C06650">
            <w:pPr>
              <w:jc w:val="right"/>
              <w:textAlignment w:val="bottom"/>
            </w:pPr>
            <w:r>
              <w:rPr>
                <w:rFonts w:ascii="Arial" w:eastAsia="宋体" w:hAnsi="Arial" w:cs="Arial"/>
                <w:color w:val="262626"/>
                <w:sz w:val="18"/>
                <w:szCs w:val="18"/>
              </w:rPr>
              <w:t>2,291 </w:t>
            </w:r>
          </w:p>
        </w:tc>
        <w:tc>
          <w:tcPr>
            <w:tcW w:w="0" w:type="auto"/>
            <w:shd w:val="clear" w:color="auto" w:fill="auto"/>
            <w:tcMar>
              <w:top w:w="40" w:type="dxa"/>
              <w:left w:w="0" w:type="dxa"/>
              <w:bottom w:w="40" w:type="dxa"/>
              <w:right w:w="20" w:type="dxa"/>
            </w:tcMar>
            <w:vAlign w:val="bottom"/>
          </w:tcPr>
          <w:p w14:paraId="5A1B011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1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16" w14:textId="77777777" w:rsidR="00960BB8" w:rsidRDefault="00C06650">
            <w:pPr>
              <w:jc w:val="right"/>
              <w:textAlignment w:val="bottom"/>
            </w:pPr>
            <w:r>
              <w:rPr>
                <w:rFonts w:ascii="Arial" w:eastAsia="宋体" w:hAnsi="Arial" w:cs="Arial"/>
                <w:color w:val="262626"/>
                <w:sz w:val="18"/>
                <w:szCs w:val="18"/>
              </w:rPr>
              <w:t>67 </w:t>
            </w:r>
          </w:p>
        </w:tc>
        <w:tc>
          <w:tcPr>
            <w:tcW w:w="0" w:type="auto"/>
            <w:shd w:val="clear" w:color="auto" w:fill="auto"/>
            <w:tcMar>
              <w:top w:w="40" w:type="dxa"/>
              <w:left w:w="0" w:type="dxa"/>
              <w:bottom w:w="40" w:type="dxa"/>
              <w:right w:w="20" w:type="dxa"/>
            </w:tcMar>
            <w:vAlign w:val="bottom"/>
          </w:tcPr>
          <w:p w14:paraId="5A1B0117" w14:textId="77777777" w:rsidR="00960BB8" w:rsidRDefault="00960BB8">
            <w:pPr>
              <w:jc w:val="right"/>
              <w:rPr>
                <w:rFonts w:ascii="宋体"/>
              </w:rPr>
            </w:pPr>
          </w:p>
        </w:tc>
        <w:tc>
          <w:tcPr>
            <w:tcW w:w="0" w:type="auto"/>
            <w:shd w:val="clear" w:color="auto" w:fill="auto"/>
            <w:vAlign w:val="bottom"/>
          </w:tcPr>
          <w:p w14:paraId="5A1B0118" w14:textId="77777777" w:rsidR="00960BB8" w:rsidRDefault="00960BB8">
            <w:pPr>
              <w:rPr>
                <w:rFonts w:ascii="宋体"/>
                <w:vanish/>
              </w:rPr>
            </w:pPr>
          </w:p>
        </w:tc>
        <w:tc>
          <w:tcPr>
            <w:tcW w:w="0" w:type="auto"/>
            <w:shd w:val="clear" w:color="auto" w:fill="auto"/>
            <w:vAlign w:val="bottom"/>
          </w:tcPr>
          <w:p w14:paraId="5A1B0119" w14:textId="77777777" w:rsidR="00960BB8" w:rsidRDefault="00960BB8">
            <w:pPr>
              <w:rPr>
                <w:rFonts w:ascii="宋体"/>
                <w:vanish/>
              </w:rPr>
            </w:pPr>
          </w:p>
        </w:tc>
      </w:tr>
      <w:tr w:rsidR="00960BB8" w14:paraId="5A1B0127" w14:textId="77777777">
        <w:tc>
          <w:tcPr>
            <w:tcW w:w="0" w:type="auto"/>
            <w:gridSpan w:val="3"/>
            <w:shd w:val="clear" w:color="auto" w:fill="auto"/>
            <w:tcMar>
              <w:top w:w="40" w:type="dxa"/>
              <w:left w:w="20" w:type="dxa"/>
              <w:bottom w:w="40" w:type="dxa"/>
              <w:right w:w="20" w:type="dxa"/>
            </w:tcMar>
            <w:vAlign w:val="bottom"/>
          </w:tcPr>
          <w:p w14:paraId="5A1B011B" w14:textId="77777777" w:rsidR="00960BB8" w:rsidRDefault="00C06650">
            <w:pPr>
              <w:textAlignment w:val="bottom"/>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5A1B011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1D" w14:textId="77777777" w:rsidR="00960BB8" w:rsidRDefault="00C06650">
            <w:pPr>
              <w:jc w:val="right"/>
              <w:textAlignment w:val="bottom"/>
            </w:pPr>
            <w:r>
              <w:rPr>
                <w:rFonts w:ascii="Arial" w:eastAsia="宋体" w:hAnsi="Arial" w:cs="Arial"/>
                <w:color w:val="0068B5"/>
                <w:sz w:val="18"/>
                <w:szCs w:val="18"/>
              </w:rPr>
              <w:t>151 </w:t>
            </w:r>
          </w:p>
        </w:tc>
        <w:tc>
          <w:tcPr>
            <w:tcW w:w="0" w:type="auto"/>
            <w:shd w:val="clear" w:color="auto" w:fill="auto"/>
            <w:tcMar>
              <w:top w:w="40" w:type="dxa"/>
              <w:left w:w="0" w:type="dxa"/>
              <w:bottom w:w="40" w:type="dxa"/>
              <w:right w:w="20" w:type="dxa"/>
            </w:tcMar>
            <w:vAlign w:val="bottom"/>
          </w:tcPr>
          <w:p w14:paraId="5A1B011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1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20" w14:textId="77777777" w:rsidR="00960BB8" w:rsidRDefault="00C06650">
            <w:pPr>
              <w:jc w:val="right"/>
              <w:textAlignment w:val="bottom"/>
            </w:pPr>
            <w:r>
              <w:rPr>
                <w:rFonts w:ascii="Arial" w:eastAsia="宋体" w:hAnsi="Arial" w:cs="Arial"/>
                <w:color w:val="262626"/>
                <w:sz w:val="18"/>
                <w:szCs w:val="18"/>
              </w:rPr>
              <w:t>287 </w:t>
            </w:r>
          </w:p>
        </w:tc>
        <w:tc>
          <w:tcPr>
            <w:tcW w:w="0" w:type="auto"/>
            <w:shd w:val="clear" w:color="auto" w:fill="auto"/>
            <w:tcMar>
              <w:top w:w="40" w:type="dxa"/>
              <w:left w:w="0" w:type="dxa"/>
              <w:bottom w:w="40" w:type="dxa"/>
              <w:right w:w="20" w:type="dxa"/>
            </w:tcMar>
            <w:vAlign w:val="bottom"/>
          </w:tcPr>
          <w:p w14:paraId="5A1B012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2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23" w14:textId="77777777" w:rsidR="00960BB8" w:rsidRDefault="00C06650">
            <w:pPr>
              <w:jc w:val="right"/>
              <w:textAlignment w:val="bottom"/>
            </w:pPr>
            <w:r>
              <w:rPr>
                <w:rFonts w:ascii="Arial" w:eastAsia="宋体" w:hAnsi="Arial" w:cs="Arial"/>
                <w:color w:val="262626"/>
                <w:sz w:val="18"/>
                <w:szCs w:val="18"/>
              </w:rPr>
              <w:t>7 </w:t>
            </w:r>
          </w:p>
        </w:tc>
        <w:tc>
          <w:tcPr>
            <w:tcW w:w="0" w:type="auto"/>
            <w:shd w:val="clear" w:color="auto" w:fill="auto"/>
            <w:tcMar>
              <w:top w:w="40" w:type="dxa"/>
              <w:left w:w="0" w:type="dxa"/>
              <w:bottom w:w="40" w:type="dxa"/>
              <w:right w:w="20" w:type="dxa"/>
            </w:tcMar>
            <w:vAlign w:val="bottom"/>
          </w:tcPr>
          <w:p w14:paraId="5A1B0124" w14:textId="77777777" w:rsidR="00960BB8" w:rsidRDefault="00960BB8">
            <w:pPr>
              <w:jc w:val="right"/>
              <w:rPr>
                <w:rFonts w:ascii="宋体"/>
              </w:rPr>
            </w:pPr>
          </w:p>
        </w:tc>
        <w:tc>
          <w:tcPr>
            <w:tcW w:w="0" w:type="auto"/>
            <w:shd w:val="clear" w:color="auto" w:fill="auto"/>
            <w:vAlign w:val="bottom"/>
          </w:tcPr>
          <w:p w14:paraId="5A1B0125" w14:textId="77777777" w:rsidR="00960BB8" w:rsidRDefault="00960BB8">
            <w:pPr>
              <w:rPr>
                <w:rFonts w:ascii="宋体"/>
                <w:vanish/>
              </w:rPr>
            </w:pPr>
          </w:p>
        </w:tc>
        <w:tc>
          <w:tcPr>
            <w:tcW w:w="0" w:type="auto"/>
            <w:shd w:val="clear" w:color="auto" w:fill="auto"/>
            <w:vAlign w:val="bottom"/>
          </w:tcPr>
          <w:p w14:paraId="5A1B0126" w14:textId="77777777" w:rsidR="00960BB8" w:rsidRDefault="00960BB8">
            <w:pPr>
              <w:rPr>
                <w:rFonts w:ascii="宋体"/>
                <w:vanish/>
              </w:rPr>
            </w:pPr>
          </w:p>
        </w:tc>
      </w:tr>
      <w:tr w:rsidR="00960BB8" w14:paraId="5A1B0137" w14:textId="77777777">
        <w:tc>
          <w:tcPr>
            <w:tcW w:w="0" w:type="auto"/>
            <w:gridSpan w:val="3"/>
            <w:shd w:val="clear" w:color="auto" w:fill="auto"/>
            <w:tcMar>
              <w:top w:w="40" w:type="dxa"/>
              <w:left w:w="20" w:type="dxa"/>
              <w:bottom w:w="40" w:type="dxa"/>
              <w:right w:w="20" w:type="dxa"/>
            </w:tcMar>
            <w:vAlign w:val="bottom"/>
          </w:tcPr>
          <w:p w14:paraId="5A1B0128" w14:textId="77777777" w:rsidR="00960BB8" w:rsidRDefault="00C06650">
            <w:pPr>
              <w:textAlignment w:val="bottom"/>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5A1B0129"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012A"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012B" w14:textId="77777777" w:rsidR="00960BB8" w:rsidRDefault="00C06650">
            <w:pPr>
              <w:jc w:val="right"/>
              <w:textAlignment w:val="bottom"/>
            </w:pPr>
            <w:r>
              <w:rPr>
                <w:rFonts w:ascii="Arial" w:eastAsia="宋体" w:hAnsi="Arial" w:cs="Arial"/>
                <w:b/>
                <w:bCs/>
                <w:color w:val="0068B5"/>
                <w:sz w:val="18"/>
                <w:szCs w:val="18"/>
              </w:rPr>
              <w:t>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012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2D" w14:textId="77777777" w:rsidR="00960BB8" w:rsidRDefault="00960BB8">
            <w:pPr>
              <w:rPr>
                <w:rFonts w:ascii="宋体"/>
              </w:rPr>
            </w:pPr>
          </w:p>
        </w:tc>
        <w:tc>
          <w:tcPr>
            <w:tcW w:w="0" w:type="auto"/>
            <w:tcBorders>
              <w:top w:val="single" w:sz="4" w:space="0" w:color="262626"/>
              <w:bottom w:val="double" w:sz="6" w:space="0" w:color="333333"/>
            </w:tcBorders>
            <w:shd w:val="clear" w:color="auto" w:fill="auto"/>
            <w:tcMar>
              <w:top w:w="40" w:type="dxa"/>
              <w:left w:w="20" w:type="dxa"/>
              <w:bottom w:w="40" w:type="dxa"/>
              <w:right w:w="0" w:type="dxa"/>
            </w:tcMar>
            <w:vAlign w:val="bottom"/>
          </w:tcPr>
          <w:p w14:paraId="5A1B012E"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333333"/>
            </w:tcBorders>
            <w:shd w:val="clear" w:color="auto" w:fill="auto"/>
            <w:tcMar>
              <w:top w:w="40" w:type="dxa"/>
              <w:left w:w="0" w:type="dxa"/>
              <w:bottom w:w="40" w:type="dxa"/>
              <w:right w:w="0" w:type="dxa"/>
            </w:tcMar>
            <w:vAlign w:val="bottom"/>
          </w:tcPr>
          <w:p w14:paraId="5A1B012F" w14:textId="77777777" w:rsidR="00960BB8" w:rsidRDefault="00C06650">
            <w:pPr>
              <w:jc w:val="right"/>
              <w:textAlignment w:val="bottom"/>
            </w:pPr>
            <w:r>
              <w:rPr>
                <w:rFonts w:ascii="Arial" w:eastAsia="宋体" w:hAnsi="Arial" w:cs="Arial"/>
                <w:b/>
                <w:bCs/>
                <w:color w:val="262626"/>
                <w:sz w:val="18"/>
                <w:szCs w:val="18"/>
              </w:rPr>
              <w:t>2,626</w:t>
            </w:r>
            <w:r>
              <w:rPr>
                <w:rFonts w:ascii="Arial" w:eastAsia="宋体" w:hAnsi="Arial" w:cs="Arial"/>
                <w:color w:val="262626"/>
                <w:sz w:val="18"/>
                <w:szCs w:val="18"/>
              </w:rPr>
              <w:t> </w:t>
            </w:r>
          </w:p>
        </w:tc>
        <w:tc>
          <w:tcPr>
            <w:tcW w:w="0" w:type="auto"/>
            <w:tcBorders>
              <w:top w:val="single" w:sz="4" w:space="0" w:color="262626"/>
              <w:bottom w:val="double" w:sz="6" w:space="0" w:color="333333"/>
            </w:tcBorders>
            <w:shd w:val="clear" w:color="auto" w:fill="auto"/>
            <w:tcMar>
              <w:top w:w="40" w:type="dxa"/>
              <w:left w:w="0" w:type="dxa"/>
              <w:bottom w:w="40" w:type="dxa"/>
              <w:right w:w="20" w:type="dxa"/>
            </w:tcMar>
            <w:vAlign w:val="bottom"/>
          </w:tcPr>
          <w:p w14:paraId="5A1B013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31" w14:textId="77777777" w:rsidR="00960BB8" w:rsidRDefault="00960BB8">
            <w:pPr>
              <w:rPr>
                <w:rFonts w:ascii="宋体"/>
              </w:rPr>
            </w:pPr>
          </w:p>
        </w:tc>
        <w:tc>
          <w:tcPr>
            <w:tcW w:w="0" w:type="auto"/>
            <w:tcBorders>
              <w:top w:val="single" w:sz="4" w:space="0" w:color="262626"/>
              <w:bottom w:val="double" w:sz="6" w:space="0" w:color="333333"/>
            </w:tcBorders>
            <w:shd w:val="clear" w:color="auto" w:fill="auto"/>
            <w:tcMar>
              <w:top w:w="40" w:type="dxa"/>
              <w:left w:w="20" w:type="dxa"/>
              <w:bottom w:w="40" w:type="dxa"/>
              <w:right w:w="0" w:type="dxa"/>
            </w:tcMar>
            <w:vAlign w:val="bottom"/>
          </w:tcPr>
          <w:p w14:paraId="5A1B0132"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333333"/>
            </w:tcBorders>
            <w:shd w:val="clear" w:color="auto" w:fill="auto"/>
            <w:tcMar>
              <w:top w:w="40" w:type="dxa"/>
              <w:left w:w="0" w:type="dxa"/>
              <w:bottom w:w="40" w:type="dxa"/>
              <w:right w:w="0" w:type="dxa"/>
            </w:tcMar>
            <w:vAlign w:val="bottom"/>
          </w:tcPr>
          <w:p w14:paraId="5A1B0133" w14:textId="77777777" w:rsidR="00960BB8" w:rsidRDefault="00C06650">
            <w:pPr>
              <w:jc w:val="right"/>
              <w:textAlignment w:val="bottom"/>
            </w:pPr>
            <w:r>
              <w:rPr>
                <w:rFonts w:ascii="Arial" w:eastAsia="宋体" w:hAnsi="Arial" w:cs="Arial"/>
                <w:b/>
                <w:bCs/>
                <w:color w:val="262626"/>
                <w:sz w:val="18"/>
                <w:szCs w:val="18"/>
              </w:rPr>
              <w:t>198</w:t>
            </w:r>
            <w:r>
              <w:rPr>
                <w:rFonts w:ascii="Arial" w:eastAsia="宋体" w:hAnsi="Arial" w:cs="Arial"/>
                <w:color w:val="262626"/>
                <w:sz w:val="18"/>
                <w:szCs w:val="18"/>
              </w:rPr>
              <w:t> </w:t>
            </w:r>
          </w:p>
        </w:tc>
        <w:tc>
          <w:tcPr>
            <w:tcW w:w="0" w:type="auto"/>
            <w:tcBorders>
              <w:top w:val="single" w:sz="4" w:space="0" w:color="262626"/>
              <w:bottom w:val="double" w:sz="6" w:space="0" w:color="333333"/>
            </w:tcBorders>
            <w:shd w:val="clear" w:color="auto" w:fill="auto"/>
            <w:tcMar>
              <w:top w:w="40" w:type="dxa"/>
              <w:left w:w="0" w:type="dxa"/>
              <w:bottom w:w="40" w:type="dxa"/>
              <w:right w:w="20" w:type="dxa"/>
            </w:tcMar>
            <w:vAlign w:val="bottom"/>
          </w:tcPr>
          <w:p w14:paraId="5A1B0134" w14:textId="77777777" w:rsidR="00960BB8" w:rsidRDefault="00960BB8">
            <w:pPr>
              <w:jc w:val="right"/>
              <w:rPr>
                <w:rFonts w:ascii="宋体"/>
              </w:rPr>
            </w:pPr>
          </w:p>
        </w:tc>
        <w:tc>
          <w:tcPr>
            <w:tcW w:w="0" w:type="auto"/>
            <w:shd w:val="clear" w:color="auto" w:fill="auto"/>
            <w:vAlign w:val="bottom"/>
          </w:tcPr>
          <w:p w14:paraId="5A1B0135" w14:textId="77777777" w:rsidR="00960BB8" w:rsidRDefault="00960BB8">
            <w:pPr>
              <w:rPr>
                <w:rFonts w:ascii="宋体"/>
                <w:vanish/>
              </w:rPr>
            </w:pPr>
          </w:p>
        </w:tc>
        <w:tc>
          <w:tcPr>
            <w:tcW w:w="0" w:type="auto"/>
            <w:shd w:val="clear" w:color="auto" w:fill="auto"/>
            <w:vAlign w:val="bottom"/>
          </w:tcPr>
          <w:p w14:paraId="5A1B0136" w14:textId="77777777" w:rsidR="00960BB8" w:rsidRDefault="00960BB8">
            <w:pPr>
              <w:rPr>
                <w:rFonts w:ascii="宋体"/>
                <w:vanish/>
              </w:rPr>
            </w:pPr>
          </w:p>
        </w:tc>
      </w:tr>
    </w:tbl>
    <w:p w14:paraId="5A1B0138" w14:textId="77777777" w:rsidR="00960BB8" w:rsidRDefault="00C06650">
      <w:pPr>
        <w:spacing w:before="180" w:after="180"/>
      </w:pPr>
      <w:r>
        <w:rPr>
          <w:rFonts w:ascii="Arial" w:eastAsia="宋体" w:hAnsi="Arial" w:cs="Arial"/>
          <w:color w:val="262626"/>
          <w:sz w:val="18"/>
          <w:szCs w:val="18"/>
        </w:rPr>
        <w:t>In the third quarter of 2022, the 2022 Restructuring Program was approved to rebalance our workforce and operations to create efficiencies and improve our product execution in</w:t>
      </w:r>
      <w:r>
        <w:rPr>
          <w:rFonts w:ascii="Arial" w:eastAsia="宋体" w:hAnsi="Arial" w:cs="Arial"/>
          <w:color w:val="262626"/>
          <w:sz w:val="18"/>
          <w:szCs w:val="18"/>
        </w:rPr>
        <w:t xml:space="preserve"> alignment with our strategy. We expect that our 2022 Restructuring Plan, in conjunction with other initiatives, will reduce our cost structure and allow us to reinvest certain of these cost savings in resources and capacity to develop, manufacture, market</w:t>
      </w:r>
      <w:r>
        <w:rPr>
          <w:rFonts w:ascii="Arial" w:eastAsia="宋体" w:hAnsi="Arial" w:cs="Arial"/>
          <w:color w:val="262626"/>
          <w:sz w:val="18"/>
          <w:szCs w:val="18"/>
        </w:rPr>
        <w:t xml:space="preserve">, sell, and deliver our products in furtherance of our strategy. We expect these actions to be substantially completed by the end of 2023, but this is subject to change. </w:t>
      </w:r>
    </w:p>
    <w:p w14:paraId="5A1B0139" w14:textId="77777777" w:rsidR="00960BB8" w:rsidRDefault="00C06650">
      <w:pPr>
        <w:spacing w:after="180"/>
      </w:pPr>
      <w:r>
        <w:rPr>
          <w:rFonts w:ascii="Arial" w:eastAsia="宋体" w:hAnsi="Arial" w:cs="Arial"/>
          <w:i/>
          <w:iCs/>
          <w:color w:val="262626"/>
          <w:sz w:val="18"/>
          <w:szCs w:val="18"/>
        </w:rPr>
        <w:t>Litigation charges and other</w:t>
      </w:r>
      <w:r>
        <w:rPr>
          <w:rFonts w:ascii="Arial" w:eastAsia="宋体" w:hAnsi="Arial" w:cs="Arial"/>
          <w:color w:val="262626"/>
          <w:sz w:val="18"/>
          <w:szCs w:val="18"/>
        </w:rPr>
        <w:t xml:space="preserve"> includes a $1.2 billion benefit in 2022 from the annulle</w:t>
      </w:r>
      <w:r>
        <w:rPr>
          <w:rFonts w:ascii="Arial" w:eastAsia="宋体" w:hAnsi="Arial" w:cs="Arial"/>
          <w:color w:val="262626"/>
          <w:sz w:val="18"/>
          <w:szCs w:val="18"/>
        </w:rPr>
        <w:t>d penalty related to an EC fine that was recorded and paid in 2009, and a charge of $2.2 billion in 2021 related to the VLSI litigation.</w:t>
      </w:r>
      <w:r>
        <w:rPr>
          <w:rFonts w:ascii="Arial" w:eastAsia="宋体" w:hAnsi="Arial" w:cs="Arial"/>
          <w:b/>
          <w:bCs/>
          <w:color w:val="262626"/>
          <w:sz w:val="18"/>
          <w:szCs w:val="18"/>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143" w14:textId="77777777">
        <w:tc>
          <w:tcPr>
            <w:tcW w:w="50" w:type="pct"/>
            <w:shd w:val="clear" w:color="auto" w:fill="auto"/>
            <w:vAlign w:val="bottom"/>
          </w:tcPr>
          <w:p w14:paraId="5A1B013A" w14:textId="77777777" w:rsidR="00960BB8" w:rsidRDefault="00960BB8">
            <w:pPr>
              <w:rPr>
                <w:rFonts w:ascii="宋体"/>
              </w:rPr>
            </w:pPr>
          </w:p>
        </w:tc>
        <w:tc>
          <w:tcPr>
            <w:tcW w:w="283" w:type="pct"/>
            <w:shd w:val="clear" w:color="auto" w:fill="auto"/>
            <w:vAlign w:val="bottom"/>
          </w:tcPr>
          <w:p w14:paraId="5A1B013B" w14:textId="77777777" w:rsidR="00960BB8" w:rsidRDefault="00960BB8">
            <w:pPr>
              <w:rPr>
                <w:rFonts w:ascii="宋体"/>
              </w:rPr>
            </w:pPr>
          </w:p>
        </w:tc>
        <w:tc>
          <w:tcPr>
            <w:tcW w:w="5" w:type="pct"/>
            <w:shd w:val="clear" w:color="auto" w:fill="auto"/>
            <w:vAlign w:val="bottom"/>
          </w:tcPr>
          <w:p w14:paraId="5A1B013C" w14:textId="77777777" w:rsidR="00960BB8" w:rsidRDefault="00960BB8">
            <w:pPr>
              <w:rPr>
                <w:rFonts w:ascii="宋体"/>
              </w:rPr>
            </w:pPr>
          </w:p>
        </w:tc>
        <w:tc>
          <w:tcPr>
            <w:tcW w:w="50" w:type="pct"/>
            <w:shd w:val="clear" w:color="auto" w:fill="auto"/>
            <w:vAlign w:val="bottom"/>
          </w:tcPr>
          <w:p w14:paraId="5A1B013D" w14:textId="77777777" w:rsidR="00960BB8" w:rsidRDefault="00960BB8">
            <w:pPr>
              <w:rPr>
                <w:rFonts w:ascii="宋体"/>
              </w:rPr>
            </w:pPr>
          </w:p>
        </w:tc>
        <w:tc>
          <w:tcPr>
            <w:tcW w:w="2656" w:type="pct"/>
            <w:shd w:val="clear" w:color="auto" w:fill="auto"/>
            <w:vAlign w:val="bottom"/>
          </w:tcPr>
          <w:p w14:paraId="5A1B013E" w14:textId="77777777" w:rsidR="00960BB8" w:rsidRDefault="00960BB8">
            <w:pPr>
              <w:rPr>
                <w:rFonts w:ascii="宋体"/>
              </w:rPr>
            </w:pPr>
          </w:p>
        </w:tc>
        <w:tc>
          <w:tcPr>
            <w:tcW w:w="5" w:type="pct"/>
            <w:shd w:val="clear" w:color="auto" w:fill="auto"/>
            <w:vAlign w:val="bottom"/>
          </w:tcPr>
          <w:p w14:paraId="5A1B013F" w14:textId="77777777" w:rsidR="00960BB8" w:rsidRDefault="00960BB8">
            <w:pPr>
              <w:rPr>
                <w:rFonts w:ascii="宋体"/>
              </w:rPr>
            </w:pPr>
          </w:p>
        </w:tc>
        <w:tc>
          <w:tcPr>
            <w:tcW w:w="50" w:type="pct"/>
            <w:shd w:val="clear" w:color="auto" w:fill="auto"/>
            <w:vAlign w:val="bottom"/>
          </w:tcPr>
          <w:p w14:paraId="5A1B0140" w14:textId="77777777" w:rsidR="00960BB8" w:rsidRDefault="00960BB8">
            <w:pPr>
              <w:rPr>
                <w:rFonts w:ascii="宋体"/>
              </w:rPr>
            </w:pPr>
          </w:p>
        </w:tc>
        <w:tc>
          <w:tcPr>
            <w:tcW w:w="1894" w:type="pct"/>
            <w:shd w:val="clear" w:color="auto" w:fill="auto"/>
            <w:vAlign w:val="bottom"/>
          </w:tcPr>
          <w:p w14:paraId="5A1B0141" w14:textId="77777777" w:rsidR="00960BB8" w:rsidRDefault="00960BB8">
            <w:pPr>
              <w:rPr>
                <w:rFonts w:ascii="宋体"/>
              </w:rPr>
            </w:pPr>
          </w:p>
        </w:tc>
        <w:tc>
          <w:tcPr>
            <w:tcW w:w="5" w:type="pct"/>
            <w:shd w:val="clear" w:color="auto" w:fill="auto"/>
            <w:vAlign w:val="bottom"/>
          </w:tcPr>
          <w:p w14:paraId="5A1B0142" w14:textId="77777777" w:rsidR="00960BB8" w:rsidRDefault="00960BB8">
            <w:pPr>
              <w:rPr>
                <w:rFonts w:ascii="宋体"/>
              </w:rPr>
            </w:pPr>
          </w:p>
        </w:tc>
      </w:tr>
      <w:tr w:rsidR="00960BB8" w14:paraId="5A1B014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144"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01" wp14:editId="5A1B4402">
                  <wp:extent cx="304800" cy="304800"/>
                  <wp:effectExtent l="0" t="0" r="0" b="0"/>
                  <wp:docPr id="140" name="图片 17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7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145"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146" w14:textId="77777777" w:rsidR="00960BB8" w:rsidRDefault="00C06650">
            <w:pPr>
              <w:jc w:val="right"/>
              <w:textAlignment w:val="center"/>
            </w:pPr>
            <w:r>
              <w:rPr>
                <w:rFonts w:ascii="Arial" w:eastAsia="宋体" w:hAnsi="Arial" w:cs="Arial"/>
                <w:color w:val="262626"/>
                <w:sz w:val="16"/>
                <w:szCs w:val="16"/>
              </w:rPr>
              <w:t>43</w:t>
            </w:r>
          </w:p>
        </w:tc>
      </w:tr>
    </w:tbl>
    <w:p w14:paraId="5A1B0148" w14:textId="77777777" w:rsidR="00960BB8" w:rsidRDefault="00C06650">
      <w:r>
        <w:pict w14:anchorId="5A1B4403">
          <v:rect id="_x0000_i1069" style="width:415.3pt;height:1.5pt" o:hralign="center" o:hrstd="t" o:hr="t" fillcolor="#a0a0a0" stroked="f"/>
        </w:pict>
      </w:r>
    </w:p>
    <w:p w14:paraId="5A1B0149" w14:textId="77777777" w:rsidR="00960BB8" w:rsidRDefault="00C06650">
      <w:pPr>
        <w:jc w:val="right"/>
      </w:pPr>
      <w:hyperlink r:id="rId62" w:anchor="i8aaa7b4dbd2e419ca0f5c30af85a11aa_16" w:history="1">
        <w:r>
          <w:rPr>
            <w:rStyle w:val="a5"/>
            <w:rFonts w:ascii="Arial" w:eastAsia="宋体" w:hAnsi="Arial" w:cs="Arial"/>
            <w:b/>
            <w:bCs/>
            <w:sz w:val="16"/>
            <w:szCs w:val="16"/>
          </w:rPr>
          <w:t>Table of Contents</w:t>
        </w:r>
      </w:hyperlink>
    </w:p>
    <w:p w14:paraId="5A1B014A" w14:textId="77777777" w:rsidR="00960BB8" w:rsidRDefault="00960BB8">
      <w:pPr>
        <w:jc w:val="right"/>
      </w:pPr>
    </w:p>
    <w:p w14:paraId="5A1B014B" w14:textId="77777777" w:rsidR="00960BB8" w:rsidRDefault="00C06650">
      <w:pPr>
        <w:spacing w:before="180" w:after="180"/>
      </w:pPr>
      <w:r>
        <w:rPr>
          <w:rFonts w:ascii="Arial" w:eastAsia="宋体" w:hAnsi="Arial" w:cs="Arial"/>
          <w:color w:val="0068B5"/>
          <w:sz w:val="28"/>
          <w:szCs w:val="28"/>
        </w:rPr>
        <w:t>Gains (Losses) on Equity Investments and 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5048"/>
        <w:gridCol w:w="38"/>
        <w:gridCol w:w="36"/>
        <w:gridCol w:w="36"/>
        <w:gridCol w:w="36"/>
        <w:gridCol w:w="121"/>
        <w:gridCol w:w="805"/>
        <w:gridCol w:w="36"/>
        <w:gridCol w:w="36"/>
        <w:gridCol w:w="36"/>
        <w:gridCol w:w="36"/>
        <w:gridCol w:w="121"/>
        <w:gridCol w:w="805"/>
        <w:gridCol w:w="36"/>
        <w:gridCol w:w="36"/>
        <w:gridCol w:w="36"/>
        <w:gridCol w:w="36"/>
        <w:gridCol w:w="121"/>
        <w:gridCol w:w="806"/>
        <w:gridCol w:w="36"/>
      </w:tblGrid>
      <w:tr w:rsidR="00960BB8" w14:paraId="5A1B0161" w14:textId="77777777">
        <w:tc>
          <w:tcPr>
            <w:tcW w:w="50" w:type="pct"/>
            <w:shd w:val="clear" w:color="auto" w:fill="auto"/>
            <w:vAlign w:val="bottom"/>
          </w:tcPr>
          <w:p w14:paraId="5A1B014C" w14:textId="77777777" w:rsidR="00960BB8" w:rsidRDefault="00960BB8">
            <w:pPr>
              <w:rPr>
                <w:rFonts w:ascii="宋体"/>
              </w:rPr>
            </w:pPr>
          </w:p>
        </w:tc>
        <w:tc>
          <w:tcPr>
            <w:tcW w:w="3059" w:type="pct"/>
            <w:shd w:val="clear" w:color="auto" w:fill="auto"/>
            <w:vAlign w:val="bottom"/>
          </w:tcPr>
          <w:p w14:paraId="5A1B014D" w14:textId="77777777" w:rsidR="00960BB8" w:rsidRDefault="00960BB8">
            <w:pPr>
              <w:rPr>
                <w:rFonts w:ascii="宋体"/>
              </w:rPr>
            </w:pPr>
          </w:p>
        </w:tc>
        <w:tc>
          <w:tcPr>
            <w:tcW w:w="5" w:type="pct"/>
            <w:shd w:val="clear" w:color="auto" w:fill="auto"/>
            <w:vAlign w:val="bottom"/>
          </w:tcPr>
          <w:p w14:paraId="5A1B014E" w14:textId="77777777" w:rsidR="00960BB8" w:rsidRDefault="00960BB8">
            <w:pPr>
              <w:rPr>
                <w:rFonts w:ascii="宋体"/>
              </w:rPr>
            </w:pPr>
          </w:p>
        </w:tc>
        <w:tc>
          <w:tcPr>
            <w:tcW w:w="5" w:type="pct"/>
            <w:shd w:val="clear" w:color="auto" w:fill="auto"/>
            <w:vAlign w:val="bottom"/>
          </w:tcPr>
          <w:p w14:paraId="5A1B014F" w14:textId="77777777" w:rsidR="00960BB8" w:rsidRDefault="00960BB8">
            <w:pPr>
              <w:rPr>
                <w:rFonts w:ascii="宋体"/>
              </w:rPr>
            </w:pPr>
          </w:p>
        </w:tc>
        <w:tc>
          <w:tcPr>
            <w:tcW w:w="24" w:type="pct"/>
            <w:shd w:val="clear" w:color="auto" w:fill="auto"/>
            <w:vAlign w:val="bottom"/>
          </w:tcPr>
          <w:p w14:paraId="5A1B0150" w14:textId="77777777" w:rsidR="00960BB8" w:rsidRDefault="00960BB8">
            <w:pPr>
              <w:rPr>
                <w:rFonts w:ascii="宋体"/>
              </w:rPr>
            </w:pPr>
          </w:p>
        </w:tc>
        <w:tc>
          <w:tcPr>
            <w:tcW w:w="5" w:type="pct"/>
            <w:shd w:val="clear" w:color="auto" w:fill="auto"/>
            <w:vAlign w:val="bottom"/>
          </w:tcPr>
          <w:p w14:paraId="5A1B0151" w14:textId="77777777" w:rsidR="00960BB8" w:rsidRDefault="00960BB8">
            <w:pPr>
              <w:rPr>
                <w:rFonts w:ascii="宋体"/>
              </w:rPr>
            </w:pPr>
          </w:p>
        </w:tc>
        <w:tc>
          <w:tcPr>
            <w:tcW w:w="50" w:type="pct"/>
            <w:shd w:val="clear" w:color="auto" w:fill="auto"/>
            <w:vAlign w:val="bottom"/>
          </w:tcPr>
          <w:p w14:paraId="5A1B0152" w14:textId="77777777" w:rsidR="00960BB8" w:rsidRDefault="00960BB8">
            <w:pPr>
              <w:rPr>
                <w:rFonts w:ascii="宋体"/>
              </w:rPr>
            </w:pPr>
          </w:p>
        </w:tc>
        <w:tc>
          <w:tcPr>
            <w:tcW w:w="539" w:type="pct"/>
            <w:shd w:val="clear" w:color="auto" w:fill="auto"/>
            <w:vAlign w:val="bottom"/>
          </w:tcPr>
          <w:p w14:paraId="5A1B0153" w14:textId="77777777" w:rsidR="00960BB8" w:rsidRDefault="00960BB8">
            <w:pPr>
              <w:rPr>
                <w:rFonts w:ascii="宋体"/>
              </w:rPr>
            </w:pPr>
          </w:p>
        </w:tc>
        <w:tc>
          <w:tcPr>
            <w:tcW w:w="5" w:type="pct"/>
            <w:shd w:val="clear" w:color="auto" w:fill="auto"/>
            <w:vAlign w:val="bottom"/>
          </w:tcPr>
          <w:p w14:paraId="5A1B0154" w14:textId="77777777" w:rsidR="00960BB8" w:rsidRDefault="00960BB8">
            <w:pPr>
              <w:rPr>
                <w:rFonts w:ascii="宋体"/>
              </w:rPr>
            </w:pPr>
          </w:p>
        </w:tc>
        <w:tc>
          <w:tcPr>
            <w:tcW w:w="5" w:type="pct"/>
            <w:shd w:val="clear" w:color="auto" w:fill="auto"/>
            <w:vAlign w:val="bottom"/>
          </w:tcPr>
          <w:p w14:paraId="5A1B0155" w14:textId="77777777" w:rsidR="00960BB8" w:rsidRDefault="00960BB8">
            <w:pPr>
              <w:rPr>
                <w:rFonts w:ascii="宋体"/>
              </w:rPr>
            </w:pPr>
          </w:p>
        </w:tc>
        <w:tc>
          <w:tcPr>
            <w:tcW w:w="24" w:type="pct"/>
            <w:shd w:val="clear" w:color="auto" w:fill="auto"/>
            <w:vAlign w:val="bottom"/>
          </w:tcPr>
          <w:p w14:paraId="5A1B0156" w14:textId="77777777" w:rsidR="00960BB8" w:rsidRDefault="00960BB8">
            <w:pPr>
              <w:rPr>
                <w:rFonts w:ascii="宋体"/>
              </w:rPr>
            </w:pPr>
          </w:p>
        </w:tc>
        <w:tc>
          <w:tcPr>
            <w:tcW w:w="5" w:type="pct"/>
            <w:shd w:val="clear" w:color="auto" w:fill="auto"/>
            <w:vAlign w:val="bottom"/>
          </w:tcPr>
          <w:p w14:paraId="5A1B0157" w14:textId="77777777" w:rsidR="00960BB8" w:rsidRDefault="00960BB8">
            <w:pPr>
              <w:rPr>
                <w:rFonts w:ascii="宋体"/>
              </w:rPr>
            </w:pPr>
          </w:p>
        </w:tc>
        <w:tc>
          <w:tcPr>
            <w:tcW w:w="50" w:type="pct"/>
            <w:shd w:val="clear" w:color="auto" w:fill="auto"/>
            <w:vAlign w:val="bottom"/>
          </w:tcPr>
          <w:p w14:paraId="5A1B0158" w14:textId="77777777" w:rsidR="00960BB8" w:rsidRDefault="00960BB8">
            <w:pPr>
              <w:rPr>
                <w:rFonts w:ascii="宋体"/>
              </w:rPr>
            </w:pPr>
          </w:p>
        </w:tc>
        <w:tc>
          <w:tcPr>
            <w:tcW w:w="539" w:type="pct"/>
            <w:shd w:val="clear" w:color="auto" w:fill="auto"/>
            <w:vAlign w:val="bottom"/>
          </w:tcPr>
          <w:p w14:paraId="5A1B0159" w14:textId="77777777" w:rsidR="00960BB8" w:rsidRDefault="00960BB8">
            <w:pPr>
              <w:rPr>
                <w:rFonts w:ascii="宋体"/>
              </w:rPr>
            </w:pPr>
          </w:p>
        </w:tc>
        <w:tc>
          <w:tcPr>
            <w:tcW w:w="5" w:type="pct"/>
            <w:shd w:val="clear" w:color="auto" w:fill="auto"/>
            <w:vAlign w:val="bottom"/>
          </w:tcPr>
          <w:p w14:paraId="5A1B015A" w14:textId="77777777" w:rsidR="00960BB8" w:rsidRDefault="00960BB8">
            <w:pPr>
              <w:rPr>
                <w:rFonts w:ascii="宋体"/>
              </w:rPr>
            </w:pPr>
          </w:p>
        </w:tc>
        <w:tc>
          <w:tcPr>
            <w:tcW w:w="5" w:type="pct"/>
            <w:shd w:val="clear" w:color="auto" w:fill="auto"/>
            <w:vAlign w:val="bottom"/>
          </w:tcPr>
          <w:p w14:paraId="5A1B015B" w14:textId="77777777" w:rsidR="00960BB8" w:rsidRDefault="00960BB8">
            <w:pPr>
              <w:rPr>
                <w:rFonts w:ascii="宋体"/>
              </w:rPr>
            </w:pPr>
          </w:p>
        </w:tc>
        <w:tc>
          <w:tcPr>
            <w:tcW w:w="24" w:type="pct"/>
            <w:shd w:val="clear" w:color="auto" w:fill="auto"/>
            <w:vAlign w:val="bottom"/>
          </w:tcPr>
          <w:p w14:paraId="5A1B015C" w14:textId="77777777" w:rsidR="00960BB8" w:rsidRDefault="00960BB8">
            <w:pPr>
              <w:rPr>
                <w:rFonts w:ascii="宋体"/>
              </w:rPr>
            </w:pPr>
          </w:p>
        </w:tc>
        <w:tc>
          <w:tcPr>
            <w:tcW w:w="5" w:type="pct"/>
            <w:shd w:val="clear" w:color="auto" w:fill="auto"/>
            <w:vAlign w:val="bottom"/>
          </w:tcPr>
          <w:p w14:paraId="5A1B015D" w14:textId="77777777" w:rsidR="00960BB8" w:rsidRDefault="00960BB8">
            <w:pPr>
              <w:rPr>
                <w:rFonts w:ascii="宋体"/>
              </w:rPr>
            </w:pPr>
          </w:p>
        </w:tc>
        <w:tc>
          <w:tcPr>
            <w:tcW w:w="50" w:type="pct"/>
            <w:shd w:val="clear" w:color="auto" w:fill="auto"/>
            <w:vAlign w:val="bottom"/>
          </w:tcPr>
          <w:p w14:paraId="5A1B015E" w14:textId="77777777" w:rsidR="00960BB8" w:rsidRDefault="00960BB8">
            <w:pPr>
              <w:rPr>
                <w:rFonts w:ascii="宋体"/>
              </w:rPr>
            </w:pPr>
          </w:p>
        </w:tc>
        <w:tc>
          <w:tcPr>
            <w:tcW w:w="539" w:type="pct"/>
            <w:shd w:val="clear" w:color="auto" w:fill="auto"/>
            <w:vAlign w:val="bottom"/>
          </w:tcPr>
          <w:p w14:paraId="5A1B015F" w14:textId="77777777" w:rsidR="00960BB8" w:rsidRDefault="00960BB8">
            <w:pPr>
              <w:rPr>
                <w:rFonts w:ascii="宋体"/>
              </w:rPr>
            </w:pPr>
          </w:p>
        </w:tc>
        <w:tc>
          <w:tcPr>
            <w:tcW w:w="5" w:type="pct"/>
            <w:shd w:val="clear" w:color="auto" w:fill="auto"/>
            <w:vAlign w:val="bottom"/>
          </w:tcPr>
          <w:p w14:paraId="5A1B0160" w14:textId="77777777" w:rsidR="00960BB8" w:rsidRDefault="00960BB8">
            <w:pPr>
              <w:rPr>
                <w:rFonts w:ascii="宋体"/>
              </w:rPr>
            </w:pPr>
          </w:p>
        </w:tc>
      </w:tr>
      <w:tr w:rsidR="00960BB8" w14:paraId="5A1B0169" w14:textId="77777777">
        <w:tc>
          <w:tcPr>
            <w:tcW w:w="0" w:type="auto"/>
            <w:gridSpan w:val="3"/>
            <w:shd w:val="clear" w:color="auto" w:fill="auto"/>
            <w:tcMar>
              <w:top w:w="40" w:type="dxa"/>
              <w:left w:w="20" w:type="dxa"/>
              <w:bottom w:w="40" w:type="dxa"/>
              <w:right w:w="20" w:type="dxa"/>
            </w:tcMar>
            <w:vAlign w:val="bottom"/>
          </w:tcPr>
          <w:p w14:paraId="5A1B0162" w14:textId="77777777" w:rsidR="00960BB8" w:rsidRDefault="00C06650">
            <w:pPr>
              <w:textAlignment w:val="bottom"/>
            </w:pPr>
            <w:r>
              <w:rPr>
                <w:rFonts w:ascii="Arial" w:eastAsia="宋体" w:hAnsi="Arial" w:cs="Arial"/>
                <w:b/>
                <w:bCs/>
                <w:color w:val="262626"/>
                <w:sz w:val="18"/>
                <w:szCs w:val="18"/>
              </w:rPr>
              <w:t xml:space="preserve">Years </w:t>
            </w:r>
            <w:r>
              <w:rPr>
                <w:rFonts w:ascii="Arial" w:eastAsia="宋体" w:hAnsi="Arial" w:cs="Arial"/>
                <w:b/>
                <w:bCs/>
                <w:color w:val="262626"/>
                <w:sz w:val="18"/>
                <w:szCs w:val="18"/>
              </w:rPr>
              <w:t>Ended (In Millions)</w:t>
            </w:r>
          </w:p>
        </w:tc>
        <w:tc>
          <w:tcPr>
            <w:tcW w:w="0" w:type="auto"/>
            <w:gridSpan w:val="3"/>
            <w:shd w:val="clear" w:color="auto" w:fill="auto"/>
            <w:tcMar>
              <w:top w:w="0" w:type="dxa"/>
              <w:left w:w="20" w:type="dxa"/>
              <w:bottom w:w="0" w:type="dxa"/>
              <w:right w:w="20" w:type="dxa"/>
            </w:tcMar>
            <w:vAlign w:val="bottom"/>
          </w:tcPr>
          <w:p w14:paraId="5A1B016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164"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016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166"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016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168"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0177"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A1B016A" w14:textId="77777777" w:rsidR="00960BB8" w:rsidRDefault="00C06650">
            <w:pPr>
              <w:textAlignment w:val="center"/>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5A1B016B"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16C"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16D" w14:textId="77777777" w:rsidR="00960BB8" w:rsidRDefault="00C06650">
            <w:pPr>
              <w:jc w:val="right"/>
              <w:textAlignment w:val="bottom"/>
            </w:pPr>
            <w:r>
              <w:rPr>
                <w:rFonts w:ascii="Arial" w:eastAsia="宋体" w:hAnsi="Arial" w:cs="Arial"/>
                <w:color w:val="0068B5"/>
                <w:sz w:val="18"/>
                <w:szCs w:val="18"/>
              </w:rPr>
              <w:t>(787)</w:t>
            </w:r>
          </w:p>
        </w:tc>
        <w:tc>
          <w:tcPr>
            <w:tcW w:w="0" w:type="auto"/>
            <w:tcBorders>
              <w:top w:val="single" w:sz="8" w:space="0" w:color="0068B5"/>
            </w:tcBorders>
            <w:shd w:val="clear" w:color="auto" w:fill="auto"/>
            <w:tcMar>
              <w:top w:w="40" w:type="dxa"/>
              <w:left w:w="0" w:type="dxa"/>
              <w:bottom w:w="40" w:type="dxa"/>
              <w:right w:w="20" w:type="dxa"/>
            </w:tcMar>
            <w:vAlign w:val="bottom"/>
          </w:tcPr>
          <w:p w14:paraId="5A1B016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6F"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170"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171" w14:textId="77777777" w:rsidR="00960BB8" w:rsidRDefault="00C06650">
            <w:pPr>
              <w:jc w:val="right"/>
              <w:textAlignment w:val="bottom"/>
            </w:pPr>
            <w:r>
              <w:rPr>
                <w:rFonts w:ascii="Arial" w:eastAsia="宋体" w:hAnsi="Arial" w:cs="Arial"/>
                <w:color w:val="262626"/>
                <w:sz w:val="18"/>
                <w:szCs w:val="18"/>
              </w:rPr>
              <w:t>(130)</w:t>
            </w:r>
          </w:p>
        </w:tc>
        <w:tc>
          <w:tcPr>
            <w:tcW w:w="0" w:type="auto"/>
            <w:tcBorders>
              <w:top w:val="single" w:sz="8" w:space="0" w:color="0068B5"/>
            </w:tcBorders>
            <w:shd w:val="clear" w:color="auto" w:fill="auto"/>
            <w:tcMar>
              <w:top w:w="40" w:type="dxa"/>
              <w:left w:w="0" w:type="dxa"/>
              <w:bottom w:w="40" w:type="dxa"/>
              <w:right w:w="20" w:type="dxa"/>
            </w:tcMar>
            <w:vAlign w:val="bottom"/>
          </w:tcPr>
          <w:p w14:paraId="5A1B017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7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174"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175" w14:textId="77777777" w:rsidR="00960BB8" w:rsidRDefault="00C06650">
            <w:pPr>
              <w:jc w:val="right"/>
              <w:textAlignment w:val="bottom"/>
            </w:pPr>
            <w:r>
              <w:rPr>
                <w:rFonts w:ascii="Arial" w:eastAsia="宋体" w:hAnsi="Arial" w:cs="Arial"/>
                <w:color w:val="262626"/>
                <w:sz w:val="18"/>
                <w:szCs w:val="18"/>
              </w:rPr>
              <w:t>(133)</w:t>
            </w:r>
          </w:p>
        </w:tc>
        <w:tc>
          <w:tcPr>
            <w:tcW w:w="0" w:type="auto"/>
            <w:tcBorders>
              <w:top w:val="single" w:sz="8" w:space="0" w:color="0068B5"/>
            </w:tcBorders>
            <w:shd w:val="clear" w:color="auto" w:fill="auto"/>
            <w:tcMar>
              <w:top w:w="40" w:type="dxa"/>
              <w:left w:w="0" w:type="dxa"/>
              <w:bottom w:w="40" w:type="dxa"/>
              <w:right w:w="20" w:type="dxa"/>
            </w:tcMar>
            <w:vAlign w:val="bottom"/>
          </w:tcPr>
          <w:p w14:paraId="5A1B0176" w14:textId="77777777" w:rsidR="00960BB8" w:rsidRDefault="00960BB8">
            <w:pPr>
              <w:jc w:val="right"/>
              <w:rPr>
                <w:rFonts w:ascii="宋体"/>
              </w:rPr>
            </w:pPr>
          </w:p>
        </w:tc>
      </w:tr>
      <w:tr w:rsidR="00960BB8" w14:paraId="5A1B0182" w14:textId="77777777">
        <w:tc>
          <w:tcPr>
            <w:tcW w:w="0" w:type="auto"/>
            <w:gridSpan w:val="3"/>
            <w:shd w:val="clear" w:color="auto" w:fill="auto"/>
            <w:tcMar>
              <w:top w:w="40" w:type="dxa"/>
              <w:left w:w="20" w:type="dxa"/>
              <w:bottom w:w="40" w:type="dxa"/>
              <w:right w:w="20" w:type="dxa"/>
            </w:tcMar>
            <w:vAlign w:val="bottom"/>
          </w:tcPr>
          <w:p w14:paraId="5A1B0178" w14:textId="77777777" w:rsidR="00960BB8" w:rsidRDefault="00C06650">
            <w:pPr>
              <w:textAlignment w:val="bottom"/>
            </w:pPr>
            <w:r>
              <w:rPr>
                <w:rFonts w:ascii="Arial" w:eastAsia="宋体" w:hAnsi="Arial" w:cs="Arial"/>
                <w:color w:val="262626"/>
                <w:sz w:val="18"/>
                <w:szCs w:val="18"/>
              </w:rPr>
              <w:t xml:space="preserve">Observable price adjustments on non-marketable equity securities </w:t>
            </w:r>
          </w:p>
        </w:tc>
        <w:tc>
          <w:tcPr>
            <w:tcW w:w="0" w:type="auto"/>
            <w:gridSpan w:val="3"/>
            <w:shd w:val="clear" w:color="auto" w:fill="auto"/>
            <w:tcMar>
              <w:top w:w="0" w:type="dxa"/>
              <w:left w:w="20" w:type="dxa"/>
              <w:bottom w:w="0" w:type="dxa"/>
              <w:right w:w="20" w:type="dxa"/>
            </w:tcMar>
            <w:vAlign w:val="bottom"/>
          </w:tcPr>
          <w:p w14:paraId="5A1B017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7A" w14:textId="77777777" w:rsidR="00960BB8" w:rsidRDefault="00C06650">
            <w:pPr>
              <w:jc w:val="right"/>
              <w:textAlignment w:val="bottom"/>
            </w:pPr>
            <w:r>
              <w:rPr>
                <w:rFonts w:ascii="Arial" w:eastAsia="宋体" w:hAnsi="Arial" w:cs="Arial"/>
                <w:color w:val="0068B5"/>
                <w:sz w:val="18"/>
                <w:szCs w:val="18"/>
              </w:rPr>
              <w:t>299 </w:t>
            </w:r>
          </w:p>
        </w:tc>
        <w:tc>
          <w:tcPr>
            <w:tcW w:w="0" w:type="auto"/>
            <w:shd w:val="clear" w:color="auto" w:fill="auto"/>
            <w:tcMar>
              <w:top w:w="40" w:type="dxa"/>
              <w:left w:w="0" w:type="dxa"/>
              <w:bottom w:w="40" w:type="dxa"/>
              <w:right w:w="20" w:type="dxa"/>
            </w:tcMar>
            <w:vAlign w:val="bottom"/>
          </w:tcPr>
          <w:p w14:paraId="5A1B017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7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7D" w14:textId="77777777" w:rsidR="00960BB8" w:rsidRDefault="00C06650">
            <w:pPr>
              <w:jc w:val="right"/>
              <w:textAlignment w:val="bottom"/>
            </w:pPr>
            <w:r>
              <w:rPr>
                <w:rFonts w:ascii="Arial" w:eastAsia="宋体" w:hAnsi="Arial" w:cs="Arial"/>
                <w:color w:val="262626"/>
                <w:sz w:val="18"/>
                <w:szCs w:val="18"/>
              </w:rPr>
              <w:t>750 </w:t>
            </w:r>
          </w:p>
        </w:tc>
        <w:tc>
          <w:tcPr>
            <w:tcW w:w="0" w:type="auto"/>
            <w:shd w:val="clear" w:color="auto" w:fill="auto"/>
            <w:tcMar>
              <w:top w:w="40" w:type="dxa"/>
              <w:left w:w="0" w:type="dxa"/>
              <w:bottom w:w="40" w:type="dxa"/>
              <w:right w:w="20" w:type="dxa"/>
            </w:tcMar>
            <w:vAlign w:val="bottom"/>
          </w:tcPr>
          <w:p w14:paraId="5A1B017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7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80" w14:textId="77777777" w:rsidR="00960BB8" w:rsidRDefault="00C06650">
            <w:pPr>
              <w:jc w:val="right"/>
              <w:textAlignment w:val="bottom"/>
            </w:pPr>
            <w:r>
              <w:rPr>
                <w:rFonts w:ascii="Arial" w:eastAsia="宋体" w:hAnsi="Arial" w:cs="Arial"/>
                <w:color w:val="262626"/>
                <w:sz w:val="18"/>
                <w:szCs w:val="18"/>
              </w:rPr>
              <w:t>176 </w:t>
            </w:r>
          </w:p>
        </w:tc>
        <w:tc>
          <w:tcPr>
            <w:tcW w:w="0" w:type="auto"/>
            <w:shd w:val="clear" w:color="auto" w:fill="auto"/>
            <w:tcMar>
              <w:top w:w="40" w:type="dxa"/>
              <w:left w:w="0" w:type="dxa"/>
              <w:bottom w:w="40" w:type="dxa"/>
              <w:right w:w="20" w:type="dxa"/>
            </w:tcMar>
            <w:vAlign w:val="bottom"/>
          </w:tcPr>
          <w:p w14:paraId="5A1B0181" w14:textId="77777777" w:rsidR="00960BB8" w:rsidRDefault="00960BB8">
            <w:pPr>
              <w:jc w:val="right"/>
              <w:rPr>
                <w:rFonts w:ascii="宋体"/>
              </w:rPr>
            </w:pPr>
          </w:p>
        </w:tc>
      </w:tr>
      <w:tr w:rsidR="00960BB8" w14:paraId="5A1B018D" w14:textId="77777777">
        <w:tc>
          <w:tcPr>
            <w:tcW w:w="0" w:type="auto"/>
            <w:gridSpan w:val="3"/>
            <w:shd w:val="clear" w:color="auto" w:fill="auto"/>
            <w:tcMar>
              <w:top w:w="40" w:type="dxa"/>
              <w:left w:w="20" w:type="dxa"/>
              <w:bottom w:w="40" w:type="dxa"/>
              <w:right w:w="20" w:type="dxa"/>
            </w:tcMar>
            <w:vAlign w:val="bottom"/>
          </w:tcPr>
          <w:p w14:paraId="5A1B0183" w14:textId="77777777" w:rsidR="00960BB8" w:rsidRDefault="00C06650">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5A1B018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85" w14:textId="77777777" w:rsidR="00960BB8" w:rsidRDefault="00C06650">
            <w:pPr>
              <w:jc w:val="right"/>
              <w:textAlignment w:val="bottom"/>
            </w:pPr>
            <w:r>
              <w:rPr>
                <w:rFonts w:ascii="Arial" w:eastAsia="宋体" w:hAnsi="Arial" w:cs="Arial"/>
                <w:color w:val="0068B5"/>
                <w:sz w:val="18"/>
                <w:szCs w:val="18"/>
              </w:rPr>
              <w:t>(190)</w:t>
            </w:r>
          </w:p>
        </w:tc>
        <w:tc>
          <w:tcPr>
            <w:tcW w:w="0" w:type="auto"/>
            <w:shd w:val="clear" w:color="auto" w:fill="auto"/>
            <w:tcMar>
              <w:top w:w="40" w:type="dxa"/>
              <w:left w:w="0" w:type="dxa"/>
              <w:bottom w:w="40" w:type="dxa"/>
              <w:right w:w="20" w:type="dxa"/>
            </w:tcMar>
            <w:vAlign w:val="bottom"/>
          </w:tcPr>
          <w:p w14:paraId="5A1B018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8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88" w14:textId="77777777" w:rsidR="00960BB8" w:rsidRDefault="00C06650">
            <w:pPr>
              <w:jc w:val="right"/>
              <w:textAlignment w:val="bottom"/>
            </w:pPr>
            <w:r>
              <w:rPr>
                <w:rFonts w:ascii="Arial" w:eastAsia="宋体" w:hAnsi="Arial" w:cs="Arial"/>
                <w:color w:val="262626"/>
                <w:sz w:val="18"/>
                <w:szCs w:val="18"/>
              </w:rPr>
              <w:t>(154)</w:t>
            </w:r>
          </w:p>
        </w:tc>
        <w:tc>
          <w:tcPr>
            <w:tcW w:w="0" w:type="auto"/>
            <w:shd w:val="clear" w:color="auto" w:fill="auto"/>
            <w:tcMar>
              <w:top w:w="40" w:type="dxa"/>
              <w:left w:w="0" w:type="dxa"/>
              <w:bottom w:w="40" w:type="dxa"/>
              <w:right w:w="20" w:type="dxa"/>
            </w:tcMar>
            <w:vAlign w:val="bottom"/>
          </w:tcPr>
          <w:p w14:paraId="5A1B018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8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8B" w14:textId="77777777" w:rsidR="00960BB8" w:rsidRDefault="00C06650">
            <w:pPr>
              <w:jc w:val="right"/>
              <w:textAlignment w:val="bottom"/>
            </w:pPr>
            <w:r>
              <w:rPr>
                <w:rFonts w:ascii="Arial" w:eastAsia="宋体" w:hAnsi="Arial" w:cs="Arial"/>
                <w:color w:val="262626"/>
                <w:sz w:val="18"/>
                <w:szCs w:val="18"/>
              </w:rPr>
              <w:t>(303)</w:t>
            </w:r>
          </w:p>
        </w:tc>
        <w:tc>
          <w:tcPr>
            <w:tcW w:w="0" w:type="auto"/>
            <w:shd w:val="clear" w:color="auto" w:fill="auto"/>
            <w:tcMar>
              <w:top w:w="40" w:type="dxa"/>
              <w:left w:w="0" w:type="dxa"/>
              <w:bottom w:w="40" w:type="dxa"/>
              <w:right w:w="20" w:type="dxa"/>
            </w:tcMar>
            <w:vAlign w:val="bottom"/>
          </w:tcPr>
          <w:p w14:paraId="5A1B018C" w14:textId="77777777" w:rsidR="00960BB8" w:rsidRDefault="00960BB8">
            <w:pPr>
              <w:jc w:val="right"/>
              <w:rPr>
                <w:rFonts w:ascii="宋体"/>
              </w:rPr>
            </w:pPr>
          </w:p>
        </w:tc>
      </w:tr>
      <w:tr w:rsidR="00960BB8" w14:paraId="5A1B0198" w14:textId="77777777">
        <w:tc>
          <w:tcPr>
            <w:tcW w:w="0" w:type="auto"/>
            <w:gridSpan w:val="3"/>
            <w:shd w:val="clear" w:color="auto" w:fill="auto"/>
            <w:tcMar>
              <w:top w:w="40" w:type="dxa"/>
              <w:left w:w="20" w:type="dxa"/>
              <w:bottom w:w="40" w:type="dxa"/>
              <w:right w:w="20" w:type="dxa"/>
            </w:tcMar>
            <w:vAlign w:val="bottom"/>
          </w:tcPr>
          <w:p w14:paraId="5A1B018E" w14:textId="77777777" w:rsidR="00960BB8" w:rsidRDefault="00C06650">
            <w:pP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w:t>
            </w:r>
          </w:p>
        </w:tc>
        <w:tc>
          <w:tcPr>
            <w:tcW w:w="0" w:type="auto"/>
            <w:gridSpan w:val="3"/>
            <w:shd w:val="clear" w:color="auto" w:fill="auto"/>
            <w:tcMar>
              <w:top w:w="0" w:type="dxa"/>
              <w:left w:w="20" w:type="dxa"/>
              <w:bottom w:w="0" w:type="dxa"/>
              <w:right w:w="20" w:type="dxa"/>
            </w:tcMar>
            <w:vAlign w:val="bottom"/>
          </w:tcPr>
          <w:p w14:paraId="5A1B018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90" w14:textId="77777777" w:rsidR="00960BB8" w:rsidRDefault="00C06650">
            <w:pPr>
              <w:jc w:val="right"/>
              <w:textAlignment w:val="bottom"/>
            </w:pPr>
            <w:r>
              <w:rPr>
                <w:rFonts w:ascii="Arial" w:eastAsia="宋体" w:hAnsi="Arial" w:cs="Arial"/>
                <w:color w:val="0068B5"/>
                <w:sz w:val="18"/>
                <w:szCs w:val="18"/>
              </w:rPr>
              <w:t>4,946 </w:t>
            </w:r>
          </w:p>
        </w:tc>
        <w:tc>
          <w:tcPr>
            <w:tcW w:w="0" w:type="auto"/>
            <w:shd w:val="clear" w:color="auto" w:fill="auto"/>
            <w:tcMar>
              <w:top w:w="40" w:type="dxa"/>
              <w:left w:w="0" w:type="dxa"/>
              <w:bottom w:w="40" w:type="dxa"/>
              <w:right w:w="20" w:type="dxa"/>
            </w:tcMar>
            <w:vAlign w:val="bottom"/>
          </w:tcPr>
          <w:p w14:paraId="5A1B019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9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93" w14:textId="77777777" w:rsidR="00960BB8" w:rsidRDefault="00C06650">
            <w:pPr>
              <w:jc w:val="right"/>
              <w:textAlignment w:val="bottom"/>
            </w:pPr>
            <w:r>
              <w:rPr>
                <w:rFonts w:ascii="Arial" w:eastAsia="宋体" w:hAnsi="Arial" w:cs="Arial"/>
                <w:color w:val="262626"/>
                <w:sz w:val="18"/>
                <w:szCs w:val="18"/>
              </w:rPr>
              <w:t>2,263 </w:t>
            </w:r>
          </w:p>
        </w:tc>
        <w:tc>
          <w:tcPr>
            <w:tcW w:w="0" w:type="auto"/>
            <w:shd w:val="clear" w:color="auto" w:fill="auto"/>
            <w:tcMar>
              <w:top w:w="40" w:type="dxa"/>
              <w:left w:w="0" w:type="dxa"/>
              <w:bottom w:w="40" w:type="dxa"/>
              <w:right w:w="20" w:type="dxa"/>
            </w:tcMar>
            <w:vAlign w:val="bottom"/>
          </w:tcPr>
          <w:p w14:paraId="5A1B019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9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196" w14:textId="77777777" w:rsidR="00960BB8" w:rsidRDefault="00C06650">
            <w:pPr>
              <w:jc w:val="right"/>
              <w:textAlignment w:val="bottom"/>
            </w:pPr>
            <w:r>
              <w:rPr>
                <w:rFonts w:ascii="Arial" w:eastAsia="宋体" w:hAnsi="Arial" w:cs="Arial"/>
                <w:color w:val="262626"/>
                <w:sz w:val="18"/>
                <w:szCs w:val="18"/>
              </w:rPr>
              <w:t>2,164 </w:t>
            </w:r>
          </w:p>
        </w:tc>
        <w:tc>
          <w:tcPr>
            <w:tcW w:w="0" w:type="auto"/>
            <w:shd w:val="clear" w:color="auto" w:fill="auto"/>
            <w:tcMar>
              <w:top w:w="40" w:type="dxa"/>
              <w:left w:w="0" w:type="dxa"/>
              <w:bottom w:w="40" w:type="dxa"/>
              <w:right w:w="20" w:type="dxa"/>
            </w:tcMar>
            <w:vAlign w:val="bottom"/>
          </w:tcPr>
          <w:p w14:paraId="5A1B0197" w14:textId="77777777" w:rsidR="00960BB8" w:rsidRDefault="00960BB8">
            <w:pPr>
              <w:jc w:val="right"/>
              <w:rPr>
                <w:rFonts w:ascii="宋体"/>
              </w:rPr>
            </w:pPr>
          </w:p>
        </w:tc>
      </w:tr>
      <w:tr w:rsidR="00960BB8" w14:paraId="5A1B01A6" w14:textId="77777777">
        <w:tc>
          <w:tcPr>
            <w:tcW w:w="0" w:type="auto"/>
            <w:gridSpan w:val="3"/>
            <w:shd w:val="clear" w:color="auto" w:fill="auto"/>
            <w:tcMar>
              <w:top w:w="40" w:type="dxa"/>
              <w:left w:w="20" w:type="dxa"/>
              <w:bottom w:w="40" w:type="dxa"/>
              <w:right w:w="20" w:type="dxa"/>
            </w:tcMar>
            <w:vAlign w:val="bottom"/>
          </w:tcPr>
          <w:p w14:paraId="5A1B0199" w14:textId="77777777" w:rsidR="00960BB8" w:rsidRDefault="00C06650">
            <w:pPr>
              <w:textAlignment w:val="bottom"/>
            </w:pPr>
            <w:r>
              <w:rPr>
                <w:rFonts w:ascii="Arial" w:eastAsia="宋体" w:hAnsi="Arial" w:cs="Arial"/>
                <w:b/>
                <w:bCs/>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5A1B019A"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19B"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19C" w14:textId="77777777" w:rsidR="00960BB8" w:rsidRDefault="00C06650">
            <w:pPr>
              <w:jc w:val="right"/>
              <w:textAlignment w:val="bottom"/>
            </w:pPr>
            <w:r>
              <w:rPr>
                <w:rFonts w:ascii="Arial" w:eastAsia="宋体" w:hAnsi="Arial" w:cs="Arial"/>
                <w:b/>
                <w:bCs/>
                <w:color w:val="0068B5"/>
                <w:sz w:val="18"/>
                <w:szCs w:val="18"/>
              </w:rPr>
              <w:t>4,268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19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9E"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19F"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1A0" w14:textId="77777777" w:rsidR="00960BB8" w:rsidRDefault="00C06650">
            <w:pPr>
              <w:jc w:val="right"/>
              <w:textAlignment w:val="bottom"/>
            </w:pPr>
            <w:r>
              <w:rPr>
                <w:rFonts w:ascii="Arial" w:eastAsia="宋体" w:hAnsi="Arial" w:cs="Arial"/>
                <w:b/>
                <w:bCs/>
                <w:color w:val="262626"/>
                <w:sz w:val="18"/>
                <w:szCs w:val="18"/>
              </w:rPr>
              <w:t>2,729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1A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A2"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1A3"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1A4" w14:textId="77777777" w:rsidR="00960BB8" w:rsidRDefault="00C06650">
            <w:pPr>
              <w:jc w:val="right"/>
              <w:textAlignment w:val="bottom"/>
            </w:pPr>
            <w:r>
              <w:rPr>
                <w:rFonts w:ascii="Arial" w:eastAsia="宋体" w:hAnsi="Arial" w:cs="Arial"/>
                <w:b/>
                <w:bCs/>
                <w:color w:val="262626"/>
                <w:sz w:val="18"/>
                <w:szCs w:val="18"/>
              </w:rPr>
              <w:t>1,904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1A5" w14:textId="77777777" w:rsidR="00960BB8" w:rsidRDefault="00960BB8">
            <w:pPr>
              <w:jc w:val="right"/>
              <w:rPr>
                <w:rFonts w:ascii="宋体"/>
              </w:rPr>
            </w:pPr>
          </w:p>
        </w:tc>
      </w:tr>
      <w:tr w:rsidR="00960BB8" w14:paraId="5A1B01AE" w14:textId="77777777">
        <w:trPr>
          <w:hidden/>
        </w:trPr>
        <w:tc>
          <w:tcPr>
            <w:tcW w:w="0" w:type="auto"/>
            <w:gridSpan w:val="3"/>
            <w:shd w:val="clear" w:color="auto" w:fill="auto"/>
            <w:vAlign w:val="bottom"/>
          </w:tcPr>
          <w:p w14:paraId="5A1B01A7" w14:textId="77777777" w:rsidR="00960BB8" w:rsidRDefault="00960BB8">
            <w:pPr>
              <w:rPr>
                <w:rFonts w:ascii="宋体"/>
                <w:vanish/>
              </w:rPr>
            </w:pPr>
          </w:p>
        </w:tc>
        <w:tc>
          <w:tcPr>
            <w:tcW w:w="0" w:type="auto"/>
            <w:gridSpan w:val="3"/>
            <w:shd w:val="clear" w:color="auto" w:fill="auto"/>
            <w:vAlign w:val="bottom"/>
          </w:tcPr>
          <w:p w14:paraId="5A1B01A8" w14:textId="77777777" w:rsidR="00960BB8" w:rsidRDefault="00960BB8">
            <w:pPr>
              <w:rPr>
                <w:rFonts w:ascii="宋体"/>
                <w:vanish/>
              </w:rPr>
            </w:pPr>
          </w:p>
        </w:tc>
        <w:tc>
          <w:tcPr>
            <w:tcW w:w="0" w:type="auto"/>
            <w:gridSpan w:val="3"/>
            <w:shd w:val="clear" w:color="auto" w:fill="auto"/>
            <w:vAlign w:val="bottom"/>
          </w:tcPr>
          <w:p w14:paraId="5A1B01A9" w14:textId="77777777" w:rsidR="00960BB8" w:rsidRDefault="00960BB8">
            <w:pPr>
              <w:rPr>
                <w:rFonts w:ascii="宋体"/>
                <w:vanish/>
              </w:rPr>
            </w:pPr>
          </w:p>
        </w:tc>
        <w:tc>
          <w:tcPr>
            <w:tcW w:w="0" w:type="auto"/>
            <w:gridSpan w:val="3"/>
            <w:shd w:val="clear" w:color="auto" w:fill="auto"/>
            <w:vAlign w:val="bottom"/>
          </w:tcPr>
          <w:p w14:paraId="5A1B01AA" w14:textId="77777777" w:rsidR="00960BB8" w:rsidRDefault="00960BB8">
            <w:pPr>
              <w:rPr>
                <w:rFonts w:ascii="宋体"/>
                <w:vanish/>
              </w:rPr>
            </w:pPr>
          </w:p>
        </w:tc>
        <w:tc>
          <w:tcPr>
            <w:tcW w:w="0" w:type="auto"/>
            <w:gridSpan w:val="3"/>
            <w:shd w:val="clear" w:color="auto" w:fill="auto"/>
            <w:vAlign w:val="bottom"/>
          </w:tcPr>
          <w:p w14:paraId="5A1B01AB" w14:textId="77777777" w:rsidR="00960BB8" w:rsidRDefault="00960BB8">
            <w:pPr>
              <w:rPr>
                <w:rFonts w:ascii="宋体"/>
                <w:vanish/>
              </w:rPr>
            </w:pPr>
          </w:p>
        </w:tc>
        <w:tc>
          <w:tcPr>
            <w:tcW w:w="0" w:type="auto"/>
            <w:gridSpan w:val="3"/>
            <w:shd w:val="clear" w:color="auto" w:fill="auto"/>
            <w:vAlign w:val="bottom"/>
          </w:tcPr>
          <w:p w14:paraId="5A1B01AC" w14:textId="77777777" w:rsidR="00960BB8" w:rsidRDefault="00960BB8">
            <w:pPr>
              <w:rPr>
                <w:rFonts w:ascii="宋体"/>
                <w:vanish/>
              </w:rPr>
            </w:pPr>
          </w:p>
        </w:tc>
        <w:tc>
          <w:tcPr>
            <w:tcW w:w="0" w:type="auto"/>
            <w:gridSpan w:val="3"/>
            <w:shd w:val="clear" w:color="auto" w:fill="auto"/>
            <w:vAlign w:val="bottom"/>
          </w:tcPr>
          <w:p w14:paraId="5A1B01AD" w14:textId="77777777" w:rsidR="00960BB8" w:rsidRDefault="00960BB8">
            <w:pPr>
              <w:rPr>
                <w:rFonts w:ascii="宋体"/>
                <w:vanish/>
              </w:rPr>
            </w:pPr>
          </w:p>
        </w:tc>
      </w:tr>
      <w:tr w:rsidR="00960BB8" w14:paraId="5A1B01BC" w14:textId="77777777">
        <w:tc>
          <w:tcPr>
            <w:tcW w:w="0" w:type="auto"/>
            <w:gridSpan w:val="3"/>
            <w:shd w:val="clear" w:color="auto" w:fill="auto"/>
            <w:tcMar>
              <w:top w:w="40" w:type="dxa"/>
              <w:left w:w="20" w:type="dxa"/>
              <w:bottom w:w="40" w:type="dxa"/>
              <w:right w:w="20" w:type="dxa"/>
            </w:tcMar>
            <w:vAlign w:val="bottom"/>
          </w:tcPr>
          <w:p w14:paraId="5A1B01AF" w14:textId="77777777" w:rsidR="00960BB8" w:rsidRDefault="00C06650">
            <w:pPr>
              <w:textAlignment w:val="bottom"/>
            </w:pPr>
            <w:r>
              <w:rPr>
                <w:rFonts w:ascii="Arial" w:eastAsia="宋体" w:hAnsi="Arial" w:cs="Arial"/>
                <w:b/>
                <w:bCs/>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5A1B01B0" w14:textId="77777777" w:rsidR="00960BB8" w:rsidRDefault="00960BB8">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A1B01B1" w14:textId="77777777" w:rsidR="00960BB8" w:rsidRDefault="00C06650">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A1B01B2" w14:textId="77777777" w:rsidR="00960BB8" w:rsidRDefault="00C06650">
            <w:pPr>
              <w:jc w:val="right"/>
              <w:textAlignment w:val="bottom"/>
            </w:pPr>
            <w:r>
              <w:rPr>
                <w:rFonts w:ascii="Arial" w:eastAsia="宋体" w:hAnsi="Arial" w:cs="Arial"/>
                <w:b/>
                <w:bCs/>
                <w:color w:val="0068B5"/>
                <w:sz w:val="18"/>
                <w:szCs w:val="18"/>
              </w:rPr>
              <w:t>1,166</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A1B01B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B4" w14:textId="77777777" w:rsidR="00960BB8" w:rsidRDefault="00960BB8">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A1B01B5" w14:textId="77777777" w:rsidR="00960BB8" w:rsidRDefault="00C06650">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A1B01B6" w14:textId="77777777" w:rsidR="00960BB8" w:rsidRDefault="00C06650">
            <w:pPr>
              <w:jc w:val="right"/>
              <w:textAlignment w:val="bottom"/>
            </w:pPr>
            <w:r>
              <w:rPr>
                <w:rFonts w:ascii="Arial" w:eastAsia="宋体" w:hAnsi="Arial" w:cs="Arial"/>
                <w:b/>
                <w:bCs/>
                <w:color w:val="262626"/>
                <w:sz w:val="18"/>
                <w:szCs w:val="18"/>
              </w:rPr>
              <w:t>(482)</w:t>
            </w:r>
          </w:p>
        </w:tc>
        <w:tc>
          <w:tcPr>
            <w:tcW w:w="0" w:type="auto"/>
            <w:tcBorders>
              <w:top w:val="double" w:sz="6" w:space="0" w:color="262626"/>
            </w:tcBorders>
            <w:shd w:val="clear" w:color="auto" w:fill="auto"/>
            <w:tcMar>
              <w:top w:w="40" w:type="dxa"/>
              <w:left w:w="0" w:type="dxa"/>
              <w:bottom w:w="40" w:type="dxa"/>
              <w:right w:w="20" w:type="dxa"/>
            </w:tcMar>
            <w:vAlign w:val="bottom"/>
          </w:tcPr>
          <w:p w14:paraId="5A1B01B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B8" w14:textId="77777777" w:rsidR="00960BB8" w:rsidRDefault="00960BB8">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A1B01B9" w14:textId="77777777" w:rsidR="00960BB8" w:rsidRDefault="00C06650">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A1B01BA" w14:textId="77777777" w:rsidR="00960BB8" w:rsidRDefault="00C06650">
            <w:pPr>
              <w:jc w:val="right"/>
              <w:textAlignment w:val="bottom"/>
            </w:pPr>
            <w:r>
              <w:rPr>
                <w:rFonts w:ascii="Arial" w:eastAsia="宋体" w:hAnsi="Arial" w:cs="Arial"/>
                <w:b/>
                <w:bCs/>
                <w:color w:val="262626"/>
                <w:sz w:val="18"/>
                <w:szCs w:val="18"/>
              </w:rPr>
              <w:t>(504)</w:t>
            </w:r>
          </w:p>
        </w:tc>
        <w:tc>
          <w:tcPr>
            <w:tcW w:w="0" w:type="auto"/>
            <w:tcBorders>
              <w:top w:val="double" w:sz="6" w:space="0" w:color="262626"/>
            </w:tcBorders>
            <w:shd w:val="clear" w:color="auto" w:fill="auto"/>
            <w:tcMar>
              <w:top w:w="40" w:type="dxa"/>
              <w:left w:w="0" w:type="dxa"/>
              <w:bottom w:w="40" w:type="dxa"/>
              <w:right w:w="20" w:type="dxa"/>
            </w:tcMar>
            <w:vAlign w:val="bottom"/>
          </w:tcPr>
          <w:p w14:paraId="5A1B01BB" w14:textId="77777777" w:rsidR="00960BB8" w:rsidRDefault="00960BB8">
            <w:pPr>
              <w:jc w:val="right"/>
              <w:rPr>
                <w:rFonts w:ascii="宋体"/>
              </w:rPr>
            </w:pPr>
          </w:p>
        </w:tc>
      </w:tr>
    </w:tbl>
    <w:p w14:paraId="5A1B01BD" w14:textId="77777777" w:rsidR="00960BB8" w:rsidRDefault="00C06650">
      <w:pPr>
        <w:spacing w:after="180"/>
      </w:pPr>
      <w:r>
        <w:rPr>
          <w:rFonts w:ascii="Arial" w:eastAsia="宋体" w:hAnsi="Arial" w:cs="Arial"/>
          <w:color w:val="0068B5"/>
        </w:rPr>
        <w:t xml:space="preserve">Gains (Losses) on Equity Investments, Net </w:t>
      </w:r>
    </w:p>
    <w:p w14:paraId="5A1B01BE" w14:textId="77777777" w:rsidR="00960BB8" w:rsidRDefault="00C06650">
      <w:pPr>
        <w:spacing w:after="180"/>
      </w:pPr>
      <w:r>
        <w:rPr>
          <w:rFonts w:ascii="Arial" w:eastAsia="宋体" w:hAnsi="Arial" w:cs="Arial"/>
          <w:color w:val="262626"/>
          <w:sz w:val="18"/>
          <w:szCs w:val="18"/>
        </w:rPr>
        <w:t>Ongoing mark-to-market adjustments recognized in 2022 and 2021 were primarily driven by our investment in Montage Technology, Co. Ltd. (Montage); mark-to-market ad</w:t>
      </w:r>
      <w:r>
        <w:rPr>
          <w:rFonts w:ascii="Arial" w:eastAsia="宋体" w:hAnsi="Arial" w:cs="Arial"/>
          <w:color w:val="262626"/>
          <w:sz w:val="18"/>
          <w:szCs w:val="18"/>
        </w:rPr>
        <w:t xml:space="preserve">justments recognized in 2020 were primarily driven by our investments in Montage and Cloudera. We sold our interest in Cloudera in 2020. </w:t>
      </w:r>
    </w:p>
    <w:p w14:paraId="5A1B01BF" w14:textId="77777777" w:rsidR="00960BB8" w:rsidRDefault="00C06650">
      <w:pPr>
        <w:spacing w:after="180"/>
      </w:pPr>
      <w:r>
        <w:rPr>
          <w:rFonts w:ascii="Arial" w:eastAsia="宋体" w:hAnsi="Arial" w:cs="Arial"/>
          <w:color w:val="262626"/>
          <w:sz w:val="18"/>
          <w:szCs w:val="18"/>
        </w:rPr>
        <w:t>In 2021, we recognized $471 million in observable price adjustments related to our investment in Beijing Unisoc Techno</w:t>
      </w:r>
      <w:r>
        <w:rPr>
          <w:rFonts w:ascii="Arial" w:eastAsia="宋体" w:hAnsi="Arial" w:cs="Arial"/>
          <w:color w:val="262626"/>
          <w:sz w:val="18"/>
          <w:szCs w:val="18"/>
        </w:rPr>
        <w:t>logy Ltd.</w:t>
      </w:r>
    </w:p>
    <w:p w14:paraId="5A1B01C0" w14:textId="77777777" w:rsidR="00960BB8" w:rsidRDefault="00C06650">
      <w:pPr>
        <w:spacing w:after="180"/>
      </w:pPr>
      <w:r>
        <w:rPr>
          <w:rFonts w:ascii="Arial" w:eastAsia="宋体" w:hAnsi="Arial" w:cs="Arial"/>
          <w:color w:val="262626"/>
          <w:sz w:val="18"/>
          <w:szCs w:val="18"/>
        </w:rPr>
        <w:t xml:space="preserve">In 2022, the sale of McAfee Corp. (McAfee) consumer business was completed and we received $4.6 billion in cash for the sale of our remaining share of McAfee, recognizing a $4.6 billion gain in </w:t>
      </w:r>
      <w:r>
        <w:rPr>
          <w:rFonts w:ascii="Arial" w:eastAsia="宋体" w:hAnsi="Arial" w:cs="Arial"/>
          <w:i/>
          <w:iCs/>
          <w:color w:val="262626"/>
          <w:sz w:val="18"/>
          <w:szCs w:val="18"/>
        </w:rPr>
        <w:t>Sale of equity investments and other</w:t>
      </w:r>
      <w:r>
        <w:rPr>
          <w:rFonts w:ascii="Arial" w:eastAsia="宋体" w:hAnsi="Arial" w:cs="Arial"/>
          <w:color w:val="262626"/>
          <w:sz w:val="18"/>
          <w:szCs w:val="18"/>
        </w:rPr>
        <w:t xml:space="preserve">. In 2021, we </w:t>
      </w:r>
      <w:r>
        <w:rPr>
          <w:rFonts w:ascii="Arial" w:eastAsia="宋体" w:hAnsi="Arial" w:cs="Arial"/>
          <w:color w:val="262626"/>
          <w:sz w:val="18"/>
          <w:szCs w:val="18"/>
        </w:rPr>
        <w:t>recognized McAfee dividends of $1.3 billion, which included a special dividend of $1.1 billion paid in connection with the sale of McAfee's enterprise business, and recognized $228 million related to the partial sale of our investment in McAfee. We recogni</w:t>
      </w:r>
      <w:r>
        <w:rPr>
          <w:rFonts w:ascii="Arial" w:eastAsia="宋体" w:hAnsi="Arial" w:cs="Arial"/>
          <w:color w:val="262626"/>
          <w:sz w:val="18"/>
          <w:szCs w:val="18"/>
        </w:rPr>
        <w:t>zed McAfee dividends of $126 million in 2020.</w:t>
      </w:r>
    </w:p>
    <w:p w14:paraId="5A1B01C1" w14:textId="77777777" w:rsidR="00960BB8" w:rsidRDefault="00C06650">
      <w:pPr>
        <w:spacing w:after="180"/>
      </w:pPr>
      <w:r>
        <w:rPr>
          <w:rFonts w:ascii="Arial" w:eastAsia="宋体" w:hAnsi="Arial" w:cs="Arial"/>
          <w:color w:val="262626"/>
          <w:sz w:val="18"/>
          <w:szCs w:val="18"/>
        </w:rPr>
        <w:t xml:space="preserve">In 2022, we also recognized $278 million of initial fair value adjustments in </w:t>
      </w:r>
      <w:r>
        <w:rPr>
          <w:rFonts w:ascii="Arial" w:eastAsia="宋体" w:hAnsi="Arial" w:cs="Arial"/>
          <w:i/>
          <w:iCs/>
          <w:color w:val="262626"/>
          <w:sz w:val="18"/>
          <w:szCs w:val="18"/>
        </w:rPr>
        <w:t xml:space="preserve">Sale of equity investments and other </w:t>
      </w:r>
      <w:r>
        <w:rPr>
          <w:rFonts w:ascii="Arial" w:eastAsia="宋体" w:hAnsi="Arial" w:cs="Arial"/>
          <w:color w:val="262626"/>
          <w:sz w:val="18"/>
          <w:szCs w:val="18"/>
        </w:rPr>
        <w:t>related to five companies that went public; in 2021, we recognized $447 million of initial fair</w:t>
      </w:r>
      <w:r>
        <w:rPr>
          <w:rFonts w:ascii="Arial" w:eastAsia="宋体" w:hAnsi="Arial" w:cs="Arial"/>
          <w:color w:val="262626"/>
          <w:sz w:val="18"/>
          <w:szCs w:val="18"/>
        </w:rPr>
        <w:t xml:space="preserve"> value adjustments related to four companies that went public; in 2020, we recognized $1.1 billion from Montage becoming marketable and $606 million related to four other equity investments that went public. </w:t>
      </w:r>
    </w:p>
    <w:p w14:paraId="5A1B01C2" w14:textId="77777777" w:rsidR="00960BB8" w:rsidRDefault="00C06650">
      <w:pPr>
        <w:spacing w:before="180" w:after="180"/>
      </w:pPr>
      <w:r>
        <w:rPr>
          <w:rFonts w:ascii="Arial" w:eastAsia="宋体" w:hAnsi="Arial" w:cs="Arial"/>
          <w:color w:val="0068B5"/>
        </w:rPr>
        <w:t>Interest and Other, Net</w:t>
      </w:r>
    </w:p>
    <w:p w14:paraId="5A1B01C3" w14:textId="77777777" w:rsidR="00960BB8" w:rsidRDefault="00C06650">
      <w:pPr>
        <w:spacing w:after="180"/>
      </w:pPr>
      <w:r>
        <w:rPr>
          <w:rFonts w:ascii="Arial" w:eastAsia="宋体" w:hAnsi="Arial" w:cs="Arial"/>
          <w:color w:val="262626"/>
          <w:sz w:val="18"/>
          <w:szCs w:val="18"/>
        </w:rPr>
        <w:t xml:space="preserve">In 2022, we recognized </w:t>
      </w:r>
      <w:r>
        <w:rPr>
          <w:rFonts w:ascii="Arial" w:eastAsia="宋体" w:hAnsi="Arial" w:cs="Arial"/>
          <w:color w:val="262626"/>
          <w:sz w:val="18"/>
          <w:szCs w:val="18"/>
        </w:rPr>
        <w:t>a gain of $1.0 billion from the first closing of the divestiture of our NAND memory business.</w:t>
      </w:r>
    </w:p>
    <w:p w14:paraId="5A1B01C4" w14:textId="77777777" w:rsidR="00960BB8" w:rsidRDefault="00C06650">
      <w:pPr>
        <w:spacing w:before="180" w:after="180"/>
      </w:pPr>
      <w:r>
        <w:rPr>
          <w:rFonts w:ascii="Arial" w:eastAsia="宋体" w:hAnsi="Arial" w:cs="Arial"/>
          <w:color w:val="0068B5"/>
          <w:sz w:val="28"/>
          <w:szCs w:val="28"/>
        </w:rPr>
        <w:t>Provision for (Benefit from)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4942"/>
        <w:gridCol w:w="36"/>
        <w:gridCol w:w="36"/>
        <w:gridCol w:w="36"/>
        <w:gridCol w:w="36"/>
        <w:gridCol w:w="121"/>
        <w:gridCol w:w="697"/>
        <w:gridCol w:w="181"/>
        <w:gridCol w:w="36"/>
        <w:gridCol w:w="36"/>
        <w:gridCol w:w="36"/>
        <w:gridCol w:w="121"/>
        <w:gridCol w:w="697"/>
        <w:gridCol w:w="181"/>
        <w:gridCol w:w="36"/>
        <w:gridCol w:w="36"/>
        <w:gridCol w:w="36"/>
        <w:gridCol w:w="121"/>
        <w:gridCol w:w="697"/>
        <w:gridCol w:w="181"/>
      </w:tblGrid>
      <w:tr w:rsidR="00960BB8" w14:paraId="5A1B01DA" w14:textId="77777777">
        <w:tc>
          <w:tcPr>
            <w:tcW w:w="50" w:type="pct"/>
            <w:shd w:val="clear" w:color="auto" w:fill="auto"/>
            <w:vAlign w:val="bottom"/>
          </w:tcPr>
          <w:p w14:paraId="5A1B01C5" w14:textId="77777777" w:rsidR="00960BB8" w:rsidRDefault="00960BB8">
            <w:pPr>
              <w:rPr>
                <w:rFonts w:ascii="宋体"/>
              </w:rPr>
            </w:pPr>
          </w:p>
        </w:tc>
        <w:tc>
          <w:tcPr>
            <w:tcW w:w="3059" w:type="pct"/>
            <w:shd w:val="clear" w:color="auto" w:fill="auto"/>
            <w:vAlign w:val="bottom"/>
          </w:tcPr>
          <w:p w14:paraId="5A1B01C6" w14:textId="77777777" w:rsidR="00960BB8" w:rsidRDefault="00960BB8">
            <w:pPr>
              <w:rPr>
                <w:rFonts w:ascii="宋体"/>
              </w:rPr>
            </w:pPr>
          </w:p>
        </w:tc>
        <w:tc>
          <w:tcPr>
            <w:tcW w:w="5" w:type="pct"/>
            <w:shd w:val="clear" w:color="auto" w:fill="auto"/>
            <w:vAlign w:val="bottom"/>
          </w:tcPr>
          <w:p w14:paraId="5A1B01C7" w14:textId="77777777" w:rsidR="00960BB8" w:rsidRDefault="00960BB8">
            <w:pPr>
              <w:rPr>
                <w:rFonts w:ascii="宋体"/>
              </w:rPr>
            </w:pPr>
          </w:p>
        </w:tc>
        <w:tc>
          <w:tcPr>
            <w:tcW w:w="5" w:type="pct"/>
            <w:shd w:val="clear" w:color="auto" w:fill="auto"/>
            <w:vAlign w:val="bottom"/>
          </w:tcPr>
          <w:p w14:paraId="5A1B01C8" w14:textId="77777777" w:rsidR="00960BB8" w:rsidRDefault="00960BB8">
            <w:pPr>
              <w:rPr>
                <w:rFonts w:ascii="宋体"/>
              </w:rPr>
            </w:pPr>
          </w:p>
        </w:tc>
        <w:tc>
          <w:tcPr>
            <w:tcW w:w="24" w:type="pct"/>
            <w:shd w:val="clear" w:color="auto" w:fill="auto"/>
            <w:vAlign w:val="bottom"/>
          </w:tcPr>
          <w:p w14:paraId="5A1B01C9" w14:textId="77777777" w:rsidR="00960BB8" w:rsidRDefault="00960BB8">
            <w:pPr>
              <w:rPr>
                <w:rFonts w:ascii="宋体"/>
              </w:rPr>
            </w:pPr>
          </w:p>
        </w:tc>
        <w:tc>
          <w:tcPr>
            <w:tcW w:w="5" w:type="pct"/>
            <w:shd w:val="clear" w:color="auto" w:fill="auto"/>
            <w:vAlign w:val="bottom"/>
          </w:tcPr>
          <w:p w14:paraId="5A1B01CA" w14:textId="77777777" w:rsidR="00960BB8" w:rsidRDefault="00960BB8">
            <w:pPr>
              <w:rPr>
                <w:rFonts w:ascii="宋体"/>
              </w:rPr>
            </w:pPr>
          </w:p>
        </w:tc>
        <w:tc>
          <w:tcPr>
            <w:tcW w:w="50" w:type="pct"/>
            <w:shd w:val="clear" w:color="auto" w:fill="auto"/>
            <w:vAlign w:val="bottom"/>
          </w:tcPr>
          <w:p w14:paraId="5A1B01CB" w14:textId="77777777" w:rsidR="00960BB8" w:rsidRDefault="00960BB8">
            <w:pPr>
              <w:rPr>
                <w:rFonts w:ascii="宋体"/>
              </w:rPr>
            </w:pPr>
          </w:p>
        </w:tc>
        <w:tc>
          <w:tcPr>
            <w:tcW w:w="539" w:type="pct"/>
            <w:shd w:val="clear" w:color="auto" w:fill="auto"/>
            <w:vAlign w:val="bottom"/>
          </w:tcPr>
          <w:p w14:paraId="5A1B01CC" w14:textId="77777777" w:rsidR="00960BB8" w:rsidRDefault="00960BB8">
            <w:pPr>
              <w:rPr>
                <w:rFonts w:ascii="宋体"/>
              </w:rPr>
            </w:pPr>
          </w:p>
        </w:tc>
        <w:tc>
          <w:tcPr>
            <w:tcW w:w="5" w:type="pct"/>
            <w:shd w:val="clear" w:color="auto" w:fill="auto"/>
            <w:vAlign w:val="bottom"/>
          </w:tcPr>
          <w:p w14:paraId="5A1B01CD" w14:textId="77777777" w:rsidR="00960BB8" w:rsidRDefault="00960BB8">
            <w:pPr>
              <w:rPr>
                <w:rFonts w:ascii="宋体"/>
              </w:rPr>
            </w:pPr>
          </w:p>
        </w:tc>
        <w:tc>
          <w:tcPr>
            <w:tcW w:w="5" w:type="pct"/>
            <w:shd w:val="clear" w:color="auto" w:fill="auto"/>
            <w:vAlign w:val="bottom"/>
          </w:tcPr>
          <w:p w14:paraId="5A1B01CE" w14:textId="77777777" w:rsidR="00960BB8" w:rsidRDefault="00960BB8">
            <w:pPr>
              <w:rPr>
                <w:rFonts w:ascii="宋体"/>
              </w:rPr>
            </w:pPr>
          </w:p>
        </w:tc>
        <w:tc>
          <w:tcPr>
            <w:tcW w:w="24" w:type="pct"/>
            <w:shd w:val="clear" w:color="auto" w:fill="auto"/>
            <w:vAlign w:val="bottom"/>
          </w:tcPr>
          <w:p w14:paraId="5A1B01CF" w14:textId="77777777" w:rsidR="00960BB8" w:rsidRDefault="00960BB8">
            <w:pPr>
              <w:rPr>
                <w:rFonts w:ascii="宋体"/>
              </w:rPr>
            </w:pPr>
          </w:p>
        </w:tc>
        <w:tc>
          <w:tcPr>
            <w:tcW w:w="5" w:type="pct"/>
            <w:shd w:val="clear" w:color="auto" w:fill="auto"/>
            <w:vAlign w:val="bottom"/>
          </w:tcPr>
          <w:p w14:paraId="5A1B01D0" w14:textId="77777777" w:rsidR="00960BB8" w:rsidRDefault="00960BB8">
            <w:pPr>
              <w:rPr>
                <w:rFonts w:ascii="宋体"/>
              </w:rPr>
            </w:pPr>
          </w:p>
        </w:tc>
        <w:tc>
          <w:tcPr>
            <w:tcW w:w="50" w:type="pct"/>
            <w:shd w:val="clear" w:color="auto" w:fill="auto"/>
            <w:vAlign w:val="bottom"/>
          </w:tcPr>
          <w:p w14:paraId="5A1B01D1" w14:textId="77777777" w:rsidR="00960BB8" w:rsidRDefault="00960BB8">
            <w:pPr>
              <w:rPr>
                <w:rFonts w:ascii="宋体"/>
              </w:rPr>
            </w:pPr>
          </w:p>
        </w:tc>
        <w:tc>
          <w:tcPr>
            <w:tcW w:w="539" w:type="pct"/>
            <w:shd w:val="clear" w:color="auto" w:fill="auto"/>
            <w:vAlign w:val="bottom"/>
          </w:tcPr>
          <w:p w14:paraId="5A1B01D2" w14:textId="77777777" w:rsidR="00960BB8" w:rsidRDefault="00960BB8">
            <w:pPr>
              <w:rPr>
                <w:rFonts w:ascii="宋体"/>
              </w:rPr>
            </w:pPr>
          </w:p>
        </w:tc>
        <w:tc>
          <w:tcPr>
            <w:tcW w:w="5" w:type="pct"/>
            <w:shd w:val="clear" w:color="auto" w:fill="auto"/>
            <w:vAlign w:val="bottom"/>
          </w:tcPr>
          <w:p w14:paraId="5A1B01D3" w14:textId="77777777" w:rsidR="00960BB8" w:rsidRDefault="00960BB8">
            <w:pPr>
              <w:rPr>
                <w:rFonts w:ascii="宋体"/>
              </w:rPr>
            </w:pPr>
          </w:p>
        </w:tc>
        <w:tc>
          <w:tcPr>
            <w:tcW w:w="5" w:type="pct"/>
            <w:shd w:val="clear" w:color="auto" w:fill="auto"/>
            <w:vAlign w:val="bottom"/>
          </w:tcPr>
          <w:p w14:paraId="5A1B01D4" w14:textId="77777777" w:rsidR="00960BB8" w:rsidRDefault="00960BB8">
            <w:pPr>
              <w:rPr>
                <w:rFonts w:ascii="宋体"/>
              </w:rPr>
            </w:pPr>
          </w:p>
        </w:tc>
        <w:tc>
          <w:tcPr>
            <w:tcW w:w="24" w:type="pct"/>
            <w:shd w:val="clear" w:color="auto" w:fill="auto"/>
            <w:vAlign w:val="bottom"/>
          </w:tcPr>
          <w:p w14:paraId="5A1B01D5" w14:textId="77777777" w:rsidR="00960BB8" w:rsidRDefault="00960BB8">
            <w:pPr>
              <w:rPr>
                <w:rFonts w:ascii="宋体"/>
              </w:rPr>
            </w:pPr>
          </w:p>
        </w:tc>
        <w:tc>
          <w:tcPr>
            <w:tcW w:w="5" w:type="pct"/>
            <w:shd w:val="clear" w:color="auto" w:fill="auto"/>
            <w:vAlign w:val="bottom"/>
          </w:tcPr>
          <w:p w14:paraId="5A1B01D6" w14:textId="77777777" w:rsidR="00960BB8" w:rsidRDefault="00960BB8">
            <w:pPr>
              <w:rPr>
                <w:rFonts w:ascii="宋体"/>
              </w:rPr>
            </w:pPr>
          </w:p>
        </w:tc>
        <w:tc>
          <w:tcPr>
            <w:tcW w:w="50" w:type="pct"/>
            <w:shd w:val="clear" w:color="auto" w:fill="auto"/>
            <w:vAlign w:val="bottom"/>
          </w:tcPr>
          <w:p w14:paraId="5A1B01D7" w14:textId="77777777" w:rsidR="00960BB8" w:rsidRDefault="00960BB8">
            <w:pPr>
              <w:rPr>
                <w:rFonts w:ascii="宋体"/>
              </w:rPr>
            </w:pPr>
          </w:p>
        </w:tc>
        <w:tc>
          <w:tcPr>
            <w:tcW w:w="539" w:type="pct"/>
            <w:shd w:val="clear" w:color="auto" w:fill="auto"/>
            <w:vAlign w:val="bottom"/>
          </w:tcPr>
          <w:p w14:paraId="5A1B01D8" w14:textId="77777777" w:rsidR="00960BB8" w:rsidRDefault="00960BB8">
            <w:pPr>
              <w:rPr>
                <w:rFonts w:ascii="宋体"/>
              </w:rPr>
            </w:pPr>
          </w:p>
        </w:tc>
        <w:tc>
          <w:tcPr>
            <w:tcW w:w="5" w:type="pct"/>
            <w:shd w:val="clear" w:color="auto" w:fill="auto"/>
            <w:vAlign w:val="bottom"/>
          </w:tcPr>
          <w:p w14:paraId="5A1B01D9" w14:textId="77777777" w:rsidR="00960BB8" w:rsidRDefault="00960BB8">
            <w:pPr>
              <w:rPr>
                <w:rFonts w:ascii="宋体"/>
              </w:rPr>
            </w:pPr>
          </w:p>
        </w:tc>
      </w:tr>
      <w:tr w:rsidR="00960BB8" w14:paraId="5A1B01E2" w14:textId="77777777">
        <w:tc>
          <w:tcPr>
            <w:tcW w:w="0" w:type="auto"/>
            <w:gridSpan w:val="3"/>
            <w:shd w:val="clear" w:color="auto" w:fill="auto"/>
            <w:tcMar>
              <w:top w:w="40" w:type="dxa"/>
              <w:left w:w="20" w:type="dxa"/>
              <w:bottom w:w="40" w:type="dxa"/>
              <w:right w:w="20" w:type="dxa"/>
            </w:tcMar>
            <w:vAlign w:val="bottom"/>
          </w:tcPr>
          <w:p w14:paraId="5A1B01DB" w14:textId="77777777" w:rsidR="00960BB8" w:rsidRDefault="00C06650">
            <w:pPr>
              <w:textAlignment w:val="bottom"/>
            </w:pPr>
            <w:r>
              <w:rPr>
                <w:rFonts w:ascii="Arial" w:eastAsia="宋体" w:hAnsi="Arial" w:cs="Arial"/>
                <w:b/>
                <w:bCs/>
                <w:color w:val="262626"/>
                <w:sz w:val="18"/>
                <w:szCs w:val="18"/>
              </w:rPr>
              <w:t>Year</w:t>
            </w:r>
            <w:r>
              <w:rPr>
                <w:rFonts w:ascii="Arial" w:eastAsia="宋体" w:hAnsi="Arial" w:cs="Arial"/>
                <w:b/>
                <w:bCs/>
                <w:color w:val="262626"/>
                <w:sz w:val="18"/>
                <w:szCs w:val="18"/>
              </w:rPr>
              <w:t>s Ended (Dollars in Millions)</w:t>
            </w:r>
          </w:p>
        </w:tc>
        <w:tc>
          <w:tcPr>
            <w:tcW w:w="0" w:type="auto"/>
            <w:gridSpan w:val="3"/>
            <w:shd w:val="clear" w:color="auto" w:fill="auto"/>
            <w:tcMar>
              <w:top w:w="0" w:type="dxa"/>
              <w:left w:w="20" w:type="dxa"/>
              <w:bottom w:w="0" w:type="dxa"/>
              <w:right w:w="20" w:type="dxa"/>
            </w:tcMar>
            <w:vAlign w:val="bottom"/>
          </w:tcPr>
          <w:p w14:paraId="5A1B01D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1DD"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01D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1DF"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01E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1E1"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01F0" w14:textId="77777777">
        <w:tc>
          <w:tcPr>
            <w:tcW w:w="0" w:type="auto"/>
            <w:gridSpan w:val="3"/>
            <w:tcBorders>
              <w:top w:val="single" w:sz="8" w:space="0" w:color="0068B5"/>
            </w:tcBorders>
            <w:shd w:val="clear" w:color="auto" w:fill="auto"/>
            <w:tcMar>
              <w:top w:w="40" w:type="dxa"/>
              <w:left w:w="20" w:type="dxa"/>
              <w:bottom w:w="40" w:type="dxa"/>
              <w:right w:w="20" w:type="dxa"/>
            </w:tcMar>
          </w:tcPr>
          <w:p w14:paraId="5A1B01E3" w14:textId="77777777" w:rsidR="00960BB8" w:rsidRDefault="00C06650">
            <w:pPr>
              <w:textAlignment w:val="top"/>
            </w:pPr>
            <w:r>
              <w:rPr>
                <w:rFonts w:ascii="Arial" w:eastAsia="宋体" w:hAnsi="Arial" w:cs="Arial"/>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5A1B01E4"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1E5"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1E6" w14:textId="77777777" w:rsidR="00960BB8" w:rsidRDefault="00C06650">
            <w:pPr>
              <w:jc w:val="right"/>
              <w:textAlignment w:val="bottom"/>
            </w:pPr>
            <w:r>
              <w:rPr>
                <w:rFonts w:ascii="Arial" w:eastAsia="宋体" w:hAnsi="Arial" w:cs="Arial"/>
                <w:color w:val="0068B5"/>
                <w:sz w:val="18"/>
                <w:szCs w:val="18"/>
              </w:rPr>
              <w:t>7,768 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1E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E8"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1E9"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1EA" w14:textId="77777777" w:rsidR="00960BB8" w:rsidRDefault="00C06650">
            <w:pPr>
              <w:jc w:val="right"/>
              <w:textAlignment w:val="bottom"/>
            </w:pPr>
            <w:r>
              <w:rPr>
                <w:rFonts w:ascii="Arial" w:eastAsia="宋体" w:hAnsi="Arial" w:cs="Arial"/>
                <w:color w:val="262626"/>
                <w:sz w:val="18"/>
                <w:szCs w:val="18"/>
              </w:rPr>
              <w:t>21,703 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1E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EC"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1ED"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1EE" w14:textId="77777777" w:rsidR="00960BB8" w:rsidRDefault="00C06650">
            <w:pPr>
              <w:jc w:val="right"/>
              <w:textAlignment w:val="bottom"/>
            </w:pPr>
            <w:r>
              <w:rPr>
                <w:rFonts w:ascii="Arial" w:eastAsia="宋体" w:hAnsi="Arial" w:cs="Arial"/>
                <w:color w:val="262626"/>
                <w:sz w:val="18"/>
                <w:szCs w:val="18"/>
              </w:rPr>
              <w:t>25,078 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1EF" w14:textId="77777777" w:rsidR="00960BB8" w:rsidRDefault="00960BB8">
            <w:pPr>
              <w:jc w:val="right"/>
              <w:rPr>
                <w:rFonts w:ascii="宋体"/>
              </w:rPr>
            </w:pPr>
          </w:p>
        </w:tc>
      </w:tr>
      <w:tr w:rsidR="00960BB8" w14:paraId="5A1B01FE" w14:textId="77777777">
        <w:tc>
          <w:tcPr>
            <w:tcW w:w="0" w:type="auto"/>
            <w:gridSpan w:val="3"/>
            <w:shd w:val="clear" w:color="auto" w:fill="auto"/>
            <w:tcMar>
              <w:top w:w="40" w:type="dxa"/>
              <w:left w:w="20" w:type="dxa"/>
              <w:bottom w:w="40" w:type="dxa"/>
              <w:right w:w="20" w:type="dxa"/>
            </w:tcMar>
          </w:tcPr>
          <w:p w14:paraId="5A1B01F1" w14:textId="77777777" w:rsidR="00960BB8" w:rsidRDefault="00C06650">
            <w:pPr>
              <w:textAlignment w:val="top"/>
            </w:pPr>
            <w:r>
              <w:rPr>
                <w:rFonts w:ascii="Arial" w:eastAsia="宋体" w:hAnsi="Arial" w:cs="Arial"/>
                <w:color w:val="262626"/>
                <w:sz w:val="18"/>
                <w:szCs w:val="18"/>
              </w:rPr>
              <w:t>Provision for (benefit from) taxes</w:t>
            </w:r>
          </w:p>
        </w:tc>
        <w:tc>
          <w:tcPr>
            <w:tcW w:w="0" w:type="auto"/>
            <w:gridSpan w:val="3"/>
            <w:shd w:val="clear" w:color="auto" w:fill="auto"/>
            <w:tcMar>
              <w:top w:w="0" w:type="dxa"/>
              <w:left w:w="20" w:type="dxa"/>
              <w:bottom w:w="0" w:type="dxa"/>
              <w:right w:w="20" w:type="dxa"/>
            </w:tcMar>
            <w:vAlign w:val="bottom"/>
          </w:tcPr>
          <w:p w14:paraId="5A1B01F2"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1F3"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01F4" w14:textId="77777777" w:rsidR="00960BB8" w:rsidRDefault="00C06650">
            <w:pPr>
              <w:jc w:val="right"/>
              <w:textAlignment w:val="bottom"/>
            </w:pPr>
            <w:r>
              <w:rPr>
                <w:rFonts w:ascii="Arial" w:eastAsia="宋体" w:hAnsi="Arial" w:cs="Arial"/>
                <w:color w:val="0068B5"/>
                <w:sz w:val="18"/>
                <w:szCs w:val="18"/>
              </w:rPr>
              <w:t>(249)</w:t>
            </w:r>
          </w:p>
        </w:tc>
        <w:tc>
          <w:tcPr>
            <w:tcW w:w="0" w:type="auto"/>
            <w:shd w:val="clear" w:color="auto" w:fill="auto"/>
            <w:tcMar>
              <w:top w:w="40" w:type="dxa"/>
              <w:left w:w="0" w:type="dxa"/>
              <w:bottom w:w="40" w:type="dxa"/>
              <w:right w:w="20" w:type="dxa"/>
            </w:tcMar>
            <w:vAlign w:val="bottom"/>
          </w:tcPr>
          <w:p w14:paraId="5A1B01F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F6"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1F7"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1F8" w14:textId="77777777" w:rsidR="00960BB8" w:rsidRDefault="00C06650">
            <w:pPr>
              <w:jc w:val="right"/>
              <w:textAlignment w:val="bottom"/>
            </w:pPr>
            <w:r>
              <w:rPr>
                <w:rFonts w:ascii="Arial" w:eastAsia="宋体" w:hAnsi="Arial" w:cs="Arial"/>
                <w:color w:val="262626"/>
                <w:sz w:val="18"/>
                <w:szCs w:val="18"/>
              </w:rPr>
              <w:t>1,835 </w:t>
            </w:r>
          </w:p>
        </w:tc>
        <w:tc>
          <w:tcPr>
            <w:tcW w:w="0" w:type="auto"/>
            <w:shd w:val="clear" w:color="auto" w:fill="auto"/>
            <w:tcMar>
              <w:top w:w="40" w:type="dxa"/>
              <w:left w:w="0" w:type="dxa"/>
              <w:bottom w:w="40" w:type="dxa"/>
              <w:right w:w="20" w:type="dxa"/>
            </w:tcMar>
            <w:vAlign w:val="bottom"/>
          </w:tcPr>
          <w:p w14:paraId="5A1B01F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1FA"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1FB"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1FC" w14:textId="77777777" w:rsidR="00960BB8" w:rsidRDefault="00C06650">
            <w:pPr>
              <w:jc w:val="right"/>
              <w:textAlignment w:val="bottom"/>
            </w:pPr>
            <w:r>
              <w:rPr>
                <w:rFonts w:ascii="Arial" w:eastAsia="宋体" w:hAnsi="Arial" w:cs="Arial"/>
                <w:color w:val="262626"/>
                <w:sz w:val="18"/>
                <w:szCs w:val="18"/>
              </w:rPr>
              <w:t>4,179 </w:t>
            </w:r>
          </w:p>
        </w:tc>
        <w:tc>
          <w:tcPr>
            <w:tcW w:w="0" w:type="auto"/>
            <w:shd w:val="clear" w:color="auto" w:fill="auto"/>
            <w:tcMar>
              <w:top w:w="40" w:type="dxa"/>
              <w:left w:w="0" w:type="dxa"/>
              <w:bottom w:w="40" w:type="dxa"/>
              <w:right w:w="20" w:type="dxa"/>
            </w:tcMar>
            <w:vAlign w:val="bottom"/>
          </w:tcPr>
          <w:p w14:paraId="5A1B01FD" w14:textId="77777777" w:rsidR="00960BB8" w:rsidRDefault="00960BB8">
            <w:pPr>
              <w:jc w:val="right"/>
              <w:rPr>
                <w:rFonts w:ascii="宋体"/>
              </w:rPr>
            </w:pPr>
          </w:p>
        </w:tc>
      </w:tr>
      <w:tr w:rsidR="00960BB8" w14:paraId="5A1B0209" w14:textId="77777777">
        <w:tc>
          <w:tcPr>
            <w:tcW w:w="0" w:type="auto"/>
            <w:gridSpan w:val="3"/>
            <w:shd w:val="clear" w:color="auto" w:fill="auto"/>
            <w:tcMar>
              <w:top w:w="40" w:type="dxa"/>
              <w:left w:w="20" w:type="dxa"/>
              <w:bottom w:w="40" w:type="dxa"/>
              <w:right w:w="20" w:type="dxa"/>
            </w:tcMar>
          </w:tcPr>
          <w:p w14:paraId="5A1B01FF" w14:textId="77777777" w:rsidR="00960BB8" w:rsidRDefault="00C06650">
            <w:pPr>
              <w:textAlignment w:val="top"/>
            </w:pPr>
            <w:r>
              <w:rPr>
                <w:rFonts w:ascii="Arial" w:eastAsia="宋体" w:hAnsi="Arial" w:cs="Arial"/>
                <w:color w:val="262626"/>
                <w:sz w:val="18"/>
                <w:szCs w:val="18"/>
              </w:rPr>
              <w:t>Effective tax rate</w:t>
            </w:r>
          </w:p>
        </w:tc>
        <w:tc>
          <w:tcPr>
            <w:tcW w:w="0" w:type="auto"/>
            <w:gridSpan w:val="3"/>
            <w:shd w:val="clear" w:color="auto" w:fill="auto"/>
            <w:tcMar>
              <w:top w:w="0" w:type="dxa"/>
              <w:left w:w="20" w:type="dxa"/>
              <w:bottom w:w="0" w:type="dxa"/>
              <w:right w:w="20" w:type="dxa"/>
            </w:tcMar>
            <w:vAlign w:val="bottom"/>
          </w:tcPr>
          <w:p w14:paraId="5A1B020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01" w14:textId="77777777" w:rsidR="00960BB8" w:rsidRDefault="00C06650">
            <w:pPr>
              <w:jc w:val="right"/>
              <w:textAlignment w:val="bottom"/>
            </w:pPr>
            <w:r>
              <w:rPr>
                <w:rFonts w:ascii="Arial" w:eastAsia="宋体" w:hAnsi="Arial" w:cs="Arial"/>
                <w:color w:val="0068B5"/>
                <w:sz w:val="18"/>
                <w:szCs w:val="18"/>
              </w:rPr>
              <w:t>(3.2)</w:t>
            </w:r>
          </w:p>
        </w:tc>
        <w:tc>
          <w:tcPr>
            <w:tcW w:w="0" w:type="auto"/>
            <w:shd w:val="clear" w:color="auto" w:fill="auto"/>
            <w:tcMar>
              <w:top w:w="40" w:type="dxa"/>
              <w:left w:w="0" w:type="dxa"/>
              <w:bottom w:w="40" w:type="dxa"/>
              <w:right w:w="20" w:type="dxa"/>
            </w:tcMar>
            <w:vAlign w:val="bottom"/>
          </w:tcPr>
          <w:p w14:paraId="5A1B0202"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020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04" w14:textId="77777777" w:rsidR="00960BB8" w:rsidRDefault="00C06650">
            <w:pPr>
              <w:jc w:val="right"/>
              <w:textAlignment w:val="bottom"/>
            </w:pPr>
            <w:r>
              <w:rPr>
                <w:rFonts w:ascii="Arial" w:eastAsia="宋体" w:hAnsi="Arial" w:cs="Arial"/>
                <w:color w:val="262626"/>
                <w:sz w:val="18"/>
                <w:szCs w:val="18"/>
              </w:rPr>
              <w:t>8.5 </w:t>
            </w:r>
          </w:p>
        </w:tc>
        <w:tc>
          <w:tcPr>
            <w:tcW w:w="0" w:type="auto"/>
            <w:shd w:val="clear" w:color="auto" w:fill="auto"/>
            <w:tcMar>
              <w:top w:w="40" w:type="dxa"/>
              <w:left w:w="0" w:type="dxa"/>
              <w:bottom w:w="40" w:type="dxa"/>
              <w:right w:w="20" w:type="dxa"/>
            </w:tcMar>
            <w:vAlign w:val="bottom"/>
          </w:tcPr>
          <w:p w14:paraId="5A1B0205"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020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07" w14:textId="77777777" w:rsidR="00960BB8" w:rsidRDefault="00C06650">
            <w:pPr>
              <w:jc w:val="right"/>
              <w:textAlignment w:val="bottom"/>
            </w:pPr>
            <w:r>
              <w:rPr>
                <w:rFonts w:ascii="Arial" w:eastAsia="宋体" w:hAnsi="Arial" w:cs="Arial"/>
                <w:color w:val="262626"/>
                <w:sz w:val="18"/>
                <w:szCs w:val="18"/>
              </w:rPr>
              <w:t>16.7 </w:t>
            </w:r>
          </w:p>
        </w:tc>
        <w:tc>
          <w:tcPr>
            <w:tcW w:w="0" w:type="auto"/>
            <w:shd w:val="clear" w:color="auto" w:fill="auto"/>
            <w:tcMar>
              <w:top w:w="40" w:type="dxa"/>
              <w:left w:w="0" w:type="dxa"/>
              <w:bottom w:w="40" w:type="dxa"/>
              <w:right w:w="20" w:type="dxa"/>
            </w:tcMar>
            <w:vAlign w:val="bottom"/>
          </w:tcPr>
          <w:p w14:paraId="5A1B0208" w14:textId="77777777" w:rsidR="00960BB8" w:rsidRDefault="00C06650">
            <w:pPr>
              <w:jc w:val="right"/>
              <w:textAlignment w:val="bottom"/>
            </w:pPr>
            <w:r>
              <w:rPr>
                <w:rFonts w:ascii="Arial" w:eastAsia="宋体" w:hAnsi="Arial" w:cs="Arial"/>
                <w:color w:val="262626"/>
                <w:sz w:val="18"/>
                <w:szCs w:val="18"/>
              </w:rPr>
              <w:t>%</w:t>
            </w:r>
          </w:p>
        </w:tc>
      </w:tr>
    </w:tbl>
    <w:p w14:paraId="5A1B020A" w14:textId="77777777" w:rsidR="00960BB8" w:rsidRDefault="00C06650">
      <w:r>
        <w:rPr>
          <w:rFonts w:ascii="Arial" w:eastAsia="宋体" w:hAnsi="Arial" w:cs="Arial"/>
          <w:color w:val="000000"/>
          <w:sz w:val="18"/>
          <w:szCs w:val="18"/>
        </w:rPr>
        <w:t xml:space="preserve">Our effective tax rate decreased in </w:t>
      </w:r>
      <w:r>
        <w:rPr>
          <w:rFonts w:ascii="Arial" w:eastAsia="宋体" w:hAnsi="Arial" w:cs="Arial"/>
          <w:color w:val="262626"/>
          <w:sz w:val="18"/>
          <w:szCs w:val="18"/>
        </w:rPr>
        <w:t xml:space="preserve">2022 </w:t>
      </w:r>
      <w:r>
        <w:rPr>
          <w:rFonts w:ascii="Arial" w:eastAsia="宋体" w:hAnsi="Arial" w:cs="Arial"/>
          <w:color w:val="000000"/>
          <w:sz w:val="18"/>
          <w:szCs w:val="18"/>
        </w:rPr>
        <w:t>compared to</w:t>
      </w:r>
      <w:r>
        <w:rPr>
          <w:rFonts w:ascii="Arial" w:eastAsia="宋体" w:hAnsi="Arial" w:cs="Arial"/>
          <w:color w:val="262626"/>
          <w:sz w:val="18"/>
          <w:szCs w:val="18"/>
        </w:rPr>
        <w:t xml:space="preserve"> 2021</w:t>
      </w:r>
      <w:r>
        <w:rPr>
          <w:rFonts w:ascii="Arial" w:eastAsia="宋体" w:hAnsi="Arial" w:cs="Arial"/>
          <w:color w:val="000000"/>
          <w:sz w:val="18"/>
          <w:szCs w:val="18"/>
        </w:rPr>
        <w:t xml:space="preserve">, primarily driven by a higher proportion of our income being taxed in non-US jurisdictions and a change in tax law from </w:t>
      </w:r>
      <w:r>
        <w:rPr>
          <w:rFonts w:ascii="Arial" w:eastAsia="宋体" w:hAnsi="Arial" w:cs="Arial"/>
          <w:color w:val="000000"/>
          <w:sz w:val="18"/>
          <w:szCs w:val="18"/>
        </w:rPr>
        <w:t>2017 Tax Reform related to the capitalization of R&amp;D expenses that went into effect in January 2022. In 2022 we recognized a benefit from taxes as compared to a provision for taxes in 2021 as the higher proportion of our income being taxed in non-US jurisd</w:t>
      </w:r>
      <w:r>
        <w:rPr>
          <w:rFonts w:ascii="Arial" w:eastAsia="宋体" w:hAnsi="Arial" w:cs="Arial"/>
          <w:color w:val="000000"/>
          <w:sz w:val="18"/>
          <w:szCs w:val="18"/>
        </w:rPr>
        <w:t>ictions and the change in tax law from 2017 Tax Reform were only partially offset by the tax costs associated with the gains recognized from the equity sale of McAfee and the divestiture of our NAND memory business.</w:t>
      </w:r>
    </w:p>
    <w:p w14:paraId="5A1B020B" w14:textId="77777777" w:rsidR="00960BB8" w:rsidRDefault="00960BB8"/>
    <w:p w14:paraId="5A1B020C" w14:textId="77777777" w:rsidR="00960BB8" w:rsidRDefault="00C06650">
      <w:pPr>
        <w:spacing w:after="180"/>
      </w:pPr>
      <w:r>
        <w:rPr>
          <w:rFonts w:ascii="Arial" w:eastAsia="宋体" w:hAnsi="Arial" w:cs="Arial"/>
          <w:color w:val="262626"/>
          <w:sz w:val="18"/>
          <w:szCs w:val="18"/>
        </w:rPr>
        <w:t xml:space="preserve">Our effective tax rate </w:t>
      </w:r>
      <w:r>
        <w:rPr>
          <w:rFonts w:ascii="Arial" w:eastAsia="宋体" w:hAnsi="Arial" w:cs="Arial"/>
          <w:color w:val="262626"/>
          <w:sz w:val="18"/>
          <w:szCs w:val="18"/>
        </w:rPr>
        <w:t>decreased in 2021 compared to 2020, primarily driven by one-time tax benefits due to the restructuring of certain non-US subsidiaries as well as a higher proportion of our income in non-US jurisdictions. As a result of the restructuring, we established def</w:t>
      </w:r>
      <w:r>
        <w:rPr>
          <w:rFonts w:ascii="Arial" w:eastAsia="宋体" w:hAnsi="Arial" w:cs="Arial"/>
          <w:color w:val="262626"/>
          <w:sz w:val="18"/>
          <w:szCs w:val="18"/>
        </w:rPr>
        <w:t>erred tax assets and released the valuation allowances of certain foreign deferred tax assets. The majority of these deferred tax assets established in 2021 fully offset the deferred tax liabilities recognized in 2020 driven by a change in our permanent re</w:t>
      </w:r>
      <w:r>
        <w:rPr>
          <w:rFonts w:ascii="Arial" w:eastAsia="宋体" w:hAnsi="Arial" w:cs="Arial"/>
          <w:color w:val="262626"/>
          <w:sz w:val="18"/>
          <w:szCs w:val="18"/>
        </w:rPr>
        <w:t>investment assertion with respect to undistributed earnings in China, as a result of our divestiture of our NAND memory business.</w:t>
      </w:r>
    </w:p>
    <w:p w14:paraId="5A1B020D" w14:textId="77777777" w:rsidR="00960BB8" w:rsidRDefault="00960BB8"/>
    <w:p w14:paraId="5A1B020E" w14:textId="77777777" w:rsidR="00960BB8" w:rsidRDefault="00960BB8">
      <w:pPr>
        <w:spacing w:after="180"/>
        <w:ind w:hanging="720"/>
      </w:pPr>
    </w:p>
    <w:p w14:paraId="5A1B020F" w14:textId="77777777" w:rsidR="00960BB8" w:rsidRDefault="00960BB8"/>
    <w:p w14:paraId="5A1B0210" w14:textId="77777777" w:rsidR="00960BB8" w:rsidRDefault="00960BB8"/>
    <w:p w14:paraId="5A1B0211" w14:textId="77777777" w:rsidR="00960BB8" w:rsidRDefault="00960BB8"/>
    <w:p w14:paraId="5A1B0212" w14:textId="77777777" w:rsidR="00960BB8" w:rsidRDefault="00960BB8"/>
    <w:p w14:paraId="5A1B0213" w14:textId="77777777" w:rsidR="00960BB8" w:rsidRDefault="00960BB8"/>
    <w:p w14:paraId="5A1B0214" w14:textId="77777777" w:rsidR="00960BB8" w:rsidRDefault="00960BB8"/>
    <w:p w14:paraId="5A1B0215" w14:textId="77777777" w:rsidR="00960BB8" w:rsidRDefault="00960BB8"/>
    <w:p w14:paraId="5A1B0216" w14:textId="77777777" w:rsidR="00960BB8" w:rsidRDefault="00960BB8"/>
    <w:p w14:paraId="5A1B0217"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221" w14:textId="77777777">
        <w:tc>
          <w:tcPr>
            <w:tcW w:w="50" w:type="pct"/>
            <w:shd w:val="clear" w:color="auto" w:fill="auto"/>
            <w:vAlign w:val="bottom"/>
          </w:tcPr>
          <w:p w14:paraId="5A1B0218" w14:textId="77777777" w:rsidR="00960BB8" w:rsidRDefault="00960BB8">
            <w:pPr>
              <w:rPr>
                <w:rFonts w:ascii="宋体"/>
              </w:rPr>
            </w:pPr>
          </w:p>
        </w:tc>
        <w:tc>
          <w:tcPr>
            <w:tcW w:w="283" w:type="pct"/>
            <w:shd w:val="clear" w:color="auto" w:fill="auto"/>
            <w:vAlign w:val="bottom"/>
          </w:tcPr>
          <w:p w14:paraId="5A1B0219" w14:textId="77777777" w:rsidR="00960BB8" w:rsidRDefault="00960BB8">
            <w:pPr>
              <w:rPr>
                <w:rFonts w:ascii="宋体"/>
              </w:rPr>
            </w:pPr>
          </w:p>
        </w:tc>
        <w:tc>
          <w:tcPr>
            <w:tcW w:w="5" w:type="pct"/>
            <w:shd w:val="clear" w:color="auto" w:fill="auto"/>
            <w:vAlign w:val="bottom"/>
          </w:tcPr>
          <w:p w14:paraId="5A1B021A" w14:textId="77777777" w:rsidR="00960BB8" w:rsidRDefault="00960BB8">
            <w:pPr>
              <w:rPr>
                <w:rFonts w:ascii="宋体"/>
              </w:rPr>
            </w:pPr>
          </w:p>
        </w:tc>
        <w:tc>
          <w:tcPr>
            <w:tcW w:w="50" w:type="pct"/>
            <w:shd w:val="clear" w:color="auto" w:fill="auto"/>
            <w:vAlign w:val="bottom"/>
          </w:tcPr>
          <w:p w14:paraId="5A1B021B" w14:textId="77777777" w:rsidR="00960BB8" w:rsidRDefault="00960BB8">
            <w:pPr>
              <w:rPr>
                <w:rFonts w:ascii="宋体"/>
              </w:rPr>
            </w:pPr>
          </w:p>
        </w:tc>
        <w:tc>
          <w:tcPr>
            <w:tcW w:w="2656" w:type="pct"/>
            <w:shd w:val="clear" w:color="auto" w:fill="auto"/>
            <w:vAlign w:val="bottom"/>
          </w:tcPr>
          <w:p w14:paraId="5A1B021C" w14:textId="77777777" w:rsidR="00960BB8" w:rsidRDefault="00960BB8">
            <w:pPr>
              <w:rPr>
                <w:rFonts w:ascii="宋体"/>
              </w:rPr>
            </w:pPr>
          </w:p>
        </w:tc>
        <w:tc>
          <w:tcPr>
            <w:tcW w:w="5" w:type="pct"/>
            <w:shd w:val="clear" w:color="auto" w:fill="auto"/>
            <w:vAlign w:val="bottom"/>
          </w:tcPr>
          <w:p w14:paraId="5A1B021D" w14:textId="77777777" w:rsidR="00960BB8" w:rsidRDefault="00960BB8">
            <w:pPr>
              <w:rPr>
                <w:rFonts w:ascii="宋体"/>
              </w:rPr>
            </w:pPr>
          </w:p>
        </w:tc>
        <w:tc>
          <w:tcPr>
            <w:tcW w:w="50" w:type="pct"/>
            <w:shd w:val="clear" w:color="auto" w:fill="auto"/>
            <w:vAlign w:val="bottom"/>
          </w:tcPr>
          <w:p w14:paraId="5A1B021E" w14:textId="77777777" w:rsidR="00960BB8" w:rsidRDefault="00960BB8">
            <w:pPr>
              <w:rPr>
                <w:rFonts w:ascii="宋体"/>
              </w:rPr>
            </w:pPr>
          </w:p>
        </w:tc>
        <w:tc>
          <w:tcPr>
            <w:tcW w:w="1894" w:type="pct"/>
            <w:shd w:val="clear" w:color="auto" w:fill="auto"/>
            <w:vAlign w:val="bottom"/>
          </w:tcPr>
          <w:p w14:paraId="5A1B021F" w14:textId="77777777" w:rsidR="00960BB8" w:rsidRDefault="00960BB8">
            <w:pPr>
              <w:rPr>
                <w:rFonts w:ascii="宋体"/>
              </w:rPr>
            </w:pPr>
          </w:p>
        </w:tc>
        <w:tc>
          <w:tcPr>
            <w:tcW w:w="5" w:type="pct"/>
            <w:shd w:val="clear" w:color="auto" w:fill="auto"/>
            <w:vAlign w:val="bottom"/>
          </w:tcPr>
          <w:p w14:paraId="5A1B0220" w14:textId="77777777" w:rsidR="00960BB8" w:rsidRDefault="00960BB8">
            <w:pPr>
              <w:rPr>
                <w:rFonts w:ascii="宋体"/>
              </w:rPr>
            </w:pPr>
          </w:p>
        </w:tc>
      </w:tr>
      <w:tr w:rsidR="00960BB8" w14:paraId="5A1B022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222"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04" wp14:editId="5A1B4405">
                  <wp:extent cx="304800" cy="304800"/>
                  <wp:effectExtent l="0" t="0" r="0" b="0"/>
                  <wp:docPr id="33" name="图片 17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223"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224" w14:textId="77777777" w:rsidR="00960BB8" w:rsidRDefault="00C06650">
            <w:pPr>
              <w:jc w:val="right"/>
              <w:textAlignment w:val="center"/>
            </w:pPr>
            <w:r>
              <w:rPr>
                <w:rFonts w:ascii="Arial" w:eastAsia="宋体" w:hAnsi="Arial" w:cs="Arial"/>
                <w:color w:val="262626"/>
                <w:sz w:val="16"/>
                <w:szCs w:val="16"/>
              </w:rPr>
              <w:t>44</w:t>
            </w:r>
          </w:p>
        </w:tc>
      </w:tr>
    </w:tbl>
    <w:p w14:paraId="5A1B0226" w14:textId="77777777" w:rsidR="00960BB8" w:rsidRDefault="00C06650">
      <w:r>
        <w:pict w14:anchorId="5A1B4406">
          <v:rect id="_x0000_i1070" style="width:415.3pt;height:1.5pt" o:hralign="center" o:hrstd="t" o:hr="t" fillcolor="#a0a0a0" stroked="f"/>
        </w:pict>
      </w:r>
    </w:p>
    <w:p w14:paraId="5A1B0227" w14:textId="77777777" w:rsidR="00960BB8" w:rsidRDefault="00C06650">
      <w:pPr>
        <w:jc w:val="right"/>
      </w:pPr>
      <w:hyperlink r:id="rId63" w:anchor="i8aaa7b4dbd2e419ca0f5c30af85a11aa_16" w:history="1">
        <w:r>
          <w:rPr>
            <w:rStyle w:val="a5"/>
            <w:rFonts w:ascii="Arial" w:eastAsia="宋体" w:hAnsi="Arial" w:cs="Arial"/>
            <w:b/>
            <w:bCs/>
            <w:sz w:val="16"/>
            <w:szCs w:val="16"/>
          </w:rPr>
          <w:t>Table of Contents</w:t>
        </w:r>
      </w:hyperlink>
    </w:p>
    <w:p w14:paraId="5A1B0228" w14:textId="77777777" w:rsidR="00960BB8" w:rsidRDefault="00960BB8">
      <w:pPr>
        <w:jc w:val="right"/>
      </w:pPr>
    </w:p>
    <w:p w14:paraId="5A1B0229" w14:textId="77777777" w:rsidR="00960BB8" w:rsidRDefault="00C06650">
      <w:pPr>
        <w:spacing w:after="180"/>
      </w:pPr>
      <w:r>
        <w:rPr>
          <w:rFonts w:ascii="Arial" w:eastAsia="宋体" w:hAnsi="Arial" w:cs="Arial"/>
          <w:color w:val="0068B5"/>
          <w:sz w:val="28"/>
          <w:szCs w:val="28"/>
        </w:rPr>
        <w:t>Liquidity and Capital Resources</w:t>
      </w:r>
    </w:p>
    <w:p w14:paraId="5A1B022A" w14:textId="77777777" w:rsidR="00960BB8" w:rsidRDefault="00C06650">
      <w:pPr>
        <w:spacing w:after="180"/>
      </w:pPr>
      <w:r>
        <w:rPr>
          <w:rFonts w:ascii="Arial" w:eastAsia="宋体" w:hAnsi="Arial" w:cs="Arial"/>
          <w:color w:val="262626"/>
          <w:sz w:val="18"/>
          <w:szCs w:val="18"/>
        </w:rPr>
        <w:t>We believe we have sufficient sources of funding to</w:t>
      </w:r>
      <w:r>
        <w:rPr>
          <w:rFonts w:ascii="Arial" w:eastAsia="宋体" w:hAnsi="Arial" w:cs="Arial"/>
          <w:color w:val="262626"/>
          <w:sz w:val="18"/>
          <w:szCs w:val="18"/>
        </w:rPr>
        <w:t xml:space="preserve"> meet our business requirements for the next 12 months and in the longer term. Cash generated by operations, supplemented by our total cash and investments</w:t>
      </w:r>
      <w:r>
        <w:rPr>
          <w:rFonts w:ascii="Arial" w:eastAsia="宋体" w:hAnsi="Arial" w:cs="Arial"/>
          <w:color w:val="262626"/>
          <w:sz w:val="11"/>
          <w:szCs w:val="11"/>
        </w:rPr>
        <w:t>1</w:t>
      </w:r>
      <w:r>
        <w:rPr>
          <w:rFonts w:ascii="Arial" w:eastAsia="宋体" w:hAnsi="Arial" w:cs="Arial"/>
          <w:color w:val="262626"/>
          <w:sz w:val="18"/>
          <w:szCs w:val="18"/>
        </w:rPr>
        <w:t>, is our primary source of liquidity for funding our strategic business requirements. Our short-term</w:t>
      </w:r>
      <w:r>
        <w:rPr>
          <w:rFonts w:ascii="Arial" w:eastAsia="宋体" w:hAnsi="Arial" w:cs="Arial"/>
          <w:color w:val="262626"/>
          <w:sz w:val="18"/>
          <w:szCs w:val="18"/>
        </w:rPr>
        <w:t xml:space="preserve"> funding requirements include capital expenditures for worldwide manufacturing and assembly and test, including investments in our process technology roadmap; working capital requirements; and potential and pending acquisitions, strategic investments, and </w:t>
      </w:r>
      <w:r>
        <w:rPr>
          <w:rFonts w:ascii="Arial" w:eastAsia="宋体" w:hAnsi="Arial" w:cs="Arial"/>
          <w:color w:val="262626"/>
          <w:sz w:val="18"/>
          <w:szCs w:val="18"/>
        </w:rPr>
        <w:t xml:space="preserve">dividends. This includes a commitment of </w:t>
      </w:r>
      <w:r>
        <w:rPr>
          <w:rFonts w:ascii="Arial" w:eastAsia="宋体" w:hAnsi="Arial" w:cs="Arial"/>
          <w:color w:val="333333"/>
          <w:sz w:val="18"/>
          <w:szCs w:val="18"/>
        </w:rPr>
        <w:t>$5.4 billion</w:t>
      </w:r>
      <w:r>
        <w:rPr>
          <w:rFonts w:ascii="Arial" w:eastAsia="宋体" w:hAnsi="Arial" w:cs="Arial"/>
          <w:color w:val="262626"/>
          <w:sz w:val="18"/>
          <w:szCs w:val="18"/>
        </w:rPr>
        <w:t xml:space="preserve"> associated with our pending acquisition of Tower. See “Note 10: Acquisitions and Divestitures” within the Notes to Consolidated Financial Statements for further information.</w:t>
      </w:r>
      <w:r>
        <w:rPr>
          <w:rFonts w:ascii="Arial" w:eastAsia="宋体" w:hAnsi="Arial" w:cs="Arial"/>
          <w:b/>
          <w:bCs/>
          <w:color w:val="262626"/>
          <w:sz w:val="18"/>
          <w:szCs w:val="18"/>
        </w:rPr>
        <w:t xml:space="preserve"> </w:t>
      </w:r>
      <w:r>
        <w:rPr>
          <w:rFonts w:ascii="Arial" w:eastAsia="宋体" w:hAnsi="Arial" w:cs="Arial"/>
          <w:color w:val="262626"/>
          <w:sz w:val="18"/>
          <w:szCs w:val="18"/>
        </w:rPr>
        <w:t>Our long-term funding requir</w:t>
      </w:r>
      <w:r>
        <w:rPr>
          <w:rFonts w:ascii="Arial" w:eastAsia="宋体" w:hAnsi="Arial" w:cs="Arial"/>
          <w:color w:val="262626"/>
          <w:sz w:val="18"/>
          <w:szCs w:val="18"/>
        </w:rPr>
        <w:t>ements incrementally contemplate investments in significant manufacturing expansion plans and investments to accelerate our process technology. These plans include an investment to build two new fabs in Arizona and capacity expansions in Ohio and Europe an</w:t>
      </w:r>
      <w:r>
        <w:rPr>
          <w:rFonts w:ascii="Arial" w:eastAsia="宋体" w:hAnsi="Arial" w:cs="Arial"/>
          <w:color w:val="262626"/>
          <w:sz w:val="18"/>
          <w:szCs w:val="18"/>
        </w:rPr>
        <w:t>d involve utilizing SCIP and smart capacity investments, both elements of our Smart Capital strategy. We also expect to benefit from government incentives; any incentives above our current expectations would enable us to increase the pace and size of our i</w:t>
      </w:r>
      <w:r>
        <w:rPr>
          <w:rFonts w:ascii="Arial" w:eastAsia="宋体" w:hAnsi="Arial" w:cs="Arial"/>
          <w:color w:val="262626"/>
          <w:sz w:val="18"/>
          <w:szCs w:val="18"/>
        </w:rPr>
        <w:t>nvestments. Conversely, incentives below our expectations would increase our anticipated cash requirements. We expect our planned capital investments to continue to put pressure on our adjusted free cash flow in the short term.</w:t>
      </w:r>
    </w:p>
    <w:p w14:paraId="5A1B022B" w14:textId="77777777" w:rsidR="00960BB8" w:rsidRDefault="00C06650">
      <w:pPr>
        <w:spacing w:after="180"/>
      </w:pPr>
      <w:r>
        <w:rPr>
          <w:rFonts w:ascii="Arial" w:eastAsia="宋体" w:hAnsi="Arial" w:cs="Arial"/>
          <w:color w:val="262626"/>
          <w:sz w:val="18"/>
          <w:szCs w:val="18"/>
        </w:rPr>
        <w:t>As we invest in multiple exp</w:t>
      </w:r>
      <w:r>
        <w:rPr>
          <w:rFonts w:ascii="Arial" w:eastAsia="宋体" w:hAnsi="Arial" w:cs="Arial"/>
          <w:color w:val="262626"/>
          <w:sz w:val="18"/>
          <w:szCs w:val="18"/>
        </w:rPr>
        <w:t>ansions, we expect our capital expenditures to continue to be higher than historical levels for the next several years. We expect to adjust the cadence of our investments based on the execution of our roadmap and changing business conditions. As of Decembe</w:t>
      </w:r>
      <w:r>
        <w:rPr>
          <w:rFonts w:ascii="Arial" w:eastAsia="宋体" w:hAnsi="Arial" w:cs="Arial"/>
          <w:color w:val="262626"/>
          <w:sz w:val="18"/>
          <w:szCs w:val="18"/>
        </w:rPr>
        <w:t>r 31, 2022, we had commitments for capital expenditures of $22.7 billion for 2023 and had $8.3 billion in capital expenditures committed in the long term. As of December 31, 2022, other purchase obligations and commitments in 2022 under our binding commitm</w:t>
      </w:r>
      <w:r>
        <w:rPr>
          <w:rFonts w:ascii="Arial" w:eastAsia="宋体" w:hAnsi="Arial" w:cs="Arial"/>
          <w:color w:val="262626"/>
          <w:sz w:val="18"/>
          <w:szCs w:val="18"/>
        </w:rPr>
        <w:t>ents for purchases of goods and services were $3.1 billion, with an additional $7.6 billion committed in the long term.</w:t>
      </w:r>
    </w:p>
    <w:p w14:paraId="5A1B022C" w14:textId="77777777" w:rsidR="00960BB8" w:rsidRDefault="00C06650">
      <w:pPr>
        <w:spacing w:after="180"/>
      </w:pPr>
      <w:r>
        <w:rPr>
          <w:rFonts w:ascii="Arial" w:eastAsia="宋体" w:hAnsi="Arial" w:cs="Arial"/>
          <w:color w:val="262626"/>
          <w:sz w:val="18"/>
          <w:szCs w:val="18"/>
        </w:rPr>
        <w:t>Additionally, as we have faced industry shortages of substrates and other components, we have increasingly entered into long-term agreem</w:t>
      </w:r>
      <w:r>
        <w:rPr>
          <w:rFonts w:ascii="Arial" w:eastAsia="宋体" w:hAnsi="Arial" w:cs="Arial"/>
          <w:color w:val="262626"/>
          <w:sz w:val="18"/>
          <w:szCs w:val="18"/>
        </w:rPr>
        <w:t>ents with suppliers and foundry service providers, some of which involve prepayments that will help us secure future supply. These prepayments accelerate cash outflows into the near term, and we expect to apply the prepayments to future purchases, resultin</w:t>
      </w:r>
      <w:r>
        <w:rPr>
          <w:rFonts w:ascii="Arial" w:eastAsia="宋体" w:hAnsi="Arial" w:cs="Arial"/>
          <w:color w:val="262626"/>
          <w:sz w:val="18"/>
          <w:szCs w:val="18"/>
        </w:rPr>
        <w:t xml:space="preserve">g in a positive impact on our liquidity in subsequent periods. </w:t>
      </w:r>
    </w:p>
    <w:p w14:paraId="5A1B022D" w14:textId="77777777" w:rsidR="00960BB8" w:rsidRDefault="00C06650">
      <w:pPr>
        <w:spacing w:after="180"/>
      </w:pPr>
      <w:r>
        <w:rPr>
          <w:rFonts w:ascii="Arial" w:eastAsia="宋体" w:hAnsi="Arial" w:cs="Arial"/>
          <w:color w:val="262626"/>
          <w:sz w:val="18"/>
          <w:szCs w:val="18"/>
        </w:rPr>
        <w:t>We have additional obligations as part of our ordinary course of business, beyond those committed for capital expenditures and other purchase obligations and commitments for purchases of goods</w:t>
      </w:r>
      <w:r>
        <w:rPr>
          <w:rFonts w:ascii="Arial" w:eastAsia="宋体" w:hAnsi="Arial" w:cs="Arial"/>
          <w:color w:val="262626"/>
          <w:sz w:val="18"/>
          <w:szCs w:val="18"/>
        </w:rPr>
        <w:t xml:space="preserve"> and services. For example, see "Note 19: Commitments and Contingencies" within the Notes to Consolidated Financial Statements for information about our lease obligations, which include supply agreements structured as leases, "Note 8: Income Taxes" within </w:t>
      </w:r>
      <w:r>
        <w:rPr>
          <w:rFonts w:ascii="Arial" w:eastAsia="宋体" w:hAnsi="Arial" w:cs="Arial"/>
          <w:color w:val="262626"/>
          <w:sz w:val="18"/>
          <w:szCs w:val="18"/>
        </w:rPr>
        <w:t>the Notes to Consolidated Financial Statements for information about our tax obligations including impacts from Tax Reform enacted in 2017 for the one-time transition tax on previously untaxed foreign earnings, and "Note 13: Borrowings" within the Notes to</w:t>
      </w:r>
      <w:r>
        <w:rPr>
          <w:rFonts w:ascii="Arial" w:eastAsia="宋体" w:hAnsi="Arial" w:cs="Arial"/>
          <w:color w:val="262626"/>
          <w:sz w:val="18"/>
          <w:szCs w:val="18"/>
        </w:rPr>
        <w:t xml:space="preserve"> Consolidated Financial Statements for information about our debt obligations. The expected timing of payments of our obligations is estimated based on current information. Timing of payments and actual amounts paid may be different, depending on the timin</w:t>
      </w:r>
      <w:r>
        <w:rPr>
          <w:rFonts w:ascii="Arial" w:eastAsia="宋体" w:hAnsi="Arial" w:cs="Arial"/>
          <w:color w:val="262626"/>
          <w:sz w:val="18"/>
          <w:szCs w:val="18"/>
        </w:rPr>
        <w:t>g of receipt of goods or services, or changes to agreed-upon amounts for some obligations. In addition, some of our purchasing requirements are not current obligations and are therefore not included in the amounts above. For example, some of these requirem</w:t>
      </w:r>
      <w:r>
        <w:rPr>
          <w:rFonts w:ascii="Arial" w:eastAsia="宋体" w:hAnsi="Arial" w:cs="Arial"/>
          <w:color w:val="262626"/>
          <w:sz w:val="18"/>
          <w:szCs w:val="18"/>
        </w:rPr>
        <w:t>ents are not handled through binding contracts or are fulfilled by vendors on a purchase order basis within short time horizons.</w:t>
      </w:r>
    </w:p>
    <w:p w14:paraId="5A1B022E" w14:textId="77777777" w:rsidR="00960BB8" w:rsidRDefault="00C06650">
      <w:pPr>
        <w:spacing w:after="180"/>
      </w:pPr>
      <w:r>
        <w:rPr>
          <w:rFonts w:ascii="Arial" w:eastAsia="宋体" w:hAnsi="Arial" w:cs="Arial"/>
          <w:color w:val="262626"/>
          <w:sz w:val="18"/>
          <w:szCs w:val="18"/>
        </w:rPr>
        <w:t>When assessing our current sources of liquidity, we include our total cash and investments</w:t>
      </w:r>
      <w:r>
        <w:rPr>
          <w:rFonts w:ascii="Arial" w:eastAsia="宋体" w:hAnsi="Arial" w:cs="Arial"/>
          <w:color w:val="262626"/>
          <w:sz w:val="11"/>
          <w:szCs w:val="11"/>
        </w:rPr>
        <w:t>1</w:t>
      </w:r>
      <w:r>
        <w:rPr>
          <w:rFonts w:ascii="Arial" w:eastAsia="宋体" w:hAnsi="Arial" w:cs="Arial"/>
          <w:color w:val="262626"/>
          <w:sz w:val="18"/>
          <w:szCs w:val="18"/>
        </w:rPr>
        <w:t xml:space="preserve"> as shown in the following table: </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960BB8" w14:paraId="5A1B023E" w14:textId="77777777">
        <w:tc>
          <w:tcPr>
            <w:tcW w:w="50" w:type="pct"/>
            <w:shd w:val="clear" w:color="auto" w:fill="auto"/>
            <w:vAlign w:val="bottom"/>
          </w:tcPr>
          <w:p w14:paraId="5A1B022F" w14:textId="77777777" w:rsidR="00960BB8" w:rsidRDefault="00960BB8">
            <w:pPr>
              <w:rPr>
                <w:rFonts w:ascii="宋体"/>
              </w:rPr>
            </w:pPr>
          </w:p>
        </w:tc>
        <w:tc>
          <w:tcPr>
            <w:tcW w:w="3688" w:type="pct"/>
            <w:shd w:val="clear" w:color="auto" w:fill="auto"/>
            <w:vAlign w:val="bottom"/>
          </w:tcPr>
          <w:p w14:paraId="5A1B0230" w14:textId="77777777" w:rsidR="00960BB8" w:rsidRDefault="00960BB8">
            <w:pPr>
              <w:rPr>
                <w:rFonts w:ascii="宋体"/>
              </w:rPr>
            </w:pPr>
          </w:p>
        </w:tc>
        <w:tc>
          <w:tcPr>
            <w:tcW w:w="5" w:type="pct"/>
            <w:shd w:val="clear" w:color="auto" w:fill="auto"/>
            <w:vAlign w:val="bottom"/>
          </w:tcPr>
          <w:p w14:paraId="5A1B0231" w14:textId="77777777" w:rsidR="00960BB8" w:rsidRDefault="00960BB8">
            <w:pPr>
              <w:rPr>
                <w:rFonts w:ascii="宋体"/>
              </w:rPr>
            </w:pPr>
          </w:p>
        </w:tc>
        <w:tc>
          <w:tcPr>
            <w:tcW w:w="5" w:type="pct"/>
            <w:shd w:val="clear" w:color="auto" w:fill="auto"/>
            <w:vAlign w:val="bottom"/>
          </w:tcPr>
          <w:p w14:paraId="5A1B0232" w14:textId="77777777" w:rsidR="00960BB8" w:rsidRDefault="00960BB8">
            <w:pPr>
              <w:rPr>
                <w:rFonts w:ascii="宋体"/>
              </w:rPr>
            </w:pPr>
          </w:p>
        </w:tc>
        <w:tc>
          <w:tcPr>
            <w:tcW w:w="24" w:type="pct"/>
            <w:shd w:val="clear" w:color="auto" w:fill="auto"/>
            <w:vAlign w:val="bottom"/>
          </w:tcPr>
          <w:p w14:paraId="5A1B0233" w14:textId="77777777" w:rsidR="00960BB8" w:rsidRDefault="00960BB8">
            <w:pPr>
              <w:rPr>
                <w:rFonts w:ascii="宋体"/>
              </w:rPr>
            </w:pPr>
          </w:p>
        </w:tc>
        <w:tc>
          <w:tcPr>
            <w:tcW w:w="5" w:type="pct"/>
            <w:shd w:val="clear" w:color="auto" w:fill="auto"/>
            <w:vAlign w:val="bottom"/>
          </w:tcPr>
          <w:p w14:paraId="5A1B0234" w14:textId="77777777" w:rsidR="00960BB8" w:rsidRDefault="00960BB8">
            <w:pPr>
              <w:rPr>
                <w:rFonts w:ascii="宋体"/>
              </w:rPr>
            </w:pPr>
          </w:p>
        </w:tc>
        <w:tc>
          <w:tcPr>
            <w:tcW w:w="50" w:type="pct"/>
            <w:shd w:val="clear" w:color="auto" w:fill="auto"/>
            <w:vAlign w:val="bottom"/>
          </w:tcPr>
          <w:p w14:paraId="5A1B0235" w14:textId="77777777" w:rsidR="00960BB8" w:rsidRDefault="00960BB8">
            <w:pPr>
              <w:rPr>
                <w:rFonts w:ascii="宋体"/>
              </w:rPr>
            </w:pPr>
          </w:p>
        </w:tc>
        <w:tc>
          <w:tcPr>
            <w:tcW w:w="539" w:type="pct"/>
            <w:shd w:val="clear" w:color="auto" w:fill="auto"/>
            <w:vAlign w:val="bottom"/>
          </w:tcPr>
          <w:p w14:paraId="5A1B0236" w14:textId="77777777" w:rsidR="00960BB8" w:rsidRDefault="00960BB8">
            <w:pPr>
              <w:rPr>
                <w:rFonts w:ascii="宋体"/>
              </w:rPr>
            </w:pPr>
          </w:p>
        </w:tc>
        <w:tc>
          <w:tcPr>
            <w:tcW w:w="5" w:type="pct"/>
            <w:shd w:val="clear" w:color="auto" w:fill="auto"/>
            <w:vAlign w:val="bottom"/>
          </w:tcPr>
          <w:p w14:paraId="5A1B0237" w14:textId="77777777" w:rsidR="00960BB8" w:rsidRDefault="00960BB8">
            <w:pPr>
              <w:rPr>
                <w:rFonts w:ascii="宋体"/>
              </w:rPr>
            </w:pPr>
          </w:p>
        </w:tc>
        <w:tc>
          <w:tcPr>
            <w:tcW w:w="5" w:type="pct"/>
            <w:shd w:val="clear" w:color="auto" w:fill="auto"/>
            <w:vAlign w:val="bottom"/>
          </w:tcPr>
          <w:p w14:paraId="5A1B0238" w14:textId="77777777" w:rsidR="00960BB8" w:rsidRDefault="00960BB8">
            <w:pPr>
              <w:rPr>
                <w:rFonts w:ascii="宋体"/>
              </w:rPr>
            </w:pPr>
          </w:p>
        </w:tc>
        <w:tc>
          <w:tcPr>
            <w:tcW w:w="24" w:type="pct"/>
            <w:shd w:val="clear" w:color="auto" w:fill="auto"/>
            <w:vAlign w:val="bottom"/>
          </w:tcPr>
          <w:p w14:paraId="5A1B0239" w14:textId="77777777" w:rsidR="00960BB8" w:rsidRDefault="00960BB8">
            <w:pPr>
              <w:rPr>
                <w:rFonts w:ascii="宋体"/>
              </w:rPr>
            </w:pPr>
          </w:p>
        </w:tc>
        <w:tc>
          <w:tcPr>
            <w:tcW w:w="5" w:type="pct"/>
            <w:shd w:val="clear" w:color="auto" w:fill="auto"/>
            <w:vAlign w:val="bottom"/>
          </w:tcPr>
          <w:p w14:paraId="5A1B023A" w14:textId="77777777" w:rsidR="00960BB8" w:rsidRDefault="00960BB8">
            <w:pPr>
              <w:rPr>
                <w:rFonts w:ascii="宋体"/>
              </w:rPr>
            </w:pPr>
          </w:p>
        </w:tc>
        <w:tc>
          <w:tcPr>
            <w:tcW w:w="50" w:type="pct"/>
            <w:shd w:val="clear" w:color="auto" w:fill="auto"/>
            <w:vAlign w:val="bottom"/>
          </w:tcPr>
          <w:p w14:paraId="5A1B023B" w14:textId="77777777" w:rsidR="00960BB8" w:rsidRDefault="00960BB8">
            <w:pPr>
              <w:rPr>
                <w:rFonts w:ascii="宋体"/>
              </w:rPr>
            </w:pPr>
          </w:p>
        </w:tc>
        <w:tc>
          <w:tcPr>
            <w:tcW w:w="539" w:type="pct"/>
            <w:shd w:val="clear" w:color="auto" w:fill="auto"/>
            <w:vAlign w:val="bottom"/>
          </w:tcPr>
          <w:p w14:paraId="5A1B023C" w14:textId="77777777" w:rsidR="00960BB8" w:rsidRDefault="00960BB8">
            <w:pPr>
              <w:rPr>
                <w:rFonts w:ascii="宋体"/>
              </w:rPr>
            </w:pPr>
          </w:p>
        </w:tc>
        <w:tc>
          <w:tcPr>
            <w:tcW w:w="5" w:type="pct"/>
            <w:shd w:val="clear" w:color="auto" w:fill="auto"/>
            <w:vAlign w:val="bottom"/>
          </w:tcPr>
          <w:p w14:paraId="5A1B023D" w14:textId="77777777" w:rsidR="00960BB8" w:rsidRDefault="00960BB8">
            <w:pPr>
              <w:rPr>
                <w:rFonts w:ascii="宋体"/>
              </w:rPr>
            </w:pPr>
          </w:p>
        </w:tc>
      </w:tr>
      <w:tr w:rsidR="00960BB8" w14:paraId="5A1B0244" w14:textId="77777777">
        <w:tc>
          <w:tcPr>
            <w:tcW w:w="0" w:type="auto"/>
            <w:gridSpan w:val="3"/>
            <w:shd w:val="clear" w:color="auto" w:fill="auto"/>
            <w:tcMar>
              <w:top w:w="40" w:type="dxa"/>
              <w:left w:w="20" w:type="dxa"/>
              <w:bottom w:w="40" w:type="dxa"/>
              <w:right w:w="20" w:type="dxa"/>
            </w:tcMar>
            <w:vAlign w:val="bottom"/>
          </w:tcPr>
          <w:p w14:paraId="5A1B023F"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024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241"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024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243"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024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245" w14:textId="77777777" w:rsidR="00960BB8" w:rsidRDefault="00C06650">
            <w:pPr>
              <w:textAlignment w:val="bottom"/>
            </w:pPr>
            <w:r>
              <w:rPr>
                <w:rFonts w:ascii="Arial" w:eastAsia="宋体" w:hAnsi="Arial" w:cs="Arial"/>
                <w:b/>
                <w:bCs/>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5A1B0246"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247"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248" w14:textId="77777777" w:rsidR="00960BB8" w:rsidRDefault="00C06650">
            <w:pPr>
              <w:jc w:val="right"/>
              <w:textAlignment w:val="bottom"/>
            </w:pPr>
            <w:r>
              <w:rPr>
                <w:rFonts w:ascii="Arial" w:eastAsia="宋体" w:hAnsi="Arial" w:cs="Arial"/>
                <w:color w:val="0068B5"/>
                <w:sz w:val="18"/>
                <w:szCs w:val="18"/>
              </w:rPr>
              <w:t>11,144 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24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4A"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24B"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24C" w14:textId="77777777" w:rsidR="00960BB8" w:rsidRDefault="00C06650">
            <w:pPr>
              <w:jc w:val="right"/>
              <w:textAlignment w:val="bottom"/>
            </w:pPr>
            <w:r>
              <w:rPr>
                <w:rFonts w:ascii="Arial" w:eastAsia="宋体" w:hAnsi="Arial" w:cs="Arial"/>
                <w:color w:val="262626"/>
                <w:sz w:val="18"/>
                <w:szCs w:val="18"/>
              </w:rPr>
              <w:t>4,827 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24D" w14:textId="77777777" w:rsidR="00960BB8" w:rsidRDefault="00960BB8">
            <w:pPr>
              <w:jc w:val="right"/>
              <w:rPr>
                <w:rFonts w:ascii="宋体"/>
              </w:rPr>
            </w:pPr>
          </w:p>
        </w:tc>
      </w:tr>
      <w:tr w:rsidR="00960BB8" w14:paraId="5A1B0256" w14:textId="77777777">
        <w:tc>
          <w:tcPr>
            <w:tcW w:w="0" w:type="auto"/>
            <w:gridSpan w:val="3"/>
            <w:shd w:val="clear" w:color="auto" w:fill="auto"/>
            <w:tcMar>
              <w:top w:w="40" w:type="dxa"/>
              <w:left w:w="20" w:type="dxa"/>
              <w:bottom w:w="40" w:type="dxa"/>
              <w:right w:w="20" w:type="dxa"/>
            </w:tcMar>
            <w:vAlign w:val="bottom"/>
          </w:tcPr>
          <w:p w14:paraId="5A1B024F" w14:textId="77777777" w:rsidR="00960BB8" w:rsidRDefault="00C06650">
            <w:pPr>
              <w:textAlignment w:val="bottom"/>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5A1B025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51" w14:textId="77777777" w:rsidR="00960BB8" w:rsidRDefault="00C06650">
            <w:pPr>
              <w:jc w:val="right"/>
              <w:textAlignment w:val="bottom"/>
            </w:pPr>
            <w:r>
              <w:rPr>
                <w:rFonts w:ascii="Arial" w:eastAsia="宋体" w:hAnsi="Arial" w:cs="Arial"/>
                <w:color w:val="0068B5"/>
                <w:sz w:val="18"/>
                <w:szCs w:val="18"/>
              </w:rPr>
              <w:t>17,194 </w:t>
            </w:r>
          </w:p>
        </w:tc>
        <w:tc>
          <w:tcPr>
            <w:tcW w:w="0" w:type="auto"/>
            <w:shd w:val="clear" w:color="auto" w:fill="auto"/>
            <w:tcMar>
              <w:top w:w="40" w:type="dxa"/>
              <w:left w:w="0" w:type="dxa"/>
              <w:bottom w:w="40" w:type="dxa"/>
              <w:right w:w="20" w:type="dxa"/>
            </w:tcMar>
            <w:vAlign w:val="bottom"/>
          </w:tcPr>
          <w:p w14:paraId="5A1B025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5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54" w14:textId="77777777" w:rsidR="00960BB8" w:rsidRDefault="00C06650">
            <w:pPr>
              <w:jc w:val="right"/>
              <w:textAlignment w:val="bottom"/>
            </w:pPr>
            <w:r>
              <w:rPr>
                <w:rFonts w:ascii="Arial" w:eastAsia="宋体" w:hAnsi="Arial" w:cs="Arial"/>
                <w:color w:val="262626"/>
                <w:sz w:val="18"/>
                <w:szCs w:val="18"/>
              </w:rPr>
              <w:t>24,426 </w:t>
            </w:r>
          </w:p>
        </w:tc>
        <w:tc>
          <w:tcPr>
            <w:tcW w:w="0" w:type="auto"/>
            <w:shd w:val="clear" w:color="auto" w:fill="auto"/>
            <w:tcMar>
              <w:top w:w="40" w:type="dxa"/>
              <w:left w:w="0" w:type="dxa"/>
              <w:bottom w:w="40" w:type="dxa"/>
              <w:right w:w="20" w:type="dxa"/>
            </w:tcMar>
            <w:vAlign w:val="bottom"/>
          </w:tcPr>
          <w:p w14:paraId="5A1B0255" w14:textId="77777777" w:rsidR="00960BB8" w:rsidRDefault="00960BB8">
            <w:pPr>
              <w:jc w:val="right"/>
              <w:rPr>
                <w:rFonts w:ascii="宋体"/>
              </w:rPr>
            </w:pPr>
          </w:p>
        </w:tc>
      </w:tr>
      <w:tr w:rsidR="00960BB8" w14:paraId="5A1B025C" w14:textId="77777777">
        <w:trPr>
          <w:hidden/>
        </w:trPr>
        <w:tc>
          <w:tcPr>
            <w:tcW w:w="0" w:type="auto"/>
            <w:gridSpan w:val="3"/>
            <w:shd w:val="clear" w:color="auto" w:fill="auto"/>
            <w:vAlign w:val="bottom"/>
          </w:tcPr>
          <w:p w14:paraId="5A1B0257" w14:textId="77777777" w:rsidR="00960BB8" w:rsidRDefault="00960BB8">
            <w:pPr>
              <w:rPr>
                <w:rFonts w:ascii="宋体"/>
                <w:vanish/>
              </w:rPr>
            </w:pPr>
          </w:p>
        </w:tc>
        <w:tc>
          <w:tcPr>
            <w:tcW w:w="0" w:type="auto"/>
            <w:gridSpan w:val="3"/>
            <w:shd w:val="clear" w:color="auto" w:fill="auto"/>
            <w:vAlign w:val="bottom"/>
          </w:tcPr>
          <w:p w14:paraId="5A1B0258" w14:textId="77777777" w:rsidR="00960BB8" w:rsidRDefault="00960BB8">
            <w:pPr>
              <w:rPr>
                <w:rFonts w:ascii="宋体"/>
                <w:vanish/>
              </w:rPr>
            </w:pPr>
          </w:p>
        </w:tc>
        <w:tc>
          <w:tcPr>
            <w:tcW w:w="0" w:type="auto"/>
            <w:gridSpan w:val="3"/>
            <w:shd w:val="clear" w:color="auto" w:fill="auto"/>
            <w:vAlign w:val="bottom"/>
          </w:tcPr>
          <w:p w14:paraId="5A1B0259" w14:textId="77777777" w:rsidR="00960BB8" w:rsidRDefault="00960BB8">
            <w:pPr>
              <w:rPr>
                <w:rFonts w:ascii="宋体"/>
                <w:vanish/>
              </w:rPr>
            </w:pPr>
          </w:p>
        </w:tc>
        <w:tc>
          <w:tcPr>
            <w:tcW w:w="0" w:type="auto"/>
            <w:gridSpan w:val="3"/>
            <w:shd w:val="clear" w:color="auto" w:fill="auto"/>
            <w:vAlign w:val="bottom"/>
          </w:tcPr>
          <w:p w14:paraId="5A1B025A" w14:textId="77777777" w:rsidR="00960BB8" w:rsidRDefault="00960BB8">
            <w:pPr>
              <w:rPr>
                <w:rFonts w:ascii="宋体"/>
                <w:vanish/>
              </w:rPr>
            </w:pPr>
          </w:p>
        </w:tc>
        <w:tc>
          <w:tcPr>
            <w:tcW w:w="0" w:type="auto"/>
            <w:gridSpan w:val="3"/>
            <w:shd w:val="clear" w:color="auto" w:fill="auto"/>
            <w:vAlign w:val="bottom"/>
          </w:tcPr>
          <w:p w14:paraId="5A1B025B" w14:textId="77777777" w:rsidR="00960BB8" w:rsidRDefault="00960BB8">
            <w:pPr>
              <w:rPr>
                <w:rFonts w:ascii="宋体"/>
                <w:vanish/>
              </w:rPr>
            </w:pPr>
          </w:p>
        </w:tc>
      </w:tr>
      <w:tr w:rsidR="00960BB8" w14:paraId="5A1B0262" w14:textId="77777777">
        <w:trPr>
          <w:hidden/>
        </w:trPr>
        <w:tc>
          <w:tcPr>
            <w:tcW w:w="0" w:type="auto"/>
            <w:gridSpan w:val="3"/>
            <w:shd w:val="clear" w:color="auto" w:fill="auto"/>
            <w:vAlign w:val="bottom"/>
          </w:tcPr>
          <w:p w14:paraId="5A1B025D" w14:textId="77777777" w:rsidR="00960BB8" w:rsidRDefault="00960BB8">
            <w:pPr>
              <w:rPr>
                <w:rFonts w:ascii="宋体"/>
                <w:vanish/>
              </w:rPr>
            </w:pPr>
          </w:p>
        </w:tc>
        <w:tc>
          <w:tcPr>
            <w:tcW w:w="0" w:type="auto"/>
            <w:gridSpan w:val="3"/>
            <w:shd w:val="clear" w:color="auto" w:fill="auto"/>
            <w:vAlign w:val="bottom"/>
          </w:tcPr>
          <w:p w14:paraId="5A1B025E" w14:textId="77777777" w:rsidR="00960BB8" w:rsidRDefault="00960BB8">
            <w:pPr>
              <w:rPr>
                <w:rFonts w:ascii="宋体"/>
                <w:vanish/>
              </w:rPr>
            </w:pPr>
          </w:p>
        </w:tc>
        <w:tc>
          <w:tcPr>
            <w:tcW w:w="0" w:type="auto"/>
            <w:gridSpan w:val="3"/>
            <w:shd w:val="clear" w:color="auto" w:fill="auto"/>
            <w:vAlign w:val="bottom"/>
          </w:tcPr>
          <w:p w14:paraId="5A1B025F" w14:textId="77777777" w:rsidR="00960BB8" w:rsidRDefault="00960BB8">
            <w:pPr>
              <w:rPr>
                <w:rFonts w:ascii="宋体"/>
                <w:vanish/>
              </w:rPr>
            </w:pPr>
          </w:p>
        </w:tc>
        <w:tc>
          <w:tcPr>
            <w:tcW w:w="0" w:type="auto"/>
            <w:gridSpan w:val="3"/>
            <w:shd w:val="clear" w:color="auto" w:fill="auto"/>
            <w:vAlign w:val="bottom"/>
          </w:tcPr>
          <w:p w14:paraId="5A1B0260" w14:textId="77777777" w:rsidR="00960BB8" w:rsidRDefault="00960BB8">
            <w:pPr>
              <w:rPr>
                <w:rFonts w:ascii="宋体"/>
                <w:vanish/>
              </w:rPr>
            </w:pPr>
          </w:p>
        </w:tc>
        <w:tc>
          <w:tcPr>
            <w:tcW w:w="0" w:type="auto"/>
            <w:gridSpan w:val="3"/>
            <w:shd w:val="clear" w:color="auto" w:fill="auto"/>
            <w:vAlign w:val="bottom"/>
          </w:tcPr>
          <w:p w14:paraId="5A1B0261" w14:textId="77777777" w:rsidR="00960BB8" w:rsidRDefault="00960BB8">
            <w:pPr>
              <w:rPr>
                <w:rFonts w:ascii="宋体"/>
                <w:vanish/>
              </w:rPr>
            </w:pPr>
          </w:p>
        </w:tc>
      </w:tr>
      <w:tr w:rsidR="00960BB8" w14:paraId="5A1B026A" w14:textId="77777777">
        <w:tc>
          <w:tcPr>
            <w:tcW w:w="0" w:type="auto"/>
            <w:gridSpan w:val="3"/>
            <w:shd w:val="clear" w:color="auto" w:fill="auto"/>
            <w:tcMar>
              <w:top w:w="40" w:type="dxa"/>
              <w:left w:w="20" w:type="dxa"/>
              <w:bottom w:w="40" w:type="dxa"/>
              <w:right w:w="20" w:type="dxa"/>
            </w:tcMar>
          </w:tcPr>
          <w:p w14:paraId="5A1B0263" w14:textId="77777777" w:rsidR="00960BB8" w:rsidRDefault="00C06650">
            <w:pPr>
              <w:textAlignment w:val="top"/>
            </w:pPr>
            <w:r>
              <w:rPr>
                <w:rFonts w:ascii="Arial" w:eastAsia="宋体" w:hAnsi="Arial" w:cs="Arial"/>
                <w:color w:val="262626"/>
                <w:sz w:val="18"/>
                <w:szCs w:val="18"/>
              </w:rPr>
              <w:t>Loans receivable and other</w:t>
            </w:r>
          </w:p>
        </w:tc>
        <w:tc>
          <w:tcPr>
            <w:tcW w:w="0" w:type="auto"/>
            <w:gridSpan w:val="3"/>
            <w:shd w:val="clear" w:color="auto" w:fill="auto"/>
            <w:tcMar>
              <w:top w:w="0" w:type="dxa"/>
              <w:left w:w="20" w:type="dxa"/>
              <w:bottom w:w="0" w:type="dxa"/>
              <w:right w:w="20" w:type="dxa"/>
            </w:tcMar>
            <w:vAlign w:val="bottom"/>
          </w:tcPr>
          <w:p w14:paraId="5A1B026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65" w14:textId="77777777" w:rsidR="00960BB8" w:rsidRDefault="00C06650">
            <w:pPr>
              <w:jc w:val="right"/>
              <w:textAlignment w:val="bottom"/>
            </w:pPr>
            <w:r>
              <w:rPr>
                <w:rFonts w:ascii="Arial" w:eastAsia="宋体" w:hAnsi="Arial" w:cs="Arial"/>
                <w:color w:val="0068B5"/>
                <w:sz w:val="18"/>
                <w:szCs w:val="18"/>
              </w:rPr>
              <w:t>463 </w:t>
            </w:r>
          </w:p>
        </w:tc>
        <w:tc>
          <w:tcPr>
            <w:tcW w:w="0" w:type="auto"/>
            <w:shd w:val="clear" w:color="auto" w:fill="auto"/>
            <w:tcMar>
              <w:top w:w="40" w:type="dxa"/>
              <w:left w:w="0" w:type="dxa"/>
              <w:bottom w:w="40" w:type="dxa"/>
              <w:right w:w="20" w:type="dxa"/>
            </w:tcMar>
            <w:vAlign w:val="bottom"/>
          </w:tcPr>
          <w:p w14:paraId="5A1B026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6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68" w14:textId="77777777" w:rsidR="00960BB8" w:rsidRDefault="00C06650">
            <w:pPr>
              <w:jc w:val="right"/>
              <w:textAlignment w:val="bottom"/>
            </w:pPr>
            <w:r>
              <w:rPr>
                <w:rFonts w:ascii="Arial" w:eastAsia="宋体" w:hAnsi="Arial" w:cs="Arial"/>
                <w:color w:val="262626"/>
                <w:sz w:val="18"/>
                <w:szCs w:val="18"/>
              </w:rPr>
              <w:t>240 </w:t>
            </w:r>
          </w:p>
        </w:tc>
        <w:tc>
          <w:tcPr>
            <w:tcW w:w="0" w:type="auto"/>
            <w:shd w:val="clear" w:color="auto" w:fill="auto"/>
            <w:tcMar>
              <w:top w:w="40" w:type="dxa"/>
              <w:left w:w="0" w:type="dxa"/>
              <w:bottom w:w="40" w:type="dxa"/>
              <w:right w:w="20" w:type="dxa"/>
            </w:tcMar>
            <w:vAlign w:val="bottom"/>
          </w:tcPr>
          <w:p w14:paraId="5A1B0269" w14:textId="77777777" w:rsidR="00960BB8" w:rsidRDefault="00960BB8">
            <w:pPr>
              <w:jc w:val="right"/>
              <w:rPr>
                <w:rFonts w:ascii="宋体"/>
              </w:rPr>
            </w:pPr>
          </w:p>
        </w:tc>
      </w:tr>
      <w:tr w:rsidR="00960BB8" w14:paraId="5A1B0274" w14:textId="77777777">
        <w:tc>
          <w:tcPr>
            <w:tcW w:w="0" w:type="auto"/>
            <w:gridSpan w:val="3"/>
            <w:shd w:val="clear" w:color="auto" w:fill="auto"/>
            <w:tcMar>
              <w:top w:w="40" w:type="dxa"/>
              <w:left w:w="20" w:type="dxa"/>
              <w:bottom w:w="40" w:type="dxa"/>
              <w:right w:w="20" w:type="dxa"/>
            </w:tcMar>
          </w:tcPr>
          <w:p w14:paraId="5A1B026B" w14:textId="77777777" w:rsidR="00960BB8" w:rsidRDefault="00C06650">
            <w:pPr>
              <w:textAlignment w:val="top"/>
            </w:pPr>
            <w:r>
              <w:rPr>
                <w:rFonts w:ascii="Arial" w:eastAsia="宋体" w:hAnsi="Arial" w:cs="Arial"/>
                <w:b/>
                <w:bCs/>
                <w:color w:val="262626"/>
                <w:sz w:val="18"/>
                <w:szCs w:val="18"/>
              </w:rPr>
              <w:t>Total cash and investments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5A1B026C"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26D"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26E" w14:textId="77777777" w:rsidR="00960BB8" w:rsidRDefault="00C06650">
            <w:pPr>
              <w:jc w:val="right"/>
              <w:textAlignment w:val="bottom"/>
            </w:pPr>
            <w:r>
              <w:rPr>
                <w:rFonts w:ascii="Arial" w:eastAsia="宋体" w:hAnsi="Arial" w:cs="Arial"/>
                <w:b/>
                <w:bCs/>
                <w:color w:val="0068B5"/>
                <w:sz w:val="18"/>
                <w:szCs w:val="18"/>
              </w:rPr>
              <w:t>28,801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26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70"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271"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272" w14:textId="77777777" w:rsidR="00960BB8" w:rsidRDefault="00C06650">
            <w:pPr>
              <w:jc w:val="right"/>
              <w:textAlignment w:val="bottom"/>
            </w:pPr>
            <w:r>
              <w:rPr>
                <w:rFonts w:ascii="Arial" w:eastAsia="宋体" w:hAnsi="Arial" w:cs="Arial"/>
                <w:b/>
                <w:bCs/>
                <w:color w:val="262626"/>
                <w:sz w:val="18"/>
                <w:szCs w:val="18"/>
              </w:rPr>
              <w:t>29,493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273" w14:textId="77777777" w:rsidR="00960BB8" w:rsidRDefault="00960BB8">
            <w:pPr>
              <w:jc w:val="right"/>
              <w:rPr>
                <w:rFonts w:ascii="宋体"/>
              </w:rPr>
            </w:pPr>
          </w:p>
        </w:tc>
      </w:tr>
      <w:tr w:rsidR="00960BB8" w14:paraId="5A1B027E" w14:textId="77777777">
        <w:tc>
          <w:tcPr>
            <w:tcW w:w="0" w:type="auto"/>
            <w:gridSpan w:val="3"/>
            <w:shd w:val="clear" w:color="auto" w:fill="auto"/>
            <w:tcMar>
              <w:top w:w="40" w:type="dxa"/>
              <w:left w:w="20" w:type="dxa"/>
              <w:bottom w:w="40" w:type="dxa"/>
              <w:right w:w="20" w:type="dxa"/>
            </w:tcMar>
          </w:tcPr>
          <w:p w14:paraId="5A1B0275" w14:textId="77777777" w:rsidR="00960BB8" w:rsidRDefault="00C06650">
            <w:pPr>
              <w:textAlignment w:val="top"/>
            </w:pPr>
            <w:r>
              <w:rPr>
                <w:rFonts w:ascii="Arial" w:eastAsia="宋体" w:hAnsi="Arial" w:cs="Arial"/>
                <w:b/>
                <w:bCs/>
                <w:color w:val="262626"/>
                <w:sz w:val="18"/>
                <w:szCs w:val="18"/>
              </w:rPr>
              <w:t>Total debt</w:t>
            </w:r>
          </w:p>
        </w:tc>
        <w:tc>
          <w:tcPr>
            <w:tcW w:w="0" w:type="auto"/>
            <w:gridSpan w:val="3"/>
            <w:shd w:val="clear" w:color="auto" w:fill="auto"/>
            <w:tcMar>
              <w:top w:w="0" w:type="dxa"/>
              <w:left w:w="20" w:type="dxa"/>
              <w:bottom w:w="0" w:type="dxa"/>
              <w:right w:w="20" w:type="dxa"/>
            </w:tcMar>
            <w:vAlign w:val="bottom"/>
          </w:tcPr>
          <w:p w14:paraId="5A1B0276" w14:textId="77777777" w:rsidR="00960BB8" w:rsidRDefault="00960BB8">
            <w:pPr>
              <w:rPr>
                <w:rFonts w:ascii="宋体"/>
              </w:rPr>
            </w:pPr>
          </w:p>
        </w:tc>
        <w:tc>
          <w:tcPr>
            <w:tcW w:w="0" w:type="auto"/>
            <w:tcBorders>
              <w:top w:val="double" w:sz="6" w:space="0" w:color="000000"/>
            </w:tcBorders>
            <w:shd w:val="clear" w:color="auto" w:fill="auto"/>
            <w:tcMar>
              <w:top w:w="40" w:type="dxa"/>
              <w:left w:w="20" w:type="dxa"/>
              <w:bottom w:w="40" w:type="dxa"/>
              <w:right w:w="0" w:type="dxa"/>
            </w:tcMar>
            <w:vAlign w:val="bottom"/>
          </w:tcPr>
          <w:p w14:paraId="5A1B0277" w14:textId="77777777" w:rsidR="00960BB8" w:rsidRDefault="00C06650">
            <w:pPr>
              <w:textAlignment w:val="bottom"/>
            </w:pPr>
            <w:r>
              <w:rPr>
                <w:rFonts w:ascii="Arial" w:eastAsia="宋体" w:hAnsi="Arial" w:cs="Arial"/>
                <w:b/>
                <w:bCs/>
                <w:color w:val="0068B5"/>
                <w:sz w:val="18"/>
                <w:szCs w:val="18"/>
              </w:rPr>
              <w:t>$</w:t>
            </w:r>
          </w:p>
        </w:tc>
        <w:tc>
          <w:tcPr>
            <w:tcW w:w="0" w:type="auto"/>
            <w:tcBorders>
              <w:top w:val="double" w:sz="6" w:space="0" w:color="000000"/>
            </w:tcBorders>
            <w:shd w:val="clear" w:color="auto" w:fill="auto"/>
            <w:tcMar>
              <w:top w:w="40" w:type="dxa"/>
              <w:left w:w="0" w:type="dxa"/>
              <w:bottom w:w="40" w:type="dxa"/>
              <w:right w:w="0" w:type="dxa"/>
            </w:tcMar>
            <w:vAlign w:val="bottom"/>
          </w:tcPr>
          <w:p w14:paraId="5A1B0278" w14:textId="77777777" w:rsidR="00960BB8" w:rsidRDefault="00C06650">
            <w:pPr>
              <w:jc w:val="right"/>
              <w:textAlignment w:val="bottom"/>
            </w:pPr>
            <w:r>
              <w:rPr>
                <w:rFonts w:ascii="Arial" w:eastAsia="宋体" w:hAnsi="Arial" w:cs="Arial"/>
                <w:b/>
                <w:bCs/>
                <w:color w:val="0068B5"/>
                <w:sz w:val="18"/>
                <w:szCs w:val="18"/>
              </w:rPr>
              <w:t>42,051</w:t>
            </w:r>
            <w:r>
              <w:rPr>
                <w:rFonts w:ascii="Arial" w:eastAsia="宋体" w:hAnsi="Arial" w:cs="Arial"/>
                <w:color w:val="0068B5"/>
                <w:sz w:val="18"/>
                <w:szCs w:val="18"/>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5A1B027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7A" w14:textId="77777777" w:rsidR="00960BB8" w:rsidRDefault="00960BB8">
            <w:pPr>
              <w:rPr>
                <w:rFonts w:ascii="宋体"/>
              </w:rPr>
            </w:pPr>
          </w:p>
        </w:tc>
        <w:tc>
          <w:tcPr>
            <w:tcW w:w="0" w:type="auto"/>
            <w:tcBorders>
              <w:top w:val="double" w:sz="6" w:space="0" w:color="000000"/>
            </w:tcBorders>
            <w:shd w:val="clear" w:color="auto" w:fill="auto"/>
            <w:tcMar>
              <w:top w:w="40" w:type="dxa"/>
              <w:left w:w="20" w:type="dxa"/>
              <w:bottom w:w="40" w:type="dxa"/>
              <w:right w:w="0" w:type="dxa"/>
            </w:tcMar>
            <w:vAlign w:val="bottom"/>
          </w:tcPr>
          <w:p w14:paraId="5A1B027B" w14:textId="77777777" w:rsidR="00960BB8" w:rsidRDefault="00C06650">
            <w:pPr>
              <w:textAlignment w:val="bottom"/>
            </w:pPr>
            <w:r>
              <w:rPr>
                <w:rFonts w:ascii="Arial" w:eastAsia="宋体" w:hAnsi="Arial" w:cs="Arial"/>
                <w:b/>
                <w:bCs/>
                <w:color w:val="262626"/>
                <w:sz w:val="18"/>
                <w:szCs w:val="18"/>
              </w:rPr>
              <w:t>$</w:t>
            </w:r>
          </w:p>
        </w:tc>
        <w:tc>
          <w:tcPr>
            <w:tcW w:w="0" w:type="auto"/>
            <w:tcBorders>
              <w:top w:val="double" w:sz="6" w:space="0" w:color="000000"/>
            </w:tcBorders>
            <w:shd w:val="clear" w:color="auto" w:fill="auto"/>
            <w:tcMar>
              <w:top w:w="40" w:type="dxa"/>
              <w:left w:w="0" w:type="dxa"/>
              <w:bottom w:w="40" w:type="dxa"/>
              <w:right w:w="0" w:type="dxa"/>
            </w:tcMar>
            <w:vAlign w:val="bottom"/>
          </w:tcPr>
          <w:p w14:paraId="5A1B027C" w14:textId="77777777" w:rsidR="00960BB8" w:rsidRDefault="00C06650">
            <w:pPr>
              <w:jc w:val="right"/>
              <w:textAlignment w:val="bottom"/>
            </w:pPr>
            <w:r>
              <w:rPr>
                <w:rFonts w:ascii="Arial" w:eastAsia="宋体" w:hAnsi="Arial" w:cs="Arial"/>
                <w:b/>
                <w:bCs/>
                <w:color w:val="262626"/>
                <w:sz w:val="18"/>
                <w:szCs w:val="18"/>
              </w:rPr>
              <w:t>38,101</w:t>
            </w:r>
            <w:r>
              <w:rPr>
                <w:rFonts w:ascii="Arial" w:eastAsia="宋体" w:hAnsi="Arial" w:cs="Arial"/>
                <w:color w:val="262626"/>
                <w:sz w:val="18"/>
                <w:szCs w:val="18"/>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5A1B027D" w14:textId="77777777" w:rsidR="00960BB8" w:rsidRDefault="00960BB8">
            <w:pPr>
              <w:jc w:val="right"/>
              <w:rPr>
                <w:rFonts w:ascii="宋体"/>
              </w:rPr>
            </w:pPr>
          </w:p>
        </w:tc>
      </w:tr>
      <w:tr w:rsidR="00960BB8" w14:paraId="5A1B0284" w14:textId="77777777">
        <w:trPr>
          <w:hidden/>
        </w:trPr>
        <w:tc>
          <w:tcPr>
            <w:tcW w:w="0" w:type="auto"/>
            <w:gridSpan w:val="3"/>
            <w:shd w:val="clear" w:color="auto" w:fill="auto"/>
            <w:vAlign w:val="bottom"/>
          </w:tcPr>
          <w:p w14:paraId="5A1B027F" w14:textId="77777777" w:rsidR="00960BB8" w:rsidRDefault="00960BB8">
            <w:pPr>
              <w:rPr>
                <w:rFonts w:ascii="宋体"/>
                <w:vanish/>
              </w:rPr>
            </w:pPr>
          </w:p>
        </w:tc>
        <w:tc>
          <w:tcPr>
            <w:tcW w:w="0" w:type="auto"/>
            <w:gridSpan w:val="3"/>
            <w:shd w:val="clear" w:color="auto" w:fill="auto"/>
            <w:vAlign w:val="bottom"/>
          </w:tcPr>
          <w:p w14:paraId="5A1B0280" w14:textId="77777777" w:rsidR="00960BB8" w:rsidRDefault="00960BB8">
            <w:pPr>
              <w:rPr>
                <w:rFonts w:ascii="宋体"/>
                <w:vanish/>
              </w:rPr>
            </w:pPr>
          </w:p>
        </w:tc>
        <w:tc>
          <w:tcPr>
            <w:tcW w:w="0" w:type="auto"/>
            <w:gridSpan w:val="3"/>
            <w:shd w:val="clear" w:color="auto" w:fill="auto"/>
            <w:vAlign w:val="bottom"/>
          </w:tcPr>
          <w:p w14:paraId="5A1B0281" w14:textId="77777777" w:rsidR="00960BB8" w:rsidRDefault="00960BB8">
            <w:pPr>
              <w:rPr>
                <w:rFonts w:ascii="宋体"/>
                <w:vanish/>
              </w:rPr>
            </w:pPr>
          </w:p>
        </w:tc>
        <w:tc>
          <w:tcPr>
            <w:tcW w:w="0" w:type="auto"/>
            <w:gridSpan w:val="3"/>
            <w:shd w:val="clear" w:color="auto" w:fill="auto"/>
            <w:vAlign w:val="bottom"/>
          </w:tcPr>
          <w:p w14:paraId="5A1B0282" w14:textId="77777777" w:rsidR="00960BB8" w:rsidRDefault="00960BB8">
            <w:pPr>
              <w:rPr>
                <w:rFonts w:ascii="宋体"/>
                <w:vanish/>
              </w:rPr>
            </w:pPr>
          </w:p>
        </w:tc>
        <w:tc>
          <w:tcPr>
            <w:tcW w:w="0" w:type="auto"/>
            <w:gridSpan w:val="3"/>
            <w:shd w:val="clear" w:color="auto" w:fill="auto"/>
            <w:vAlign w:val="bottom"/>
          </w:tcPr>
          <w:p w14:paraId="5A1B0283" w14:textId="77777777" w:rsidR="00960BB8" w:rsidRDefault="00960BB8">
            <w:pPr>
              <w:rPr>
                <w:rFonts w:ascii="宋体"/>
                <w:vanish/>
              </w:rPr>
            </w:pPr>
          </w:p>
        </w:tc>
      </w:tr>
      <w:tr w:rsidR="00960BB8" w14:paraId="5A1B028A" w14:textId="77777777">
        <w:trPr>
          <w:hidden/>
        </w:trPr>
        <w:tc>
          <w:tcPr>
            <w:tcW w:w="0" w:type="auto"/>
            <w:gridSpan w:val="3"/>
            <w:shd w:val="clear" w:color="auto" w:fill="auto"/>
            <w:vAlign w:val="bottom"/>
          </w:tcPr>
          <w:p w14:paraId="5A1B0285" w14:textId="77777777" w:rsidR="00960BB8" w:rsidRDefault="00960BB8">
            <w:pPr>
              <w:rPr>
                <w:rFonts w:ascii="宋体"/>
                <w:vanish/>
              </w:rPr>
            </w:pPr>
          </w:p>
        </w:tc>
        <w:tc>
          <w:tcPr>
            <w:tcW w:w="0" w:type="auto"/>
            <w:gridSpan w:val="3"/>
            <w:shd w:val="clear" w:color="auto" w:fill="auto"/>
            <w:vAlign w:val="bottom"/>
          </w:tcPr>
          <w:p w14:paraId="5A1B0286" w14:textId="77777777" w:rsidR="00960BB8" w:rsidRDefault="00960BB8">
            <w:pPr>
              <w:rPr>
                <w:rFonts w:ascii="宋体"/>
                <w:vanish/>
              </w:rPr>
            </w:pPr>
          </w:p>
        </w:tc>
        <w:tc>
          <w:tcPr>
            <w:tcW w:w="0" w:type="auto"/>
            <w:gridSpan w:val="3"/>
            <w:shd w:val="clear" w:color="auto" w:fill="auto"/>
            <w:vAlign w:val="bottom"/>
          </w:tcPr>
          <w:p w14:paraId="5A1B0287" w14:textId="77777777" w:rsidR="00960BB8" w:rsidRDefault="00960BB8">
            <w:pPr>
              <w:rPr>
                <w:rFonts w:ascii="宋体"/>
                <w:vanish/>
              </w:rPr>
            </w:pPr>
          </w:p>
        </w:tc>
        <w:tc>
          <w:tcPr>
            <w:tcW w:w="0" w:type="auto"/>
            <w:gridSpan w:val="3"/>
            <w:shd w:val="clear" w:color="auto" w:fill="auto"/>
            <w:vAlign w:val="bottom"/>
          </w:tcPr>
          <w:p w14:paraId="5A1B0288" w14:textId="77777777" w:rsidR="00960BB8" w:rsidRDefault="00960BB8">
            <w:pPr>
              <w:rPr>
                <w:rFonts w:ascii="宋体"/>
                <w:vanish/>
              </w:rPr>
            </w:pPr>
          </w:p>
        </w:tc>
        <w:tc>
          <w:tcPr>
            <w:tcW w:w="0" w:type="auto"/>
            <w:gridSpan w:val="3"/>
            <w:shd w:val="clear" w:color="auto" w:fill="auto"/>
            <w:vAlign w:val="bottom"/>
          </w:tcPr>
          <w:p w14:paraId="5A1B0289" w14:textId="77777777" w:rsidR="00960BB8" w:rsidRDefault="00960BB8">
            <w:pPr>
              <w:rPr>
                <w:rFonts w:ascii="宋体"/>
                <w:vanish/>
              </w:rPr>
            </w:pPr>
          </w:p>
        </w:tc>
      </w:tr>
    </w:tbl>
    <w:p w14:paraId="5A1B028B" w14:textId="77777777" w:rsidR="00960BB8" w:rsidRDefault="00C06650">
      <w:pPr>
        <w:spacing w:after="180"/>
      </w:pPr>
      <w:r>
        <w:rPr>
          <w:rFonts w:ascii="Arial" w:eastAsia="宋体" w:hAnsi="Arial" w:cs="Arial"/>
          <w:i/>
          <w:iCs/>
          <w:color w:val="262626"/>
          <w:sz w:val="10"/>
          <w:szCs w:val="10"/>
        </w:rPr>
        <w:t xml:space="preserve">1 </w:t>
      </w:r>
      <w:r>
        <w:rPr>
          <w:rFonts w:ascii="Arial" w:eastAsia="宋体" w:hAnsi="Arial" w:cs="Arial"/>
          <w:i/>
          <w:iCs/>
          <w:color w:val="262626"/>
          <w:sz w:val="16"/>
          <w:szCs w:val="16"/>
        </w:rPr>
        <w:t>See "Non-GAAP Financial Measures" within MD&amp;A</w:t>
      </w:r>
    </w:p>
    <w:p w14:paraId="5A1B028C" w14:textId="77777777" w:rsidR="00960BB8" w:rsidRDefault="00C06650">
      <w:pPr>
        <w:spacing w:after="180"/>
      </w:pPr>
      <w:r>
        <w:rPr>
          <w:rFonts w:ascii="Arial" w:eastAsia="宋体" w:hAnsi="Arial" w:cs="Arial"/>
          <w:color w:val="262626"/>
          <w:sz w:val="18"/>
          <w:szCs w:val="18"/>
        </w:rPr>
        <w:t xml:space="preserve">We maintain a diverse investment portfolio that we continually analyze based on issuer, industry, and country. Substantially all of our investments in debt instruments are in investment-grade securities.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296" w14:textId="77777777">
        <w:tc>
          <w:tcPr>
            <w:tcW w:w="50" w:type="pct"/>
            <w:shd w:val="clear" w:color="auto" w:fill="auto"/>
            <w:vAlign w:val="bottom"/>
          </w:tcPr>
          <w:p w14:paraId="5A1B028D" w14:textId="77777777" w:rsidR="00960BB8" w:rsidRDefault="00960BB8">
            <w:pPr>
              <w:rPr>
                <w:rFonts w:ascii="宋体"/>
              </w:rPr>
            </w:pPr>
          </w:p>
        </w:tc>
        <w:tc>
          <w:tcPr>
            <w:tcW w:w="283" w:type="pct"/>
            <w:shd w:val="clear" w:color="auto" w:fill="auto"/>
            <w:vAlign w:val="bottom"/>
          </w:tcPr>
          <w:p w14:paraId="5A1B028E" w14:textId="77777777" w:rsidR="00960BB8" w:rsidRDefault="00960BB8">
            <w:pPr>
              <w:rPr>
                <w:rFonts w:ascii="宋体"/>
              </w:rPr>
            </w:pPr>
          </w:p>
        </w:tc>
        <w:tc>
          <w:tcPr>
            <w:tcW w:w="5" w:type="pct"/>
            <w:shd w:val="clear" w:color="auto" w:fill="auto"/>
            <w:vAlign w:val="bottom"/>
          </w:tcPr>
          <w:p w14:paraId="5A1B028F" w14:textId="77777777" w:rsidR="00960BB8" w:rsidRDefault="00960BB8">
            <w:pPr>
              <w:rPr>
                <w:rFonts w:ascii="宋体"/>
              </w:rPr>
            </w:pPr>
          </w:p>
        </w:tc>
        <w:tc>
          <w:tcPr>
            <w:tcW w:w="50" w:type="pct"/>
            <w:shd w:val="clear" w:color="auto" w:fill="auto"/>
            <w:vAlign w:val="bottom"/>
          </w:tcPr>
          <w:p w14:paraId="5A1B0290" w14:textId="77777777" w:rsidR="00960BB8" w:rsidRDefault="00960BB8">
            <w:pPr>
              <w:rPr>
                <w:rFonts w:ascii="宋体"/>
              </w:rPr>
            </w:pPr>
          </w:p>
        </w:tc>
        <w:tc>
          <w:tcPr>
            <w:tcW w:w="2656" w:type="pct"/>
            <w:shd w:val="clear" w:color="auto" w:fill="auto"/>
            <w:vAlign w:val="bottom"/>
          </w:tcPr>
          <w:p w14:paraId="5A1B0291" w14:textId="77777777" w:rsidR="00960BB8" w:rsidRDefault="00960BB8">
            <w:pPr>
              <w:rPr>
                <w:rFonts w:ascii="宋体"/>
              </w:rPr>
            </w:pPr>
          </w:p>
        </w:tc>
        <w:tc>
          <w:tcPr>
            <w:tcW w:w="5" w:type="pct"/>
            <w:shd w:val="clear" w:color="auto" w:fill="auto"/>
            <w:vAlign w:val="bottom"/>
          </w:tcPr>
          <w:p w14:paraId="5A1B0292" w14:textId="77777777" w:rsidR="00960BB8" w:rsidRDefault="00960BB8">
            <w:pPr>
              <w:rPr>
                <w:rFonts w:ascii="宋体"/>
              </w:rPr>
            </w:pPr>
          </w:p>
        </w:tc>
        <w:tc>
          <w:tcPr>
            <w:tcW w:w="50" w:type="pct"/>
            <w:shd w:val="clear" w:color="auto" w:fill="auto"/>
            <w:vAlign w:val="bottom"/>
          </w:tcPr>
          <w:p w14:paraId="5A1B0293" w14:textId="77777777" w:rsidR="00960BB8" w:rsidRDefault="00960BB8">
            <w:pPr>
              <w:rPr>
                <w:rFonts w:ascii="宋体"/>
              </w:rPr>
            </w:pPr>
          </w:p>
        </w:tc>
        <w:tc>
          <w:tcPr>
            <w:tcW w:w="1894" w:type="pct"/>
            <w:shd w:val="clear" w:color="auto" w:fill="auto"/>
            <w:vAlign w:val="bottom"/>
          </w:tcPr>
          <w:p w14:paraId="5A1B0294" w14:textId="77777777" w:rsidR="00960BB8" w:rsidRDefault="00960BB8">
            <w:pPr>
              <w:rPr>
                <w:rFonts w:ascii="宋体"/>
              </w:rPr>
            </w:pPr>
          </w:p>
        </w:tc>
        <w:tc>
          <w:tcPr>
            <w:tcW w:w="5" w:type="pct"/>
            <w:shd w:val="clear" w:color="auto" w:fill="auto"/>
            <w:vAlign w:val="bottom"/>
          </w:tcPr>
          <w:p w14:paraId="5A1B0295" w14:textId="77777777" w:rsidR="00960BB8" w:rsidRDefault="00960BB8">
            <w:pPr>
              <w:rPr>
                <w:rFonts w:ascii="宋体"/>
              </w:rPr>
            </w:pPr>
          </w:p>
        </w:tc>
      </w:tr>
      <w:tr w:rsidR="00960BB8" w14:paraId="5A1B029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297"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07" wp14:editId="5A1B4408">
                  <wp:extent cx="304800" cy="304800"/>
                  <wp:effectExtent l="0" t="0" r="0" b="0"/>
                  <wp:docPr id="145" name="图片 17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78"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298"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299" w14:textId="77777777" w:rsidR="00960BB8" w:rsidRDefault="00C06650">
            <w:pPr>
              <w:jc w:val="right"/>
              <w:textAlignment w:val="center"/>
            </w:pPr>
            <w:r>
              <w:rPr>
                <w:rFonts w:ascii="Arial" w:eastAsia="宋体" w:hAnsi="Arial" w:cs="Arial"/>
                <w:color w:val="262626"/>
                <w:sz w:val="16"/>
                <w:szCs w:val="16"/>
              </w:rPr>
              <w:t>45</w:t>
            </w:r>
          </w:p>
        </w:tc>
      </w:tr>
    </w:tbl>
    <w:p w14:paraId="5A1B029B" w14:textId="77777777" w:rsidR="00960BB8" w:rsidRDefault="00C06650">
      <w:r>
        <w:pict w14:anchorId="5A1B4409">
          <v:rect id="_x0000_i1071" style="width:415.3pt;height:1.5pt" o:hralign="center" o:hrstd="t" o:hr="t" fillcolor="#a0a0a0" stroked="f"/>
        </w:pict>
      </w:r>
    </w:p>
    <w:p w14:paraId="5A1B029C" w14:textId="77777777" w:rsidR="00960BB8" w:rsidRDefault="00C06650">
      <w:pPr>
        <w:jc w:val="right"/>
      </w:pPr>
      <w:hyperlink r:id="rId64" w:anchor="i8aaa7b4dbd2e419ca0f5c30af85a11aa_16" w:history="1">
        <w:r>
          <w:rPr>
            <w:rStyle w:val="a5"/>
            <w:rFonts w:ascii="Arial" w:eastAsia="宋体" w:hAnsi="Arial" w:cs="Arial"/>
            <w:b/>
            <w:bCs/>
            <w:sz w:val="16"/>
            <w:szCs w:val="16"/>
          </w:rPr>
          <w:t>Table of Contents</w:t>
        </w:r>
      </w:hyperlink>
    </w:p>
    <w:p w14:paraId="5A1B029D" w14:textId="77777777" w:rsidR="00960BB8" w:rsidRDefault="00960BB8">
      <w:pPr>
        <w:jc w:val="right"/>
      </w:pPr>
    </w:p>
    <w:p w14:paraId="5A1B029E" w14:textId="77777777" w:rsidR="00960BB8" w:rsidRDefault="00C06650">
      <w:pPr>
        <w:spacing w:after="180"/>
      </w:pPr>
      <w:r>
        <w:rPr>
          <w:rFonts w:ascii="Arial" w:eastAsia="宋体" w:hAnsi="Arial" w:cs="Arial"/>
          <w:color w:val="262626"/>
          <w:sz w:val="18"/>
          <w:szCs w:val="18"/>
        </w:rPr>
        <w:t>Other potential sources of liquidity include our commercial paper program and our a</w:t>
      </w:r>
      <w:r>
        <w:rPr>
          <w:rFonts w:ascii="Arial" w:eastAsia="宋体" w:hAnsi="Arial" w:cs="Arial"/>
          <w:color w:val="262626"/>
          <w:sz w:val="18"/>
          <w:szCs w:val="18"/>
        </w:rPr>
        <w:t xml:space="preserve">utomatic shelf registration statement on file with the SEC, pursuant to which we may offer an unspecified amount of debt, equity, other securities, and non-recourse factoring arrangements with third-party financial institutions. Under our commercial paper </w:t>
      </w:r>
      <w:r>
        <w:rPr>
          <w:rFonts w:ascii="Arial" w:eastAsia="宋体" w:hAnsi="Arial" w:cs="Arial"/>
          <w:color w:val="262626"/>
          <w:sz w:val="18"/>
          <w:szCs w:val="18"/>
        </w:rPr>
        <w:t xml:space="preserve">program, we have an ongoing authorization from our Board of Directors to borrow up to $10.0 billion and, as of December 31, 2022, we had $3.9 billion of commercial paper obligations outstanding. During </w:t>
      </w:r>
      <w:r>
        <w:rPr>
          <w:rFonts w:ascii="Arial" w:eastAsia="宋体" w:hAnsi="Arial" w:cs="Arial"/>
          <w:color w:val="000000"/>
          <w:sz w:val="18"/>
          <w:szCs w:val="18"/>
        </w:rPr>
        <w:t>2022</w:t>
      </w:r>
      <w:r>
        <w:rPr>
          <w:rFonts w:ascii="Arial" w:eastAsia="宋体" w:hAnsi="Arial" w:cs="Arial"/>
          <w:color w:val="262626"/>
          <w:sz w:val="18"/>
          <w:szCs w:val="18"/>
        </w:rPr>
        <w:t>, we issued a total of $6.0 billion aggregate prin</w:t>
      </w:r>
      <w:r>
        <w:rPr>
          <w:rFonts w:ascii="Arial" w:eastAsia="宋体" w:hAnsi="Arial" w:cs="Arial"/>
          <w:color w:val="262626"/>
          <w:sz w:val="18"/>
          <w:szCs w:val="18"/>
        </w:rPr>
        <w:t>cipal amount of senior notes, including our inaugural green bond issuance of $1.3 billion principal amount. We are using the proceeds from the green bond offering to fund projects that support our investments in sustainable operations. We intend to use the</w:t>
      </w:r>
      <w:r>
        <w:rPr>
          <w:rFonts w:ascii="Arial" w:eastAsia="宋体" w:hAnsi="Arial" w:cs="Arial"/>
          <w:color w:val="262626"/>
          <w:sz w:val="18"/>
          <w:szCs w:val="18"/>
        </w:rPr>
        <w:t xml:space="preserve"> proceeds from the remainder of the offering for general corporate purposes, including, but not limited to, refinancing our outstanding debt and funding for working capital and capital expenditures. We received proceeds of $600 million in the aggregate fro</w:t>
      </w:r>
      <w:r>
        <w:rPr>
          <w:rFonts w:ascii="Arial" w:eastAsia="宋体" w:hAnsi="Arial" w:cs="Arial"/>
          <w:color w:val="262626"/>
          <w:sz w:val="18"/>
          <w:szCs w:val="18"/>
        </w:rPr>
        <w:t>m the sale of bonds issued by the Industrial Development Authority of the City of Chandler, Arizona (CIDA). We amended our $5.0 billion variable-rate revolving credit facility, extending that maturity date by one year to March 2027 and transitioning the in</w:t>
      </w:r>
      <w:r>
        <w:rPr>
          <w:rFonts w:ascii="Arial" w:eastAsia="宋体" w:hAnsi="Arial" w:cs="Arial"/>
          <w:color w:val="262626"/>
          <w:sz w:val="18"/>
          <w:szCs w:val="18"/>
        </w:rPr>
        <w:t>terest terms from LIBOR to term SOFR. In November 2022, we entered into a $5.0 billion, 364-day variable rate revolving credit facility. We repaid $1.6 billion of our senior notes that matured in May 2022; $1.0 billion due July 2022; $1.9 billion</w:t>
      </w:r>
      <w:r>
        <w:rPr>
          <w:rFonts w:ascii="Arial" w:eastAsia="宋体" w:hAnsi="Arial" w:cs="Arial"/>
          <w:b/>
          <w:bCs/>
          <w:color w:val="000000"/>
          <w:sz w:val="18"/>
          <w:szCs w:val="18"/>
        </w:rPr>
        <w:t xml:space="preserve"> </w:t>
      </w:r>
      <w:r>
        <w:rPr>
          <w:rFonts w:ascii="Arial" w:eastAsia="宋体" w:hAnsi="Arial" w:cs="Arial"/>
          <w:color w:val="262626"/>
          <w:sz w:val="18"/>
          <w:szCs w:val="18"/>
        </w:rPr>
        <w:t xml:space="preserve">due </w:t>
      </w:r>
      <w:r>
        <w:rPr>
          <w:rFonts w:ascii="Arial" w:eastAsia="宋体" w:hAnsi="Arial" w:cs="Arial"/>
          <w:color w:val="262626"/>
          <w:sz w:val="18"/>
          <w:szCs w:val="18"/>
        </w:rPr>
        <w:t>December 2022; and $400 million due November 2023. We settled $138 million bonds issued by the Oregon Business Development Commission in March 2022. As of December 31, 2022, we had no borrowings outstanding on the revolving credit facilities.</w:t>
      </w:r>
    </w:p>
    <w:p w14:paraId="5A1B029F" w14:textId="77777777" w:rsidR="00960BB8" w:rsidRDefault="00C06650">
      <w:pPr>
        <w:spacing w:after="180"/>
      </w:pPr>
      <w:r>
        <w:rPr>
          <w:rFonts w:ascii="Arial" w:eastAsia="宋体" w:hAnsi="Arial" w:cs="Arial"/>
          <w:color w:val="000000"/>
          <w:sz w:val="18"/>
          <w:szCs w:val="18"/>
        </w:rPr>
        <w:t>Our sources o</w:t>
      </w:r>
      <w:r>
        <w:rPr>
          <w:rFonts w:ascii="Arial" w:eastAsia="宋体" w:hAnsi="Arial" w:cs="Arial"/>
          <w:color w:val="000000"/>
          <w:sz w:val="18"/>
          <w:szCs w:val="18"/>
        </w:rPr>
        <w:t>f liquidity in 2022 also included total net proceeds of $1.0 billion from the completion of Mobileye's IPO in the fourth quarter of 2022, after which we retained 94% of Mobileye’s capital stock.</w:t>
      </w:r>
    </w:p>
    <w:p w14:paraId="5A1B02A0" w14:textId="77777777" w:rsidR="00960BB8" w:rsidRDefault="00C06650">
      <w:pPr>
        <w:spacing w:after="180"/>
      </w:pPr>
      <w:r>
        <w:rPr>
          <w:rFonts w:ascii="Arial" w:eastAsia="宋体" w:hAnsi="Arial" w:cs="Arial"/>
          <w:color w:val="000000"/>
          <w:sz w:val="18"/>
          <w:szCs w:val="18"/>
        </w:rPr>
        <w:t>Our cash and investments and related cash flows may be affect</w:t>
      </w:r>
      <w:r>
        <w:rPr>
          <w:rFonts w:ascii="Arial" w:eastAsia="宋体" w:hAnsi="Arial" w:cs="Arial"/>
          <w:color w:val="000000"/>
          <w:sz w:val="18"/>
          <w:szCs w:val="18"/>
        </w:rPr>
        <w:t>ed by certain discretionary actions we may take with customers and suppliers to accelerate or delay certain cash receipts or payments to manage liquidity for our strategic business requirements. In the second half of 2022 these actions included, among othe</w:t>
      </w:r>
      <w:r>
        <w:rPr>
          <w:rFonts w:ascii="Arial" w:eastAsia="宋体" w:hAnsi="Arial" w:cs="Arial"/>
          <w:color w:val="000000"/>
          <w:sz w:val="18"/>
          <w:szCs w:val="18"/>
        </w:rPr>
        <w:t>rs, negotiating with suppliers to optimize our payment terms and conditions, adjusting the timing of cash flows associated with customer sales programs and collections, managing inventory levels and purchasing practices, and selling certain of our accounts</w:t>
      </w:r>
      <w:r>
        <w:rPr>
          <w:rFonts w:ascii="Arial" w:eastAsia="宋体" w:hAnsi="Arial" w:cs="Arial"/>
          <w:color w:val="000000"/>
          <w:sz w:val="18"/>
          <w:szCs w:val="18"/>
        </w:rPr>
        <w:t xml:space="preserve"> receivable on a non-recourse basis to third-party financial institutions. While such actions have benefited, and may further benefit, cash flow in the near term, we may experience a corresponding detriment to cash flow in future periods as these actions c</w:t>
      </w:r>
      <w:r>
        <w:rPr>
          <w:rFonts w:ascii="Arial" w:eastAsia="宋体" w:hAnsi="Arial" w:cs="Arial"/>
          <w:color w:val="000000"/>
          <w:sz w:val="18"/>
          <w:szCs w:val="18"/>
        </w:rPr>
        <w:t xml:space="preserve">ease or as the impact of these actions reverse or normalize. </w:t>
      </w:r>
    </w:p>
    <w:p w14:paraId="5A1B02A1" w14:textId="77777777" w:rsidR="00960BB8" w:rsidRDefault="00C06650">
      <w:pPr>
        <w:spacing w:before="180" w:after="180"/>
      </w:pPr>
      <w:r>
        <w:rPr>
          <w:rFonts w:ascii="Arial" w:eastAsia="宋体" w:hAnsi="Arial" w:cs="Arial"/>
          <w:color w:val="262626"/>
          <w:sz w:val="18"/>
          <w:szCs w:val="18"/>
        </w:rPr>
        <w:t>Our cash flows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7"/>
        <w:gridCol w:w="36"/>
        <w:gridCol w:w="36"/>
        <w:gridCol w:w="36"/>
        <w:gridCol w:w="121"/>
        <w:gridCol w:w="805"/>
        <w:gridCol w:w="36"/>
        <w:gridCol w:w="36"/>
        <w:gridCol w:w="36"/>
        <w:gridCol w:w="36"/>
        <w:gridCol w:w="121"/>
        <w:gridCol w:w="805"/>
        <w:gridCol w:w="36"/>
        <w:gridCol w:w="36"/>
        <w:gridCol w:w="36"/>
        <w:gridCol w:w="36"/>
        <w:gridCol w:w="121"/>
        <w:gridCol w:w="807"/>
        <w:gridCol w:w="36"/>
      </w:tblGrid>
      <w:tr w:rsidR="00960BB8" w14:paraId="5A1B02B7" w14:textId="77777777">
        <w:tc>
          <w:tcPr>
            <w:tcW w:w="50" w:type="pct"/>
            <w:shd w:val="clear" w:color="auto" w:fill="auto"/>
            <w:vAlign w:val="bottom"/>
          </w:tcPr>
          <w:p w14:paraId="5A1B02A2" w14:textId="77777777" w:rsidR="00960BB8" w:rsidRDefault="00960BB8">
            <w:pPr>
              <w:rPr>
                <w:rFonts w:ascii="宋体"/>
              </w:rPr>
            </w:pPr>
          </w:p>
        </w:tc>
        <w:tc>
          <w:tcPr>
            <w:tcW w:w="3059" w:type="pct"/>
            <w:shd w:val="clear" w:color="auto" w:fill="auto"/>
            <w:vAlign w:val="bottom"/>
          </w:tcPr>
          <w:p w14:paraId="5A1B02A3" w14:textId="77777777" w:rsidR="00960BB8" w:rsidRDefault="00960BB8">
            <w:pPr>
              <w:rPr>
                <w:rFonts w:ascii="宋体"/>
              </w:rPr>
            </w:pPr>
          </w:p>
        </w:tc>
        <w:tc>
          <w:tcPr>
            <w:tcW w:w="5" w:type="pct"/>
            <w:shd w:val="clear" w:color="auto" w:fill="auto"/>
            <w:vAlign w:val="bottom"/>
          </w:tcPr>
          <w:p w14:paraId="5A1B02A4" w14:textId="77777777" w:rsidR="00960BB8" w:rsidRDefault="00960BB8">
            <w:pPr>
              <w:rPr>
                <w:rFonts w:ascii="宋体"/>
              </w:rPr>
            </w:pPr>
          </w:p>
        </w:tc>
        <w:tc>
          <w:tcPr>
            <w:tcW w:w="5" w:type="pct"/>
            <w:shd w:val="clear" w:color="auto" w:fill="auto"/>
            <w:vAlign w:val="bottom"/>
          </w:tcPr>
          <w:p w14:paraId="5A1B02A5" w14:textId="77777777" w:rsidR="00960BB8" w:rsidRDefault="00960BB8">
            <w:pPr>
              <w:rPr>
                <w:rFonts w:ascii="宋体"/>
              </w:rPr>
            </w:pPr>
          </w:p>
        </w:tc>
        <w:tc>
          <w:tcPr>
            <w:tcW w:w="24" w:type="pct"/>
            <w:shd w:val="clear" w:color="auto" w:fill="auto"/>
            <w:vAlign w:val="bottom"/>
          </w:tcPr>
          <w:p w14:paraId="5A1B02A6" w14:textId="77777777" w:rsidR="00960BB8" w:rsidRDefault="00960BB8">
            <w:pPr>
              <w:rPr>
                <w:rFonts w:ascii="宋体"/>
              </w:rPr>
            </w:pPr>
          </w:p>
        </w:tc>
        <w:tc>
          <w:tcPr>
            <w:tcW w:w="5" w:type="pct"/>
            <w:shd w:val="clear" w:color="auto" w:fill="auto"/>
            <w:vAlign w:val="bottom"/>
          </w:tcPr>
          <w:p w14:paraId="5A1B02A7" w14:textId="77777777" w:rsidR="00960BB8" w:rsidRDefault="00960BB8">
            <w:pPr>
              <w:rPr>
                <w:rFonts w:ascii="宋体"/>
              </w:rPr>
            </w:pPr>
          </w:p>
        </w:tc>
        <w:tc>
          <w:tcPr>
            <w:tcW w:w="50" w:type="pct"/>
            <w:shd w:val="clear" w:color="auto" w:fill="auto"/>
            <w:vAlign w:val="bottom"/>
          </w:tcPr>
          <w:p w14:paraId="5A1B02A8" w14:textId="77777777" w:rsidR="00960BB8" w:rsidRDefault="00960BB8">
            <w:pPr>
              <w:rPr>
                <w:rFonts w:ascii="宋体"/>
              </w:rPr>
            </w:pPr>
          </w:p>
        </w:tc>
        <w:tc>
          <w:tcPr>
            <w:tcW w:w="539" w:type="pct"/>
            <w:shd w:val="clear" w:color="auto" w:fill="auto"/>
            <w:vAlign w:val="bottom"/>
          </w:tcPr>
          <w:p w14:paraId="5A1B02A9" w14:textId="77777777" w:rsidR="00960BB8" w:rsidRDefault="00960BB8">
            <w:pPr>
              <w:rPr>
                <w:rFonts w:ascii="宋体"/>
              </w:rPr>
            </w:pPr>
          </w:p>
        </w:tc>
        <w:tc>
          <w:tcPr>
            <w:tcW w:w="5" w:type="pct"/>
            <w:shd w:val="clear" w:color="auto" w:fill="auto"/>
            <w:vAlign w:val="bottom"/>
          </w:tcPr>
          <w:p w14:paraId="5A1B02AA" w14:textId="77777777" w:rsidR="00960BB8" w:rsidRDefault="00960BB8">
            <w:pPr>
              <w:rPr>
                <w:rFonts w:ascii="宋体"/>
              </w:rPr>
            </w:pPr>
          </w:p>
        </w:tc>
        <w:tc>
          <w:tcPr>
            <w:tcW w:w="5" w:type="pct"/>
            <w:shd w:val="clear" w:color="auto" w:fill="auto"/>
            <w:vAlign w:val="bottom"/>
          </w:tcPr>
          <w:p w14:paraId="5A1B02AB" w14:textId="77777777" w:rsidR="00960BB8" w:rsidRDefault="00960BB8">
            <w:pPr>
              <w:rPr>
                <w:rFonts w:ascii="宋体"/>
              </w:rPr>
            </w:pPr>
          </w:p>
        </w:tc>
        <w:tc>
          <w:tcPr>
            <w:tcW w:w="24" w:type="pct"/>
            <w:shd w:val="clear" w:color="auto" w:fill="auto"/>
            <w:vAlign w:val="bottom"/>
          </w:tcPr>
          <w:p w14:paraId="5A1B02AC" w14:textId="77777777" w:rsidR="00960BB8" w:rsidRDefault="00960BB8">
            <w:pPr>
              <w:rPr>
                <w:rFonts w:ascii="宋体"/>
              </w:rPr>
            </w:pPr>
          </w:p>
        </w:tc>
        <w:tc>
          <w:tcPr>
            <w:tcW w:w="5" w:type="pct"/>
            <w:shd w:val="clear" w:color="auto" w:fill="auto"/>
            <w:vAlign w:val="bottom"/>
          </w:tcPr>
          <w:p w14:paraId="5A1B02AD" w14:textId="77777777" w:rsidR="00960BB8" w:rsidRDefault="00960BB8">
            <w:pPr>
              <w:rPr>
                <w:rFonts w:ascii="宋体"/>
              </w:rPr>
            </w:pPr>
          </w:p>
        </w:tc>
        <w:tc>
          <w:tcPr>
            <w:tcW w:w="50" w:type="pct"/>
            <w:shd w:val="clear" w:color="auto" w:fill="auto"/>
            <w:vAlign w:val="bottom"/>
          </w:tcPr>
          <w:p w14:paraId="5A1B02AE" w14:textId="77777777" w:rsidR="00960BB8" w:rsidRDefault="00960BB8">
            <w:pPr>
              <w:rPr>
                <w:rFonts w:ascii="宋体"/>
              </w:rPr>
            </w:pPr>
          </w:p>
        </w:tc>
        <w:tc>
          <w:tcPr>
            <w:tcW w:w="539" w:type="pct"/>
            <w:shd w:val="clear" w:color="auto" w:fill="auto"/>
            <w:vAlign w:val="bottom"/>
          </w:tcPr>
          <w:p w14:paraId="5A1B02AF" w14:textId="77777777" w:rsidR="00960BB8" w:rsidRDefault="00960BB8">
            <w:pPr>
              <w:rPr>
                <w:rFonts w:ascii="宋体"/>
              </w:rPr>
            </w:pPr>
          </w:p>
        </w:tc>
        <w:tc>
          <w:tcPr>
            <w:tcW w:w="5" w:type="pct"/>
            <w:shd w:val="clear" w:color="auto" w:fill="auto"/>
            <w:vAlign w:val="bottom"/>
          </w:tcPr>
          <w:p w14:paraId="5A1B02B0" w14:textId="77777777" w:rsidR="00960BB8" w:rsidRDefault="00960BB8">
            <w:pPr>
              <w:rPr>
                <w:rFonts w:ascii="宋体"/>
              </w:rPr>
            </w:pPr>
          </w:p>
        </w:tc>
        <w:tc>
          <w:tcPr>
            <w:tcW w:w="5" w:type="pct"/>
            <w:shd w:val="clear" w:color="auto" w:fill="auto"/>
            <w:vAlign w:val="bottom"/>
          </w:tcPr>
          <w:p w14:paraId="5A1B02B1" w14:textId="77777777" w:rsidR="00960BB8" w:rsidRDefault="00960BB8">
            <w:pPr>
              <w:rPr>
                <w:rFonts w:ascii="宋体"/>
              </w:rPr>
            </w:pPr>
          </w:p>
        </w:tc>
        <w:tc>
          <w:tcPr>
            <w:tcW w:w="24" w:type="pct"/>
            <w:shd w:val="clear" w:color="auto" w:fill="auto"/>
            <w:vAlign w:val="bottom"/>
          </w:tcPr>
          <w:p w14:paraId="5A1B02B2" w14:textId="77777777" w:rsidR="00960BB8" w:rsidRDefault="00960BB8">
            <w:pPr>
              <w:rPr>
                <w:rFonts w:ascii="宋体"/>
              </w:rPr>
            </w:pPr>
          </w:p>
        </w:tc>
        <w:tc>
          <w:tcPr>
            <w:tcW w:w="5" w:type="pct"/>
            <w:shd w:val="clear" w:color="auto" w:fill="auto"/>
            <w:vAlign w:val="bottom"/>
          </w:tcPr>
          <w:p w14:paraId="5A1B02B3" w14:textId="77777777" w:rsidR="00960BB8" w:rsidRDefault="00960BB8">
            <w:pPr>
              <w:rPr>
                <w:rFonts w:ascii="宋体"/>
              </w:rPr>
            </w:pPr>
          </w:p>
        </w:tc>
        <w:tc>
          <w:tcPr>
            <w:tcW w:w="50" w:type="pct"/>
            <w:shd w:val="clear" w:color="auto" w:fill="auto"/>
            <w:vAlign w:val="bottom"/>
          </w:tcPr>
          <w:p w14:paraId="5A1B02B4" w14:textId="77777777" w:rsidR="00960BB8" w:rsidRDefault="00960BB8">
            <w:pPr>
              <w:rPr>
                <w:rFonts w:ascii="宋体"/>
              </w:rPr>
            </w:pPr>
          </w:p>
        </w:tc>
        <w:tc>
          <w:tcPr>
            <w:tcW w:w="539" w:type="pct"/>
            <w:shd w:val="clear" w:color="auto" w:fill="auto"/>
            <w:vAlign w:val="bottom"/>
          </w:tcPr>
          <w:p w14:paraId="5A1B02B5" w14:textId="77777777" w:rsidR="00960BB8" w:rsidRDefault="00960BB8">
            <w:pPr>
              <w:rPr>
                <w:rFonts w:ascii="宋体"/>
              </w:rPr>
            </w:pPr>
          </w:p>
        </w:tc>
        <w:tc>
          <w:tcPr>
            <w:tcW w:w="5" w:type="pct"/>
            <w:shd w:val="clear" w:color="auto" w:fill="auto"/>
            <w:vAlign w:val="bottom"/>
          </w:tcPr>
          <w:p w14:paraId="5A1B02B6" w14:textId="77777777" w:rsidR="00960BB8" w:rsidRDefault="00960BB8">
            <w:pPr>
              <w:rPr>
                <w:rFonts w:ascii="宋体"/>
              </w:rPr>
            </w:pPr>
          </w:p>
        </w:tc>
      </w:tr>
      <w:tr w:rsidR="00960BB8" w14:paraId="5A1B02BF" w14:textId="77777777">
        <w:tc>
          <w:tcPr>
            <w:tcW w:w="0" w:type="auto"/>
            <w:gridSpan w:val="3"/>
            <w:shd w:val="clear" w:color="auto" w:fill="auto"/>
            <w:tcMar>
              <w:top w:w="40" w:type="dxa"/>
              <w:left w:w="20" w:type="dxa"/>
              <w:bottom w:w="40" w:type="dxa"/>
              <w:right w:w="20" w:type="dxa"/>
            </w:tcMar>
            <w:vAlign w:val="bottom"/>
          </w:tcPr>
          <w:p w14:paraId="5A1B02B8" w14:textId="77777777" w:rsidR="00960BB8" w:rsidRDefault="00C06650">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5A1B02B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2BA"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02B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2BC"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02B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2BE"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02C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2C0" w14:textId="77777777" w:rsidR="00960BB8" w:rsidRDefault="00C06650">
            <w:pPr>
              <w:textAlignment w:val="bottom"/>
            </w:pPr>
            <w:r>
              <w:rPr>
                <w:rFonts w:ascii="Arial" w:eastAsia="宋体" w:hAnsi="Arial" w:cs="Arial"/>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5A1B02C1"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2C2"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2C3" w14:textId="77777777" w:rsidR="00960BB8" w:rsidRDefault="00C06650">
            <w:pPr>
              <w:jc w:val="right"/>
              <w:textAlignment w:val="bottom"/>
            </w:pPr>
            <w:r>
              <w:rPr>
                <w:rFonts w:ascii="Arial" w:eastAsia="宋体" w:hAnsi="Arial" w:cs="Arial"/>
                <w:color w:val="0068B5"/>
                <w:sz w:val="18"/>
                <w:szCs w:val="18"/>
              </w:rPr>
              <w:t>15,433 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2C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C5"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2C6"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2C7" w14:textId="77777777" w:rsidR="00960BB8" w:rsidRDefault="00C06650">
            <w:pPr>
              <w:jc w:val="right"/>
              <w:textAlignment w:val="bottom"/>
            </w:pPr>
            <w:r>
              <w:rPr>
                <w:rFonts w:ascii="Arial" w:eastAsia="宋体" w:hAnsi="Arial" w:cs="Arial"/>
                <w:color w:val="262626"/>
                <w:sz w:val="18"/>
                <w:szCs w:val="18"/>
              </w:rPr>
              <w:t>29,456 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2C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C9"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2CA"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2CB" w14:textId="77777777" w:rsidR="00960BB8" w:rsidRDefault="00C06650">
            <w:pPr>
              <w:jc w:val="right"/>
              <w:textAlignment w:val="bottom"/>
            </w:pPr>
            <w:r>
              <w:rPr>
                <w:rFonts w:ascii="Arial" w:eastAsia="宋体" w:hAnsi="Arial" w:cs="Arial"/>
                <w:color w:val="262626"/>
                <w:sz w:val="18"/>
                <w:szCs w:val="18"/>
              </w:rPr>
              <w:t>35,864 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2CC" w14:textId="77777777" w:rsidR="00960BB8" w:rsidRDefault="00960BB8">
            <w:pPr>
              <w:jc w:val="right"/>
              <w:rPr>
                <w:rFonts w:ascii="宋体"/>
              </w:rPr>
            </w:pPr>
          </w:p>
        </w:tc>
      </w:tr>
      <w:tr w:rsidR="00960BB8" w14:paraId="5A1B02D8" w14:textId="77777777">
        <w:tc>
          <w:tcPr>
            <w:tcW w:w="0" w:type="auto"/>
            <w:gridSpan w:val="3"/>
            <w:shd w:val="clear" w:color="auto" w:fill="auto"/>
            <w:tcMar>
              <w:top w:w="40" w:type="dxa"/>
              <w:left w:w="20" w:type="dxa"/>
              <w:bottom w:w="40" w:type="dxa"/>
              <w:right w:w="20" w:type="dxa"/>
            </w:tcMar>
          </w:tcPr>
          <w:p w14:paraId="5A1B02CE" w14:textId="77777777" w:rsidR="00960BB8" w:rsidRDefault="00C06650">
            <w:pPr>
              <w:textAlignment w:val="top"/>
            </w:pPr>
            <w:r>
              <w:rPr>
                <w:rFonts w:ascii="Arial" w:eastAsia="宋体" w:hAnsi="Arial" w:cs="Arial"/>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5A1B02C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D0" w14:textId="77777777" w:rsidR="00960BB8" w:rsidRDefault="00C06650">
            <w:pPr>
              <w:jc w:val="right"/>
              <w:textAlignment w:val="bottom"/>
            </w:pPr>
            <w:r>
              <w:rPr>
                <w:rFonts w:ascii="Arial" w:eastAsia="宋体" w:hAnsi="Arial" w:cs="Arial"/>
                <w:color w:val="0068B5"/>
                <w:sz w:val="18"/>
                <w:szCs w:val="18"/>
              </w:rPr>
              <w:t>(10,477)</w:t>
            </w:r>
          </w:p>
        </w:tc>
        <w:tc>
          <w:tcPr>
            <w:tcW w:w="0" w:type="auto"/>
            <w:shd w:val="clear" w:color="auto" w:fill="auto"/>
            <w:tcMar>
              <w:top w:w="40" w:type="dxa"/>
              <w:left w:w="0" w:type="dxa"/>
              <w:bottom w:w="40" w:type="dxa"/>
              <w:right w:w="20" w:type="dxa"/>
            </w:tcMar>
            <w:vAlign w:val="bottom"/>
          </w:tcPr>
          <w:p w14:paraId="5A1B02D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D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D3" w14:textId="77777777" w:rsidR="00960BB8" w:rsidRDefault="00C06650">
            <w:pPr>
              <w:jc w:val="right"/>
              <w:textAlignment w:val="bottom"/>
            </w:pPr>
            <w:r>
              <w:rPr>
                <w:rFonts w:ascii="Arial" w:eastAsia="宋体" w:hAnsi="Arial" w:cs="Arial"/>
                <w:color w:val="262626"/>
                <w:sz w:val="18"/>
                <w:szCs w:val="18"/>
              </w:rPr>
              <w:t>(24,449)</w:t>
            </w:r>
          </w:p>
        </w:tc>
        <w:tc>
          <w:tcPr>
            <w:tcW w:w="0" w:type="auto"/>
            <w:shd w:val="clear" w:color="auto" w:fill="auto"/>
            <w:tcMar>
              <w:top w:w="40" w:type="dxa"/>
              <w:left w:w="0" w:type="dxa"/>
              <w:bottom w:w="40" w:type="dxa"/>
              <w:right w:w="20" w:type="dxa"/>
            </w:tcMar>
            <w:vAlign w:val="bottom"/>
          </w:tcPr>
          <w:p w14:paraId="5A1B02D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D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D6" w14:textId="77777777" w:rsidR="00960BB8" w:rsidRDefault="00C06650">
            <w:pPr>
              <w:jc w:val="right"/>
              <w:textAlignment w:val="bottom"/>
            </w:pPr>
            <w:r>
              <w:rPr>
                <w:rFonts w:ascii="Arial" w:eastAsia="宋体" w:hAnsi="Arial" w:cs="Arial"/>
                <w:color w:val="262626"/>
                <w:sz w:val="18"/>
                <w:szCs w:val="18"/>
              </w:rPr>
              <w:t>(21,524)</w:t>
            </w:r>
          </w:p>
        </w:tc>
        <w:tc>
          <w:tcPr>
            <w:tcW w:w="0" w:type="auto"/>
            <w:shd w:val="clear" w:color="auto" w:fill="auto"/>
            <w:tcMar>
              <w:top w:w="40" w:type="dxa"/>
              <w:left w:w="0" w:type="dxa"/>
              <w:bottom w:w="40" w:type="dxa"/>
              <w:right w:w="20" w:type="dxa"/>
            </w:tcMar>
            <w:vAlign w:val="bottom"/>
          </w:tcPr>
          <w:p w14:paraId="5A1B02D7" w14:textId="77777777" w:rsidR="00960BB8" w:rsidRDefault="00960BB8">
            <w:pPr>
              <w:jc w:val="right"/>
              <w:rPr>
                <w:rFonts w:ascii="宋体"/>
              </w:rPr>
            </w:pPr>
          </w:p>
        </w:tc>
      </w:tr>
      <w:tr w:rsidR="00960BB8" w14:paraId="5A1B02E3" w14:textId="77777777">
        <w:tc>
          <w:tcPr>
            <w:tcW w:w="0" w:type="auto"/>
            <w:gridSpan w:val="3"/>
            <w:shd w:val="clear" w:color="auto" w:fill="auto"/>
            <w:tcMar>
              <w:top w:w="40" w:type="dxa"/>
              <w:left w:w="20" w:type="dxa"/>
              <w:bottom w:w="40" w:type="dxa"/>
              <w:right w:w="20" w:type="dxa"/>
            </w:tcMar>
          </w:tcPr>
          <w:p w14:paraId="5A1B02D9" w14:textId="77777777" w:rsidR="00960BB8" w:rsidRDefault="00C06650">
            <w:pPr>
              <w:textAlignment w:val="top"/>
            </w:pPr>
            <w:r>
              <w:rPr>
                <w:rFonts w:ascii="Arial" w:eastAsia="宋体" w:hAnsi="Arial" w:cs="Arial"/>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5A1B02D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DB" w14:textId="77777777" w:rsidR="00960BB8" w:rsidRDefault="00C06650">
            <w:pPr>
              <w:jc w:val="right"/>
              <w:textAlignment w:val="bottom"/>
            </w:pPr>
            <w:r>
              <w:rPr>
                <w:rFonts w:ascii="Arial" w:eastAsia="宋体" w:hAnsi="Arial" w:cs="Arial"/>
                <w:color w:val="0068B5"/>
                <w:sz w:val="18"/>
                <w:szCs w:val="18"/>
              </w:rPr>
              <w:t>1,361 </w:t>
            </w:r>
          </w:p>
        </w:tc>
        <w:tc>
          <w:tcPr>
            <w:tcW w:w="0" w:type="auto"/>
            <w:shd w:val="clear" w:color="auto" w:fill="auto"/>
            <w:tcMar>
              <w:top w:w="40" w:type="dxa"/>
              <w:left w:w="0" w:type="dxa"/>
              <w:bottom w:w="40" w:type="dxa"/>
              <w:right w:w="20" w:type="dxa"/>
            </w:tcMar>
            <w:vAlign w:val="bottom"/>
          </w:tcPr>
          <w:p w14:paraId="5A1B02D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D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DE" w14:textId="77777777" w:rsidR="00960BB8" w:rsidRDefault="00C06650">
            <w:pPr>
              <w:jc w:val="right"/>
              <w:textAlignment w:val="bottom"/>
            </w:pPr>
            <w:r>
              <w:rPr>
                <w:rFonts w:ascii="Arial" w:eastAsia="宋体" w:hAnsi="Arial" w:cs="Arial"/>
                <w:color w:val="262626"/>
                <w:sz w:val="18"/>
                <w:szCs w:val="18"/>
              </w:rPr>
              <w:t>(6,045)</w:t>
            </w:r>
          </w:p>
        </w:tc>
        <w:tc>
          <w:tcPr>
            <w:tcW w:w="0" w:type="auto"/>
            <w:shd w:val="clear" w:color="auto" w:fill="auto"/>
            <w:tcMar>
              <w:top w:w="40" w:type="dxa"/>
              <w:left w:w="0" w:type="dxa"/>
              <w:bottom w:w="40" w:type="dxa"/>
              <w:right w:w="20" w:type="dxa"/>
            </w:tcMar>
            <w:vAlign w:val="bottom"/>
          </w:tcPr>
          <w:p w14:paraId="5A1B02D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E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2E1" w14:textId="77777777" w:rsidR="00960BB8" w:rsidRDefault="00C06650">
            <w:pPr>
              <w:jc w:val="right"/>
              <w:textAlignment w:val="bottom"/>
            </w:pPr>
            <w:r>
              <w:rPr>
                <w:rFonts w:ascii="Arial" w:eastAsia="宋体" w:hAnsi="Arial" w:cs="Arial"/>
                <w:color w:val="262626"/>
                <w:sz w:val="18"/>
                <w:szCs w:val="18"/>
              </w:rPr>
              <w:t>(12,669)</w:t>
            </w:r>
          </w:p>
        </w:tc>
        <w:tc>
          <w:tcPr>
            <w:tcW w:w="0" w:type="auto"/>
            <w:shd w:val="clear" w:color="auto" w:fill="auto"/>
            <w:tcMar>
              <w:top w:w="40" w:type="dxa"/>
              <w:left w:w="0" w:type="dxa"/>
              <w:bottom w:w="40" w:type="dxa"/>
              <w:right w:w="20" w:type="dxa"/>
            </w:tcMar>
            <w:vAlign w:val="bottom"/>
          </w:tcPr>
          <w:p w14:paraId="5A1B02E2" w14:textId="77777777" w:rsidR="00960BB8" w:rsidRDefault="00960BB8">
            <w:pPr>
              <w:jc w:val="right"/>
              <w:rPr>
                <w:rFonts w:ascii="宋体"/>
              </w:rPr>
            </w:pPr>
          </w:p>
        </w:tc>
      </w:tr>
      <w:tr w:rsidR="00960BB8" w14:paraId="5A1B02EB" w14:textId="77777777">
        <w:trPr>
          <w:hidden/>
        </w:trPr>
        <w:tc>
          <w:tcPr>
            <w:tcW w:w="0" w:type="auto"/>
            <w:gridSpan w:val="3"/>
            <w:shd w:val="clear" w:color="auto" w:fill="auto"/>
            <w:vAlign w:val="bottom"/>
          </w:tcPr>
          <w:p w14:paraId="5A1B02E4" w14:textId="77777777" w:rsidR="00960BB8" w:rsidRDefault="00960BB8">
            <w:pPr>
              <w:rPr>
                <w:rFonts w:ascii="宋体"/>
                <w:vanish/>
              </w:rPr>
            </w:pPr>
          </w:p>
        </w:tc>
        <w:tc>
          <w:tcPr>
            <w:tcW w:w="0" w:type="auto"/>
            <w:gridSpan w:val="3"/>
            <w:shd w:val="clear" w:color="auto" w:fill="auto"/>
            <w:vAlign w:val="bottom"/>
          </w:tcPr>
          <w:p w14:paraId="5A1B02E5" w14:textId="77777777" w:rsidR="00960BB8" w:rsidRDefault="00960BB8">
            <w:pPr>
              <w:rPr>
                <w:rFonts w:ascii="宋体"/>
                <w:vanish/>
              </w:rPr>
            </w:pPr>
          </w:p>
        </w:tc>
        <w:tc>
          <w:tcPr>
            <w:tcW w:w="0" w:type="auto"/>
            <w:gridSpan w:val="3"/>
            <w:shd w:val="clear" w:color="auto" w:fill="auto"/>
            <w:vAlign w:val="bottom"/>
          </w:tcPr>
          <w:p w14:paraId="5A1B02E6" w14:textId="77777777" w:rsidR="00960BB8" w:rsidRDefault="00960BB8">
            <w:pPr>
              <w:rPr>
                <w:rFonts w:ascii="宋体"/>
                <w:vanish/>
              </w:rPr>
            </w:pPr>
          </w:p>
        </w:tc>
        <w:tc>
          <w:tcPr>
            <w:tcW w:w="0" w:type="auto"/>
            <w:gridSpan w:val="3"/>
            <w:shd w:val="clear" w:color="auto" w:fill="auto"/>
            <w:vAlign w:val="bottom"/>
          </w:tcPr>
          <w:p w14:paraId="5A1B02E7" w14:textId="77777777" w:rsidR="00960BB8" w:rsidRDefault="00960BB8">
            <w:pPr>
              <w:rPr>
                <w:rFonts w:ascii="宋体"/>
                <w:vanish/>
              </w:rPr>
            </w:pPr>
          </w:p>
        </w:tc>
        <w:tc>
          <w:tcPr>
            <w:tcW w:w="0" w:type="auto"/>
            <w:gridSpan w:val="3"/>
            <w:shd w:val="clear" w:color="auto" w:fill="auto"/>
            <w:vAlign w:val="bottom"/>
          </w:tcPr>
          <w:p w14:paraId="5A1B02E8" w14:textId="77777777" w:rsidR="00960BB8" w:rsidRDefault="00960BB8">
            <w:pPr>
              <w:rPr>
                <w:rFonts w:ascii="宋体"/>
                <w:vanish/>
              </w:rPr>
            </w:pPr>
          </w:p>
        </w:tc>
        <w:tc>
          <w:tcPr>
            <w:tcW w:w="0" w:type="auto"/>
            <w:gridSpan w:val="3"/>
            <w:shd w:val="clear" w:color="auto" w:fill="auto"/>
            <w:vAlign w:val="bottom"/>
          </w:tcPr>
          <w:p w14:paraId="5A1B02E9" w14:textId="77777777" w:rsidR="00960BB8" w:rsidRDefault="00960BB8">
            <w:pPr>
              <w:rPr>
                <w:rFonts w:ascii="宋体"/>
                <w:vanish/>
              </w:rPr>
            </w:pPr>
          </w:p>
        </w:tc>
        <w:tc>
          <w:tcPr>
            <w:tcW w:w="0" w:type="auto"/>
            <w:gridSpan w:val="3"/>
            <w:shd w:val="clear" w:color="auto" w:fill="auto"/>
            <w:vAlign w:val="bottom"/>
          </w:tcPr>
          <w:p w14:paraId="5A1B02EA" w14:textId="77777777" w:rsidR="00960BB8" w:rsidRDefault="00960BB8">
            <w:pPr>
              <w:rPr>
                <w:rFonts w:ascii="宋体"/>
                <w:vanish/>
              </w:rPr>
            </w:pPr>
          </w:p>
        </w:tc>
      </w:tr>
      <w:tr w:rsidR="00960BB8" w14:paraId="5A1B02F9" w14:textId="77777777">
        <w:tc>
          <w:tcPr>
            <w:tcW w:w="0" w:type="auto"/>
            <w:gridSpan w:val="3"/>
            <w:shd w:val="clear" w:color="auto" w:fill="auto"/>
            <w:tcMar>
              <w:top w:w="40" w:type="dxa"/>
              <w:left w:w="20" w:type="dxa"/>
              <w:bottom w:w="40" w:type="dxa"/>
              <w:right w:w="20" w:type="dxa"/>
            </w:tcMar>
          </w:tcPr>
          <w:p w14:paraId="5A1B02EC" w14:textId="77777777" w:rsidR="00960BB8" w:rsidRDefault="00C06650">
            <w:pPr>
              <w:textAlignment w:val="top"/>
            </w:pPr>
            <w:r>
              <w:rPr>
                <w:rFonts w:ascii="Arial" w:eastAsia="宋体" w:hAnsi="Arial" w:cs="Arial"/>
                <w:b/>
                <w:bCs/>
                <w:color w:val="262626"/>
                <w:sz w:val="18"/>
                <w:szCs w:val="18"/>
              </w:rPr>
              <w:t xml:space="preserve">Net increase (decrease) in </w:t>
            </w:r>
            <w:r>
              <w:rPr>
                <w:rFonts w:ascii="Arial" w:eastAsia="宋体" w:hAnsi="Arial" w:cs="Arial"/>
                <w:b/>
                <w:bCs/>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5A1B02ED"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02EE"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02EF" w14:textId="77777777" w:rsidR="00960BB8" w:rsidRDefault="00C06650">
            <w:pPr>
              <w:jc w:val="right"/>
              <w:textAlignment w:val="bottom"/>
            </w:pPr>
            <w:r>
              <w:rPr>
                <w:rFonts w:ascii="Arial" w:eastAsia="宋体" w:hAnsi="Arial" w:cs="Arial"/>
                <w:b/>
                <w:bCs/>
                <w:color w:val="0068B5"/>
                <w:sz w:val="18"/>
                <w:szCs w:val="18"/>
              </w:rPr>
              <w:t>6,317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02F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F1"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02F2"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02F3" w14:textId="77777777" w:rsidR="00960BB8" w:rsidRDefault="00C06650">
            <w:pPr>
              <w:jc w:val="right"/>
              <w:textAlignment w:val="bottom"/>
            </w:pPr>
            <w:r>
              <w:rPr>
                <w:rFonts w:ascii="Arial" w:eastAsia="宋体" w:hAnsi="Arial" w:cs="Arial"/>
                <w:b/>
                <w:bCs/>
                <w:color w:val="262626"/>
                <w:sz w:val="18"/>
                <w:szCs w:val="18"/>
              </w:rPr>
              <w:t>(1,038)</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02F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2F5"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02F6"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02F7" w14:textId="77777777" w:rsidR="00960BB8" w:rsidRDefault="00C06650">
            <w:pPr>
              <w:jc w:val="right"/>
              <w:textAlignment w:val="bottom"/>
            </w:pPr>
            <w:r>
              <w:rPr>
                <w:rFonts w:ascii="Arial" w:eastAsia="宋体" w:hAnsi="Arial" w:cs="Arial"/>
                <w:b/>
                <w:bCs/>
                <w:color w:val="262626"/>
                <w:sz w:val="18"/>
                <w:szCs w:val="18"/>
              </w:rPr>
              <w:t>1,671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02F8" w14:textId="77777777" w:rsidR="00960BB8" w:rsidRDefault="00960BB8">
            <w:pPr>
              <w:jc w:val="right"/>
              <w:rPr>
                <w:rFonts w:ascii="宋体"/>
              </w:rPr>
            </w:pPr>
          </w:p>
        </w:tc>
      </w:tr>
    </w:tbl>
    <w:p w14:paraId="5A1B02FA" w14:textId="77777777" w:rsidR="00960BB8" w:rsidRDefault="00C06650">
      <w:pPr>
        <w:spacing w:after="180"/>
      </w:pPr>
      <w:r>
        <w:rPr>
          <w:rFonts w:ascii="Arial" w:eastAsia="宋体" w:hAnsi="Arial" w:cs="Arial"/>
          <w:color w:val="0068B5"/>
        </w:rPr>
        <w:t>Operating Activities</w:t>
      </w:r>
    </w:p>
    <w:p w14:paraId="5A1B02FB" w14:textId="77777777" w:rsidR="00960BB8" w:rsidRDefault="00C06650">
      <w:pPr>
        <w:spacing w:after="180"/>
      </w:pPr>
      <w:r>
        <w:rPr>
          <w:rFonts w:ascii="Arial" w:eastAsia="宋体" w:hAnsi="Arial" w:cs="Arial"/>
          <w:color w:val="262626"/>
          <w:sz w:val="18"/>
          <w:szCs w:val="18"/>
        </w:rPr>
        <w:t>Cash provided by operating activities is net income adjusted for certain non-cash items and changes in assets and liabilities.</w:t>
      </w:r>
    </w:p>
    <w:p w14:paraId="5A1B02FC" w14:textId="77777777" w:rsidR="00960BB8" w:rsidRDefault="00C06650">
      <w:pPr>
        <w:spacing w:after="180"/>
      </w:pPr>
      <w:r>
        <w:rPr>
          <w:rFonts w:ascii="Arial" w:eastAsia="宋体" w:hAnsi="Arial" w:cs="Arial"/>
          <w:color w:val="262626"/>
          <w:sz w:val="18"/>
          <w:szCs w:val="18"/>
        </w:rPr>
        <w:t xml:space="preserve">For 2022 compared to 2021, the $14.0 </w:t>
      </w:r>
      <w:r>
        <w:rPr>
          <w:rFonts w:ascii="Arial" w:eastAsia="宋体" w:hAnsi="Arial" w:cs="Arial"/>
          <w:color w:val="262626"/>
          <w:sz w:val="18"/>
          <w:szCs w:val="18"/>
        </w:rPr>
        <w:t>billion decrease in cash provided by operating activities was primarily driven by lower 2022 net income after adjusting for non-cash items, including the gain on the sale of McAfee and the pre-tax gain from the divestiture of our NAND business; partially o</w:t>
      </w:r>
      <w:r>
        <w:rPr>
          <w:rFonts w:ascii="Arial" w:eastAsia="宋体" w:hAnsi="Arial" w:cs="Arial"/>
          <w:color w:val="262626"/>
          <w:sz w:val="18"/>
          <w:szCs w:val="18"/>
        </w:rPr>
        <w:t>ffset by 2022 cash-favorable working capital changes compared to 2021.</w:t>
      </w:r>
    </w:p>
    <w:p w14:paraId="5A1B02FD" w14:textId="77777777" w:rsidR="00960BB8" w:rsidRDefault="00C06650">
      <w:pPr>
        <w:spacing w:after="180"/>
      </w:pPr>
      <w:r>
        <w:rPr>
          <w:rFonts w:ascii="Arial" w:eastAsia="宋体" w:hAnsi="Arial" w:cs="Arial"/>
          <w:color w:val="262626"/>
          <w:sz w:val="18"/>
          <w:szCs w:val="18"/>
        </w:rPr>
        <w:t>For 2021 compared to 2020, the $6.4 billion decrease in cash provided by operating activities was primarily driven by a decrease in net working capital contributions and cash paid to se</w:t>
      </w:r>
      <w:r>
        <w:rPr>
          <w:rFonts w:ascii="Arial" w:eastAsia="宋体" w:hAnsi="Arial" w:cs="Arial"/>
          <w:color w:val="262626"/>
          <w:sz w:val="18"/>
          <w:szCs w:val="18"/>
        </w:rPr>
        <w:t>ttle a prepaid customer supply agreement in Q1 2021, partially offset by a McAfee special dividend received in Q3 2021.</w:t>
      </w:r>
    </w:p>
    <w:p w14:paraId="5A1B02FE" w14:textId="77777777" w:rsidR="00960BB8" w:rsidRDefault="00C06650">
      <w:pPr>
        <w:spacing w:after="180"/>
      </w:pPr>
      <w:r>
        <w:rPr>
          <w:rFonts w:ascii="Arial" w:eastAsia="宋体" w:hAnsi="Arial" w:cs="Arial"/>
          <w:color w:val="0068B5"/>
        </w:rPr>
        <w:t>Investing Activities</w:t>
      </w:r>
    </w:p>
    <w:p w14:paraId="5A1B02FF" w14:textId="77777777" w:rsidR="00960BB8" w:rsidRDefault="00C06650">
      <w:pPr>
        <w:spacing w:after="180"/>
      </w:pPr>
      <w:r>
        <w:rPr>
          <w:rFonts w:ascii="Arial" w:eastAsia="宋体" w:hAnsi="Arial" w:cs="Arial"/>
          <w:color w:val="262626"/>
          <w:sz w:val="18"/>
          <w:szCs w:val="18"/>
        </w:rPr>
        <w:t>Investing cash flows consist primarily of capital expenditures; investment purchases, sales, maturities, and dispos</w:t>
      </w:r>
      <w:r>
        <w:rPr>
          <w:rFonts w:ascii="Arial" w:eastAsia="宋体" w:hAnsi="Arial" w:cs="Arial"/>
          <w:color w:val="262626"/>
          <w:sz w:val="18"/>
          <w:szCs w:val="18"/>
        </w:rPr>
        <w:t xml:space="preserve">als; cash used for acquisitions; and proceeds from divestitures. Our capital expenditures were $24.8 billion in 2022 ($18.7 billion in 2021 and $14.3 billion in 2020). </w:t>
      </w:r>
    </w:p>
    <w:p w14:paraId="5A1B0300" w14:textId="77777777" w:rsidR="00960BB8" w:rsidRDefault="00C06650">
      <w:pPr>
        <w:spacing w:after="180"/>
      </w:pPr>
      <w:r>
        <w:rPr>
          <w:rFonts w:ascii="Arial" w:eastAsia="宋体" w:hAnsi="Arial" w:cs="Arial"/>
          <w:color w:val="262626"/>
          <w:sz w:val="18"/>
          <w:szCs w:val="18"/>
        </w:rPr>
        <w:t>The decrease in cash used for investing activities in 2022 compared to 2021 was primari</w:t>
      </w:r>
      <w:r>
        <w:rPr>
          <w:rFonts w:ascii="Arial" w:eastAsia="宋体" w:hAnsi="Arial" w:cs="Arial"/>
          <w:color w:val="262626"/>
          <w:sz w:val="18"/>
          <w:szCs w:val="18"/>
        </w:rPr>
        <w:t>ly due to increased maturities and sales of short-term investments, proceeds from the divestiture of our NAND business, and proceeds from the sale of our remaining share of McAfee, partially offset by an increase in capital expenditures.</w:t>
      </w:r>
    </w:p>
    <w:p w14:paraId="5A1B0301" w14:textId="77777777" w:rsidR="00960BB8" w:rsidRDefault="00C06650">
      <w:pPr>
        <w:spacing w:after="180"/>
      </w:pPr>
      <w:r>
        <w:rPr>
          <w:rFonts w:ascii="Arial" w:eastAsia="宋体" w:hAnsi="Arial" w:cs="Arial"/>
          <w:color w:val="262626"/>
          <w:sz w:val="18"/>
          <w:szCs w:val="18"/>
        </w:rPr>
        <w:t>The increase in ca</w:t>
      </w:r>
      <w:r>
        <w:rPr>
          <w:rFonts w:ascii="Arial" w:eastAsia="宋体" w:hAnsi="Arial" w:cs="Arial"/>
          <w:color w:val="262626"/>
          <w:sz w:val="18"/>
          <w:szCs w:val="18"/>
        </w:rPr>
        <w:t>sh used for investing activities in 2021 compared to 2020 was primarily due to an increase in capital expenditures, partially offset by lower 2021 purchases of short-term investments, net of maturities and sales.</w:t>
      </w:r>
    </w:p>
    <w:p w14:paraId="5A1B0302" w14:textId="77777777" w:rsidR="00960BB8" w:rsidRDefault="00C06650">
      <w:pPr>
        <w:spacing w:after="180"/>
      </w:pPr>
      <w:r>
        <w:rPr>
          <w:rFonts w:ascii="Arial" w:eastAsia="宋体" w:hAnsi="Arial" w:cs="Arial"/>
          <w:color w:val="0068B5"/>
        </w:rPr>
        <w:t>Financing Activities</w:t>
      </w:r>
    </w:p>
    <w:p w14:paraId="5A1B0303" w14:textId="77777777" w:rsidR="00960BB8" w:rsidRDefault="00C06650">
      <w:pPr>
        <w:spacing w:after="180"/>
      </w:pPr>
      <w:r>
        <w:rPr>
          <w:rFonts w:ascii="Arial" w:eastAsia="宋体" w:hAnsi="Arial" w:cs="Arial"/>
          <w:color w:val="262626"/>
          <w:sz w:val="18"/>
          <w:szCs w:val="18"/>
        </w:rPr>
        <w:t>Financing cash flows c</w:t>
      </w:r>
      <w:r>
        <w:rPr>
          <w:rFonts w:ascii="Arial" w:eastAsia="宋体" w:hAnsi="Arial" w:cs="Arial"/>
          <w:color w:val="262626"/>
          <w:sz w:val="18"/>
          <w:szCs w:val="18"/>
        </w:rPr>
        <w:t>onsist primarily of payment of dividends to stockholders, issuance and repayment of short-term and long-term debt, repurchases of common stock, and proceeds from the sale of shares of common stock through employee equity incentive plans.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30D" w14:textId="77777777">
        <w:tc>
          <w:tcPr>
            <w:tcW w:w="50" w:type="pct"/>
            <w:shd w:val="clear" w:color="auto" w:fill="auto"/>
            <w:vAlign w:val="bottom"/>
          </w:tcPr>
          <w:p w14:paraId="5A1B0304" w14:textId="77777777" w:rsidR="00960BB8" w:rsidRDefault="00960BB8">
            <w:pPr>
              <w:rPr>
                <w:rFonts w:ascii="宋体"/>
              </w:rPr>
            </w:pPr>
          </w:p>
        </w:tc>
        <w:tc>
          <w:tcPr>
            <w:tcW w:w="283" w:type="pct"/>
            <w:shd w:val="clear" w:color="auto" w:fill="auto"/>
            <w:vAlign w:val="bottom"/>
          </w:tcPr>
          <w:p w14:paraId="5A1B0305" w14:textId="77777777" w:rsidR="00960BB8" w:rsidRDefault="00960BB8">
            <w:pPr>
              <w:rPr>
                <w:rFonts w:ascii="宋体"/>
              </w:rPr>
            </w:pPr>
          </w:p>
        </w:tc>
        <w:tc>
          <w:tcPr>
            <w:tcW w:w="5" w:type="pct"/>
            <w:shd w:val="clear" w:color="auto" w:fill="auto"/>
            <w:vAlign w:val="bottom"/>
          </w:tcPr>
          <w:p w14:paraId="5A1B0306" w14:textId="77777777" w:rsidR="00960BB8" w:rsidRDefault="00960BB8">
            <w:pPr>
              <w:rPr>
                <w:rFonts w:ascii="宋体"/>
              </w:rPr>
            </w:pPr>
          </w:p>
        </w:tc>
        <w:tc>
          <w:tcPr>
            <w:tcW w:w="50" w:type="pct"/>
            <w:shd w:val="clear" w:color="auto" w:fill="auto"/>
            <w:vAlign w:val="bottom"/>
          </w:tcPr>
          <w:p w14:paraId="5A1B0307" w14:textId="77777777" w:rsidR="00960BB8" w:rsidRDefault="00960BB8">
            <w:pPr>
              <w:rPr>
                <w:rFonts w:ascii="宋体"/>
              </w:rPr>
            </w:pPr>
          </w:p>
        </w:tc>
        <w:tc>
          <w:tcPr>
            <w:tcW w:w="2656" w:type="pct"/>
            <w:shd w:val="clear" w:color="auto" w:fill="auto"/>
            <w:vAlign w:val="bottom"/>
          </w:tcPr>
          <w:p w14:paraId="5A1B0308" w14:textId="77777777" w:rsidR="00960BB8" w:rsidRDefault="00960BB8">
            <w:pPr>
              <w:rPr>
                <w:rFonts w:ascii="宋体"/>
              </w:rPr>
            </w:pPr>
          </w:p>
        </w:tc>
        <w:tc>
          <w:tcPr>
            <w:tcW w:w="5" w:type="pct"/>
            <w:shd w:val="clear" w:color="auto" w:fill="auto"/>
            <w:vAlign w:val="bottom"/>
          </w:tcPr>
          <w:p w14:paraId="5A1B0309" w14:textId="77777777" w:rsidR="00960BB8" w:rsidRDefault="00960BB8">
            <w:pPr>
              <w:rPr>
                <w:rFonts w:ascii="宋体"/>
              </w:rPr>
            </w:pPr>
          </w:p>
        </w:tc>
        <w:tc>
          <w:tcPr>
            <w:tcW w:w="50" w:type="pct"/>
            <w:shd w:val="clear" w:color="auto" w:fill="auto"/>
            <w:vAlign w:val="bottom"/>
          </w:tcPr>
          <w:p w14:paraId="5A1B030A" w14:textId="77777777" w:rsidR="00960BB8" w:rsidRDefault="00960BB8">
            <w:pPr>
              <w:rPr>
                <w:rFonts w:ascii="宋体"/>
              </w:rPr>
            </w:pPr>
          </w:p>
        </w:tc>
        <w:tc>
          <w:tcPr>
            <w:tcW w:w="1894" w:type="pct"/>
            <w:shd w:val="clear" w:color="auto" w:fill="auto"/>
            <w:vAlign w:val="bottom"/>
          </w:tcPr>
          <w:p w14:paraId="5A1B030B" w14:textId="77777777" w:rsidR="00960BB8" w:rsidRDefault="00960BB8">
            <w:pPr>
              <w:rPr>
                <w:rFonts w:ascii="宋体"/>
              </w:rPr>
            </w:pPr>
          </w:p>
        </w:tc>
        <w:tc>
          <w:tcPr>
            <w:tcW w:w="5" w:type="pct"/>
            <w:shd w:val="clear" w:color="auto" w:fill="auto"/>
            <w:vAlign w:val="bottom"/>
          </w:tcPr>
          <w:p w14:paraId="5A1B030C" w14:textId="77777777" w:rsidR="00960BB8" w:rsidRDefault="00960BB8">
            <w:pPr>
              <w:rPr>
                <w:rFonts w:ascii="宋体"/>
              </w:rPr>
            </w:pPr>
          </w:p>
        </w:tc>
      </w:tr>
      <w:tr w:rsidR="00960BB8" w14:paraId="5A1B031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30E"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0A" wp14:editId="5A1B440B">
                  <wp:extent cx="304800" cy="304800"/>
                  <wp:effectExtent l="0" t="0" r="0" b="0"/>
                  <wp:docPr id="62" name="图片 18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80"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30F"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310" w14:textId="77777777" w:rsidR="00960BB8" w:rsidRDefault="00C06650">
            <w:pPr>
              <w:jc w:val="right"/>
              <w:textAlignment w:val="center"/>
            </w:pPr>
            <w:r>
              <w:rPr>
                <w:rFonts w:ascii="Arial" w:eastAsia="宋体" w:hAnsi="Arial" w:cs="Arial"/>
                <w:color w:val="262626"/>
                <w:sz w:val="16"/>
                <w:szCs w:val="16"/>
              </w:rPr>
              <w:t>46</w:t>
            </w:r>
          </w:p>
        </w:tc>
      </w:tr>
    </w:tbl>
    <w:p w14:paraId="5A1B0312" w14:textId="77777777" w:rsidR="00960BB8" w:rsidRDefault="00C06650">
      <w:r>
        <w:pict w14:anchorId="5A1B440C">
          <v:rect id="_x0000_i1072" style="width:415.3pt;height:1.5pt" o:hralign="center" o:hrstd="t" o:hr="t" fillcolor="#a0a0a0" stroked="f"/>
        </w:pict>
      </w:r>
    </w:p>
    <w:p w14:paraId="5A1B0313" w14:textId="77777777" w:rsidR="00960BB8" w:rsidRDefault="00C06650">
      <w:pPr>
        <w:jc w:val="right"/>
      </w:pPr>
      <w:hyperlink r:id="rId65" w:anchor="i8aaa7b4dbd2e419ca0f5c30af85a11aa_16" w:history="1">
        <w:r>
          <w:rPr>
            <w:rStyle w:val="a5"/>
            <w:rFonts w:ascii="Arial" w:eastAsia="宋体" w:hAnsi="Arial" w:cs="Arial"/>
            <w:b/>
            <w:bCs/>
            <w:sz w:val="16"/>
            <w:szCs w:val="16"/>
          </w:rPr>
          <w:t>Table of Contents</w:t>
        </w:r>
      </w:hyperlink>
    </w:p>
    <w:p w14:paraId="5A1B0314" w14:textId="77777777" w:rsidR="00960BB8" w:rsidRDefault="00960BB8">
      <w:pPr>
        <w:jc w:val="right"/>
      </w:pPr>
    </w:p>
    <w:p w14:paraId="5A1B0315" w14:textId="77777777" w:rsidR="00960BB8" w:rsidRDefault="00C06650">
      <w:pPr>
        <w:spacing w:after="180"/>
      </w:pPr>
      <w:r>
        <w:rPr>
          <w:rFonts w:ascii="Arial" w:eastAsia="宋体" w:hAnsi="Arial" w:cs="Arial"/>
          <w:color w:val="262626"/>
          <w:sz w:val="18"/>
          <w:szCs w:val="18"/>
        </w:rPr>
        <w:t>Cash provided by financing activities in 2022 compared to cash used for financing a</w:t>
      </w:r>
      <w:r>
        <w:rPr>
          <w:rFonts w:ascii="Arial" w:eastAsia="宋体" w:hAnsi="Arial" w:cs="Arial"/>
          <w:color w:val="262626"/>
          <w:sz w:val="18"/>
          <w:szCs w:val="18"/>
        </w:rPr>
        <w:t>ctivities in 2021 primarily due to higher commercial paper and debt issuances, our 2022 curtailment of common stock repurchases, proceeds from the Mobileye IPO, and partner contributions for joint investments; partially offset by higher 2022 debt repayment</w:t>
      </w:r>
      <w:r>
        <w:rPr>
          <w:rFonts w:ascii="Arial" w:eastAsia="宋体" w:hAnsi="Arial" w:cs="Arial"/>
          <w:color w:val="262626"/>
          <w:sz w:val="18"/>
          <w:szCs w:val="18"/>
        </w:rPr>
        <w:t xml:space="preserve">s. Our total dividend payments were $6.0 billion in 2022 compared to $5.6 billion in 2021. We have paid a cash dividend in each of the past 121 quarters. </w:t>
      </w:r>
    </w:p>
    <w:p w14:paraId="5A1B0316" w14:textId="77777777" w:rsidR="00960BB8" w:rsidRDefault="00C06650">
      <w:pPr>
        <w:spacing w:after="180"/>
      </w:pPr>
      <w:r>
        <w:rPr>
          <w:rFonts w:ascii="Arial" w:eastAsia="宋体" w:hAnsi="Arial" w:cs="Arial"/>
          <w:color w:val="262626"/>
          <w:sz w:val="18"/>
          <w:szCs w:val="18"/>
        </w:rPr>
        <w:t>The decrease in cash used for financing activities in 2021 compared to 2020 was primarily due to a de</w:t>
      </w:r>
      <w:r>
        <w:rPr>
          <w:rFonts w:ascii="Arial" w:eastAsia="宋体" w:hAnsi="Arial" w:cs="Arial"/>
          <w:color w:val="262626"/>
          <w:sz w:val="18"/>
          <w:szCs w:val="18"/>
        </w:rPr>
        <w:t>crease in repurchases of common stock and a decrease in repayments of debt and debt conversions, partially offset by a decrease in cash provided by long-term debt issuances.</w:t>
      </w:r>
    </w:p>
    <w:p w14:paraId="5A1B0317" w14:textId="77777777" w:rsidR="00960BB8" w:rsidRDefault="00C06650">
      <w:pPr>
        <w:spacing w:before="180" w:after="180"/>
      </w:pPr>
      <w:r>
        <w:rPr>
          <w:rFonts w:ascii="Arial" w:eastAsia="宋体" w:hAnsi="Arial" w:cs="Arial"/>
          <w:color w:val="0068B5"/>
          <w:sz w:val="28"/>
          <w:szCs w:val="28"/>
        </w:rPr>
        <w:t>Critical Accounting Estimates</w:t>
      </w:r>
    </w:p>
    <w:p w14:paraId="5A1B0318" w14:textId="77777777" w:rsidR="00960BB8" w:rsidRDefault="00C06650">
      <w:pPr>
        <w:spacing w:after="180"/>
      </w:pPr>
      <w:r>
        <w:rPr>
          <w:rFonts w:ascii="Arial" w:eastAsia="宋体" w:hAnsi="Arial" w:cs="Arial"/>
          <w:color w:val="262626"/>
          <w:sz w:val="18"/>
          <w:szCs w:val="18"/>
        </w:rPr>
        <w:t xml:space="preserve">The methods, assumptions, and estimates that we use </w:t>
      </w:r>
      <w:r>
        <w:rPr>
          <w:rFonts w:ascii="Arial" w:eastAsia="宋体" w:hAnsi="Arial" w:cs="Arial"/>
          <w:color w:val="262626"/>
          <w:sz w:val="18"/>
          <w:szCs w:val="18"/>
        </w:rPr>
        <w:t>in applying our accounting policies may require us to apply judgments regarding matters that are inherently uncertain. We consider an accounting policy to be a critical estimate if: (1) we must make assumptions that were uncertain when the judgment was mad</w:t>
      </w:r>
      <w:r>
        <w:rPr>
          <w:rFonts w:ascii="Arial" w:eastAsia="宋体" w:hAnsi="Arial" w:cs="Arial"/>
          <w:color w:val="262626"/>
          <w:sz w:val="18"/>
          <w:szCs w:val="18"/>
        </w:rPr>
        <w:t>e, and (2) changes in the estimate assumptions, or selection of a different estimate methodology, could have a significant impact on our financial position and the results that we report in our Consolidated Financial Statements. While we believe that our e</w:t>
      </w:r>
      <w:r>
        <w:rPr>
          <w:rFonts w:ascii="Arial" w:eastAsia="宋体" w:hAnsi="Arial" w:cs="Arial"/>
          <w:color w:val="262626"/>
          <w:sz w:val="18"/>
          <w:szCs w:val="18"/>
        </w:rPr>
        <w:t>stimates, assumptions, and judgments are reasonable, they are based on information available when the estimate was made.</w:t>
      </w:r>
    </w:p>
    <w:p w14:paraId="5A1B0319" w14:textId="77777777" w:rsidR="00960BB8" w:rsidRDefault="00C06650">
      <w:pPr>
        <w:spacing w:after="180"/>
      </w:pPr>
      <w:r>
        <w:rPr>
          <w:rFonts w:ascii="Arial" w:eastAsia="宋体" w:hAnsi="Arial" w:cs="Arial"/>
          <w:color w:val="262626"/>
          <w:sz w:val="18"/>
          <w:szCs w:val="18"/>
        </w:rPr>
        <w:t>Refer to "Note 2: Accounting Policies" within the Notes to Consolidated Financial Statements for further information on our critical ac</w:t>
      </w:r>
      <w:r>
        <w:rPr>
          <w:rFonts w:ascii="Arial" w:eastAsia="宋体" w:hAnsi="Arial" w:cs="Arial"/>
          <w:color w:val="262626"/>
          <w:sz w:val="18"/>
          <w:szCs w:val="18"/>
        </w:rPr>
        <w:t>counting estimates, which are as follows, as well as our significant accounting policies:</w:t>
      </w:r>
    </w:p>
    <w:p w14:paraId="5A1B031A" w14:textId="77777777" w:rsidR="00960BB8" w:rsidRDefault="00C06650">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Inventories</w:t>
      </w:r>
      <w:r>
        <w:rPr>
          <w:rFonts w:ascii="Arial" w:eastAsia="宋体" w:hAnsi="Arial" w:cs="Arial"/>
          <w:color w:val="262626"/>
          <w:sz w:val="18"/>
          <w:szCs w:val="18"/>
        </w:rPr>
        <w:t xml:space="preserve">—the transition of manufacturing costs to inventory, net of factory excess capacity costs. Inventory reflected at the lower of cost or net realizable value considering forecasted future demand and market conditions; </w:t>
      </w:r>
    </w:p>
    <w:p w14:paraId="5A1B031B" w14:textId="77777777" w:rsidR="00960BB8" w:rsidRDefault="00C06650">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Long-lived assets</w:t>
      </w:r>
      <w:r>
        <w:rPr>
          <w:rFonts w:ascii="Arial" w:eastAsia="宋体" w:hAnsi="Arial" w:cs="Arial"/>
          <w:color w:val="262626"/>
          <w:sz w:val="18"/>
          <w:szCs w:val="18"/>
        </w:rPr>
        <w:t xml:space="preserve">—the </w:t>
      </w:r>
      <w:r>
        <w:rPr>
          <w:rFonts w:ascii="Arial" w:eastAsia="宋体" w:hAnsi="Arial" w:cs="Arial"/>
          <w:color w:val="262626"/>
          <w:sz w:val="18"/>
          <w:szCs w:val="18"/>
        </w:rPr>
        <w:t>valuation methods and assumptions used in assessing the impairment and evaluation of useful lives of property, plant and equipment, identified intangibles, and impairment of goodwill, including the determination of asset groupings and the identification an</w:t>
      </w:r>
      <w:r>
        <w:rPr>
          <w:rFonts w:ascii="Arial" w:eastAsia="宋体" w:hAnsi="Arial" w:cs="Arial"/>
          <w:color w:val="262626"/>
          <w:sz w:val="18"/>
          <w:szCs w:val="18"/>
        </w:rPr>
        <w:t>d allocation of goodwill to reporting units;</w:t>
      </w:r>
    </w:p>
    <w:p w14:paraId="5A1B031C" w14:textId="77777777" w:rsidR="00960BB8" w:rsidRDefault="00C06650">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Non-marketable equity investments</w:t>
      </w:r>
      <w:r>
        <w:rPr>
          <w:rFonts w:ascii="Arial" w:eastAsia="宋体" w:hAnsi="Arial" w:cs="Arial"/>
          <w:color w:val="262626"/>
          <w:sz w:val="18"/>
          <w:szCs w:val="18"/>
        </w:rPr>
        <w:t>—the valuation estimates and assessment of impairment and observable price adjustments; and</w:t>
      </w:r>
    </w:p>
    <w:p w14:paraId="5A1B031D" w14:textId="77777777" w:rsidR="00960BB8" w:rsidRDefault="00C06650">
      <w:pP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Loss contingencies</w:t>
      </w:r>
      <w:r>
        <w:rPr>
          <w:rFonts w:ascii="Arial" w:eastAsia="宋体" w:hAnsi="Arial" w:cs="Arial"/>
          <w:color w:val="262626"/>
          <w:sz w:val="18"/>
          <w:szCs w:val="18"/>
        </w:rPr>
        <w:t>—the estimation of when a loss is probable and reasonably estimabl</w:t>
      </w:r>
      <w:r>
        <w:rPr>
          <w:rFonts w:ascii="Arial" w:eastAsia="宋体" w:hAnsi="Arial" w:cs="Arial"/>
          <w:color w:val="262626"/>
          <w:sz w:val="18"/>
          <w:szCs w:val="18"/>
        </w:rPr>
        <w:t>e.</w:t>
      </w:r>
    </w:p>
    <w:p w14:paraId="5A1B031E" w14:textId="77777777" w:rsidR="00960BB8" w:rsidRDefault="00C06650">
      <w:pPr>
        <w:spacing w:before="180" w:after="180"/>
      </w:pPr>
      <w:r>
        <w:rPr>
          <w:rFonts w:ascii="Arial" w:eastAsia="宋体" w:hAnsi="Arial" w:cs="Arial"/>
          <w:color w:val="0068B5"/>
          <w:sz w:val="28"/>
          <w:szCs w:val="28"/>
        </w:rPr>
        <w:t>Non-GAAP Financial Measures</w:t>
      </w:r>
    </w:p>
    <w:p w14:paraId="5A1B031F" w14:textId="77777777" w:rsidR="00960BB8" w:rsidRDefault="00C06650">
      <w:pPr>
        <w:spacing w:after="180"/>
      </w:pPr>
      <w:r>
        <w:rPr>
          <w:rFonts w:ascii="Arial" w:eastAsia="宋体" w:hAnsi="Arial" w:cs="Arial"/>
          <w:color w:val="262626"/>
          <w:sz w:val="18"/>
          <w:szCs w:val="18"/>
        </w:rPr>
        <w:t>In addition to disclosing financial results in accordance with US GAAP, this document contains references to the non-GAAP financial measures below. We believe these non-GAAP financial measures provide investors with useful su</w:t>
      </w:r>
      <w:r>
        <w:rPr>
          <w:rFonts w:ascii="Arial" w:eastAsia="宋体" w:hAnsi="Arial" w:cs="Arial"/>
          <w:color w:val="262626"/>
          <w:sz w:val="18"/>
          <w:szCs w:val="18"/>
        </w:rPr>
        <w:t xml:space="preserve">pplemental information about our operating performance, enable comparison of financial trends and results between periods where certain items may vary independent of business performance, and allow for greater transparency with respect to key metrics used </w:t>
      </w:r>
      <w:r>
        <w:rPr>
          <w:rFonts w:ascii="Arial" w:eastAsia="宋体" w:hAnsi="Arial" w:cs="Arial"/>
          <w:color w:val="262626"/>
          <w:sz w:val="18"/>
          <w:szCs w:val="18"/>
        </w:rPr>
        <w:t>by management in operating our business and measuring our performance. These non-GAAP financial measures are used in our performance-based RSUs and our cash bonus plans.</w:t>
      </w:r>
    </w:p>
    <w:p w14:paraId="5A1B0320" w14:textId="77777777" w:rsidR="00960BB8" w:rsidRDefault="00C06650">
      <w:pPr>
        <w:spacing w:after="180"/>
      </w:pPr>
      <w:r>
        <w:rPr>
          <w:rFonts w:ascii="Arial" w:eastAsia="宋体" w:hAnsi="Arial" w:cs="Arial"/>
          <w:color w:val="262626"/>
          <w:sz w:val="18"/>
          <w:szCs w:val="18"/>
        </w:rPr>
        <w:t>Starting in the first quarter of 2022, we incrementally exclude from our non-GAAP resu</w:t>
      </w:r>
      <w:r>
        <w:rPr>
          <w:rFonts w:ascii="Arial" w:eastAsia="宋体" w:hAnsi="Arial" w:cs="Arial"/>
          <w:color w:val="262626"/>
          <w:sz w:val="18"/>
          <w:szCs w:val="18"/>
        </w:rPr>
        <w:t>lts share-based compensation and all gains and losses on equity investments. The adjustment for all gains and losses on equity investments includes the ongoing mark-to-market adjustments previously excluded from our non-GAAP results.</w:t>
      </w:r>
    </w:p>
    <w:p w14:paraId="5A1B0321" w14:textId="77777777" w:rsidR="00960BB8" w:rsidRDefault="00C06650">
      <w:pPr>
        <w:spacing w:after="180"/>
      </w:pPr>
      <w:r>
        <w:rPr>
          <w:rFonts w:ascii="Arial" w:eastAsia="宋体" w:hAnsi="Arial" w:cs="Arial"/>
          <w:color w:val="262626"/>
          <w:sz w:val="18"/>
          <w:szCs w:val="18"/>
        </w:rPr>
        <w:t>Our non-GAAP financial</w:t>
      </w:r>
      <w:r>
        <w:rPr>
          <w:rFonts w:ascii="Arial" w:eastAsia="宋体" w:hAnsi="Arial" w:cs="Arial"/>
          <w:color w:val="262626"/>
          <w:sz w:val="18"/>
          <w:szCs w:val="18"/>
        </w:rPr>
        <w:t xml:space="preserve"> measures reflect adjustments based on one or more of the following items, as well as the related income tax effects where applicable. Income tax effects have been calculated using an appropriate tax rate for each adjustment, as applicable. These non-GAAP </w:t>
      </w:r>
      <w:r>
        <w:rPr>
          <w:rFonts w:ascii="Arial" w:eastAsia="宋体" w:hAnsi="Arial" w:cs="Arial"/>
          <w:color w:val="262626"/>
          <w:sz w:val="18"/>
          <w:szCs w:val="18"/>
        </w:rPr>
        <w:t>financial measures should not be considered a substitute for, or superior to, financial measures calculated in accordance with US GAAP, and the financial results calculated in accordance with US GAAP and reconciliations from these results should be careful</w:t>
      </w:r>
      <w:r>
        <w:rPr>
          <w:rFonts w:ascii="Arial" w:eastAsia="宋体" w:hAnsi="Arial" w:cs="Arial"/>
          <w:color w:val="262626"/>
          <w:sz w:val="18"/>
          <w:szCs w:val="18"/>
        </w:rPr>
        <w:t>ly evaluated.</w:t>
      </w:r>
    </w:p>
    <w:tbl>
      <w:tblPr>
        <w:tblW w:w="5000" w:type="pct"/>
        <w:tblCellMar>
          <w:top w:w="15" w:type="dxa"/>
          <w:left w:w="15" w:type="dxa"/>
          <w:bottom w:w="15" w:type="dxa"/>
          <w:right w:w="15" w:type="dxa"/>
        </w:tblCellMar>
        <w:tblLook w:val="04A0" w:firstRow="1" w:lastRow="0" w:firstColumn="1" w:lastColumn="0" w:noHBand="0" w:noVBand="1"/>
      </w:tblPr>
      <w:tblGrid>
        <w:gridCol w:w="69"/>
        <w:gridCol w:w="1123"/>
        <w:gridCol w:w="36"/>
        <w:gridCol w:w="69"/>
        <w:gridCol w:w="3448"/>
        <w:gridCol w:w="36"/>
        <w:gridCol w:w="70"/>
        <w:gridCol w:w="3448"/>
        <w:gridCol w:w="37"/>
      </w:tblGrid>
      <w:tr w:rsidR="00960BB8" w14:paraId="5A1B032B" w14:textId="77777777">
        <w:tc>
          <w:tcPr>
            <w:tcW w:w="50" w:type="pct"/>
            <w:shd w:val="clear" w:color="auto" w:fill="auto"/>
            <w:vAlign w:val="bottom"/>
          </w:tcPr>
          <w:p w14:paraId="5A1B0322" w14:textId="77777777" w:rsidR="00960BB8" w:rsidRDefault="00960BB8">
            <w:pPr>
              <w:rPr>
                <w:rFonts w:ascii="宋体"/>
              </w:rPr>
            </w:pPr>
          </w:p>
        </w:tc>
        <w:tc>
          <w:tcPr>
            <w:tcW w:w="682" w:type="pct"/>
            <w:shd w:val="clear" w:color="auto" w:fill="auto"/>
            <w:vAlign w:val="bottom"/>
          </w:tcPr>
          <w:p w14:paraId="5A1B0323" w14:textId="77777777" w:rsidR="00960BB8" w:rsidRDefault="00960BB8">
            <w:pPr>
              <w:rPr>
                <w:rFonts w:ascii="宋体"/>
              </w:rPr>
            </w:pPr>
          </w:p>
        </w:tc>
        <w:tc>
          <w:tcPr>
            <w:tcW w:w="5" w:type="pct"/>
            <w:shd w:val="clear" w:color="auto" w:fill="auto"/>
            <w:vAlign w:val="bottom"/>
          </w:tcPr>
          <w:p w14:paraId="5A1B0324" w14:textId="77777777" w:rsidR="00960BB8" w:rsidRDefault="00960BB8">
            <w:pPr>
              <w:rPr>
                <w:rFonts w:ascii="宋体"/>
              </w:rPr>
            </w:pPr>
          </w:p>
        </w:tc>
        <w:tc>
          <w:tcPr>
            <w:tcW w:w="50" w:type="pct"/>
            <w:shd w:val="clear" w:color="auto" w:fill="auto"/>
            <w:vAlign w:val="bottom"/>
          </w:tcPr>
          <w:p w14:paraId="5A1B0325" w14:textId="77777777" w:rsidR="00960BB8" w:rsidRDefault="00960BB8">
            <w:pPr>
              <w:rPr>
                <w:rFonts w:ascii="宋体"/>
              </w:rPr>
            </w:pPr>
          </w:p>
        </w:tc>
        <w:tc>
          <w:tcPr>
            <w:tcW w:w="2076" w:type="pct"/>
            <w:shd w:val="clear" w:color="auto" w:fill="auto"/>
            <w:vAlign w:val="bottom"/>
          </w:tcPr>
          <w:p w14:paraId="5A1B0326" w14:textId="77777777" w:rsidR="00960BB8" w:rsidRDefault="00960BB8">
            <w:pPr>
              <w:rPr>
                <w:rFonts w:ascii="宋体"/>
              </w:rPr>
            </w:pPr>
          </w:p>
        </w:tc>
        <w:tc>
          <w:tcPr>
            <w:tcW w:w="5" w:type="pct"/>
            <w:shd w:val="clear" w:color="auto" w:fill="auto"/>
            <w:vAlign w:val="bottom"/>
          </w:tcPr>
          <w:p w14:paraId="5A1B0327" w14:textId="77777777" w:rsidR="00960BB8" w:rsidRDefault="00960BB8">
            <w:pPr>
              <w:rPr>
                <w:rFonts w:ascii="宋体"/>
              </w:rPr>
            </w:pPr>
          </w:p>
        </w:tc>
        <w:tc>
          <w:tcPr>
            <w:tcW w:w="50" w:type="pct"/>
            <w:shd w:val="clear" w:color="auto" w:fill="auto"/>
            <w:vAlign w:val="bottom"/>
          </w:tcPr>
          <w:p w14:paraId="5A1B0328" w14:textId="77777777" w:rsidR="00960BB8" w:rsidRDefault="00960BB8">
            <w:pPr>
              <w:rPr>
                <w:rFonts w:ascii="宋体"/>
              </w:rPr>
            </w:pPr>
          </w:p>
        </w:tc>
        <w:tc>
          <w:tcPr>
            <w:tcW w:w="2076" w:type="pct"/>
            <w:shd w:val="clear" w:color="auto" w:fill="auto"/>
            <w:vAlign w:val="bottom"/>
          </w:tcPr>
          <w:p w14:paraId="5A1B0329" w14:textId="77777777" w:rsidR="00960BB8" w:rsidRDefault="00960BB8">
            <w:pPr>
              <w:rPr>
                <w:rFonts w:ascii="宋体"/>
              </w:rPr>
            </w:pPr>
          </w:p>
        </w:tc>
        <w:tc>
          <w:tcPr>
            <w:tcW w:w="5" w:type="pct"/>
            <w:shd w:val="clear" w:color="auto" w:fill="auto"/>
            <w:vAlign w:val="bottom"/>
          </w:tcPr>
          <w:p w14:paraId="5A1B032A" w14:textId="77777777" w:rsidR="00960BB8" w:rsidRDefault="00960BB8">
            <w:pPr>
              <w:rPr>
                <w:rFonts w:ascii="宋体"/>
              </w:rPr>
            </w:pPr>
          </w:p>
        </w:tc>
      </w:tr>
      <w:tr w:rsidR="00960BB8" w14:paraId="5A1B032F" w14:textId="77777777">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vAlign w:val="bottom"/>
          </w:tcPr>
          <w:p w14:paraId="5A1B032C" w14:textId="77777777" w:rsidR="00960BB8" w:rsidRDefault="00C06650">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vAlign w:val="bottom"/>
          </w:tcPr>
          <w:p w14:paraId="5A1B032D" w14:textId="77777777" w:rsidR="00960BB8" w:rsidRDefault="00C06650">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Mar>
              <w:top w:w="40" w:type="dxa"/>
              <w:left w:w="20" w:type="dxa"/>
              <w:bottom w:w="40" w:type="dxa"/>
              <w:right w:w="20" w:type="dxa"/>
            </w:tcMar>
            <w:vAlign w:val="bottom"/>
          </w:tcPr>
          <w:p w14:paraId="5A1B032E" w14:textId="77777777" w:rsidR="00960BB8" w:rsidRDefault="00C06650">
            <w:pPr>
              <w:jc w:val="center"/>
              <w:textAlignment w:val="bottom"/>
            </w:pPr>
            <w:r>
              <w:rPr>
                <w:rFonts w:ascii="Arial" w:eastAsia="宋体" w:hAnsi="Arial" w:cs="Arial"/>
                <w:b/>
                <w:bCs/>
                <w:color w:val="262626"/>
                <w:sz w:val="18"/>
                <w:szCs w:val="18"/>
              </w:rPr>
              <w:t>Usefulness to management and investors</w:t>
            </w:r>
          </w:p>
        </w:tc>
      </w:tr>
      <w:tr w:rsidR="00960BB8" w14:paraId="5A1B0333" w14:textId="77777777">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tcPr>
          <w:p w14:paraId="5A1B0330" w14:textId="77777777" w:rsidR="00960BB8" w:rsidRDefault="00C06650">
            <w:pPr>
              <w:textAlignment w:val="top"/>
            </w:pPr>
            <w:r>
              <w:rPr>
                <w:rFonts w:ascii="Arial" w:eastAsia="宋体" w:hAnsi="Arial" w:cs="Arial"/>
                <w:color w:val="262626"/>
                <w:sz w:val="18"/>
                <w:szCs w:val="18"/>
              </w:rPr>
              <w:t>NAND memory business</w:t>
            </w:r>
          </w:p>
        </w:tc>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tcPr>
          <w:p w14:paraId="5A1B0331" w14:textId="77777777" w:rsidR="00960BB8" w:rsidRDefault="00C06650">
            <w:pPr>
              <w:textAlignment w:val="top"/>
            </w:pPr>
            <w:r>
              <w:rPr>
                <w:rFonts w:ascii="Arial" w:eastAsia="宋体" w:hAnsi="Arial" w:cs="Arial"/>
                <w:color w:val="262626"/>
                <w:sz w:val="18"/>
                <w:szCs w:val="18"/>
              </w:rPr>
              <w:t xml:space="preserve">We completed the first closing of the divestiture of our NAND memory business to SK hynix on December 29, 2021 and fully </w:t>
            </w:r>
            <w:r>
              <w:rPr>
                <w:rFonts w:ascii="Arial" w:eastAsia="宋体" w:hAnsi="Arial" w:cs="Arial"/>
                <w:color w:val="262626"/>
                <w:sz w:val="18"/>
                <w:szCs w:val="18"/>
              </w:rPr>
              <w:t>deconsolidated our ongoing interests in the NAND OpCo Business in the first quarter of 2022.</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Mar>
              <w:top w:w="40" w:type="dxa"/>
              <w:left w:w="20" w:type="dxa"/>
              <w:bottom w:w="40" w:type="dxa"/>
              <w:right w:w="20" w:type="dxa"/>
            </w:tcMar>
          </w:tcPr>
          <w:p w14:paraId="5A1B0332" w14:textId="77777777" w:rsidR="00960BB8" w:rsidRDefault="00C06650">
            <w:pPr>
              <w:textAlignment w:val="top"/>
            </w:pPr>
            <w:r>
              <w:rPr>
                <w:rFonts w:ascii="Arial" w:eastAsia="宋体" w:hAnsi="Arial" w:cs="Arial"/>
                <w:color w:val="262626"/>
                <w:sz w:val="18"/>
                <w:szCs w:val="18"/>
              </w:rPr>
              <w:t>We exclude the impact of our NAND memory business in certain non-GAAP measures. While the second closing of the sale is still pending and subject to closing condit</w:t>
            </w:r>
            <w:r>
              <w:rPr>
                <w:rFonts w:ascii="Arial" w:eastAsia="宋体" w:hAnsi="Arial" w:cs="Arial"/>
                <w:color w:val="262626"/>
                <w:sz w:val="18"/>
                <w:szCs w:val="18"/>
              </w:rPr>
              <w:t>ions, we deconsolidated this business in Q1 2022 and management does not view the historical results of the business as a part of our core operations. We believe these adjustments provide investors with a useful view, through the eyes of management, of our</w:t>
            </w:r>
            <w:r>
              <w:rPr>
                <w:rFonts w:ascii="Arial" w:eastAsia="宋体" w:hAnsi="Arial" w:cs="Arial"/>
                <w:color w:val="262626"/>
                <w:sz w:val="18"/>
                <w:szCs w:val="18"/>
              </w:rPr>
              <w:t xml:space="preserve"> core business model and how management currently evaluates core operational performance. In making these adjustments, we have not made any changes to our methods for measuring and calculating revenue or other financial statement amounts.</w:t>
            </w:r>
          </w:p>
        </w:tc>
      </w:tr>
    </w:tbl>
    <w:p w14:paraId="5A1B0334"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33E" w14:textId="77777777">
        <w:tc>
          <w:tcPr>
            <w:tcW w:w="50" w:type="pct"/>
            <w:shd w:val="clear" w:color="auto" w:fill="auto"/>
            <w:vAlign w:val="bottom"/>
          </w:tcPr>
          <w:p w14:paraId="5A1B0335" w14:textId="77777777" w:rsidR="00960BB8" w:rsidRDefault="00960BB8">
            <w:pPr>
              <w:rPr>
                <w:rFonts w:ascii="宋体"/>
              </w:rPr>
            </w:pPr>
          </w:p>
        </w:tc>
        <w:tc>
          <w:tcPr>
            <w:tcW w:w="283" w:type="pct"/>
            <w:shd w:val="clear" w:color="auto" w:fill="auto"/>
            <w:vAlign w:val="bottom"/>
          </w:tcPr>
          <w:p w14:paraId="5A1B0336" w14:textId="77777777" w:rsidR="00960BB8" w:rsidRDefault="00960BB8">
            <w:pPr>
              <w:rPr>
                <w:rFonts w:ascii="宋体"/>
              </w:rPr>
            </w:pPr>
          </w:p>
        </w:tc>
        <w:tc>
          <w:tcPr>
            <w:tcW w:w="5" w:type="pct"/>
            <w:shd w:val="clear" w:color="auto" w:fill="auto"/>
            <w:vAlign w:val="bottom"/>
          </w:tcPr>
          <w:p w14:paraId="5A1B0337" w14:textId="77777777" w:rsidR="00960BB8" w:rsidRDefault="00960BB8">
            <w:pPr>
              <w:rPr>
                <w:rFonts w:ascii="宋体"/>
              </w:rPr>
            </w:pPr>
          </w:p>
        </w:tc>
        <w:tc>
          <w:tcPr>
            <w:tcW w:w="50" w:type="pct"/>
            <w:shd w:val="clear" w:color="auto" w:fill="auto"/>
            <w:vAlign w:val="bottom"/>
          </w:tcPr>
          <w:p w14:paraId="5A1B0338" w14:textId="77777777" w:rsidR="00960BB8" w:rsidRDefault="00960BB8">
            <w:pPr>
              <w:rPr>
                <w:rFonts w:ascii="宋体"/>
              </w:rPr>
            </w:pPr>
          </w:p>
        </w:tc>
        <w:tc>
          <w:tcPr>
            <w:tcW w:w="2656" w:type="pct"/>
            <w:shd w:val="clear" w:color="auto" w:fill="auto"/>
            <w:vAlign w:val="bottom"/>
          </w:tcPr>
          <w:p w14:paraId="5A1B0339" w14:textId="77777777" w:rsidR="00960BB8" w:rsidRDefault="00960BB8">
            <w:pPr>
              <w:rPr>
                <w:rFonts w:ascii="宋体"/>
              </w:rPr>
            </w:pPr>
          </w:p>
        </w:tc>
        <w:tc>
          <w:tcPr>
            <w:tcW w:w="5" w:type="pct"/>
            <w:shd w:val="clear" w:color="auto" w:fill="auto"/>
            <w:vAlign w:val="bottom"/>
          </w:tcPr>
          <w:p w14:paraId="5A1B033A" w14:textId="77777777" w:rsidR="00960BB8" w:rsidRDefault="00960BB8">
            <w:pPr>
              <w:rPr>
                <w:rFonts w:ascii="宋体"/>
              </w:rPr>
            </w:pPr>
          </w:p>
        </w:tc>
        <w:tc>
          <w:tcPr>
            <w:tcW w:w="50" w:type="pct"/>
            <w:shd w:val="clear" w:color="auto" w:fill="auto"/>
            <w:vAlign w:val="bottom"/>
          </w:tcPr>
          <w:p w14:paraId="5A1B033B" w14:textId="77777777" w:rsidR="00960BB8" w:rsidRDefault="00960BB8">
            <w:pPr>
              <w:rPr>
                <w:rFonts w:ascii="宋体"/>
              </w:rPr>
            </w:pPr>
          </w:p>
        </w:tc>
        <w:tc>
          <w:tcPr>
            <w:tcW w:w="1894" w:type="pct"/>
            <w:shd w:val="clear" w:color="auto" w:fill="auto"/>
            <w:vAlign w:val="bottom"/>
          </w:tcPr>
          <w:p w14:paraId="5A1B033C" w14:textId="77777777" w:rsidR="00960BB8" w:rsidRDefault="00960BB8">
            <w:pPr>
              <w:rPr>
                <w:rFonts w:ascii="宋体"/>
              </w:rPr>
            </w:pPr>
          </w:p>
        </w:tc>
        <w:tc>
          <w:tcPr>
            <w:tcW w:w="5" w:type="pct"/>
            <w:shd w:val="clear" w:color="auto" w:fill="auto"/>
            <w:vAlign w:val="bottom"/>
          </w:tcPr>
          <w:p w14:paraId="5A1B033D" w14:textId="77777777" w:rsidR="00960BB8" w:rsidRDefault="00960BB8">
            <w:pPr>
              <w:rPr>
                <w:rFonts w:ascii="宋体"/>
              </w:rPr>
            </w:pPr>
          </w:p>
        </w:tc>
      </w:tr>
      <w:tr w:rsidR="00960BB8" w14:paraId="5A1B034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33F"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0D" wp14:editId="5A1B440E">
                  <wp:extent cx="304800" cy="304800"/>
                  <wp:effectExtent l="0" t="0" r="0" b="0"/>
                  <wp:docPr id="128" name="图片 182"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82"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340"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341" w14:textId="77777777" w:rsidR="00960BB8" w:rsidRDefault="00C06650">
            <w:pPr>
              <w:jc w:val="right"/>
              <w:textAlignment w:val="center"/>
            </w:pPr>
            <w:r>
              <w:rPr>
                <w:rFonts w:ascii="Arial" w:eastAsia="宋体" w:hAnsi="Arial" w:cs="Arial"/>
                <w:color w:val="262626"/>
                <w:sz w:val="16"/>
                <w:szCs w:val="16"/>
              </w:rPr>
              <w:t>47</w:t>
            </w:r>
          </w:p>
        </w:tc>
      </w:tr>
    </w:tbl>
    <w:p w14:paraId="5A1B0343" w14:textId="77777777" w:rsidR="00960BB8" w:rsidRDefault="00C06650">
      <w:r>
        <w:pict w14:anchorId="5A1B440F">
          <v:rect id="_x0000_i1073" style="width:415.3pt;height:1.5pt" o:hralign="center" o:hrstd="t" o:hr="t" fillcolor="#a0a0a0" stroked="f"/>
        </w:pict>
      </w:r>
    </w:p>
    <w:p w14:paraId="5A1B0344" w14:textId="77777777" w:rsidR="00960BB8" w:rsidRDefault="00C06650">
      <w:pPr>
        <w:jc w:val="right"/>
      </w:pPr>
      <w:hyperlink r:id="rId66" w:anchor="i8aaa7b4dbd2e419ca0f5c30af85a11aa_16" w:history="1">
        <w:r>
          <w:rPr>
            <w:rStyle w:val="a5"/>
            <w:rFonts w:ascii="Arial" w:eastAsia="宋体" w:hAnsi="Arial" w:cs="Arial"/>
            <w:b/>
            <w:bCs/>
            <w:sz w:val="16"/>
            <w:szCs w:val="16"/>
          </w:rPr>
          <w:t>Table of Contents</w:t>
        </w:r>
      </w:hyperlink>
    </w:p>
    <w:p w14:paraId="5A1B0345"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104"/>
        <w:gridCol w:w="1408"/>
        <w:gridCol w:w="37"/>
        <w:gridCol w:w="38"/>
        <w:gridCol w:w="3318"/>
        <w:gridCol w:w="36"/>
        <w:gridCol w:w="38"/>
        <w:gridCol w:w="3320"/>
        <w:gridCol w:w="37"/>
      </w:tblGrid>
      <w:tr w:rsidR="00960BB8" w14:paraId="5A1B034F" w14:textId="77777777">
        <w:tc>
          <w:tcPr>
            <w:tcW w:w="50" w:type="pct"/>
            <w:shd w:val="clear" w:color="auto" w:fill="auto"/>
            <w:vAlign w:val="bottom"/>
          </w:tcPr>
          <w:p w14:paraId="5A1B0346" w14:textId="77777777" w:rsidR="00960BB8" w:rsidRDefault="00960BB8">
            <w:pPr>
              <w:rPr>
                <w:rFonts w:ascii="宋体"/>
              </w:rPr>
            </w:pPr>
          </w:p>
        </w:tc>
        <w:tc>
          <w:tcPr>
            <w:tcW w:w="682" w:type="pct"/>
            <w:shd w:val="clear" w:color="auto" w:fill="auto"/>
            <w:vAlign w:val="bottom"/>
          </w:tcPr>
          <w:p w14:paraId="5A1B0347" w14:textId="77777777" w:rsidR="00960BB8" w:rsidRDefault="00960BB8">
            <w:pPr>
              <w:rPr>
                <w:rFonts w:ascii="宋体"/>
              </w:rPr>
            </w:pPr>
          </w:p>
        </w:tc>
        <w:tc>
          <w:tcPr>
            <w:tcW w:w="5" w:type="pct"/>
            <w:shd w:val="clear" w:color="auto" w:fill="auto"/>
            <w:vAlign w:val="bottom"/>
          </w:tcPr>
          <w:p w14:paraId="5A1B0348" w14:textId="77777777" w:rsidR="00960BB8" w:rsidRDefault="00960BB8">
            <w:pPr>
              <w:rPr>
                <w:rFonts w:ascii="宋体"/>
              </w:rPr>
            </w:pPr>
          </w:p>
        </w:tc>
        <w:tc>
          <w:tcPr>
            <w:tcW w:w="50" w:type="pct"/>
            <w:shd w:val="clear" w:color="auto" w:fill="auto"/>
            <w:vAlign w:val="bottom"/>
          </w:tcPr>
          <w:p w14:paraId="5A1B0349" w14:textId="77777777" w:rsidR="00960BB8" w:rsidRDefault="00960BB8">
            <w:pPr>
              <w:rPr>
                <w:rFonts w:ascii="宋体"/>
              </w:rPr>
            </w:pPr>
          </w:p>
        </w:tc>
        <w:tc>
          <w:tcPr>
            <w:tcW w:w="2076" w:type="pct"/>
            <w:shd w:val="clear" w:color="auto" w:fill="auto"/>
            <w:vAlign w:val="bottom"/>
          </w:tcPr>
          <w:p w14:paraId="5A1B034A" w14:textId="77777777" w:rsidR="00960BB8" w:rsidRDefault="00960BB8">
            <w:pPr>
              <w:rPr>
                <w:rFonts w:ascii="宋体"/>
              </w:rPr>
            </w:pPr>
          </w:p>
        </w:tc>
        <w:tc>
          <w:tcPr>
            <w:tcW w:w="5" w:type="pct"/>
            <w:shd w:val="clear" w:color="auto" w:fill="auto"/>
            <w:vAlign w:val="bottom"/>
          </w:tcPr>
          <w:p w14:paraId="5A1B034B" w14:textId="77777777" w:rsidR="00960BB8" w:rsidRDefault="00960BB8">
            <w:pPr>
              <w:rPr>
                <w:rFonts w:ascii="宋体"/>
              </w:rPr>
            </w:pPr>
          </w:p>
        </w:tc>
        <w:tc>
          <w:tcPr>
            <w:tcW w:w="50" w:type="pct"/>
            <w:shd w:val="clear" w:color="auto" w:fill="auto"/>
            <w:vAlign w:val="bottom"/>
          </w:tcPr>
          <w:p w14:paraId="5A1B034C" w14:textId="77777777" w:rsidR="00960BB8" w:rsidRDefault="00960BB8">
            <w:pPr>
              <w:rPr>
                <w:rFonts w:ascii="宋体"/>
              </w:rPr>
            </w:pPr>
          </w:p>
        </w:tc>
        <w:tc>
          <w:tcPr>
            <w:tcW w:w="2076" w:type="pct"/>
            <w:shd w:val="clear" w:color="auto" w:fill="auto"/>
            <w:vAlign w:val="bottom"/>
          </w:tcPr>
          <w:p w14:paraId="5A1B034D" w14:textId="77777777" w:rsidR="00960BB8" w:rsidRDefault="00960BB8">
            <w:pPr>
              <w:rPr>
                <w:rFonts w:ascii="宋体"/>
              </w:rPr>
            </w:pPr>
          </w:p>
        </w:tc>
        <w:tc>
          <w:tcPr>
            <w:tcW w:w="5" w:type="pct"/>
            <w:shd w:val="clear" w:color="auto" w:fill="auto"/>
            <w:vAlign w:val="bottom"/>
          </w:tcPr>
          <w:p w14:paraId="5A1B034E" w14:textId="77777777" w:rsidR="00960BB8" w:rsidRDefault="00960BB8">
            <w:pPr>
              <w:rPr>
                <w:rFonts w:ascii="宋体"/>
              </w:rPr>
            </w:pPr>
          </w:p>
        </w:tc>
      </w:tr>
      <w:tr w:rsidR="00960BB8" w14:paraId="5A1B0353"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vAlign w:val="bottom"/>
          </w:tcPr>
          <w:p w14:paraId="5A1B0350" w14:textId="77777777" w:rsidR="00960BB8" w:rsidRDefault="00C06650">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vAlign w:val="bottom"/>
          </w:tcPr>
          <w:p w14:paraId="5A1B0351" w14:textId="77777777" w:rsidR="00960BB8" w:rsidRDefault="00C06650">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vAlign w:val="bottom"/>
          </w:tcPr>
          <w:p w14:paraId="5A1B0352" w14:textId="77777777" w:rsidR="00960BB8" w:rsidRDefault="00C06650">
            <w:pPr>
              <w:jc w:val="center"/>
              <w:textAlignment w:val="bottom"/>
            </w:pPr>
            <w:r>
              <w:rPr>
                <w:rFonts w:ascii="Arial" w:eastAsia="宋体" w:hAnsi="Arial" w:cs="Arial"/>
                <w:b/>
                <w:bCs/>
                <w:color w:val="262626"/>
                <w:sz w:val="18"/>
                <w:szCs w:val="18"/>
              </w:rPr>
              <w:t xml:space="preserve">Usefulness to </w:t>
            </w:r>
            <w:r>
              <w:rPr>
                <w:rFonts w:ascii="Arial" w:eastAsia="宋体" w:hAnsi="Arial" w:cs="Arial"/>
                <w:b/>
                <w:bCs/>
                <w:color w:val="262626"/>
                <w:sz w:val="18"/>
                <w:szCs w:val="18"/>
              </w:rPr>
              <w:t>management and investors</w:t>
            </w:r>
          </w:p>
        </w:tc>
      </w:tr>
      <w:tr w:rsidR="00960BB8" w14:paraId="5A1B0357"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54" w14:textId="77777777" w:rsidR="00960BB8" w:rsidRDefault="00C06650">
            <w:pPr>
              <w:textAlignment w:val="top"/>
            </w:pPr>
            <w:r>
              <w:rPr>
                <w:rFonts w:ascii="Arial" w:eastAsia="宋体" w:hAnsi="Arial" w:cs="Arial"/>
                <w:color w:val="262626"/>
                <w:sz w:val="18"/>
                <w:szCs w:val="18"/>
              </w:rPr>
              <w:t>Acquisition-related adjustments</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55" w14:textId="77777777" w:rsidR="00960BB8" w:rsidRDefault="00C06650">
            <w:pPr>
              <w:textAlignment w:val="top"/>
            </w:pPr>
            <w:r>
              <w:rPr>
                <w:rFonts w:ascii="Arial" w:eastAsia="宋体" w:hAnsi="Arial" w:cs="Arial"/>
                <w:color w:val="262626"/>
                <w:sz w:val="18"/>
                <w:szCs w:val="18"/>
              </w:rPr>
              <w:t xml:space="preserve">Amortization of acquisition-related intangible assets consists of amortization of intangible assets such as developed technology, brands, and customer relationships acquired in connection with </w:t>
            </w:r>
            <w:r>
              <w:rPr>
                <w:rFonts w:ascii="Arial" w:eastAsia="宋体" w:hAnsi="Arial" w:cs="Arial"/>
                <w:color w:val="262626"/>
                <w:sz w:val="18"/>
                <w:szCs w:val="18"/>
              </w:rPr>
              <w:t>business combinations. Charges related to the amortization of these intangibles are recorded within both cost of sales and MG&amp;A in our US GAAP financial statements. Amortization charges are recorded over the estimated useful life of the related acquired in</w:t>
            </w:r>
            <w:r>
              <w:rPr>
                <w:rFonts w:ascii="Arial" w:eastAsia="宋体" w:hAnsi="Arial" w:cs="Arial"/>
                <w:color w:val="262626"/>
                <w:sz w:val="18"/>
                <w:szCs w:val="18"/>
              </w:rPr>
              <w:t>tangible asset, and thus are generally recorded over multiple years.</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5A1B0356" w14:textId="77777777" w:rsidR="00960BB8" w:rsidRDefault="00C06650">
            <w:pPr>
              <w:textAlignment w:val="top"/>
            </w:pPr>
            <w:r>
              <w:rPr>
                <w:rFonts w:ascii="Arial" w:eastAsia="宋体" w:hAnsi="Arial" w:cs="Arial"/>
                <w:color w:val="262626"/>
                <w:sz w:val="18"/>
                <w:szCs w:val="18"/>
              </w:rPr>
              <w:t xml:space="preserve">We exclude amortization charges for our acquisition-related intangible assets for purposes of calculating certain non-GAAP measures because these charges are inconsistent in size and are </w:t>
            </w:r>
            <w:r>
              <w:rPr>
                <w:rFonts w:ascii="Arial" w:eastAsia="宋体" w:hAnsi="Arial" w:cs="Arial"/>
                <w:color w:val="262626"/>
                <w:sz w:val="18"/>
                <w:szCs w:val="18"/>
              </w:rPr>
              <w:t>significantly impacted by the timing and valuation of our acquisitions. These adjustments facilitate a useful evaluation of our current operating performance and comparison to our past operating performance and provide investors with additional means to ev</w:t>
            </w:r>
            <w:r>
              <w:rPr>
                <w:rFonts w:ascii="Arial" w:eastAsia="宋体" w:hAnsi="Arial" w:cs="Arial"/>
                <w:color w:val="262626"/>
                <w:sz w:val="18"/>
                <w:szCs w:val="18"/>
              </w:rPr>
              <w:t>aluate cost and expense trends.</w:t>
            </w:r>
          </w:p>
        </w:tc>
      </w:tr>
      <w:tr w:rsidR="00960BB8" w14:paraId="5A1B035B"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58" w14:textId="77777777" w:rsidR="00960BB8" w:rsidRDefault="00C06650">
            <w:pPr>
              <w:textAlignment w:val="top"/>
            </w:pPr>
            <w:r>
              <w:rPr>
                <w:rFonts w:ascii="Arial" w:eastAsia="宋体" w:hAnsi="Arial" w:cs="Arial"/>
                <w:color w:val="262626"/>
                <w:sz w:val="18"/>
                <w:szCs w:val="18"/>
              </w:rPr>
              <w:t>Share-based compensation</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59" w14:textId="77777777" w:rsidR="00960BB8" w:rsidRDefault="00C06650">
            <w:pPr>
              <w:textAlignment w:val="top"/>
            </w:pPr>
            <w:r>
              <w:rPr>
                <w:rFonts w:ascii="Arial" w:eastAsia="宋体" w:hAnsi="Arial" w:cs="Arial"/>
                <w:color w:val="262626"/>
                <w:sz w:val="18"/>
                <w:szCs w:val="18"/>
              </w:rPr>
              <w:t>Share-based compensation consists of charges related to our employee equity incentive plans.</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5A1B035A" w14:textId="77777777" w:rsidR="00960BB8" w:rsidRDefault="00C06650">
            <w:pPr>
              <w:textAlignment w:val="top"/>
            </w:pPr>
            <w:r>
              <w:rPr>
                <w:rFonts w:ascii="Arial" w:eastAsia="宋体" w:hAnsi="Arial" w:cs="Arial"/>
                <w:color w:val="262626"/>
                <w:sz w:val="18"/>
                <w:szCs w:val="18"/>
              </w:rPr>
              <w:t xml:space="preserve">We exclude charges related to share-based compensation for purposes of calculating certain </w:t>
            </w:r>
            <w:r>
              <w:rPr>
                <w:rFonts w:ascii="Arial" w:eastAsia="宋体" w:hAnsi="Arial" w:cs="Arial"/>
                <w:color w:val="262626"/>
                <w:sz w:val="18"/>
                <w:szCs w:val="18"/>
              </w:rPr>
              <w:t>non-GAAP measures because we believe these adjustments provide better comparability to peer company results and because these charges are not viewed by management as part of our core operating performance. We believe these adjustments provide investors wit</w:t>
            </w:r>
            <w:r>
              <w:rPr>
                <w:rFonts w:ascii="Arial" w:eastAsia="宋体" w:hAnsi="Arial" w:cs="Arial"/>
                <w:color w:val="262626"/>
                <w:sz w:val="18"/>
                <w:szCs w:val="18"/>
              </w:rPr>
              <w:t>h a useful view, through the eyes of management, of our core business model, how management currently evaluates core operational performance, and additional means to evaluate expense trends, including in comparison to other peer companies.</w:t>
            </w:r>
          </w:p>
        </w:tc>
      </w:tr>
      <w:tr w:rsidR="00960BB8" w14:paraId="5A1B035F"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5C" w14:textId="77777777" w:rsidR="00960BB8" w:rsidRDefault="00C06650">
            <w:pPr>
              <w:textAlignment w:val="top"/>
            </w:pPr>
            <w:r>
              <w:rPr>
                <w:rFonts w:ascii="Arial" w:eastAsia="宋体" w:hAnsi="Arial" w:cs="Arial"/>
                <w:color w:val="262626"/>
                <w:sz w:val="18"/>
                <w:szCs w:val="18"/>
              </w:rPr>
              <w:t>Patent settleme</w:t>
            </w:r>
            <w:r>
              <w:rPr>
                <w:rFonts w:ascii="Arial" w:eastAsia="宋体" w:hAnsi="Arial" w:cs="Arial"/>
                <w:color w:val="262626"/>
                <w:sz w:val="18"/>
                <w:szCs w:val="18"/>
              </w:rPr>
              <w:t>nt</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5D" w14:textId="77777777" w:rsidR="00960BB8" w:rsidRDefault="00C06650">
            <w:pPr>
              <w:textAlignment w:val="top"/>
            </w:pPr>
            <w:r>
              <w:rPr>
                <w:rFonts w:ascii="Arial" w:eastAsia="宋体" w:hAnsi="Arial" w:cs="Arial"/>
                <w:color w:val="262626"/>
                <w:sz w:val="18"/>
                <w:szCs w:val="18"/>
              </w:rPr>
              <w:t xml:space="preserve">A portion of the charge from our IP settlements represents a catch-up of cumulative amortization that would have been incurred for the right to use the related patents in prior periods. This charge related to prior periods is excluded from our non-GAAP </w:t>
            </w:r>
            <w:r>
              <w:rPr>
                <w:rFonts w:ascii="Arial" w:eastAsia="宋体" w:hAnsi="Arial" w:cs="Arial"/>
                <w:color w:val="262626"/>
                <w:sz w:val="18"/>
                <w:szCs w:val="18"/>
              </w:rPr>
              <w:t xml:space="preserve">results; amortization related to the right to use the patents in the current and ongoing periods is included. </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5A1B035E" w14:textId="77777777" w:rsidR="00960BB8" w:rsidRDefault="00C06650">
            <w:pPr>
              <w:textAlignment w:val="top"/>
            </w:pPr>
            <w:r>
              <w:rPr>
                <w:rFonts w:ascii="Arial" w:eastAsia="宋体" w:hAnsi="Arial" w:cs="Arial"/>
                <w:color w:val="262626"/>
                <w:sz w:val="18"/>
                <w:szCs w:val="18"/>
              </w:rPr>
              <w:t xml:space="preserve">We exclude the catch-up charge related to prior periods for purposes of calculating certain non-GAAP measures because this adjustment </w:t>
            </w:r>
            <w:r>
              <w:rPr>
                <w:rFonts w:ascii="Arial" w:eastAsia="宋体" w:hAnsi="Arial" w:cs="Arial"/>
                <w:color w:val="262626"/>
                <w:sz w:val="18"/>
                <w:szCs w:val="18"/>
              </w:rPr>
              <w:t>facilitates comparison to past operating results and provides a useful evaluation of our current operating performance.</w:t>
            </w:r>
          </w:p>
        </w:tc>
      </w:tr>
      <w:tr w:rsidR="00960BB8" w14:paraId="5A1B0363"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60" w14:textId="77777777" w:rsidR="00960BB8" w:rsidRDefault="00C06650">
            <w:pPr>
              <w:textAlignment w:val="top"/>
            </w:pPr>
            <w:r>
              <w:rPr>
                <w:rFonts w:ascii="Arial" w:eastAsia="宋体" w:hAnsi="Arial" w:cs="Arial"/>
                <w:color w:val="262626"/>
                <w:sz w:val="18"/>
                <w:szCs w:val="18"/>
              </w:rPr>
              <w:t>Optane inventory impairment</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61" w14:textId="77777777" w:rsidR="00960BB8" w:rsidRDefault="00C06650">
            <w:pPr>
              <w:spacing w:after="180"/>
              <w:textAlignment w:val="top"/>
            </w:pPr>
            <w:r>
              <w:rPr>
                <w:rFonts w:ascii="Arial" w:eastAsia="宋体" w:hAnsi="Arial" w:cs="Arial"/>
                <w:color w:val="262626"/>
                <w:sz w:val="18"/>
                <w:szCs w:val="18"/>
              </w:rPr>
              <w:t>Beginning in 2022, we initiated the wind-down of our Intel Optane memory business.</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5A1B0362" w14:textId="77777777" w:rsidR="00960BB8" w:rsidRDefault="00C06650">
            <w:pPr>
              <w:textAlignment w:val="top"/>
            </w:pPr>
            <w:r>
              <w:rPr>
                <w:rFonts w:ascii="Arial" w:eastAsia="宋体" w:hAnsi="Arial" w:cs="Arial"/>
                <w:color w:val="262626"/>
                <w:sz w:val="18"/>
                <w:szCs w:val="18"/>
              </w:rPr>
              <w:t>We exclude these impairm</w:t>
            </w:r>
            <w:r>
              <w:rPr>
                <w:rFonts w:ascii="Arial" w:eastAsia="宋体" w:hAnsi="Arial" w:cs="Arial"/>
                <w:color w:val="262626"/>
                <w:sz w:val="18"/>
                <w:szCs w:val="18"/>
              </w:rPr>
              <w:t>ents for purposes of calculating certain non-GAAP measures because these charges do not reflect our current operating performance. This adjustment facilitates a useful evaluation of our current operating performance and comparisons to past operating result</w:t>
            </w:r>
            <w:r>
              <w:rPr>
                <w:rFonts w:ascii="Arial" w:eastAsia="宋体" w:hAnsi="Arial" w:cs="Arial"/>
                <w:color w:val="262626"/>
                <w:sz w:val="18"/>
                <w:szCs w:val="18"/>
              </w:rPr>
              <w:t>s.</w:t>
            </w:r>
          </w:p>
        </w:tc>
      </w:tr>
      <w:tr w:rsidR="00960BB8" w14:paraId="5A1B0367"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64" w14:textId="77777777" w:rsidR="00960BB8" w:rsidRDefault="00C06650">
            <w:pPr>
              <w:textAlignment w:val="top"/>
            </w:pPr>
            <w:r>
              <w:rPr>
                <w:rFonts w:ascii="Arial" w:eastAsia="宋体" w:hAnsi="Arial" w:cs="Arial"/>
                <w:color w:val="262626"/>
                <w:sz w:val="18"/>
                <w:szCs w:val="18"/>
              </w:rPr>
              <w:t>Restructuring and other charges</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65" w14:textId="77777777" w:rsidR="00960BB8" w:rsidRDefault="00C06650">
            <w:pPr>
              <w:textAlignment w:val="top"/>
            </w:pPr>
            <w:r>
              <w:rPr>
                <w:rFonts w:ascii="Arial" w:eastAsia="宋体" w:hAnsi="Arial" w:cs="Arial"/>
                <w:color w:val="262626"/>
                <w:sz w:val="18"/>
                <w:szCs w:val="18"/>
              </w:rPr>
              <w:t xml:space="preserve">Restructuring charges are costs associated with a formal restructuring plan and are primarily related to employee severance and benefit arrangements. Other charges include a benefit in Q1 2022 related to the annulled EC </w:t>
            </w:r>
            <w:r>
              <w:rPr>
                <w:rFonts w:ascii="Arial" w:eastAsia="宋体" w:hAnsi="Arial" w:cs="Arial"/>
                <w:color w:val="262626"/>
                <w:sz w:val="18"/>
                <w:szCs w:val="18"/>
              </w:rPr>
              <w:t>fine, a charge in Q1 2021 related to the VLSI litigation, periodic goodwill and asset impairments, certain pension charges, and costs associated with restructuring activity.</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5A1B0366" w14:textId="77777777" w:rsidR="00960BB8" w:rsidRDefault="00C06650">
            <w:pPr>
              <w:textAlignment w:val="top"/>
            </w:pPr>
            <w:r>
              <w:rPr>
                <w:rFonts w:ascii="Arial" w:eastAsia="宋体" w:hAnsi="Arial" w:cs="Arial"/>
                <w:color w:val="262626"/>
                <w:sz w:val="18"/>
                <w:szCs w:val="18"/>
              </w:rPr>
              <w:t>We exclude restructuring and other charges, including any adjustments to charges r</w:t>
            </w:r>
            <w:r>
              <w:rPr>
                <w:rFonts w:ascii="Arial" w:eastAsia="宋体" w:hAnsi="Arial" w:cs="Arial"/>
                <w:color w:val="262626"/>
                <w:sz w:val="18"/>
                <w:szCs w:val="18"/>
              </w:rPr>
              <w:t>ecorded in prior periods, for purposes of calculating certain non-GAAP measures because these costs do not reflect our core operating performance. These adjustments facilitate a useful evaluation of our core operating performance and comparisons to past op</w:t>
            </w:r>
            <w:r>
              <w:rPr>
                <w:rFonts w:ascii="Arial" w:eastAsia="宋体" w:hAnsi="Arial" w:cs="Arial"/>
                <w:color w:val="262626"/>
                <w:sz w:val="18"/>
                <w:szCs w:val="18"/>
              </w:rPr>
              <w:t>erating results and provide investors with additional means to evaluate expense trends.</w:t>
            </w:r>
          </w:p>
        </w:tc>
      </w:tr>
      <w:tr w:rsidR="00960BB8" w14:paraId="5A1B036B"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68" w14:textId="77777777" w:rsidR="00960BB8" w:rsidRDefault="00C06650">
            <w:pPr>
              <w:textAlignment w:val="top"/>
            </w:pPr>
            <w:r>
              <w:rPr>
                <w:rFonts w:ascii="Arial" w:eastAsia="宋体" w:hAnsi="Arial" w:cs="Arial"/>
                <w:color w:val="262626"/>
                <w:sz w:val="18"/>
                <w:szCs w:val="18"/>
              </w:rPr>
              <w:t>(Gains) losses on equity investments, net</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69" w14:textId="77777777" w:rsidR="00960BB8" w:rsidRDefault="00C06650">
            <w:pPr>
              <w:textAlignment w:val="top"/>
            </w:pPr>
            <w:r>
              <w:rPr>
                <w:rFonts w:ascii="Arial" w:eastAsia="宋体" w:hAnsi="Arial" w:cs="Arial"/>
                <w:color w:val="262626"/>
                <w:sz w:val="18"/>
                <w:szCs w:val="18"/>
              </w:rPr>
              <w:t>(Gains) losses on equity investments, net consists of ongoing mark-to-market adjustments on marketable equity securities, obs</w:t>
            </w:r>
            <w:r>
              <w:rPr>
                <w:rFonts w:ascii="Arial" w:eastAsia="宋体" w:hAnsi="Arial" w:cs="Arial"/>
                <w:color w:val="262626"/>
                <w:sz w:val="18"/>
                <w:szCs w:val="18"/>
              </w:rPr>
              <w:t>ervable price adjustments on non-marketable equity securities, related impairment charges, and the sale of equity investments and other.</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5A1B036A" w14:textId="77777777" w:rsidR="00960BB8" w:rsidRDefault="00C06650">
            <w:pPr>
              <w:textAlignment w:val="top"/>
            </w:pPr>
            <w:r>
              <w:rPr>
                <w:rFonts w:ascii="Arial" w:eastAsia="宋体" w:hAnsi="Arial" w:cs="Arial"/>
                <w:color w:val="262626"/>
                <w:sz w:val="18"/>
                <w:szCs w:val="18"/>
              </w:rPr>
              <w:t xml:space="preserve">We exclude these non-operating gains and losses for purposes of calculating certain non-GAAP measures because it </w:t>
            </w:r>
            <w:r>
              <w:rPr>
                <w:rFonts w:ascii="Arial" w:eastAsia="宋体" w:hAnsi="Arial" w:cs="Arial"/>
                <w:color w:val="262626"/>
                <w:sz w:val="18"/>
                <w:szCs w:val="18"/>
              </w:rPr>
              <w:t>provides better comparability between periods. The exclusion reflects how management evaluates the core operations of the business.</w:t>
            </w:r>
          </w:p>
        </w:tc>
      </w:tr>
      <w:tr w:rsidR="00960BB8" w14:paraId="5A1B036F" w14:textId="77777777">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tcPr>
          <w:p w14:paraId="5A1B036C" w14:textId="77777777" w:rsidR="00960BB8" w:rsidRDefault="00C06650">
            <w:pPr>
              <w:textAlignment w:val="top"/>
            </w:pPr>
            <w:r>
              <w:rPr>
                <w:rFonts w:ascii="Arial" w:eastAsia="宋体" w:hAnsi="Arial" w:cs="Arial"/>
                <w:color w:val="262626"/>
                <w:sz w:val="18"/>
                <w:szCs w:val="18"/>
              </w:rPr>
              <w:t>Gains (losses) from divestiture</w:t>
            </w:r>
          </w:p>
        </w:tc>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tcPr>
          <w:p w14:paraId="5A1B036D" w14:textId="77777777" w:rsidR="00960BB8" w:rsidRDefault="00C06650">
            <w:pPr>
              <w:textAlignment w:val="top"/>
            </w:pPr>
            <w:r>
              <w:rPr>
                <w:rFonts w:ascii="Arial" w:eastAsia="宋体" w:hAnsi="Arial" w:cs="Arial"/>
                <w:color w:val="262626"/>
                <w:sz w:val="18"/>
                <w:szCs w:val="18"/>
              </w:rPr>
              <w:t>Gains (losses) are recognized at the close of a divestiture, or over a specified deferral p</w:t>
            </w:r>
            <w:r>
              <w:rPr>
                <w:rFonts w:ascii="Arial" w:eastAsia="宋体" w:hAnsi="Arial" w:cs="Arial"/>
                <w:color w:val="262626"/>
                <w:sz w:val="18"/>
                <w:szCs w:val="18"/>
              </w:rPr>
              <w:t>eriod when deferred consideration is received at the time of closing. Based on our ongoing obligation under the NAND wafer manufacturing and sale agreement entered into in connection with the first closing of the sale of our NAND memory business on Decembe</w:t>
            </w:r>
            <w:r>
              <w:rPr>
                <w:rFonts w:ascii="Arial" w:eastAsia="宋体" w:hAnsi="Arial" w:cs="Arial"/>
                <w:color w:val="262626"/>
                <w:sz w:val="18"/>
                <w:szCs w:val="18"/>
              </w:rPr>
              <w:t>r 29, 2021, a portion of the initial closing consideration was deferred and will be recognized between first and second closing.</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Mar>
              <w:top w:w="40" w:type="dxa"/>
              <w:left w:w="20" w:type="dxa"/>
              <w:bottom w:w="40" w:type="dxa"/>
              <w:right w:w="20" w:type="dxa"/>
            </w:tcMar>
          </w:tcPr>
          <w:p w14:paraId="5A1B036E" w14:textId="77777777" w:rsidR="00960BB8" w:rsidRDefault="00C06650">
            <w:pPr>
              <w:textAlignment w:val="top"/>
            </w:pPr>
            <w:r>
              <w:rPr>
                <w:rFonts w:ascii="Arial" w:eastAsia="宋体" w:hAnsi="Arial" w:cs="Arial"/>
                <w:color w:val="262626"/>
                <w:sz w:val="18"/>
                <w:szCs w:val="18"/>
              </w:rPr>
              <w:t>We exclude gains or losses resulting from divestitures for purposes of calculating certain non-GAAP measures because they do no</w:t>
            </w:r>
            <w:r>
              <w:rPr>
                <w:rFonts w:ascii="Arial" w:eastAsia="宋体" w:hAnsi="Arial" w:cs="Arial"/>
                <w:color w:val="262626"/>
                <w:sz w:val="18"/>
                <w:szCs w:val="18"/>
              </w:rPr>
              <w:t>t reflect our current operating performance. These adjustments facilitate a useful evaluation of our current operating performance and comparisons to past operating results.</w:t>
            </w:r>
          </w:p>
        </w:tc>
      </w:tr>
    </w:tbl>
    <w:p w14:paraId="5A1B0370"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37A" w14:textId="77777777">
        <w:tc>
          <w:tcPr>
            <w:tcW w:w="50" w:type="pct"/>
            <w:shd w:val="clear" w:color="auto" w:fill="auto"/>
            <w:vAlign w:val="bottom"/>
          </w:tcPr>
          <w:p w14:paraId="5A1B0371" w14:textId="77777777" w:rsidR="00960BB8" w:rsidRDefault="00960BB8">
            <w:pPr>
              <w:rPr>
                <w:rFonts w:ascii="宋体"/>
              </w:rPr>
            </w:pPr>
          </w:p>
        </w:tc>
        <w:tc>
          <w:tcPr>
            <w:tcW w:w="283" w:type="pct"/>
            <w:shd w:val="clear" w:color="auto" w:fill="auto"/>
            <w:vAlign w:val="bottom"/>
          </w:tcPr>
          <w:p w14:paraId="5A1B0372" w14:textId="77777777" w:rsidR="00960BB8" w:rsidRDefault="00960BB8">
            <w:pPr>
              <w:rPr>
                <w:rFonts w:ascii="宋体"/>
              </w:rPr>
            </w:pPr>
          </w:p>
        </w:tc>
        <w:tc>
          <w:tcPr>
            <w:tcW w:w="5" w:type="pct"/>
            <w:shd w:val="clear" w:color="auto" w:fill="auto"/>
            <w:vAlign w:val="bottom"/>
          </w:tcPr>
          <w:p w14:paraId="5A1B0373" w14:textId="77777777" w:rsidR="00960BB8" w:rsidRDefault="00960BB8">
            <w:pPr>
              <w:rPr>
                <w:rFonts w:ascii="宋体"/>
              </w:rPr>
            </w:pPr>
          </w:p>
        </w:tc>
        <w:tc>
          <w:tcPr>
            <w:tcW w:w="50" w:type="pct"/>
            <w:shd w:val="clear" w:color="auto" w:fill="auto"/>
            <w:vAlign w:val="bottom"/>
          </w:tcPr>
          <w:p w14:paraId="5A1B0374" w14:textId="77777777" w:rsidR="00960BB8" w:rsidRDefault="00960BB8">
            <w:pPr>
              <w:rPr>
                <w:rFonts w:ascii="宋体"/>
              </w:rPr>
            </w:pPr>
          </w:p>
        </w:tc>
        <w:tc>
          <w:tcPr>
            <w:tcW w:w="2656" w:type="pct"/>
            <w:shd w:val="clear" w:color="auto" w:fill="auto"/>
            <w:vAlign w:val="bottom"/>
          </w:tcPr>
          <w:p w14:paraId="5A1B0375" w14:textId="77777777" w:rsidR="00960BB8" w:rsidRDefault="00960BB8">
            <w:pPr>
              <w:rPr>
                <w:rFonts w:ascii="宋体"/>
              </w:rPr>
            </w:pPr>
          </w:p>
        </w:tc>
        <w:tc>
          <w:tcPr>
            <w:tcW w:w="5" w:type="pct"/>
            <w:shd w:val="clear" w:color="auto" w:fill="auto"/>
            <w:vAlign w:val="bottom"/>
          </w:tcPr>
          <w:p w14:paraId="5A1B0376" w14:textId="77777777" w:rsidR="00960BB8" w:rsidRDefault="00960BB8">
            <w:pPr>
              <w:rPr>
                <w:rFonts w:ascii="宋体"/>
              </w:rPr>
            </w:pPr>
          </w:p>
        </w:tc>
        <w:tc>
          <w:tcPr>
            <w:tcW w:w="50" w:type="pct"/>
            <w:shd w:val="clear" w:color="auto" w:fill="auto"/>
            <w:vAlign w:val="bottom"/>
          </w:tcPr>
          <w:p w14:paraId="5A1B0377" w14:textId="77777777" w:rsidR="00960BB8" w:rsidRDefault="00960BB8">
            <w:pPr>
              <w:rPr>
                <w:rFonts w:ascii="宋体"/>
              </w:rPr>
            </w:pPr>
          </w:p>
        </w:tc>
        <w:tc>
          <w:tcPr>
            <w:tcW w:w="1894" w:type="pct"/>
            <w:shd w:val="clear" w:color="auto" w:fill="auto"/>
            <w:vAlign w:val="bottom"/>
          </w:tcPr>
          <w:p w14:paraId="5A1B0378" w14:textId="77777777" w:rsidR="00960BB8" w:rsidRDefault="00960BB8">
            <w:pPr>
              <w:rPr>
                <w:rFonts w:ascii="宋体"/>
              </w:rPr>
            </w:pPr>
          </w:p>
        </w:tc>
        <w:tc>
          <w:tcPr>
            <w:tcW w:w="5" w:type="pct"/>
            <w:shd w:val="clear" w:color="auto" w:fill="auto"/>
            <w:vAlign w:val="bottom"/>
          </w:tcPr>
          <w:p w14:paraId="5A1B0379" w14:textId="77777777" w:rsidR="00960BB8" w:rsidRDefault="00960BB8">
            <w:pPr>
              <w:rPr>
                <w:rFonts w:ascii="宋体"/>
              </w:rPr>
            </w:pPr>
          </w:p>
        </w:tc>
      </w:tr>
      <w:tr w:rsidR="00960BB8" w14:paraId="5A1B037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37B"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10" wp14:editId="5A1B4411">
                  <wp:extent cx="304800" cy="304800"/>
                  <wp:effectExtent l="0" t="0" r="0" b="0"/>
                  <wp:docPr id="99" name="图片 18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37C"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37D" w14:textId="77777777" w:rsidR="00960BB8" w:rsidRDefault="00C06650">
            <w:pPr>
              <w:jc w:val="right"/>
              <w:textAlignment w:val="center"/>
            </w:pPr>
            <w:r>
              <w:rPr>
                <w:rFonts w:ascii="Arial" w:eastAsia="宋体" w:hAnsi="Arial" w:cs="Arial"/>
                <w:color w:val="262626"/>
                <w:sz w:val="16"/>
                <w:szCs w:val="16"/>
              </w:rPr>
              <w:t>48</w:t>
            </w:r>
          </w:p>
        </w:tc>
      </w:tr>
    </w:tbl>
    <w:p w14:paraId="5A1B037F" w14:textId="77777777" w:rsidR="00960BB8" w:rsidRDefault="00C06650">
      <w:r>
        <w:pict w14:anchorId="5A1B4412">
          <v:rect id="_x0000_i1074" style="width:415.3pt;height:1.5pt" o:hralign="center" o:hrstd="t" o:hr="t" fillcolor="#a0a0a0" stroked="f"/>
        </w:pict>
      </w:r>
    </w:p>
    <w:p w14:paraId="5A1B0380" w14:textId="77777777" w:rsidR="00960BB8" w:rsidRDefault="00C06650">
      <w:pPr>
        <w:jc w:val="right"/>
      </w:pPr>
      <w:hyperlink r:id="rId67" w:anchor="i8aaa7b4dbd2e419ca0f5c30af85a11aa_16" w:history="1">
        <w:r>
          <w:rPr>
            <w:rStyle w:val="a5"/>
            <w:rFonts w:ascii="Arial" w:eastAsia="宋体" w:hAnsi="Arial" w:cs="Arial"/>
            <w:b/>
            <w:bCs/>
            <w:sz w:val="16"/>
            <w:szCs w:val="16"/>
          </w:rPr>
          <w:t>Table of Contents</w:t>
        </w:r>
      </w:hyperlink>
    </w:p>
    <w:p w14:paraId="5A1B0381"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1123"/>
        <w:gridCol w:w="36"/>
        <w:gridCol w:w="70"/>
        <w:gridCol w:w="3448"/>
        <w:gridCol w:w="36"/>
        <w:gridCol w:w="70"/>
        <w:gridCol w:w="3448"/>
        <w:gridCol w:w="36"/>
      </w:tblGrid>
      <w:tr w:rsidR="00960BB8" w14:paraId="5A1B038B" w14:textId="77777777">
        <w:tc>
          <w:tcPr>
            <w:tcW w:w="50" w:type="pct"/>
            <w:shd w:val="clear" w:color="auto" w:fill="auto"/>
            <w:vAlign w:val="bottom"/>
          </w:tcPr>
          <w:p w14:paraId="5A1B0382" w14:textId="77777777" w:rsidR="00960BB8" w:rsidRDefault="00960BB8">
            <w:pPr>
              <w:rPr>
                <w:rFonts w:ascii="宋体"/>
              </w:rPr>
            </w:pPr>
          </w:p>
        </w:tc>
        <w:tc>
          <w:tcPr>
            <w:tcW w:w="682" w:type="pct"/>
            <w:shd w:val="clear" w:color="auto" w:fill="auto"/>
            <w:vAlign w:val="bottom"/>
          </w:tcPr>
          <w:p w14:paraId="5A1B0383" w14:textId="77777777" w:rsidR="00960BB8" w:rsidRDefault="00960BB8">
            <w:pPr>
              <w:rPr>
                <w:rFonts w:ascii="宋体"/>
              </w:rPr>
            </w:pPr>
          </w:p>
        </w:tc>
        <w:tc>
          <w:tcPr>
            <w:tcW w:w="5" w:type="pct"/>
            <w:shd w:val="clear" w:color="auto" w:fill="auto"/>
            <w:vAlign w:val="bottom"/>
          </w:tcPr>
          <w:p w14:paraId="5A1B0384" w14:textId="77777777" w:rsidR="00960BB8" w:rsidRDefault="00960BB8">
            <w:pPr>
              <w:rPr>
                <w:rFonts w:ascii="宋体"/>
              </w:rPr>
            </w:pPr>
          </w:p>
        </w:tc>
        <w:tc>
          <w:tcPr>
            <w:tcW w:w="50" w:type="pct"/>
            <w:shd w:val="clear" w:color="auto" w:fill="auto"/>
            <w:vAlign w:val="bottom"/>
          </w:tcPr>
          <w:p w14:paraId="5A1B0385" w14:textId="77777777" w:rsidR="00960BB8" w:rsidRDefault="00960BB8">
            <w:pPr>
              <w:rPr>
                <w:rFonts w:ascii="宋体"/>
              </w:rPr>
            </w:pPr>
          </w:p>
        </w:tc>
        <w:tc>
          <w:tcPr>
            <w:tcW w:w="2076" w:type="pct"/>
            <w:shd w:val="clear" w:color="auto" w:fill="auto"/>
            <w:vAlign w:val="bottom"/>
          </w:tcPr>
          <w:p w14:paraId="5A1B0386" w14:textId="77777777" w:rsidR="00960BB8" w:rsidRDefault="00960BB8">
            <w:pPr>
              <w:rPr>
                <w:rFonts w:ascii="宋体"/>
              </w:rPr>
            </w:pPr>
          </w:p>
        </w:tc>
        <w:tc>
          <w:tcPr>
            <w:tcW w:w="5" w:type="pct"/>
            <w:shd w:val="clear" w:color="auto" w:fill="auto"/>
            <w:vAlign w:val="bottom"/>
          </w:tcPr>
          <w:p w14:paraId="5A1B0387" w14:textId="77777777" w:rsidR="00960BB8" w:rsidRDefault="00960BB8">
            <w:pPr>
              <w:rPr>
                <w:rFonts w:ascii="宋体"/>
              </w:rPr>
            </w:pPr>
          </w:p>
        </w:tc>
        <w:tc>
          <w:tcPr>
            <w:tcW w:w="50" w:type="pct"/>
            <w:shd w:val="clear" w:color="auto" w:fill="auto"/>
            <w:vAlign w:val="bottom"/>
          </w:tcPr>
          <w:p w14:paraId="5A1B0388" w14:textId="77777777" w:rsidR="00960BB8" w:rsidRDefault="00960BB8">
            <w:pPr>
              <w:rPr>
                <w:rFonts w:ascii="宋体"/>
              </w:rPr>
            </w:pPr>
          </w:p>
        </w:tc>
        <w:tc>
          <w:tcPr>
            <w:tcW w:w="2076" w:type="pct"/>
            <w:shd w:val="clear" w:color="auto" w:fill="auto"/>
            <w:vAlign w:val="bottom"/>
          </w:tcPr>
          <w:p w14:paraId="5A1B0389" w14:textId="77777777" w:rsidR="00960BB8" w:rsidRDefault="00960BB8">
            <w:pPr>
              <w:rPr>
                <w:rFonts w:ascii="宋体"/>
              </w:rPr>
            </w:pPr>
          </w:p>
        </w:tc>
        <w:tc>
          <w:tcPr>
            <w:tcW w:w="5" w:type="pct"/>
            <w:shd w:val="clear" w:color="auto" w:fill="auto"/>
            <w:vAlign w:val="bottom"/>
          </w:tcPr>
          <w:p w14:paraId="5A1B038A" w14:textId="77777777" w:rsidR="00960BB8" w:rsidRDefault="00960BB8">
            <w:pPr>
              <w:rPr>
                <w:rFonts w:ascii="宋体"/>
              </w:rPr>
            </w:pPr>
          </w:p>
        </w:tc>
      </w:tr>
      <w:tr w:rsidR="00960BB8" w14:paraId="5A1B038F"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vAlign w:val="bottom"/>
          </w:tcPr>
          <w:p w14:paraId="5A1B038C" w14:textId="77777777" w:rsidR="00960BB8" w:rsidRDefault="00C06650">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vAlign w:val="bottom"/>
          </w:tcPr>
          <w:p w14:paraId="5A1B038D" w14:textId="77777777" w:rsidR="00960BB8" w:rsidRDefault="00C06650">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vAlign w:val="bottom"/>
          </w:tcPr>
          <w:p w14:paraId="5A1B038E" w14:textId="77777777" w:rsidR="00960BB8" w:rsidRDefault="00C06650">
            <w:pPr>
              <w:jc w:val="center"/>
              <w:textAlignment w:val="bottom"/>
            </w:pPr>
            <w:r>
              <w:rPr>
                <w:rFonts w:ascii="Arial" w:eastAsia="宋体" w:hAnsi="Arial" w:cs="Arial"/>
                <w:b/>
                <w:bCs/>
                <w:color w:val="262626"/>
                <w:sz w:val="18"/>
                <w:szCs w:val="18"/>
              </w:rPr>
              <w:t>Usefulness to management and investors</w:t>
            </w:r>
          </w:p>
        </w:tc>
      </w:tr>
      <w:tr w:rsidR="00960BB8" w14:paraId="5A1B0393"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90" w14:textId="77777777" w:rsidR="00960BB8" w:rsidRDefault="00C06650">
            <w:pPr>
              <w:textAlignment w:val="top"/>
            </w:pPr>
            <w:r>
              <w:rPr>
                <w:rFonts w:ascii="Arial" w:eastAsia="宋体" w:hAnsi="Arial" w:cs="Arial"/>
                <w:color w:val="262626"/>
                <w:sz w:val="18"/>
                <w:szCs w:val="18"/>
              </w:rPr>
              <w:t xml:space="preserve">Tax Reform </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91" w14:textId="77777777" w:rsidR="00960BB8" w:rsidRDefault="00C06650">
            <w:pPr>
              <w:textAlignment w:val="top"/>
            </w:pPr>
            <w:r>
              <w:rPr>
                <w:rFonts w:ascii="Arial" w:eastAsia="宋体" w:hAnsi="Arial" w:cs="Arial"/>
                <w:color w:val="262626"/>
                <w:sz w:val="18"/>
                <w:szCs w:val="18"/>
              </w:rPr>
              <w:t xml:space="preserve">Adjustments for Tax Reform reflect the impact of a change in tax law from </w:t>
            </w:r>
            <w:r>
              <w:rPr>
                <w:rFonts w:ascii="Arial" w:eastAsia="宋体" w:hAnsi="Arial" w:cs="Arial"/>
                <w:color w:val="262626"/>
                <w:sz w:val="18"/>
                <w:szCs w:val="18"/>
              </w:rPr>
              <w:t>2017 Tax Reform related to the capitalization of R&amp;D costs.</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5A1B0392" w14:textId="77777777" w:rsidR="00960BB8" w:rsidRDefault="00C06650">
            <w:pPr>
              <w:textAlignment w:val="top"/>
            </w:pPr>
            <w:r>
              <w:rPr>
                <w:rFonts w:ascii="Arial" w:eastAsia="宋体" w:hAnsi="Arial" w:cs="Arial"/>
                <w:color w:val="262626"/>
                <w:sz w:val="18"/>
                <w:szCs w:val="18"/>
              </w:rPr>
              <w:t xml:space="preserve">We exclude the impacts of this 2022 change in US tax treatment of R&amp;D costs for purposes of calculating certain non-GAAP measures as we believe these adjustments facilitate a better evaluation of </w:t>
            </w:r>
            <w:r>
              <w:rPr>
                <w:rFonts w:ascii="Arial" w:eastAsia="宋体" w:hAnsi="Arial" w:cs="Arial"/>
                <w:color w:val="262626"/>
                <w:sz w:val="18"/>
                <w:szCs w:val="18"/>
              </w:rPr>
              <w:t>our current operating performance and comparison to past operating results.</w:t>
            </w:r>
          </w:p>
        </w:tc>
      </w:tr>
      <w:tr w:rsidR="00960BB8" w14:paraId="5A1B0397" w14:textId="77777777">
        <w:trPr>
          <w:hidden/>
        </w:trPr>
        <w:tc>
          <w:tcPr>
            <w:tcW w:w="0" w:type="auto"/>
            <w:gridSpan w:val="3"/>
            <w:shd w:val="clear" w:color="auto" w:fill="auto"/>
            <w:vAlign w:val="bottom"/>
          </w:tcPr>
          <w:p w14:paraId="5A1B0394" w14:textId="77777777" w:rsidR="00960BB8" w:rsidRDefault="00960BB8">
            <w:pPr>
              <w:rPr>
                <w:rFonts w:ascii="宋体"/>
                <w:vanish/>
              </w:rPr>
            </w:pPr>
          </w:p>
        </w:tc>
        <w:tc>
          <w:tcPr>
            <w:tcW w:w="0" w:type="auto"/>
            <w:gridSpan w:val="3"/>
            <w:shd w:val="clear" w:color="auto" w:fill="auto"/>
            <w:vAlign w:val="bottom"/>
          </w:tcPr>
          <w:p w14:paraId="5A1B0395" w14:textId="77777777" w:rsidR="00960BB8" w:rsidRDefault="00960BB8">
            <w:pPr>
              <w:rPr>
                <w:rFonts w:ascii="宋体"/>
                <w:vanish/>
              </w:rPr>
            </w:pPr>
          </w:p>
        </w:tc>
        <w:tc>
          <w:tcPr>
            <w:tcW w:w="0" w:type="auto"/>
            <w:gridSpan w:val="3"/>
            <w:shd w:val="clear" w:color="auto" w:fill="auto"/>
            <w:vAlign w:val="bottom"/>
          </w:tcPr>
          <w:p w14:paraId="5A1B0396" w14:textId="77777777" w:rsidR="00960BB8" w:rsidRDefault="00960BB8">
            <w:pPr>
              <w:rPr>
                <w:rFonts w:ascii="宋体"/>
                <w:vanish/>
              </w:rPr>
            </w:pPr>
          </w:p>
        </w:tc>
      </w:tr>
      <w:tr w:rsidR="00960BB8" w14:paraId="5A1B039B"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98" w14:textId="77777777" w:rsidR="00960BB8" w:rsidRDefault="00C06650">
            <w:pPr>
              <w:textAlignment w:val="top"/>
            </w:pPr>
            <w:r>
              <w:rPr>
                <w:rFonts w:ascii="Arial" w:eastAsia="宋体" w:hAnsi="Arial" w:cs="Arial"/>
                <w:color w:val="262626"/>
                <w:sz w:val="18"/>
                <w:szCs w:val="18"/>
              </w:rPr>
              <w:t>Adjusted free cash flow</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5A1B0399" w14:textId="77777777" w:rsidR="00960BB8" w:rsidRDefault="00C06650">
            <w:pPr>
              <w:textAlignment w:val="top"/>
            </w:pPr>
            <w:r>
              <w:rPr>
                <w:rFonts w:ascii="Arial" w:eastAsia="宋体" w:hAnsi="Arial" w:cs="Arial"/>
                <w:color w:val="262626"/>
                <w:sz w:val="18"/>
                <w:szCs w:val="18"/>
              </w:rPr>
              <w:t xml:space="preserve">We reference a non-GAAP financial measure of adjusted free cash flow, which is used by management when assessing our sources of liquidity, </w:t>
            </w:r>
            <w:r>
              <w:rPr>
                <w:rFonts w:ascii="Arial" w:eastAsia="宋体" w:hAnsi="Arial" w:cs="Arial"/>
                <w:color w:val="262626"/>
                <w:sz w:val="18"/>
                <w:szCs w:val="18"/>
              </w:rPr>
              <w:t>capital resources, and quality of earnings. Adjusted free cash flow is operating cash flow adjusted for (1) additions to property, plant and equipment, net of proceeds from capital grants and partner contributions, (2) payments on finance leases, and (3) p</w:t>
            </w:r>
            <w:r>
              <w:rPr>
                <w:rFonts w:ascii="Arial" w:eastAsia="宋体" w:hAnsi="Arial" w:cs="Arial"/>
                <w:color w:val="262626"/>
                <w:sz w:val="18"/>
                <w:szCs w:val="18"/>
              </w:rPr>
              <w:t>roceeds from the McAfee equity sale.</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5A1B039A" w14:textId="77777777" w:rsidR="00960BB8" w:rsidRDefault="00C06650">
            <w:pPr>
              <w:textAlignment w:val="top"/>
            </w:pPr>
            <w:r>
              <w:rPr>
                <w:rFonts w:ascii="Arial" w:eastAsia="宋体" w:hAnsi="Arial" w:cs="Arial"/>
                <w:color w:val="262626"/>
                <w:sz w:val="18"/>
                <w:szCs w:val="18"/>
              </w:rPr>
              <w:t>This non-GAAP financial measure is helpful in understanding our capital requirements and sources of liquidity by providing an additional means to evaluate the cash flow trends of our business. Since the 2017 divestiture</w:t>
            </w:r>
            <w:r>
              <w:rPr>
                <w:rFonts w:ascii="Arial" w:eastAsia="宋体" w:hAnsi="Arial" w:cs="Arial"/>
                <w:color w:val="262626"/>
                <w:sz w:val="18"/>
                <w:szCs w:val="18"/>
              </w:rPr>
              <w:t>, McAfee equity distributions and sales have contributed to operating and free cash flow, and while the McAfee equity sale in Q1 2022 would typically be excluded from adjusted free cash flow as an equity sale, we believe including the sale proceeds in adju</w:t>
            </w:r>
            <w:r>
              <w:rPr>
                <w:rFonts w:ascii="Arial" w:eastAsia="宋体" w:hAnsi="Arial" w:cs="Arial"/>
                <w:color w:val="262626"/>
                <w:sz w:val="18"/>
                <w:szCs w:val="18"/>
              </w:rPr>
              <w:t>sted free cash flow facilitate a better, more consistent comparison to past presentations of liquidity.</w:t>
            </w:r>
          </w:p>
        </w:tc>
      </w:tr>
      <w:tr w:rsidR="00960BB8" w14:paraId="5A1B039F" w14:textId="77777777">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tcPr>
          <w:p w14:paraId="5A1B039C" w14:textId="77777777" w:rsidR="00960BB8" w:rsidRDefault="00C06650">
            <w:pPr>
              <w:textAlignment w:val="top"/>
            </w:pPr>
            <w:r>
              <w:rPr>
                <w:rFonts w:ascii="Arial" w:eastAsia="宋体" w:hAnsi="Arial" w:cs="Arial"/>
                <w:color w:val="262626"/>
                <w:sz w:val="18"/>
                <w:szCs w:val="18"/>
              </w:rPr>
              <w:t>Total cash and investments</w:t>
            </w:r>
          </w:p>
        </w:tc>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tcPr>
          <w:p w14:paraId="5A1B039D" w14:textId="77777777" w:rsidR="00960BB8" w:rsidRDefault="00C06650">
            <w:pPr>
              <w:textAlignment w:val="top"/>
            </w:pPr>
            <w:r>
              <w:rPr>
                <w:rFonts w:ascii="Arial" w:eastAsia="宋体" w:hAnsi="Arial" w:cs="Arial"/>
                <w:color w:val="262626"/>
                <w:sz w:val="18"/>
                <w:szCs w:val="18"/>
              </w:rPr>
              <w:t xml:space="preserve">Total cash and investments is used by management when assessing our sources of liquidity, which include cash and cash </w:t>
            </w:r>
            <w:r>
              <w:rPr>
                <w:rFonts w:ascii="Arial" w:eastAsia="宋体" w:hAnsi="Arial" w:cs="Arial"/>
                <w:color w:val="262626"/>
                <w:sz w:val="18"/>
                <w:szCs w:val="18"/>
              </w:rPr>
              <w:t>equivalents, short-term investments, and loans receivable and other.</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Mar>
              <w:top w:w="40" w:type="dxa"/>
              <w:left w:w="20" w:type="dxa"/>
              <w:bottom w:w="40" w:type="dxa"/>
              <w:right w:w="20" w:type="dxa"/>
            </w:tcMar>
          </w:tcPr>
          <w:p w14:paraId="5A1B039E" w14:textId="77777777" w:rsidR="00960BB8" w:rsidRDefault="00C06650">
            <w:pPr>
              <w:textAlignment w:val="top"/>
            </w:pPr>
            <w:r>
              <w:rPr>
                <w:rFonts w:ascii="Arial" w:eastAsia="宋体" w:hAnsi="Arial" w:cs="Arial"/>
                <w:color w:val="262626"/>
                <w:sz w:val="18"/>
                <w:szCs w:val="18"/>
              </w:rPr>
              <w:t>This non-GAAP measure is helpful in understanding our capital resources and liquidity position.</w:t>
            </w:r>
          </w:p>
        </w:tc>
      </w:tr>
    </w:tbl>
    <w:p w14:paraId="5A1B03A0" w14:textId="77777777" w:rsidR="00960BB8" w:rsidRDefault="00C06650">
      <w:pPr>
        <w:spacing w:after="60"/>
      </w:pPr>
      <w:r>
        <w:rPr>
          <w:rFonts w:ascii="Arial" w:eastAsia="宋体" w:hAnsi="Arial" w:cs="Arial"/>
          <w:color w:val="262626"/>
          <w:sz w:val="18"/>
          <w:szCs w:val="18"/>
        </w:rPr>
        <w:t xml:space="preserve">Following are the reconciliations of our most comparable US GAAP measures to our non-GAAP </w:t>
      </w:r>
      <w:r>
        <w:rPr>
          <w:rFonts w:ascii="Arial" w:eastAsia="宋体" w:hAnsi="Arial" w:cs="Arial"/>
          <w:color w:val="262626"/>
          <w:sz w:val="18"/>
          <w:szCs w:val="18"/>
        </w:rPr>
        <w:t>measures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959"/>
        <w:gridCol w:w="38"/>
        <w:gridCol w:w="36"/>
        <w:gridCol w:w="121"/>
        <w:gridCol w:w="784"/>
        <w:gridCol w:w="181"/>
        <w:gridCol w:w="36"/>
        <w:gridCol w:w="36"/>
        <w:gridCol w:w="36"/>
        <w:gridCol w:w="121"/>
        <w:gridCol w:w="679"/>
        <w:gridCol w:w="181"/>
        <w:gridCol w:w="36"/>
        <w:gridCol w:w="36"/>
        <w:gridCol w:w="36"/>
        <w:gridCol w:w="121"/>
        <w:gridCol w:w="679"/>
        <w:gridCol w:w="181"/>
      </w:tblGrid>
      <w:tr w:rsidR="00960BB8" w14:paraId="5A1B03B4" w14:textId="77777777">
        <w:tc>
          <w:tcPr>
            <w:tcW w:w="50" w:type="pct"/>
            <w:shd w:val="clear" w:color="auto" w:fill="auto"/>
            <w:vAlign w:val="bottom"/>
          </w:tcPr>
          <w:p w14:paraId="5A1B03A1" w14:textId="77777777" w:rsidR="00960BB8" w:rsidRDefault="00960BB8">
            <w:pPr>
              <w:rPr>
                <w:rFonts w:ascii="宋体"/>
              </w:rPr>
            </w:pPr>
          </w:p>
        </w:tc>
        <w:tc>
          <w:tcPr>
            <w:tcW w:w="3093" w:type="pct"/>
            <w:shd w:val="clear" w:color="auto" w:fill="auto"/>
            <w:vAlign w:val="bottom"/>
          </w:tcPr>
          <w:p w14:paraId="5A1B03A2" w14:textId="77777777" w:rsidR="00960BB8" w:rsidRDefault="00960BB8">
            <w:pPr>
              <w:rPr>
                <w:rFonts w:ascii="宋体"/>
              </w:rPr>
            </w:pPr>
          </w:p>
        </w:tc>
        <w:tc>
          <w:tcPr>
            <w:tcW w:w="5" w:type="pct"/>
            <w:shd w:val="clear" w:color="auto" w:fill="auto"/>
            <w:vAlign w:val="bottom"/>
          </w:tcPr>
          <w:p w14:paraId="5A1B03A3" w14:textId="77777777" w:rsidR="00960BB8" w:rsidRDefault="00960BB8">
            <w:pPr>
              <w:rPr>
                <w:rFonts w:ascii="宋体"/>
              </w:rPr>
            </w:pPr>
          </w:p>
        </w:tc>
        <w:tc>
          <w:tcPr>
            <w:tcW w:w="0" w:type="auto"/>
            <w:shd w:val="clear" w:color="auto" w:fill="auto"/>
            <w:vAlign w:val="bottom"/>
          </w:tcPr>
          <w:p w14:paraId="5A1B03A4" w14:textId="77777777" w:rsidR="00960BB8" w:rsidRDefault="00960BB8">
            <w:pPr>
              <w:rPr>
                <w:rFonts w:ascii="宋体"/>
                <w:vanish/>
              </w:rPr>
            </w:pPr>
          </w:p>
        </w:tc>
        <w:tc>
          <w:tcPr>
            <w:tcW w:w="50" w:type="pct"/>
            <w:shd w:val="clear" w:color="auto" w:fill="auto"/>
            <w:vAlign w:val="bottom"/>
          </w:tcPr>
          <w:p w14:paraId="5A1B03A5" w14:textId="77777777" w:rsidR="00960BB8" w:rsidRDefault="00960BB8">
            <w:pPr>
              <w:rPr>
                <w:rFonts w:ascii="宋体"/>
              </w:rPr>
            </w:pPr>
          </w:p>
        </w:tc>
        <w:tc>
          <w:tcPr>
            <w:tcW w:w="539" w:type="pct"/>
            <w:shd w:val="clear" w:color="auto" w:fill="auto"/>
            <w:vAlign w:val="bottom"/>
          </w:tcPr>
          <w:p w14:paraId="5A1B03A6" w14:textId="77777777" w:rsidR="00960BB8" w:rsidRDefault="00960BB8">
            <w:pPr>
              <w:rPr>
                <w:rFonts w:ascii="宋体"/>
              </w:rPr>
            </w:pPr>
          </w:p>
        </w:tc>
        <w:tc>
          <w:tcPr>
            <w:tcW w:w="5" w:type="pct"/>
            <w:shd w:val="clear" w:color="auto" w:fill="auto"/>
            <w:vAlign w:val="bottom"/>
          </w:tcPr>
          <w:p w14:paraId="5A1B03A7" w14:textId="77777777" w:rsidR="00960BB8" w:rsidRDefault="00960BB8">
            <w:pPr>
              <w:rPr>
                <w:rFonts w:ascii="宋体"/>
              </w:rPr>
            </w:pPr>
          </w:p>
        </w:tc>
        <w:tc>
          <w:tcPr>
            <w:tcW w:w="5" w:type="pct"/>
            <w:shd w:val="clear" w:color="auto" w:fill="auto"/>
            <w:vAlign w:val="bottom"/>
          </w:tcPr>
          <w:p w14:paraId="5A1B03A8" w14:textId="77777777" w:rsidR="00960BB8" w:rsidRDefault="00960BB8">
            <w:pPr>
              <w:rPr>
                <w:rFonts w:ascii="宋体"/>
              </w:rPr>
            </w:pPr>
          </w:p>
        </w:tc>
        <w:tc>
          <w:tcPr>
            <w:tcW w:w="24" w:type="pct"/>
            <w:shd w:val="clear" w:color="auto" w:fill="auto"/>
            <w:vAlign w:val="bottom"/>
          </w:tcPr>
          <w:p w14:paraId="5A1B03A9" w14:textId="77777777" w:rsidR="00960BB8" w:rsidRDefault="00960BB8">
            <w:pPr>
              <w:rPr>
                <w:rFonts w:ascii="宋体"/>
              </w:rPr>
            </w:pPr>
          </w:p>
        </w:tc>
        <w:tc>
          <w:tcPr>
            <w:tcW w:w="5" w:type="pct"/>
            <w:shd w:val="clear" w:color="auto" w:fill="auto"/>
            <w:vAlign w:val="bottom"/>
          </w:tcPr>
          <w:p w14:paraId="5A1B03AA" w14:textId="77777777" w:rsidR="00960BB8" w:rsidRDefault="00960BB8">
            <w:pPr>
              <w:rPr>
                <w:rFonts w:ascii="宋体"/>
              </w:rPr>
            </w:pPr>
          </w:p>
        </w:tc>
        <w:tc>
          <w:tcPr>
            <w:tcW w:w="50" w:type="pct"/>
            <w:shd w:val="clear" w:color="auto" w:fill="auto"/>
            <w:vAlign w:val="bottom"/>
          </w:tcPr>
          <w:p w14:paraId="5A1B03AB" w14:textId="77777777" w:rsidR="00960BB8" w:rsidRDefault="00960BB8">
            <w:pPr>
              <w:rPr>
                <w:rFonts w:ascii="宋体"/>
              </w:rPr>
            </w:pPr>
          </w:p>
        </w:tc>
        <w:tc>
          <w:tcPr>
            <w:tcW w:w="539" w:type="pct"/>
            <w:shd w:val="clear" w:color="auto" w:fill="auto"/>
            <w:vAlign w:val="bottom"/>
          </w:tcPr>
          <w:p w14:paraId="5A1B03AC" w14:textId="77777777" w:rsidR="00960BB8" w:rsidRDefault="00960BB8">
            <w:pPr>
              <w:rPr>
                <w:rFonts w:ascii="宋体"/>
              </w:rPr>
            </w:pPr>
          </w:p>
        </w:tc>
        <w:tc>
          <w:tcPr>
            <w:tcW w:w="5" w:type="pct"/>
            <w:shd w:val="clear" w:color="auto" w:fill="auto"/>
            <w:vAlign w:val="bottom"/>
          </w:tcPr>
          <w:p w14:paraId="5A1B03AD" w14:textId="77777777" w:rsidR="00960BB8" w:rsidRDefault="00960BB8">
            <w:pPr>
              <w:rPr>
                <w:rFonts w:ascii="宋体"/>
              </w:rPr>
            </w:pPr>
          </w:p>
        </w:tc>
        <w:tc>
          <w:tcPr>
            <w:tcW w:w="5" w:type="pct"/>
            <w:shd w:val="clear" w:color="auto" w:fill="auto"/>
            <w:vAlign w:val="bottom"/>
          </w:tcPr>
          <w:p w14:paraId="5A1B03AE" w14:textId="77777777" w:rsidR="00960BB8" w:rsidRDefault="00960BB8">
            <w:pPr>
              <w:rPr>
                <w:rFonts w:ascii="宋体"/>
              </w:rPr>
            </w:pPr>
          </w:p>
        </w:tc>
        <w:tc>
          <w:tcPr>
            <w:tcW w:w="24" w:type="pct"/>
            <w:shd w:val="clear" w:color="auto" w:fill="auto"/>
            <w:vAlign w:val="bottom"/>
          </w:tcPr>
          <w:p w14:paraId="5A1B03AF" w14:textId="77777777" w:rsidR="00960BB8" w:rsidRDefault="00960BB8">
            <w:pPr>
              <w:rPr>
                <w:rFonts w:ascii="宋体"/>
              </w:rPr>
            </w:pPr>
          </w:p>
        </w:tc>
        <w:tc>
          <w:tcPr>
            <w:tcW w:w="5" w:type="pct"/>
            <w:shd w:val="clear" w:color="auto" w:fill="auto"/>
            <w:vAlign w:val="bottom"/>
          </w:tcPr>
          <w:p w14:paraId="5A1B03B0" w14:textId="77777777" w:rsidR="00960BB8" w:rsidRDefault="00960BB8">
            <w:pPr>
              <w:rPr>
                <w:rFonts w:ascii="宋体"/>
              </w:rPr>
            </w:pPr>
          </w:p>
        </w:tc>
        <w:tc>
          <w:tcPr>
            <w:tcW w:w="50" w:type="pct"/>
            <w:shd w:val="clear" w:color="auto" w:fill="auto"/>
            <w:vAlign w:val="bottom"/>
          </w:tcPr>
          <w:p w14:paraId="5A1B03B1" w14:textId="77777777" w:rsidR="00960BB8" w:rsidRDefault="00960BB8">
            <w:pPr>
              <w:rPr>
                <w:rFonts w:ascii="宋体"/>
              </w:rPr>
            </w:pPr>
          </w:p>
        </w:tc>
        <w:tc>
          <w:tcPr>
            <w:tcW w:w="539" w:type="pct"/>
            <w:shd w:val="clear" w:color="auto" w:fill="auto"/>
            <w:vAlign w:val="bottom"/>
          </w:tcPr>
          <w:p w14:paraId="5A1B03B2" w14:textId="77777777" w:rsidR="00960BB8" w:rsidRDefault="00960BB8">
            <w:pPr>
              <w:rPr>
                <w:rFonts w:ascii="宋体"/>
              </w:rPr>
            </w:pPr>
          </w:p>
        </w:tc>
        <w:tc>
          <w:tcPr>
            <w:tcW w:w="5" w:type="pct"/>
            <w:shd w:val="clear" w:color="auto" w:fill="auto"/>
            <w:vAlign w:val="bottom"/>
          </w:tcPr>
          <w:p w14:paraId="5A1B03B3" w14:textId="77777777" w:rsidR="00960BB8" w:rsidRDefault="00960BB8">
            <w:pPr>
              <w:rPr>
                <w:rFonts w:ascii="宋体"/>
              </w:rPr>
            </w:pPr>
          </w:p>
        </w:tc>
      </w:tr>
      <w:tr w:rsidR="00960BB8" w14:paraId="5A1B03BC" w14:textId="77777777">
        <w:tc>
          <w:tcPr>
            <w:tcW w:w="0" w:type="auto"/>
            <w:gridSpan w:val="3"/>
            <w:shd w:val="clear" w:color="auto" w:fill="auto"/>
            <w:tcMar>
              <w:top w:w="40" w:type="dxa"/>
              <w:left w:w="20" w:type="dxa"/>
              <w:bottom w:w="40" w:type="dxa"/>
              <w:right w:w="20" w:type="dxa"/>
            </w:tcMar>
            <w:vAlign w:val="bottom"/>
          </w:tcPr>
          <w:p w14:paraId="5A1B03B5" w14:textId="77777777" w:rsidR="00960BB8" w:rsidRDefault="00C06650">
            <w:pPr>
              <w:textAlignment w:val="bottom"/>
            </w:pPr>
            <w:r>
              <w:rPr>
                <w:rFonts w:ascii="Arial" w:eastAsia="宋体" w:hAnsi="Arial" w:cs="Arial"/>
                <w:b/>
                <w:bCs/>
                <w:color w:val="262626"/>
                <w:sz w:val="18"/>
                <w:szCs w:val="18"/>
              </w:rPr>
              <w:t>Years Ended (In Millions, Except Per Share Amounts)</w:t>
            </w:r>
          </w:p>
        </w:tc>
        <w:tc>
          <w:tcPr>
            <w:tcW w:w="0" w:type="auto"/>
            <w:shd w:val="clear" w:color="auto" w:fill="auto"/>
            <w:vAlign w:val="bottom"/>
          </w:tcPr>
          <w:p w14:paraId="5A1B03B6"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bottom"/>
          </w:tcPr>
          <w:p w14:paraId="5A1B03B7"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03B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3B9"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03B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3BB"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03C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3BD" w14:textId="77777777" w:rsidR="00960BB8" w:rsidRDefault="00C06650">
            <w:pPr>
              <w:textAlignment w:val="bottom"/>
            </w:pPr>
            <w:r>
              <w:rPr>
                <w:rFonts w:ascii="Arial" w:eastAsia="宋体" w:hAnsi="Arial" w:cs="Arial"/>
                <w:b/>
                <w:bCs/>
                <w:color w:val="262626"/>
                <w:sz w:val="18"/>
                <w:szCs w:val="18"/>
              </w:rPr>
              <w:t>Net revenue</w:t>
            </w:r>
          </w:p>
        </w:tc>
        <w:tc>
          <w:tcPr>
            <w:tcW w:w="0" w:type="auto"/>
            <w:shd w:val="clear" w:color="auto" w:fill="auto"/>
            <w:vAlign w:val="bottom"/>
          </w:tcPr>
          <w:p w14:paraId="5A1B03BE" w14:textId="77777777" w:rsidR="00960BB8" w:rsidRDefault="00960BB8">
            <w:pPr>
              <w:rPr>
                <w:rFonts w:ascii="宋体"/>
                <w:vanish/>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3BF"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3C0" w14:textId="77777777" w:rsidR="00960BB8" w:rsidRDefault="00C06650">
            <w:pPr>
              <w:jc w:val="right"/>
              <w:textAlignment w:val="bottom"/>
            </w:pPr>
            <w:r>
              <w:rPr>
                <w:rFonts w:ascii="Arial" w:eastAsia="宋体" w:hAnsi="Arial" w:cs="Arial"/>
                <w:b/>
                <w:bCs/>
                <w:color w:val="0068B5"/>
                <w:sz w:val="18"/>
                <w:szCs w:val="18"/>
              </w:rPr>
              <w:t>63,054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3C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3C2"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3C3"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3C4" w14:textId="77777777" w:rsidR="00960BB8" w:rsidRDefault="00C06650">
            <w:pPr>
              <w:jc w:val="right"/>
              <w:textAlignment w:val="bottom"/>
            </w:pPr>
            <w:r>
              <w:rPr>
                <w:rFonts w:ascii="Arial" w:eastAsia="宋体" w:hAnsi="Arial" w:cs="Arial"/>
                <w:b/>
                <w:bCs/>
                <w:color w:val="262626"/>
                <w:sz w:val="18"/>
                <w:szCs w:val="18"/>
              </w:rPr>
              <w:t>79,024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3C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3C6"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3C7"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3C8" w14:textId="77777777" w:rsidR="00960BB8" w:rsidRDefault="00C06650">
            <w:pPr>
              <w:jc w:val="right"/>
              <w:textAlignment w:val="bottom"/>
            </w:pPr>
            <w:r>
              <w:rPr>
                <w:rFonts w:ascii="Arial" w:eastAsia="宋体" w:hAnsi="Arial" w:cs="Arial"/>
                <w:b/>
                <w:bCs/>
                <w:color w:val="262626"/>
                <w:sz w:val="18"/>
                <w:szCs w:val="18"/>
              </w:rPr>
              <w:t>77,867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3C9" w14:textId="77777777" w:rsidR="00960BB8" w:rsidRDefault="00960BB8">
            <w:pPr>
              <w:jc w:val="right"/>
              <w:rPr>
                <w:rFonts w:ascii="宋体"/>
              </w:rPr>
            </w:pPr>
          </w:p>
        </w:tc>
      </w:tr>
      <w:tr w:rsidR="00960BB8" w14:paraId="5A1B03D5" w14:textId="77777777">
        <w:tc>
          <w:tcPr>
            <w:tcW w:w="0" w:type="auto"/>
            <w:gridSpan w:val="3"/>
            <w:shd w:val="clear" w:color="auto" w:fill="auto"/>
            <w:tcMar>
              <w:top w:w="40" w:type="dxa"/>
              <w:left w:w="245" w:type="dxa"/>
              <w:bottom w:w="40" w:type="dxa"/>
              <w:right w:w="20" w:type="dxa"/>
            </w:tcMar>
            <w:vAlign w:val="bottom"/>
          </w:tcPr>
          <w:p w14:paraId="5A1B03CB" w14:textId="77777777" w:rsidR="00960BB8" w:rsidRDefault="00C06650">
            <w:pPr>
              <w:textAlignment w:val="bottom"/>
            </w:pPr>
            <w:r>
              <w:rPr>
                <w:rFonts w:ascii="Arial" w:eastAsia="宋体" w:hAnsi="Arial" w:cs="Arial"/>
                <w:color w:val="262626"/>
                <w:sz w:val="18"/>
                <w:szCs w:val="18"/>
              </w:rPr>
              <w:t>NAND memory business</w:t>
            </w:r>
          </w:p>
        </w:tc>
        <w:tc>
          <w:tcPr>
            <w:tcW w:w="0" w:type="auto"/>
            <w:shd w:val="clear" w:color="auto" w:fill="auto"/>
            <w:vAlign w:val="bottom"/>
          </w:tcPr>
          <w:p w14:paraId="5A1B03CC"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3CD"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3C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3C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3D0" w14:textId="77777777" w:rsidR="00960BB8" w:rsidRDefault="00C06650">
            <w:pPr>
              <w:jc w:val="right"/>
              <w:textAlignment w:val="bottom"/>
            </w:pPr>
            <w:r>
              <w:rPr>
                <w:rFonts w:ascii="Arial" w:eastAsia="宋体" w:hAnsi="Arial" w:cs="Arial"/>
                <w:color w:val="262626"/>
                <w:sz w:val="18"/>
                <w:szCs w:val="18"/>
              </w:rPr>
              <w:t>(4,306)</w:t>
            </w:r>
          </w:p>
        </w:tc>
        <w:tc>
          <w:tcPr>
            <w:tcW w:w="0" w:type="auto"/>
            <w:shd w:val="clear" w:color="auto" w:fill="auto"/>
            <w:tcMar>
              <w:top w:w="40" w:type="dxa"/>
              <w:left w:w="0" w:type="dxa"/>
              <w:bottom w:w="40" w:type="dxa"/>
              <w:right w:w="20" w:type="dxa"/>
            </w:tcMar>
            <w:vAlign w:val="bottom"/>
          </w:tcPr>
          <w:p w14:paraId="5A1B03D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3D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3D3" w14:textId="77777777" w:rsidR="00960BB8" w:rsidRDefault="00C06650">
            <w:pPr>
              <w:jc w:val="right"/>
              <w:textAlignment w:val="bottom"/>
            </w:pPr>
            <w:r>
              <w:rPr>
                <w:rFonts w:ascii="Arial" w:eastAsia="宋体" w:hAnsi="Arial" w:cs="Arial"/>
                <w:color w:val="262626"/>
                <w:sz w:val="18"/>
                <w:szCs w:val="18"/>
              </w:rPr>
              <w:t>(4,967)</w:t>
            </w:r>
          </w:p>
        </w:tc>
        <w:tc>
          <w:tcPr>
            <w:tcW w:w="0" w:type="auto"/>
            <w:shd w:val="clear" w:color="auto" w:fill="auto"/>
            <w:tcMar>
              <w:top w:w="40" w:type="dxa"/>
              <w:left w:w="0" w:type="dxa"/>
              <w:bottom w:w="40" w:type="dxa"/>
              <w:right w:w="20" w:type="dxa"/>
            </w:tcMar>
            <w:vAlign w:val="bottom"/>
          </w:tcPr>
          <w:p w14:paraId="5A1B03D4" w14:textId="77777777" w:rsidR="00960BB8" w:rsidRDefault="00960BB8">
            <w:pPr>
              <w:jc w:val="right"/>
              <w:rPr>
                <w:rFonts w:ascii="宋体"/>
              </w:rPr>
            </w:pPr>
          </w:p>
        </w:tc>
      </w:tr>
      <w:tr w:rsidR="00960BB8" w14:paraId="5A1B03E3" w14:textId="77777777">
        <w:tc>
          <w:tcPr>
            <w:tcW w:w="0" w:type="auto"/>
            <w:gridSpan w:val="3"/>
            <w:shd w:val="clear" w:color="auto" w:fill="auto"/>
            <w:tcMar>
              <w:top w:w="40" w:type="dxa"/>
              <w:left w:w="20" w:type="dxa"/>
              <w:bottom w:w="40" w:type="dxa"/>
              <w:right w:w="20" w:type="dxa"/>
            </w:tcMar>
            <w:vAlign w:val="bottom"/>
          </w:tcPr>
          <w:p w14:paraId="5A1B03D6" w14:textId="77777777" w:rsidR="00960BB8" w:rsidRDefault="00C06650">
            <w:pPr>
              <w:textAlignment w:val="bottom"/>
            </w:pPr>
            <w:r>
              <w:rPr>
                <w:rFonts w:ascii="Arial" w:eastAsia="宋体" w:hAnsi="Arial" w:cs="Arial"/>
                <w:b/>
                <w:bCs/>
                <w:color w:val="262626"/>
                <w:sz w:val="18"/>
                <w:szCs w:val="18"/>
              </w:rPr>
              <w:t>Non-GAAP net revenue</w:t>
            </w:r>
          </w:p>
        </w:tc>
        <w:tc>
          <w:tcPr>
            <w:tcW w:w="0" w:type="auto"/>
            <w:shd w:val="clear" w:color="auto" w:fill="auto"/>
            <w:vAlign w:val="bottom"/>
          </w:tcPr>
          <w:p w14:paraId="5A1B03D7" w14:textId="77777777" w:rsidR="00960BB8" w:rsidRDefault="00960BB8">
            <w:pPr>
              <w:rPr>
                <w:rFonts w:ascii="宋体"/>
                <w:vanish/>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3D8"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3D9" w14:textId="77777777" w:rsidR="00960BB8" w:rsidRDefault="00C06650">
            <w:pPr>
              <w:jc w:val="right"/>
              <w:textAlignment w:val="bottom"/>
            </w:pPr>
            <w:r>
              <w:rPr>
                <w:rFonts w:ascii="Arial" w:eastAsia="宋体" w:hAnsi="Arial" w:cs="Arial"/>
                <w:b/>
                <w:bCs/>
                <w:color w:val="0068B5"/>
                <w:sz w:val="18"/>
                <w:szCs w:val="18"/>
              </w:rPr>
              <w:t>63,054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3D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3DB"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3DC"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3DD" w14:textId="77777777" w:rsidR="00960BB8" w:rsidRDefault="00C06650">
            <w:pPr>
              <w:jc w:val="right"/>
              <w:textAlignment w:val="bottom"/>
            </w:pPr>
            <w:r>
              <w:rPr>
                <w:rFonts w:ascii="Arial" w:eastAsia="宋体" w:hAnsi="Arial" w:cs="Arial"/>
                <w:b/>
                <w:bCs/>
                <w:color w:val="262626"/>
                <w:sz w:val="18"/>
                <w:szCs w:val="18"/>
              </w:rPr>
              <w:t>74,718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3D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3DF"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3E0"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3E1" w14:textId="77777777" w:rsidR="00960BB8" w:rsidRDefault="00C06650">
            <w:pPr>
              <w:jc w:val="right"/>
              <w:textAlignment w:val="bottom"/>
            </w:pPr>
            <w:r>
              <w:rPr>
                <w:rFonts w:ascii="Arial" w:eastAsia="宋体" w:hAnsi="Arial" w:cs="Arial"/>
                <w:b/>
                <w:bCs/>
                <w:color w:val="262626"/>
                <w:sz w:val="18"/>
                <w:szCs w:val="18"/>
              </w:rPr>
              <w:t>72,900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3E2" w14:textId="77777777" w:rsidR="00960BB8" w:rsidRDefault="00960BB8">
            <w:pPr>
              <w:jc w:val="right"/>
              <w:rPr>
                <w:rFonts w:ascii="宋体"/>
              </w:rPr>
            </w:pPr>
          </w:p>
        </w:tc>
      </w:tr>
      <w:tr w:rsidR="00960BB8" w14:paraId="5A1B03EB" w14:textId="77777777">
        <w:trPr>
          <w:trHeight w:val="60"/>
        </w:trPr>
        <w:tc>
          <w:tcPr>
            <w:tcW w:w="0" w:type="auto"/>
            <w:gridSpan w:val="3"/>
            <w:shd w:val="clear" w:color="auto" w:fill="auto"/>
            <w:tcMar>
              <w:top w:w="0" w:type="dxa"/>
              <w:left w:w="20" w:type="dxa"/>
              <w:bottom w:w="0" w:type="dxa"/>
              <w:right w:w="20" w:type="dxa"/>
            </w:tcMar>
            <w:vAlign w:val="bottom"/>
          </w:tcPr>
          <w:p w14:paraId="5A1B03E4" w14:textId="77777777" w:rsidR="00960BB8" w:rsidRDefault="00960BB8">
            <w:pPr>
              <w:rPr>
                <w:rFonts w:ascii="宋体"/>
              </w:rPr>
            </w:pPr>
          </w:p>
        </w:tc>
        <w:tc>
          <w:tcPr>
            <w:tcW w:w="0" w:type="auto"/>
            <w:shd w:val="clear" w:color="auto" w:fill="auto"/>
            <w:vAlign w:val="bottom"/>
          </w:tcPr>
          <w:p w14:paraId="5A1B03E5" w14:textId="77777777" w:rsidR="00960BB8" w:rsidRDefault="00960BB8">
            <w:pPr>
              <w:rPr>
                <w:rFonts w:ascii="宋体"/>
                <w:vanish/>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03E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3E7"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03E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3E9"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03EA" w14:textId="77777777" w:rsidR="00960BB8" w:rsidRDefault="00960BB8">
            <w:pPr>
              <w:rPr>
                <w:rFonts w:ascii="宋体"/>
              </w:rPr>
            </w:pPr>
          </w:p>
        </w:tc>
      </w:tr>
      <w:tr w:rsidR="00960BB8" w14:paraId="5A1B03F3" w14:textId="77777777">
        <w:trPr>
          <w:hidden/>
        </w:trPr>
        <w:tc>
          <w:tcPr>
            <w:tcW w:w="0" w:type="auto"/>
            <w:gridSpan w:val="3"/>
            <w:shd w:val="clear" w:color="auto" w:fill="auto"/>
            <w:vAlign w:val="bottom"/>
          </w:tcPr>
          <w:p w14:paraId="5A1B03EC" w14:textId="77777777" w:rsidR="00960BB8" w:rsidRDefault="00960BB8">
            <w:pPr>
              <w:rPr>
                <w:rFonts w:ascii="宋体"/>
                <w:vanish/>
              </w:rPr>
            </w:pPr>
          </w:p>
        </w:tc>
        <w:tc>
          <w:tcPr>
            <w:tcW w:w="0" w:type="auto"/>
            <w:shd w:val="clear" w:color="auto" w:fill="auto"/>
            <w:vAlign w:val="bottom"/>
          </w:tcPr>
          <w:p w14:paraId="5A1B03ED" w14:textId="77777777" w:rsidR="00960BB8" w:rsidRDefault="00960BB8">
            <w:pPr>
              <w:rPr>
                <w:rFonts w:ascii="宋体"/>
                <w:vanish/>
              </w:rPr>
            </w:pPr>
          </w:p>
        </w:tc>
        <w:tc>
          <w:tcPr>
            <w:tcW w:w="0" w:type="auto"/>
            <w:gridSpan w:val="3"/>
            <w:shd w:val="clear" w:color="auto" w:fill="auto"/>
            <w:vAlign w:val="bottom"/>
          </w:tcPr>
          <w:p w14:paraId="5A1B03EE" w14:textId="77777777" w:rsidR="00960BB8" w:rsidRDefault="00960BB8">
            <w:pPr>
              <w:rPr>
                <w:rFonts w:ascii="宋体"/>
                <w:vanish/>
              </w:rPr>
            </w:pPr>
          </w:p>
        </w:tc>
        <w:tc>
          <w:tcPr>
            <w:tcW w:w="0" w:type="auto"/>
            <w:gridSpan w:val="3"/>
            <w:shd w:val="clear" w:color="auto" w:fill="auto"/>
            <w:vAlign w:val="bottom"/>
          </w:tcPr>
          <w:p w14:paraId="5A1B03EF" w14:textId="77777777" w:rsidR="00960BB8" w:rsidRDefault="00960BB8">
            <w:pPr>
              <w:rPr>
                <w:rFonts w:ascii="宋体"/>
                <w:vanish/>
              </w:rPr>
            </w:pPr>
          </w:p>
        </w:tc>
        <w:tc>
          <w:tcPr>
            <w:tcW w:w="0" w:type="auto"/>
            <w:gridSpan w:val="3"/>
            <w:shd w:val="clear" w:color="auto" w:fill="auto"/>
            <w:vAlign w:val="bottom"/>
          </w:tcPr>
          <w:p w14:paraId="5A1B03F0" w14:textId="77777777" w:rsidR="00960BB8" w:rsidRDefault="00960BB8">
            <w:pPr>
              <w:rPr>
                <w:rFonts w:ascii="宋体"/>
                <w:vanish/>
              </w:rPr>
            </w:pPr>
          </w:p>
        </w:tc>
        <w:tc>
          <w:tcPr>
            <w:tcW w:w="0" w:type="auto"/>
            <w:gridSpan w:val="3"/>
            <w:shd w:val="clear" w:color="auto" w:fill="auto"/>
            <w:vAlign w:val="bottom"/>
          </w:tcPr>
          <w:p w14:paraId="5A1B03F1" w14:textId="77777777" w:rsidR="00960BB8" w:rsidRDefault="00960BB8">
            <w:pPr>
              <w:rPr>
                <w:rFonts w:ascii="宋体"/>
                <w:vanish/>
              </w:rPr>
            </w:pPr>
          </w:p>
        </w:tc>
        <w:tc>
          <w:tcPr>
            <w:tcW w:w="0" w:type="auto"/>
            <w:gridSpan w:val="3"/>
            <w:shd w:val="clear" w:color="auto" w:fill="auto"/>
            <w:vAlign w:val="bottom"/>
          </w:tcPr>
          <w:p w14:paraId="5A1B03F2" w14:textId="77777777" w:rsidR="00960BB8" w:rsidRDefault="00960BB8">
            <w:pPr>
              <w:rPr>
                <w:rFonts w:ascii="宋体"/>
                <w:vanish/>
              </w:rPr>
            </w:pPr>
          </w:p>
        </w:tc>
      </w:tr>
      <w:tr w:rsidR="00960BB8" w14:paraId="5A1B03FB" w14:textId="77777777">
        <w:trPr>
          <w:hidden/>
        </w:trPr>
        <w:tc>
          <w:tcPr>
            <w:tcW w:w="0" w:type="auto"/>
            <w:gridSpan w:val="3"/>
            <w:shd w:val="clear" w:color="auto" w:fill="auto"/>
            <w:vAlign w:val="bottom"/>
          </w:tcPr>
          <w:p w14:paraId="5A1B03F4" w14:textId="77777777" w:rsidR="00960BB8" w:rsidRDefault="00960BB8">
            <w:pPr>
              <w:rPr>
                <w:rFonts w:ascii="宋体"/>
                <w:vanish/>
              </w:rPr>
            </w:pPr>
          </w:p>
        </w:tc>
        <w:tc>
          <w:tcPr>
            <w:tcW w:w="0" w:type="auto"/>
            <w:shd w:val="clear" w:color="auto" w:fill="auto"/>
            <w:vAlign w:val="bottom"/>
          </w:tcPr>
          <w:p w14:paraId="5A1B03F5" w14:textId="77777777" w:rsidR="00960BB8" w:rsidRDefault="00960BB8">
            <w:pPr>
              <w:rPr>
                <w:rFonts w:ascii="宋体"/>
                <w:vanish/>
              </w:rPr>
            </w:pPr>
          </w:p>
        </w:tc>
        <w:tc>
          <w:tcPr>
            <w:tcW w:w="0" w:type="auto"/>
            <w:gridSpan w:val="3"/>
            <w:shd w:val="clear" w:color="auto" w:fill="auto"/>
            <w:vAlign w:val="bottom"/>
          </w:tcPr>
          <w:p w14:paraId="5A1B03F6" w14:textId="77777777" w:rsidR="00960BB8" w:rsidRDefault="00960BB8">
            <w:pPr>
              <w:rPr>
                <w:rFonts w:ascii="宋体"/>
                <w:vanish/>
              </w:rPr>
            </w:pPr>
          </w:p>
        </w:tc>
        <w:tc>
          <w:tcPr>
            <w:tcW w:w="0" w:type="auto"/>
            <w:gridSpan w:val="3"/>
            <w:shd w:val="clear" w:color="auto" w:fill="auto"/>
            <w:vAlign w:val="bottom"/>
          </w:tcPr>
          <w:p w14:paraId="5A1B03F7" w14:textId="77777777" w:rsidR="00960BB8" w:rsidRDefault="00960BB8">
            <w:pPr>
              <w:rPr>
                <w:rFonts w:ascii="宋体"/>
                <w:vanish/>
              </w:rPr>
            </w:pPr>
          </w:p>
        </w:tc>
        <w:tc>
          <w:tcPr>
            <w:tcW w:w="0" w:type="auto"/>
            <w:gridSpan w:val="3"/>
            <w:shd w:val="clear" w:color="auto" w:fill="auto"/>
            <w:vAlign w:val="bottom"/>
          </w:tcPr>
          <w:p w14:paraId="5A1B03F8" w14:textId="77777777" w:rsidR="00960BB8" w:rsidRDefault="00960BB8">
            <w:pPr>
              <w:rPr>
                <w:rFonts w:ascii="宋体"/>
                <w:vanish/>
              </w:rPr>
            </w:pPr>
          </w:p>
        </w:tc>
        <w:tc>
          <w:tcPr>
            <w:tcW w:w="0" w:type="auto"/>
            <w:gridSpan w:val="3"/>
            <w:shd w:val="clear" w:color="auto" w:fill="auto"/>
            <w:vAlign w:val="bottom"/>
          </w:tcPr>
          <w:p w14:paraId="5A1B03F9" w14:textId="77777777" w:rsidR="00960BB8" w:rsidRDefault="00960BB8">
            <w:pPr>
              <w:rPr>
                <w:rFonts w:ascii="宋体"/>
                <w:vanish/>
              </w:rPr>
            </w:pPr>
          </w:p>
        </w:tc>
        <w:tc>
          <w:tcPr>
            <w:tcW w:w="0" w:type="auto"/>
            <w:gridSpan w:val="3"/>
            <w:shd w:val="clear" w:color="auto" w:fill="auto"/>
            <w:vAlign w:val="bottom"/>
          </w:tcPr>
          <w:p w14:paraId="5A1B03FA" w14:textId="77777777" w:rsidR="00960BB8" w:rsidRDefault="00960BB8">
            <w:pPr>
              <w:rPr>
                <w:rFonts w:ascii="宋体"/>
                <w:vanish/>
              </w:rPr>
            </w:pPr>
          </w:p>
        </w:tc>
      </w:tr>
      <w:tr w:rsidR="00960BB8" w14:paraId="5A1B0403" w14:textId="77777777">
        <w:trPr>
          <w:hidden/>
        </w:trPr>
        <w:tc>
          <w:tcPr>
            <w:tcW w:w="0" w:type="auto"/>
            <w:gridSpan w:val="3"/>
            <w:shd w:val="clear" w:color="auto" w:fill="auto"/>
            <w:vAlign w:val="bottom"/>
          </w:tcPr>
          <w:p w14:paraId="5A1B03FC" w14:textId="77777777" w:rsidR="00960BB8" w:rsidRDefault="00960BB8">
            <w:pPr>
              <w:rPr>
                <w:rFonts w:ascii="宋体"/>
                <w:vanish/>
              </w:rPr>
            </w:pPr>
          </w:p>
        </w:tc>
        <w:tc>
          <w:tcPr>
            <w:tcW w:w="0" w:type="auto"/>
            <w:shd w:val="clear" w:color="auto" w:fill="auto"/>
            <w:vAlign w:val="bottom"/>
          </w:tcPr>
          <w:p w14:paraId="5A1B03FD" w14:textId="77777777" w:rsidR="00960BB8" w:rsidRDefault="00960BB8">
            <w:pPr>
              <w:rPr>
                <w:rFonts w:ascii="宋体"/>
                <w:vanish/>
              </w:rPr>
            </w:pPr>
          </w:p>
        </w:tc>
        <w:tc>
          <w:tcPr>
            <w:tcW w:w="0" w:type="auto"/>
            <w:gridSpan w:val="3"/>
            <w:shd w:val="clear" w:color="auto" w:fill="auto"/>
            <w:vAlign w:val="bottom"/>
          </w:tcPr>
          <w:p w14:paraId="5A1B03FE" w14:textId="77777777" w:rsidR="00960BB8" w:rsidRDefault="00960BB8">
            <w:pPr>
              <w:rPr>
                <w:rFonts w:ascii="宋体"/>
                <w:vanish/>
              </w:rPr>
            </w:pPr>
          </w:p>
        </w:tc>
        <w:tc>
          <w:tcPr>
            <w:tcW w:w="0" w:type="auto"/>
            <w:gridSpan w:val="3"/>
            <w:shd w:val="clear" w:color="auto" w:fill="auto"/>
            <w:vAlign w:val="bottom"/>
          </w:tcPr>
          <w:p w14:paraId="5A1B03FF" w14:textId="77777777" w:rsidR="00960BB8" w:rsidRDefault="00960BB8">
            <w:pPr>
              <w:rPr>
                <w:rFonts w:ascii="宋体"/>
                <w:vanish/>
              </w:rPr>
            </w:pPr>
          </w:p>
        </w:tc>
        <w:tc>
          <w:tcPr>
            <w:tcW w:w="0" w:type="auto"/>
            <w:gridSpan w:val="3"/>
            <w:shd w:val="clear" w:color="auto" w:fill="auto"/>
            <w:vAlign w:val="bottom"/>
          </w:tcPr>
          <w:p w14:paraId="5A1B0400" w14:textId="77777777" w:rsidR="00960BB8" w:rsidRDefault="00960BB8">
            <w:pPr>
              <w:rPr>
                <w:rFonts w:ascii="宋体"/>
                <w:vanish/>
              </w:rPr>
            </w:pPr>
          </w:p>
        </w:tc>
        <w:tc>
          <w:tcPr>
            <w:tcW w:w="0" w:type="auto"/>
            <w:gridSpan w:val="3"/>
            <w:shd w:val="clear" w:color="auto" w:fill="auto"/>
            <w:vAlign w:val="bottom"/>
          </w:tcPr>
          <w:p w14:paraId="5A1B0401" w14:textId="77777777" w:rsidR="00960BB8" w:rsidRDefault="00960BB8">
            <w:pPr>
              <w:rPr>
                <w:rFonts w:ascii="宋体"/>
                <w:vanish/>
              </w:rPr>
            </w:pPr>
          </w:p>
        </w:tc>
        <w:tc>
          <w:tcPr>
            <w:tcW w:w="0" w:type="auto"/>
            <w:gridSpan w:val="3"/>
            <w:shd w:val="clear" w:color="auto" w:fill="auto"/>
            <w:vAlign w:val="bottom"/>
          </w:tcPr>
          <w:p w14:paraId="5A1B0402" w14:textId="77777777" w:rsidR="00960BB8" w:rsidRDefault="00960BB8">
            <w:pPr>
              <w:rPr>
                <w:rFonts w:ascii="宋体"/>
                <w:vanish/>
              </w:rPr>
            </w:pPr>
          </w:p>
        </w:tc>
      </w:tr>
      <w:tr w:rsidR="00960BB8" w14:paraId="5A1B040B" w14:textId="77777777">
        <w:trPr>
          <w:hidden/>
        </w:trPr>
        <w:tc>
          <w:tcPr>
            <w:tcW w:w="0" w:type="auto"/>
            <w:gridSpan w:val="3"/>
            <w:shd w:val="clear" w:color="auto" w:fill="auto"/>
            <w:vAlign w:val="bottom"/>
          </w:tcPr>
          <w:p w14:paraId="5A1B0404" w14:textId="77777777" w:rsidR="00960BB8" w:rsidRDefault="00960BB8">
            <w:pPr>
              <w:rPr>
                <w:rFonts w:ascii="宋体"/>
                <w:vanish/>
              </w:rPr>
            </w:pPr>
          </w:p>
        </w:tc>
        <w:tc>
          <w:tcPr>
            <w:tcW w:w="0" w:type="auto"/>
            <w:shd w:val="clear" w:color="auto" w:fill="auto"/>
            <w:vAlign w:val="bottom"/>
          </w:tcPr>
          <w:p w14:paraId="5A1B0405" w14:textId="77777777" w:rsidR="00960BB8" w:rsidRDefault="00960BB8">
            <w:pPr>
              <w:rPr>
                <w:rFonts w:ascii="宋体"/>
                <w:vanish/>
              </w:rPr>
            </w:pPr>
          </w:p>
        </w:tc>
        <w:tc>
          <w:tcPr>
            <w:tcW w:w="0" w:type="auto"/>
            <w:gridSpan w:val="3"/>
            <w:shd w:val="clear" w:color="auto" w:fill="auto"/>
            <w:vAlign w:val="bottom"/>
          </w:tcPr>
          <w:p w14:paraId="5A1B0406" w14:textId="77777777" w:rsidR="00960BB8" w:rsidRDefault="00960BB8">
            <w:pPr>
              <w:rPr>
                <w:rFonts w:ascii="宋体"/>
                <w:vanish/>
              </w:rPr>
            </w:pPr>
          </w:p>
        </w:tc>
        <w:tc>
          <w:tcPr>
            <w:tcW w:w="0" w:type="auto"/>
            <w:gridSpan w:val="3"/>
            <w:shd w:val="clear" w:color="auto" w:fill="auto"/>
            <w:vAlign w:val="bottom"/>
          </w:tcPr>
          <w:p w14:paraId="5A1B0407" w14:textId="77777777" w:rsidR="00960BB8" w:rsidRDefault="00960BB8">
            <w:pPr>
              <w:rPr>
                <w:rFonts w:ascii="宋体"/>
                <w:vanish/>
              </w:rPr>
            </w:pPr>
          </w:p>
        </w:tc>
        <w:tc>
          <w:tcPr>
            <w:tcW w:w="0" w:type="auto"/>
            <w:gridSpan w:val="3"/>
            <w:shd w:val="clear" w:color="auto" w:fill="auto"/>
            <w:vAlign w:val="bottom"/>
          </w:tcPr>
          <w:p w14:paraId="5A1B0408" w14:textId="77777777" w:rsidR="00960BB8" w:rsidRDefault="00960BB8">
            <w:pPr>
              <w:rPr>
                <w:rFonts w:ascii="宋体"/>
                <w:vanish/>
              </w:rPr>
            </w:pPr>
          </w:p>
        </w:tc>
        <w:tc>
          <w:tcPr>
            <w:tcW w:w="0" w:type="auto"/>
            <w:gridSpan w:val="3"/>
            <w:shd w:val="clear" w:color="auto" w:fill="auto"/>
            <w:vAlign w:val="bottom"/>
          </w:tcPr>
          <w:p w14:paraId="5A1B0409" w14:textId="77777777" w:rsidR="00960BB8" w:rsidRDefault="00960BB8">
            <w:pPr>
              <w:rPr>
                <w:rFonts w:ascii="宋体"/>
                <w:vanish/>
              </w:rPr>
            </w:pPr>
          </w:p>
        </w:tc>
        <w:tc>
          <w:tcPr>
            <w:tcW w:w="0" w:type="auto"/>
            <w:gridSpan w:val="3"/>
            <w:shd w:val="clear" w:color="auto" w:fill="auto"/>
            <w:vAlign w:val="bottom"/>
          </w:tcPr>
          <w:p w14:paraId="5A1B040A" w14:textId="77777777" w:rsidR="00960BB8" w:rsidRDefault="00960BB8">
            <w:pPr>
              <w:rPr>
                <w:rFonts w:ascii="宋体"/>
                <w:vanish/>
              </w:rPr>
            </w:pPr>
          </w:p>
        </w:tc>
      </w:tr>
      <w:tr w:rsidR="00960BB8" w14:paraId="5A1B0413" w14:textId="77777777">
        <w:trPr>
          <w:hidden/>
        </w:trPr>
        <w:tc>
          <w:tcPr>
            <w:tcW w:w="0" w:type="auto"/>
            <w:gridSpan w:val="3"/>
            <w:shd w:val="clear" w:color="auto" w:fill="auto"/>
            <w:vAlign w:val="bottom"/>
          </w:tcPr>
          <w:p w14:paraId="5A1B040C" w14:textId="77777777" w:rsidR="00960BB8" w:rsidRDefault="00960BB8">
            <w:pPr>
              <w:rPr>
                <w:rFonts w:ascii="宋体"/>
                <w:vanish/>
              </w:rPr>
            </w:pPr>
          </w:p>
        </w:tc>
        <w:tc>
          <w:tcPr>
            <w:tcW w:w="0" w:type="auto"/>
            <w:shd w:val="clear" w:color="auto" w:fill="auto"/>
            <w:vAlign w:val="bottom"/>
          </w:tcPr>
          <w:p w14:paraId="5A1B040D" w14:textId="77777777" w:rsidR="00960BB8" w:rsidRDefault="00960BB8">
            <w:pPr>
              <w:rPr>
                <w:rFonts w:ascii="宋体"/>
                <w:vanish/>
              </w:rPr>
            </w:pPr>
          </w:p>
        </w:tc>
        <w:tc>
          <w:tcPr>
            <w:tcW w:w="0" w:type="auto"/>
            <w:gridSpan w:val="3"/>
            <w:shd w:val="clear" w:color="auto" w:fill="auto"/>
            <w:vAlign w:val="bottom"/>
          </w:tcPr>
          <w:p w14:paraId="5A1B040E" w14:textId="77777777" w:rsidR="00960BB8" w:rsidRDefault="00960BB8">
            <w:pPr>
              <w:rPr>
                <w:rFonts w:ascii="宋体"/>
                <w:vanish/>
              </w:rPr>
            </w:pPr>
          </w:p>
        </w:tc>
        <w:tc>
          <w:tcPr>
            <w:tcW w:w="0" w:type="auto"/>
            <w:gridSpan w:val="3"/>
            <w:shd w:val="clear" w:color="auto" w:fill="auto"/>
            <w:vAlign w:val="bottom"/>
          </w:tcPr>
          <w:p w14:paraId="5A1B040F" w14:textId="77777777" w:rsidR="00960BB8" w:rsidRDefault="00960BB8">
            <w:pPr>
              <w:rPr>
                <w:rFonts w:ascii="宋体"/>
                <w:vanish/>
              </w:rPr>
            </w:pPr>
          </w:p>
        </w:tc>
        <w:tc>
          <w:tcPr>
            <w:tcW w:w="0" w:type="auto"/>
            <w:gridSpan w:val="3"/>
            <w:shd w:val="clear" w:color="auto" w:fill="auto"/>
            <w:vAlign w:val="bottom"/>
          </w:tcPr>
          <w:p w14:paraId="5A1B0410" w14:textId="77777777" w:rsidR="00960BB8" w:rsidRDefault="00960BB8">
            <w:pPr>
              <w:rPr>
                <w:rFonts w:ascii="宋体"/>
                <w:vanish/>
              </w:rPr>
            </w:pPr>
          </w:p>
        </w:tc>
        <w:tc>
          <w:tcPr>
            <w:tcW w:w="0" w:type="auto"/>
            <w:gridSpan w:val="3"/>
            <w:shd w:val="clear" w:color="auto" w:fill="auto"/>
            <w:vAlign w:val="bottom"/>
          </w:tcPr>
          <w:p w14:paraId="5A1B0411" w14:textId="77777777" w:rsidR="00960BB8" w:rsidRDefault="00960BB8">
            <w:pPr>
              <w:rPr>
                <w:rFonts w:ascii="宋体"/>
                <w:vanish/>
              </w:rPr>
            </w:pPr>
          </w:p>
        </w:tc>
        <w:tc>
          <w:tcPr>
            <w:tcW w:w="0" w:type="auto"/>
            <w:gridSpan w:val="3"/>
            <w:shd w:val="clear" w:color="auto" w:fill="auto"/>
            <w:vAlign w:val="bottom"/>
          </w:tcPr>
          <w:p w14:paraId="5A1B0412" w14:textId="77777777" w:rsidR="00960BB8" w:rsidRDefault="00960BB8">
            <w:pPr>
              <w:rPr>
                <w:rFonts w:ascii="宋体"/>
                <w:vanish/>
              </w:rPr>
            </w:pPr>
          </w:p>
        </w:tc>
      </w:tr>
      <w:tr w:rsidR="00960BB8" w14:paraId="5A1B041B" w14:textId="77777777">
        <w:trPr>
          <w:hidden/>
        </w:trPr>
        <w:tc>
          <w:tcPr>
            <w:tcW w:w="0" w:type="auto"/>
            <w:gridSpan w:val="3"/>
            <w:shd w:val="clear" w:color="auto" w:fill="auto"/>
            <w:vAlign w:val="bottom"/>
          </w:tcPr>
          <w:p w14:paraId="5A1B0414" w14:textId="77777777" w:rsidR="00960BB8" w:rsidRDefault="00960BB8">
            <w:pPr>
              <w:rPr>
                <w:rFonts w:ascii="宋体"/>
                <w:vanish/>
              </w:rPr>
            </w:pPr>
          </w:p>
        </w:tc>
        <w:tc>
          <w:tcPr>
            <w:tcW w:w="0" w:type="auto"/>
            <w:shd w:val="clear" w:color="auto" w:fill="auto"/>
            <w:vAlign w:val="bottom"/>
          </w:tcPr>
          <w:p w14:paraId="5A1B0415" w14:textId="77777777" w:rsidR="00960BB8" w:rsidRDefault="00960BB8">
            <w:pPr>
              <w:rPr>
                <w:rFonts w:ascii="宋体"/>
                <w:vanish/>
              </w:rPr>
            </w:pPr>
          </w:p>
        </w:tc>
        <w:tc>
          <w:tcPr>
            <w:tcW w:w="0" w:type="auto"/>
            <w:gridSpan w:val="3"/>
            <w:shd w:val="clear" w:color="auto" w:fill="auto"/>
            <w:vAlign w:val="bottom"/>
          </w:tcPr>
          <w:p w14:paraId="5A1B0416" w14:textId="77777777" w:rsidR="00960BB8" w:rsidRDefault="00960BB8">
            <w:pPr>
              <w:rPr>
                <w:rFonts w:ascii="宋体"/>
                <w:vanish/>
              </w:rPr>
            </w:pPr>
          </w:p>
        </w:tc>
        <w:tc>
          <w:tcPr>
            <w:tcW w:w="0" w:type="auto"/>
            <w:gridSpan w:val="3"/>
            <w:shd w:val="clear" w:color="auto" w:fill="auto"/>
            <w:vAlign w:val="bottom"/>
          </w:tcPr>
          <w:p w14:paraId="5A1B0417" w14:textId="77777777" w:rsidR="00960BB8" w:rsidRDefault="00960BB8">
            <w:pPr>
              <w:rPr>
                <w:rFonts w:ascii="宋体"/>
                <w:vanish/>
              </w:rPr>
            </w:pPr>
          </w:p>
        </w:tc>
        <w:tc>
          <w:tcPr>
            <w:tcW w:w="0" w:type="auto"/>
            <w:gridSpan w:val="3"/>
            <w:shd w:val="clear" w:color="auto" w:fill="auto"/>
            <w:vAlign w:val="bottom"/>
          </w:tcPr>
          <w:p w14:paraId="5A1B0418" w14:textId="77777777" w:rsidR="00960BB8" w:rsidRDefault="00960BB8">
            <w:pPr>
              <w:rPr>
                <w:rFonts w:ascii="宋体"/>
                <w:vanish/>
              </w:rPr>
            </w:pPr>
          </w:p>
        </w:tc>
        <w:tc>
          <w:tcPr>
            <w:tcW w:w="0" w:type="auto"/>
            <w:gridSpan w:val="3"/>
            <w:shd w:val="clear" w:color="auto" w:fill="auto"/>
            <w:vAlign w:val="bottom"/>
          </w:tcPr>
          <w:p w14:paraId="5A1B0419" w14:textId="77777777" w:rsidR="00960BB8" w:rsidRDefault="00960BB8">
            <w:pPr>
              <w:rPr>
                <w:rFonts w:ascii="宋体"/>
                <w:vanish/>
              </w:rPr>
            </w:pPr>
          </w:p>
        </w:tc>
        <w:tc>
          <w:tcPr>
            <w:tcW w:w="0" w:type="auto"/>
            <w:gridSpan w:val="3"/>
            <w:shd w:val="clear" w:color="auto" w:fill="auto"/>
            <w:vAlign w:val="bottom"/>
          </w:tcPr>
          <w:p w14:paraId="5A1B041A" w14:textId="77777777" w:rsidR="00960BB8" w:rsidRDefault="00960BB8">
            <w:pPr>
              <w:rPr>
                <w:rFonts w:ascii="宋体"/>
                <w:vanish/>
              </w:rPr>
            </w:pPr>
          </w:p>
        </w:tc>
      </w:tr>
      <w:tr w:rsidR="00960BB8" w14:paraId="5A1B0423" w14:textId="77777777">
        <w:trPr>
          <w:hidden/>
        </w:trPr>
        <w:tc>
          <w:tcPr>
            <w:tcW w:w="0" w:type="auto"/>
            <w:gridSpan w:val="3"/>
            <w:shd w:val="clear" w:color="auto" w:fill="auto"/>
            <w:vAlign w:val="bottom"/>
          </w:tcPr>
          <w:p w14:paraId="5A1B041C" w14:textId="77777777" w:rsidR="00960BB8" w:rsidRDefault="00960BB8">
            <w:pPr>
              <w:rPr>
                <w:rFonts w:ascii="宋体"/>
                <w:vanish/>
              </w:rPr>
            </w:pPr>
          </w:p>
        </w:tc>
        <w:tc>
          <w:tcPr>
            <w:tcW w:w="0" w:type="auto"/>
            <w:shd w:val="clear" w:color="auto" w:fill="auto"/>
            <w:vAlign w:val="bottom"/>
          </w:tcPr>
          <w:p w14:paraId="5A1B041D" w14:textId="77777777" w:rsidR="00960BB8" w:rsidRDefault="00960BB8">
            <w:pPr>
              <w:rPr>
                <w:rFonts w:ascii="宋体"/>
                <w:vanish/>
              </w:rPr>
            </w:pPr>
          </w:p>
        </w:tc>
        <w:tc>
          <w:tcPr>
            <w:tcW w:w="0" w:type="auto"/>
            <w:gridSpan w:val="3"/>
            <w:shd w:val="clear" w:color="auto" w:fill="auto"/>
            <w:vAlign w:val="bottom"/>
          </w:tcPr>
          <w:p w14:paraId="5A1B041E" w14:textId="77777777" w:rsidR="00960BB8" w:rsidRDefault="00960BB8">
            <w:pPr>
              <w:rPr>
                <w:rFonts w:ascii="宋体"/>
                <w:vanish/>
              </w:rPr>
            </w:pPr>
          </w:p>
        </w:tc>
        <w:tc>
          <w:tcPr>
            <w:tcW w:w="0" w:type="auto"/>
            <w:gridSpan w:val="3"/>
            <w:shd w:val="clear" w:color="auto" w:fill="auto"/>
            <w:vAlign w:val="bottom"/>
          </w:tcPr>
          <w:p w14:paraId="5A1B041F" w14:textId="77777777" w:rsidR="00960BB8" w:rsidRDefault="00960BB8">
            <w:pPr>
              <w:rPr>
                <w:rFonts w:ascii="宋体"/>
                <w:vanish/>
              </w:rPr>
            </w:pPr>
          </w:p>
        </w:tc>
        <w:tc>
          <w:tcPr>
            <w:tcW w:w="0" w:type="auto"/>
            <w:gridSpan w:val="3"/>
            <w:shd w:val="clear" w:color="auto" w:fill="auto"/>
            <w:vAlign w:val="bottom"/>
          </w:tcPr>
          <w:p w14:paraId="5A1B0420" w14:textId="77777777" w:rsidR="00960BB8" w:rsidRDefault="00960BB8">
            <w:pPr>
              <w:rPr>
                <w:rFonts w:ascii="宋体"/>
                <w:vanish/>
              </w:rPr>
            </w:pPr>
          </w:p>
        </w:tc>
        <w:tc>
          <w:tcPr>
            <w:tcW w:w="0" w:type="auto"/>
            <w:gridSpan w:val="3"/>
            <w:shd w:val="clear" w:color="auto" w:fill="auto"/>
            <w:vAlign w:val="bottom"/>
          </w:tcPr>
          <w:p w14:paraId="5A1B0421" w14:textId="77777777" w:rsidR="00960BB8" w:rsidRDefault="00960BB8">
            <w:pPr>
              <w:rPr>
                <w:rFonts w:ascii="宋体"/>
                <w:vanish/>
              </w:rPr>
            </w:pPr>
          </w:p>
        </w:tc>
        <w:tc>
          <w:tcPr>
            <w:tcW w:w="0" w:type="auto"/>
            <w:gridSpan w:val="3"/>
            <w:shd w:val="clear" w:color="auto" w:fill="auto"/>
            <w:vAlign w:val="bottom"/>
          </w:tcPr>
          <w:p w14:paraId="5A1B0422" w14:textId="77777777" w:rsidR="00960BB8" w:rsidRDefault="00960BB8">
            <w:pPr>
              <w:rPr>
                <w:rFonts w:ascii="宋体"/>
                <w:vanish/>
              </w:rPr>
            </w:pPr>
          </w:p>
        </w:tc>
      </w:tr>
      <w:tr w:rsidR="00960BB8" w14:paraId="5A1B042B" w14:textId="77777777">
        <w:trPr>
          <w:hidden/>
        </w:trPr>
        <w:tc>
          <w:tcPr>
            <w:tcW w:w="0" w:type="auto"/>
            <w:gridSpan w:val="3"/>
            <w:shd w:val="clear" w:color="auto" w:fill="auto"/>
            <w:vAlign w:val="bottom"/>
          </w:tcPr>
          <w:p w14:paraId="5A1B0424" w14:textId="77777777" w:rsidR="00960BB8" w:rsidRDefault="00960BB8">
            <w:pPr>
              <w:rPr>
                <w:rFonts w:ascii="宋体"/>
                <w:vanish/>
              </w:rPr>
            </w:pPr>
          </w:p>
        </w:tc>
        <w:tc>
          <w:tcPr>
            <w:tcW w:w="0" w:type="auto"/>
            <w:shd w:val="clear" w:color="auto" w:fill="auto"/>
            <w:vAlign w:val="bottom"/>
          </w:tcPr>
          <w:p w14:paraId="5A1B0425" w14:textId="77777777" w:rsidR="00960BB8" w:rsidRDefault="00960BB8">
            <w:pPr>
              <w:rPr>
                <w:rFonts w:ascii="宋体"/>
                <w:vanish/>
              </w:rPr>
            </w:pPr>
          </w:p>
        </w:tc>
        <w:tc>
          <w:tcPr>
            <w:tcW w:w="0" w:type="auto"/>
            <w:gridSpan w:val="3"/>
            <w:shd w:val="clear" w:color="auto" w:fill="auto"/>
            <w:vAlign w:val="bottom"/>
          </w:tcPr>
          <w:p w14:paraId="5A1B0426" w14:textId="77777777" w:rsidR="00960BB8" w:rsidRDefault="00960BB8">
            <w:pPr>
              <w:rPr>
                <w:rFonts w:ascii="宋体"/>
                <w:vanish/>
              </w:rPr>
            </w:pPr>
          </w:p>
        </w:tc>
        <w:tc>
          <w:tcPr>
            <w:tcW w:w="0" w:type="auto"/>
            <w:gridSpan w:val="3"/>
            <w:shd w:val="clear" w:color="auto" w:fill="auto"/>
            <w:vAlign w:val="bottom"/>
          </w:tcPr>
          <w:p w14:paraId="5A1B0427" w14:textId="77777777" w:rsidR="00960BB8" w:rsidRDefault="00960BB8">
            <w:pPr>
              <w:rPr>
                <w:rFonts w:ascii="宋体"/>
                <w:vanish/>
              </w:rPr>
            </w:pPr>
          </w:p>
        </w:tc>
        <w:tc>
          <w:tcPr>
            <w:tcW w:w="0" w:type="auto"/>
            <w:gridSpan w:val="3"/>
            <w:shd w:val="clear" w:color="auto" w:fill="auto"/>
            <w:vAlign w:val="bottom"/>
          </w:tcPr>
          <w:p w14:paraId="5A1B0428" w14:textId="77777777" w:rsidR="00960BB8" w:rsidRDefault="00960BB8">
            <w:pPr>
              <w:rPr>
                <w:rFonts w:ascii="宋体"/>
                <w:vanish/>
              </w:rPr>
            </w:pPr>
          </w:p>
        </w:tc>
        <w:tc>
          <w:tcPr>
            <w:tcW w:w="0" w:type="auto"/>
            <w:gridSpan w:val="3"/>
            <w:shd w:val="clear" w:color="auto" w:fill="auto"/>
            <w:vAlign w:val="bottom"/>
          </w:tcPr>
          <w:p w14:paraId="5A1B0429" w14:textId="77777777" w:rsidR="00960BB8" w:rsidRDefault="00960BB8">
            <w:pPr>
              <w:rPr>
                <w:rFonts w:ascii="宋体"/>
                <w:vanish/>
              </w:rPr>
            </w:pPr>
          </w:p>
        </w:tc>
        <w:tc>
          <w:tcPr>
            <w:tcW w:w="0" w:type="auto"/>
            <w:gridSpan w:val="3"/>
            <w:shd w:val="clear" w:color="auto" w:fill="auto"/>
            <w:vAlign w:val="bottom"/>
          </w:tcPr>
          <w:p w14:paraId="5A1B042A" w14:textId="77777777" w:rsidR="00960BB8" w:rsidRDefault="00960BB8">
            <w:pPr>
              <w:rPr>
                <w:rFonts w:ascii="宋体"/>
                <w:vanish/>
              </w:rPr>
            </w:pPr>
          </w:p>
        </w:tc>
      </w:tr>
      <w:tr w:rsidR="00960BB8" w14:paraId="5A1B0433" w14:textId="77777777">
        <w:trPr>
          <w:hidden/>
        </w:trPr>
        <w:tc>
          <w:tcPr>
            <w:tcW w:w="0" w:type="auto"/>
            <w:gridSpan w:val="3"/>
            <w:shd w:val="clear" w:color="auto" w:fill="auto"/>
            <w:vAlign w:val="bottom"/>
          </w:tcPr>
          <w:p w14:paraId="5A1B042C" w14:textId="77777777" w:rsidR="00960BB8" w:rsidRDefault="00960BB8">
            <w:pPr>
              <w:rPr>
                <w:rFonts w:ascii="宋体"/>
                <w:vanish/>
              </w:rPr>
            </w:pPr>
          </w:p>
        </w:tc>
        <w:tc>
          <w:tcPr>
            <w:tcW w:w="0" w:type="auto"/>
            <w:shd w:val="clear" w:color="auto" w:fill="auto"/>
            <w:vAlign w:val="bottom"/>
          </w:tcPr>
          <w:p w14:paraId="5A1B042D" w14:textId="77777777" w:rsidR="00960BB8" w:rsidRDefault="00960BB8">
            <w:pPr>
              <w:rPr>
                <w:rFonts w:ascii="宋体"/>
                <w:vanish/>
              </w:rPr>
            </w:pPr>
          </w:p>
        </w:tc>
        <w:tc>
          <w:tcPr>
            <w:tcW w:w="0" w:type="auto"/>
            <w:gridSpan w:val="3"/>
            <w:shd w:val="clear" w:color="auto" w:fill="auto"/>
            <w:vAlign w:val="bottom"/>
          </w:tcPr>
          <w:p w14:paraId="5A1B042E" w14:textId="77777777" w:rsidR="00960BB8" w:rsidRDefault="00960BB8">
            <w:pPr>
              <w:rPr>
                <w:rFonts w:ascii="宋体"/>
                <w:vanish/>
              </w:rPr>
            </w:pPr>
          </w:p>
        </w:tc>
        <w:tc>
          <w:tcPr>
            <w:tcW w:w="0" w:type="auto"/>
            <w:gridSpan w:val="3"/>
            <w:shd w:val="clear" w:color="auto" w:fill="auto"/>
            <w:vAlign w:val="bottom"/>
          </w:tcPr>
          <w:p w14:paraId="5A1B042F" w14:textId="77777777" w:rsidR="00960BB8" w:rsidRDefault="00960BB8">
            <w:pPr>
              <w:rPr>
                <w:rFonts w:ascii="宋体"/>
                <w:vanish/>
              </w:rPr>
            </w:pPr>
          </w:p>
        </w:tc>
        <w:tc>
          <w:tcPr>
            <w:tcW w:w="0" w:type="auto"/>
            <w:gridSpan w:val="3"/>
            <w:shd w:val="clear" w:color="auto" w:fill="auto"/>
            <w:vAlign w:val="bottom"/>
          </w:tcPr>
          <w:p w14:paraId="5A1B0430" w14:textId="77777777" w:rsidR="00960BB8" w:rsidRDefault="00960BB8">
            <w:pPr>
              <w:rPr>
                <w:rFonts w:ascii="宋体"/>
                <w:vanish/>
              </w:rPr>
            </w:pPr>
          </w:p>
        </w:tc>
        <w:tc>
          <w:tcPr>
            <w:tcW w:w="0" w:type="auto"/>
            <w:gridSpan w:val="3"/>
            <w:shd w:val="clear" w:color="auto" w:fill="auto"/>
            <w:vAlign w:val="bottom"/>
          </w:tcPr>
          <w:p w14:paraId="5A1B0431" w14:textId="77777777" w:rsidR="00960BB8" w:rsidRDefault="00960BB8">
            <w:pPr>
              <w:rPr>
                <w:rFonts w:ascii="宋体"/>
                <w:vanish/>
              </w:rPr>
            </w:pPr>
          </w:p>
        </w:tc>
        <w:tc>
          <w:tcPr>
            <w:tcW w:w="0" w:type="auto"/>
            <w:gridSpan w:val="3"/>
            <w:shd w:val="clear" w:color="auto" w:fill="auto"/>
            <w:vAlign w:val="bottom"/>
          </w:tcPr>
          <w:p w14:paraId="5A1B0432" w14:textId="77777777" w:rsidR="00960BB8" w:rsidRDefault="00960BB8">
            <w:pPr>
              <w:rPr>
                <w:rFonts w:ascii="宋体"/>
                <w:vanish/>
              </w:rPr>
            </w:pPr>
          </w:p>
        </w:tc>
      </w:tr>
      <w:tr w:rsidR="00960BB8" w14:paraId="5A1B043B" w14:textId="77777777">
        <w:trPr>
          <w:hidden/>
        </w:trPr>
        <w:tc>
          <w:tcPr>
            <w:tcW w:w="0" w:type="auto"/>
            <w:gridSpan w:val="3"/>
            <w:shd w:val="clear" w:color="auto" w:fill="auto"/>
            <w:vAlign w:val="bottom"/>
          </w:tcPr>
          <w:p w14:paraId="5A1B0434" w14:textId="77777777" w:rsidR="00960BB8" w:rsidRDefault="00960BB8">
            <w:pPr>
              <w:rPr>
                <w:rFonts w:ascii="宋体"/>
                <w:vanish/>
              </w:rPr>
            </w:pPr>
          </w:p>
        </w:tc>
        <w:tc>
          <w:tcPr>
            <w:tcW w:w="0" w:type="auto"/>
            <w:shd w:val="clear" w:color="auto" w:fill="auto"/>
            <w:vAlign w:val="bottom"/>
          </w:tcPr>
          <w:p w14:paraId="5A1B0435" w14:textId="77777777" w:rsidR="00960BB8" w:rsidRDefault="00960BB8">
            <w:pPr>
              <w:rPr>
                <w:rFonts w:ascii="宋体"/>
                <w:vanish/>
              </w:rPr>
            </w:pPr>
          </w:p>
        </w:tc>
        <w:tc>
          <w:tcPr>
            <w:tcW w:w="0" w:type="auto"/>
            <w:gridSpan w:val="3"/>
            <w:shd w:val="clear" w:color="auto" w:fill="auto"/>
            <w:vAlign w:val="bottom"/>
          </w:tcPr>
          <w:p w14:paraId="5A1B0436" w14:textId="77777777" w:rsidR="00960BB8" w:rsidRDefault="00960BB8">
            <w:pPr>
              <w:rPr>
                <w:rFonts w:ascii="宋体"/>
                <w:vanish/>
              </w:rPr>
            </w:pPr>
          </w:p>
        </w:tc>
        <w:tc>
          <w:tcPr>
            <w:tcW w:w="0" w:type="auto"/>
            <w:gridSpan w:val="3"/>
            <w:shd w:val="clear" w:color="auto" w:fill="auto"/>
            <w:vAlign w:val="bottom"/>
          </w:tcPr>
          <w:p w14:paraId="5A1B0437" w14:textId="77777777" w:rsidR="00960BB8" w:rsidRDefault="00960BB8">
            <w:pPr>
              <w:rPr>
                <w:rFonts w:ascii="宋体"/>
                <w:vanish/>
              </w:rPr>
            </w:pPr>
          </w:p>
        </w:tc>
        <w:tc>
          <w:tcPr>
            <w:tcW w:w="0" w:type="auto"/>
            <w:gridSpan w:val="3"/>
            <w:shd w:val="clear" w:color="auto" w:fill="auto"/>
            <w:vAlign w:val="bottom"/>
          </w:tcPr>
          <w:p w14:paraId="5A1B0438" w14:textId="77777777" w:rsidR="00960BB8" w:rsidRDefault="00960BB8">
            <w:pPr>
              <w:rPr>
                <w:rFonts w:ascii="宋体"/>
                <w:vanish/>
              </w:rPr>
            </w:pPr>
          </w:p>
        </w:tc>
        <w:tc>
          <w:tcPr>
            <w:tcW w:w="0" w:type="auto"/>
            <w:gridSpan w:val="3"/>
            <w:shd w:val="clear" w:color="auto" w:fill="auto"/>
            <w:vAlign w:val="bottom"/>
          </w:tcPr>
          <w:p w14:paraId="5A1B0439" w14:textId="77777777" w:rsidR="00960BB8" w:rsidRDefault="00960BB8">
            <w:pPr>
              <w:rPr>
                <w:rFonts w:ascii="宋体"/>
                <w:vanish/>
              </w:rPr>
            </w:pPr>
          </w:p>
        </w:tc>
        <w:tc>
          <w:tcPr>
            <w:tcW w:w="0" w:type="auto"/>
            <w:gridSpan w:val="3"/>
            <w:shd w:val="clear" w:color="auto" w:fill="auto"/>
            <w:vAlign w:val="bottom"/>
          </w:tcPr>
          <w:p w14:paraId="5A1B043A" w14:textId="77777777" w:rsidR="00960BB8" w:rsidRDefault="00960BB8">
            <w:pPr>
              <w:rPr>
                <w:rFonts w:ascii="宋体"/>
                <w:vanish/>
              </w:rPr>
            </w:pPr>
          </w:p>
        </w:tc>
      </w:tr>
      <w:tr w:rsidR="00960BB8" w14:paraId="5A1B0443" w14:textId="77777777">
        <w:trPr>
          <w:hidden/>
        </w:trPr>
        <w:tc>
          <w:tcPr>
            <w:tcW w:w="0" w:type="auto"/>
            <w:gridSpan w:val="3"/>
            <w:shd w:val="clear" w:color="auto" w:fill="auto"/>
            <w:vAlign w:val="bottom"/>
          </w:tcPr>
          <w:p w14:paraId="5A1B043C" w14:textId="77777777" w:rsidR="00960BB8" w:rsidRDefault="00960BB8">
            <w:pPr>
              <w:rPr>
                <w:rFonts w:ascii="宋体"/>
                <w:vanish/>
              </w:rPr>
            </w:pPr>
          </w:p>
        </w:tc>
        <w:tc>
          <w:tcPr>
            <w:tcW w:w="0" w:type="auto"/>
            <w:shd w:val="clear" w:color="auto" w:fill="auto"/>
            <w:vAlign w:val="bottom"/>
          </w:tcPr>
          <w:p w14:paraId="5A1B043D" w14:textId="77777777" w:rsidR="00960BB8" w:rsidRDefault="00960BB8">
            <w:pPr>
              <w:rPr>
                <w:rFonts w:ascii="宋体"/>
                <w:vanish/>
              </w:rPr>
            </w:pPr>
          </w:p>
        </w:tc>
        <w:tc>
          <w:tcPr>
            <w:tcW w:w="0" w:type="auto"/>
            <w:gridSpan w:val="3"/>
            <w:shd w:val="clear" w:color="auto" w:fill="auto"/>
            <w:vAlign w:val="bottom"/>
          </w:tcPr>
          <w:p w14:paraId="5A1B043E" w14:textId="77777777" w:rsidR="00960BB8" w:rsidRDefault="00960BB8">
            <w:pPr>
              <w:rPr>
                <w:rFonts w:ascii="宋体"/>
                <w:vanish/>
              </w:rPr>
            </w:pPr>
          </w:p>
        </w:tc>
        <w:tc>
          <w:tcPr>
            <w:tcW w:w="0" w:type="auto"/>
            <w:gridSpan w:val="3"/>
            <w:shd w:val="clear" w:color="auto" w:fill="auto"/>
            <w:vAlign w:val="bottom"/>
          </w:tcPr>
          <w:p w14:paraId="5A1B043F" w14:textId="77777777" w:rsidR="00960BB8" w:rsidRDefault="00960BB8">
            <w:pPr>
              <w:rPr>
                <w:rFonts w:ascii="宋体"/>
                <w:vanish/>
              </w:rPr>
            </w:pPr>
          </w:p>
        </w:tc>
        <w:tc>
          <w:tcPr>
            <w:tcW w:w="0" w:type="auto"/>
            <w:gridSpan w:val="3"/>
            <w:shd w:val="clear" w:color="auto" w:fill="auto"/>
            <w:vAlign w:val="bottom"/>
          </w:tcPr>
          <w:p w14:paraId="5A1B0440" w14:textId="77777777" w:rsidR="00960BB8" w:rsidRDefault="00960BB8">
            <w:pPr>
              <w:rPr>
                <w:rFonts w:ascii="宋体"/>
                <w:vanish/>
              </w:rPr>
            </w:pPr>
          </w:p>
        </w:tc>
        <w:tc>
          <w:tcPr>
            <w:tcW w:w="0" w:type="auto"/>
            <w:gridSpan w:val="3"/>
            <w:shd w:val="clear" w:color="auto" w:fill="auto"/>
            <w:vAlign w:val="bottom"/>
          </w:tcPr>
          <w:p w14:paraId="5A1B0441" w14:textId="77777777" w:rsidR="00960BB8" w:rsidRDefault="00960BB8">
            <w:pPr>
              <w:rPr>
                <w:rFonts w:ascii="宋体"/>
                <w:vanish/>
              </w:rPr>
            </w:pPr>
          </w:p>
        </w:tc>
        <w:tc>
          <w:tcPr>
            <w:tcW w:w="0" w:type="auto"/>
            <w:gridSpan w:val="3"/>
            <w:shd w:val="clear" w:color="auto" w:fill="auto"/>
            <w:vAlign w:val="bottom"/>
          </w:tcPr>
          <w:p w14:paraId="5A1B0442" w14:textId="77777777" w:rsidR="00960BB8" w:rsidRDefault="00960BB8">
            <w:pPr>
              <w:rPr>
                <w:rFonts w:ascii="宋体"/>
                <w:vanish/>
              </w:rPr>
            </w:pPr>
          </w:p>
        </w:tc>
      </w:tr>
      <w:tr w:rsidR="00960BB8" w14:paraId="5A1B044B" w14:textId="77777777">
        <w:trPr>
          <w:hidden/>
        </w:trPr>
        <w:tc>
          <w:tcPr>
            <w:tcW w:w="0" w:type="auto"/>
            <w:gridSpan w:val="3"/>
            <w:shd w:val="clear" w:color="auto" w:fill="auto"/>
            <w:vAlign w:val="bottom"/>
          </w:tcPr>
          <w:p w14:paraId="5A1B0444" w14:textId="77777777" w:rsidR="00960BB8" w:rsidRDefault="00960BB8">
            <w:pPr>
              <w:rPr>
                <w:rFonts w:ascii="宋体"/>
                <w:vanish/>
              </w:rPr>
            </w:pPr>
          </w:p>
        </w:tc>
        <w:tc>
          <w:tcPr>
            <w:tcW w:w="0" w:type="auto"/>
            <w:shd w:val="clear" w:color="auto" w:fill="auto"/>
            <w:vAlign w:val="bottom"/>
          </w:tcPr>
          <w:p w14:paraId="5A1B0445" w14:textId="77777777" w:rsidR="00960BB8" w:rsidRDefault="00960BB8">
            <w:pPr>
              <w:rPr>
                <w:rFonts w:ascii="宋体"/>
                <w:vanish/>
              </w:rPr>
            </w:pPr>
          </w:p>
        </w:tc>
        <w:tc>
          <w:tcPr>
            <w:tcW w:w="0" w:type="auto"/>
            <w:gridSpan w:val="3"/>
            <w:shd w:val="clear" w:color="auto" w:fill="auto"/>
            <w:vAlign w:val="bottom"/>
          </w:tcPr>
          <w:p w14:paraId="5A1B0446" w14:textId="77777777" w:rsidR="00960BB8" w:rsidRDefault="00960BB8">
            <w:pPr>
              <w:rPr>
                <w:rFonts w:ascii="宋体"/>
                <w:vanish/>
              </w:rPr>
            </w:pPr>
          </w:p>
        </w:tc>
        <w:tc>
          <w:tcPr>
            <w:tcW w:w="0" w:type="auto"/>
            <w:gridSpan w:val="3"/>
            <w:shd w:val="clear" w:color="auto" w:fill="auto"/>
            <w:vAlign w:val="bottom"/>
          </w:tcPr>
          <w:p w14:paraId="5A1B0447" w14:textId="77777777" w:rsidR="00960BB8" w:rsidRDefault="00960BB8">
            <w:pPr>
              <w:rPr>
                <w:rFonts w:ascii="宋体"/>
                <w:vanish/>
              </w:rPr>
            </w:pPr>
          </w:p>
        </w:tc>
        <w:tc>
          <w:tcPr>
            <w:tcW w:w="0" w:type="auto"/>
            <w:gridSpan w:val="3"/>
            <w:shd w:val="clear" w:color="auto" w:fill="auto"/>
            <w:vAlign w:val="bottom"/>
          </w:tcPr>
          <w:p w14:paraId="5A1B0448" w14:textId="77777777" w:rsidR="00960BB8" w:rsidRDefault="00960BB8">
            <w:pPr>
              <w:rPr>
                <w:rFonts w:ascii="宋体"/>
                <w:vanish/>
              </w:rPr>
            </w:pPr>
          </w:p>
        </w:tc>
        <w:tc>
          <w:tcPr>
            <w:tcW w:w="0" w:type="auto"/>
            <w:gridSpan w:val="3"/>
            <w:shd w:val="clear" w:color="auto" w:fill="auto"/>
            <w:vAlign w:val="bottom"/>
          </w:tcPr>
          <w:p w14:paraId="5A1B0449" w14:textId="77777777" w:rsidR="00960BB8" w:rsidRDefault="00960BB8">
            <w:pPr>
              <w:rPr>
                <w:rFonts w:ascii="宋体"/>
                <w:vanish/>
              </w:rPr>
            </w:pPr>
          </w:p>
        </w:tc>
        <w:tc>
          <w:tcPr>
            <w:tcW w:w="0" w:type="auto"/>
            <w:gridSpan w:val="3"/>
            <w:shd w:val="clear" w:color="auto" w:fill="auto"/>
            <w:vAlign w:val="bottom"/>
          </w:tcPr>
          <w:p w14:paraId="5A1B044A" w14:textId="77777777" w:rsidR="00960BB8" w:rsidRDefault="00960BB8">
            <w:pPr>
              <w:rPr>
                <w:rFonts w:ascii="宋体"/>
                <w:vanish/>
              </w:rPr>
            </w:pPr>
          </w:p>
        </w:tc>
      </w:tr>
      <w:tr w:rsidR="00960BB8" w14:paraId="5A1B0453" w14:textId="77777777">
        <w:trPr>
          <w:hidden/>
        </w:trPr>
        <w:tc>
          <w:tcPr>
            <w:tcW w:w="0" w:type="auto"/>
            <w:gridSpan w:val="3"/>
            <w:shd w:val="clear" w:color="auto" w:fill="auto"/>
            <w:vAlign w:val="bottom"/>
          </w:tcPr>
          <w:p w14:paraId="5A1B044C" w14:textId="77777777" w:rsidR="00960BB8" w:rsidRDefault="00960BB8">
            <w:pPr>
              <w:rPr>
                <w:rFonts w:ascii="宋体"/>
                <w:vanish/>
              </w:rPr>
            </w:pPr>
          </w:p>
        </w:tc>
        <w:tc>
          <w:tcPr>
            <w:tcW w:w="0" w:type="auto"/>
            <w:shd w:val="clear" w:color="auto" w:fill="auto"/>
            <w:vAlign w:val="bottom"/>
          </w:tcPr>
          <w:p w14:paraId="5A1B044D" w14:textId="77777777" w:rsidR="00960BB8" w:rsidRDefault="00960BB8">
            <w:pPr>
              <w:rPr>
                <w:rFonts w:ascii="宋体"/>
                <w:vanish/>
              </w:rPr>
            </w:pPr>
          </w:p>
        </w:tc>
        <w:tc>
          <w:tcPr>
            <w:tcW w:w="0" w:type="auto"/>
            <w:gridSpan w:val="3"/>
            <w:shd w:val="clear" w:color="auto" w:fill="auto"/>
            <w:vAlign w:val="bottom"/>
          </w:tcPr>
          <w:p w14:paraId="5A1B044E" w14:textId="77777777" w:rsidR="00960BB8" w:rsidRDefault="00960BB8">
            <w:pPr>
              <w:rPr>
                <w:rFonts w:ascii="宋体"/>
                <w:vanish/>
              </w:rPr>
            </w:pPr>
          </w:p>
        </w:tc>
        <w:tc>
          <w:tcPr>
            <w:tcW w:w="0" w:type="auto"/>
            <w:gridSpan w:val="3"/>
            <w:shd w:val="clear" w:color="auto" w:fill="auto"/>
            <w:vAlign w:val="bottom"/>
          </w:tcPr>
          <w:p w14:paraId="5A1B044F" w14:textId="77777777" w:rsidR="00960BB8" w:rsidRDefault="00960BB8">
            <w:pPr>
              <w:rPr>
                <w:rFonts w:ascii="宋体"/>
                <w:vanish/>
              </w:rPr>
            </w:pPr>
          </w:p>
        </w:tc>
        <w:tc>
          <w:tcPr>
            <w:tcW w:w="0" w:type="auto"/>
            <w:gridSpan w:val="3"/>
            <w:shd w:val="clear" w:color="auto" w:fill="auto"/>
            <w:vAlign w:val="bottom"/>
          </w:tcPr>
          <w:p w14:paraId="5A1B0450" w14:textId="77777777" w:rsidR="00960BB8" w:rsidRDefault="00960BB8">
            <w:pPr>
              <w:rPr>
                <w:rFonts w:ascii="宋体"/>
                <w:vanish/>
              </w:rPr>
            </w:pPr>
          </w:p>
        </w:tc>
        <w:tc>
          <w:tcPr>
            <w:tcW w:w="0" w:type="auto"/>
            <w:gridSpan w:val="3"/>
            <w:shd w:val="clear" w:color="auto" w:fill="auto"/>
            <w:vAlign w:val="bottom"/>
          </w:tcPr>
          <w:p w14:paraId="5A1B0451" w14:textId="77777777" w:rsidR="00960BB8" w:rsidRDefault="00960BB8">
            <w:pPr>
              <w:rPr>
                <w:rFonts w:ascii="宋体"/>
                <w:vanish/>
              </w:rPr>
            </w:pPr>
          </w:p>
        </w:tc>
        <w:tc>
          <w:tcPr>
            <w:tcW w:w="0" w:type="auto"/>
            <w:gridSpan w:val="3"/>
            <w:shd w:val="clear" w:color="auto" w:fill="auto"/>
            <w:vAlign w:val="bottom"/>
          </w:tcPr>
          <w:p w14:paraId="5A1B0452" w14:textId="77777777" w:rsidR="00960BB8" w:rsidRDefault="00960BB8">
            <w:pPr>
              <w:rPr>
                <w:rFonts w:ascii="宋体"/>
                <w:vanish/>
              </w:rPr>
            </w:pPr>
          </w:p>
        </w:tc>
      </w:tr>
      <w:tr w:rsidR="00960BB8" w14:paraId="5A1B045B" w14:textId="77777777">
        <w:trPr>
          <w:hidden/>
        </w:trPr>
        <w:tc>
          <w:tcPr>
            <w:tcW w:w="0" w:type="auto"/>
            <w:gridSpan w:val="3"/>
            <w:shd w:val="clear" w:color="auto" w:fill="auto"/>
            <w:vAlign w:val="bottom"/>
          </w:tcPr>
          <w:p w14:paraId="5A1B0454" w14:textId="77777777" w:rsidR="00960BB8" w:rsidRDefault="00960BB8">
            <w:pPr>
              <w:rPr>
                <w:rFonts w:ascii="宋体"/>
                <w:vanish/>
              </w:rPr>
            </w:pPr>
          </w:p>
        </w:tc>
        <w:tc>
          <w:tcPr>
            <w:tcW w:w="0" w:type="auto"/>
            <w:shd w:val="clear" w:color="auto" w:fill="auto"/>
            <w:vAlign w:val="bottom"/>
          </w:tcPr>
          <w:p w14:paraId="5A1B0455" w14:textId="77777777" w:rsidR="00960BB8" w:rsidRDefault="00960BB8">
            <w:pPr>
              <w:rPr>
                <w:rFonts w:ascii="宋体"/>
                <w:vanish/>
              </w:rPr>
            </w:pPr>
          </w:p>
        </w:tc>
        <w:tc>
          <w:tcPr>
            <w:tcW w:w="0" w:type="auto"/>
            <w:gridSpan w:val="3"/>
            <w:shd w:val="clear" w:color="auto" w:fill="auto"/>
            <w:vAlign w:val="bottom"/>
          </w:tcPr>
          <w:p w14:paraId="5A1B0456" w14:textId="77777777" w:rsidR="00960BB8" w:rsidRDefault="00960BB8">
            <w:pPr>
              <w:rPr>
                <w:rFonts w:ascii="宋体"/>
                <w:vanish/>
              </w:rPr>
            </w:pPr>
          </w:p>
        </w:tc>
        <w:tc>
          <w:tcPr>
            <w:tcW w:w="0" w:type="auto"/>
            <w:gridSpan w:val="3"/>
            <w:shd w:val="clear" w:color="auto" w:fill="auto"/>
            <w:vAlign w:val="bottom"/>
          </w:tcPr>
          <w:p w14:paraId="5A1B0457" w14:textId="77777777" w:rsidR="00960BB8" w:rsidRDefault="00960BB8">
            <w:pPr>
              <w:rPr>
                <w:rFonts w:ascii="宋体"/>
                <w:vanish/>
              </w:rPr>
            </w:pPr>
          </w:p>
        </w:tc>
        <w:tc>
          <w:tcPr>
            <w:tcW w:w="0" w:type="auto"/>
            <w:gridSpan w:val="3"/>
            <w:shd w:val="clear" w:color="auto" w:fill="auto"/>
            <w:vAlign w:val="bottom"/>
          </w:tcPr>
          <w:p w14:paraId="5A1B0458" w14:textId="77777777" w:rsidR="00960BB8" w:rsidRDefault="00960BB8">
            <w:pPr>
              <w:rPr>
                <w:rFonts w:ascii="宋体"/>
                <w:vanish/>
              </w:rPr>
            </w:pPr>
          </w:p>
        </w:tc>
        <w:tc>
          <w:tcPr>
            <w:tcW w:w="0" w:type="auto"/>
            <w:gridSpan w:val="3"/>
            <w:shd w:val="clear" w:color="auto" w:fill="auto"/>
            <w:vAlign w:val="bottom"/>
          </w:tcPr>
          <w:p w14:paraId="5A1B0459" w14:textId="77777777" w:rsidR="00960BB8" w:rsidRDefault="00960BB8">
            <w:pPr>
              <w:rPr>
                <w:rFonts w:ascii="宋体"/>
                <w:vanish/>
              </w:rPr>
            </w:pPr>
          </w:p>
        </w:tc>
        <w:tc>
          <w:tcPr>
            <w:tcW w:w="0" w:type="auto"/>
            <w:gridSpan w:val="3"/>
            <w:shd w:val="clear" w:color="auto" w:fill="auto"/>
            <w:vAlign w:val="bottom"/>
          </w:tcPr>
          <w:p w14:paraId="5A1B045A" w14:textId="77777777" w:rsidR="00960BB8" w:rsidRDefault="00960BB8">
            <w:pPr>
              <w:rPr>
                <w:rFonts w:ascii="宋体"/>
                <w:vanish/>
              </w:rPr>
            </w:pPr>
          </w:p>
        </w:tc>
      </w:tr>
      <w:tr w:rsidR="00960BB8" w14:paraId="5A1B0463" w14:textId="77777777">
        <w:trPr>
          <w:hidden/>
        </w:trPr>
        <w:tc>
          <w:tcPr>
            <w:tcW w:w="0" w:type="auto"/>
            <w:gridSpan w:val="3"/>
            <w:shd w:val="clear" w:color="auto" w:fill="auto"/>
            <w:vAlign w:val="bottom"/>
          </w:tcPr>
          <w:p w14:paraId="5A1B045C" w14:textId="77777777" w:rsidR="00960BB8" w:rsidRDefault="00960BB8">
            <w:pPr>
              <w:rPr>
                <w:rFonts w:ascii="宋体"/>
                <w:vanish/>
              </w:rPr>
            </w:pPr>
          </w:p>
        </w:tc>
        <w:tc>
          <w:tcPr>
            <w:tcW w:w="0" w:type="auto"/>
            <w:shd w:val="clear" w:color="auto" w:fill="auto"/>
            <w:vAlign w:val="bottom"/>
          </w:tcPr>
          <w:p w14:paraId="5A1B045D" w14:textId="77777777" w:rsidR="00960BB8" w:rsidRDefault="00960BB8">
            <w:pPr>
              <w:rPr>
                <w:rFonts w:ascii="宋体"/>
                <w:vanish/>
              </w:rPr>
            </w:pPr>
          </w:p>
        </w:tc>
        <w:tc>
          <w:tcPr>
            <w:tcW w:w="0" w:type="auto"/>
            <w:gridSpan w:val="3"/>
            <w:shd w:val="clear" w:color="auto" w:fill="auto"/>
            <w:vAlign w:val="bottom"/>
          </w:tcPr>
          <w:p w14:paraId="5A1B045E" w14:textId="77777777" w:rsidR="00960BB8" w:rsidRDefault="00960BB8">
            <w:pPr>
              <w:rPr>
                <w:rFonts w:ascii="宋体"/>
                <w:vanish/>
              </w:rPr>
            </w:pPr>
          </w:p>
        </w:tc>
        <w:tc>
          <w:tcPr>
            <w:tcW w:w="0" w:type="auto"/>
            <w:gridSpan w:val="3"/>
            <w:shd w:val="clear" w:color="auto" w:fill="auto"/>
            <w:vAlign w:val="bottom"/>
          </w:tcPr>
          <w:p w14:paraId="5A1B045F" w14:textId="77777777" w:rsidR="00960BB8" w:rsidRDefault="00960BB8">
            <w:pPr>
              <w:rPr>
                <w:rFonts w:ascii="宋体"/>
                <w:vanish/>
              </w:rPr>
            </w:pPr>
          </w:p>
        </w:tc>
        <w:tc>
          <w:tcPr>
            <w:tcW w:w="0" w:type="auto"/>
            <w:gridSpan w:val="3"/>
            <w:shd w:val="clear" w:color="auto" w:fill="auto"/>
            <w:vAlign w:val="bottom"/>
          </w:tcPr>
          <w:p w14:paraId="5A1B0460" w14:textId="77777777" w:rsidR="00960BB8" w:rsidRDefault="00960BB8">
            <w:pPr>
              <w:rPr>
                <w:rFonts w:ascii="宋体"/>
                <w:vanish/>
              </w:rPr>
            </w:pPr>
          </w:p>
        </w:tc>
        <w:tc>
          <w:tcPr>
            <w:tcW w:w="0" w:type="auto"/>
            <w:gridSpan w:val="3"/>
            <w:shd w:val="clear" w:color="auto" w:fill="auto"/>
            <w:vAlign w:val="bottom"/>
          </w:tcPr>
          <w:p w14:paraId="5A1B0461" w14:textId="77777777" w:rsidR="00960BB8" w:rsidRDefault="00960BB8">
            <w:pPr>
              <w:rPr>
                <w:rFonts w:ascii="宋体"/>
                <w:vanish/>
              </w:rPr>
            </w:pPr>
          </w:p>
        </w:tc>
        <w:tc>
          <w:tcPr>
            <w:tcW w:w="0" w:type="auto"/>
            <w:gridSpan w:val="3"/>
            <w:shd w:val="clear" w:color="auto" w:fill="auto"/>
            <w:vAlign w:val="bottom"/>
          </w:tcPr>
          <w:p w14:paraId="5A1B0462" w14:textId="77777777" w:rsidR="00960BB8" w:rsidRDefault="00960BB8">
            <w:pPr>
              <w:rPr>
                <w:rFonts w:ascii="宋体"/>
                <w:vanish/>
              </w:rPr>
            </w:pPr>
          </w:p>
        </w:tc>
      </w:tr>
      <w:tr w:rsidR="00960BB8" w14:paraId="5A1B046B" w14:textId="77777777">
        <w:trPr>
          <w:hidden/>
        </w:trPr>
        <w:tc>
          <w:tcPr>
            <w:tcW w:w="0" w:type="auto"/>
            <w:gridSpan w:val="3"/>
            <w:shd w:val="clear" w:color="auto" w:fill="auto"/>
            <w:vAlign w:val="bottom"/>
          </w:tcPr>
          <w:p w14:paraId="5A1B0464" w14:textId="77777777" w:rsidR="00960BB8" w:rsidRDefault="00960BB8">
            <w:pPr>
              <w:rPr>
                <w:rFonts w:ascii="宋体"/>
                <w:vanish/>
              </w:rPr>
            </w:pPr>
          </w:p>
        </w:tc>
        <w:tc>
          <w:tcPr>
            <w:tcW w:w="0" w:type="auto"/>
            <w:shd w:val="clear" w:color="auto" w:fill="auto"/>
            <w:vAlign w:val="bottom"/>
          </w:tcPr>
          <w:p w14:paraId="5A1B0465" w14:textId="77777777" w:rsidR="00960BB8" w:rsidRDefault="00960BB8">
            <w:pPr>
              <w:rPr>
                <w:rFonts w:ascii="宋体"/>
                <w:vanish/>
              </w:rPr>
            </w:pPr>
          </w:p>
        </w:tc>
        <w:tc>
          <w:tcPr>
            <w:tcW w:w="0" w:type="auto"/>
            <w:gridSpan w:val="3"/>
            <w:shd w:val="clear" w:color="auto" w:fill="auto"/>
            <w:vAlign w:val="bottom"/>
          </w:tcPr>
          <w:p w14:paraId="5A1B0466" w14:textId="77777777" w:rsidR="00960BB8" w:rsidRDefault="00960BB8">
            <w:pPr>
              <w:rPr>
                <w:rFonts w:ascii="宋体"/>
                <w:vanish/>
              </w:rPr>
            </w:pPr>
          </w:p>
        </w:tc>
        <w:tc>
          <w:tcPr>
            <w:tcW w:w="0" w:type="auto"/>
            <w:gridSpan w:val="3"/>
            <w:shd w:val="clear" w:color="auto" w:fill="auto"/>
            <w:vAlign w:val="bottom"/>
          </w:tcPr>
          <w:p w14:paraId="5A1B0467" w14:textId="77777777" w:rsidR="00960BB8" w:rsidRDefault="00960BB8">
            <w:pPr>
              <w:rPr>
                <w:rFonts w:ascii="宋体"/>
                <w:vanish/>
              </w:rPr>
            </w:pPr>
          </w:p>
        </w:tc>
        <w:tc>
          <w:tcPr>
            <w:tcW w:w="0" w:type="auto"/>
            <w:gridSpan w:val="3"/>
            <w:shd w:val="clear" w:color="auto" w:fill="auto"/>
            <w:vAlign w:val="bottom"/>
          </w:tcPr>
          <w:p w14:paraId="5A1B0468" w14:textId="77777777" w:rsidR="00960BB8" w:rsidRDefault="00960BB8">
            <w:pPr>
              <w:rPr>
                <w:rFonts w:ascii="宋体"/>
                <w:vanish/>
              </w:rPr>
            </w:pPr>
          </w:p>
        </w:tc>
        <w:tc>
          <w:tcPr>
            <w:tcW w:w="0" w:type="auto"/>
            <w:gridSpan w:val="3"/>
            <w:shd w:val="clear" w:color="auto" w:fill="auto"/>
            <w:vAlign w:val="bottom"/>
          </w:tcPr>
          <w:p w14:paraId="5A1B0469" w14:textId="77777777" w:rsidR="00960BB8" w:rsidRDefault="00960BB8">
            <w:pPr>
              <w:rPr>
                <w:rFonts w:ascii="宋体"/>
                <w:vanish/>
              </w:rPr>
            </w:pPr>
          </w:p>
        </w:tc>
        <w:tc>
          <w:tcPr>
            <w:tcW w:w="0" w:type="auto"/>
            <w:gridSpan w:val="3"/>
            <w:shd w:val="clear" w:color="auto" w:fill="auto"/>
            <w:vAlign w:val="bottom"/>
          </w:tcPr>
          <w:p w14:paraId="5A1B046A" w14:textId="77777777" w:rsidR="00960BB8" w:rsidRDefault="00960BB8">
            <w:pPr>
              <w:rPr>
                <w:rFonts w:ascii="宋体"/>
                <w:vanish/>
              </w:rPr>
            </w:pPr>
          </w:p>
        </w:tc>
      </w:tr>
      <w:tr w:rsidR="00960BB8" w14:paraId="5A1B0476" w14:textId="77777777">
        <w:tc>
          <w:tcPr>
            <w:tcW w:w="0" w:type="auto"/>
            <w:gridSpan w:val="3"/>
            <w:shd w:val="clear" w:color="auto" w:fill="auto"/>
            <w:tcMar>
              <w:top w:w="40" w:type="dxa"/>
              <w:left w:w="20" w:type="dxa"/>
              <w:bottom w:w="40" w:type="dxa"/>
              <w:right w:w="20" w:type="dxa"/>
            </w:tcMar>
            <w:vAlign w:val="bottom"/>
          </w:tcPr>
          <w:p w14:paraId="5A1B046C" w14:textId="77777777" w:rsidR="00960BB8" w:rsidRDefault="00C06650">
            <w:pPr>
              <w:textAlignment w:val="bottom"/>
            </w:pPr>
            <w:r>
              <w:rPr>
                <w:rFonts w:ascii="Arial" w:eastAsia="宋体" w:hAnsi="Arial" w:cs="Arial"/>
                <w:b/>
                <w:bCs/>
                <w:color w:val="262626"/>
                <w:sz w:val="18"/>
                <w:szCs w:val="18"/>
              </w:rPr>
              <w:t>Gross margin percentage</w:t>
            </w:r>
          </w:p>
        </w:tc>
        <w:tc>
          <w:tcPr>
            <w:tcW w:w="0" w:type="auto"/>
            <w:shd w:val="clear" w:color="auto" w:fill="auto"/>
            <w:vAlign w:val="bottom"/>
          </w:tcPr>
          <w:p w14:paraId="5A1B046D"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46E" w14:textId="77777777" w:rsidR="00960BB8" w:rsidRDefault="00C06650">
            <w:pPr>
              <w:jc w:val="right"/>
              <w:textAlignment w:val="bottom"/>
            </w:pPr>
            <w:r>
              <w:rPr>
                <w:rFonts w:ascii="Arial" w:eastAsia="宋体" w:hAnsi="Arial" w:cs="Arial"/>
                <w:b/>
                <w:bCs/>
                <w:color w:val="0068B5"/>
                <w:sz w:val="18"/>
                <w:szCs w:val="18"/>
              </w:rPr>
              <w:t>42.6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46F" w14:textId="77777777" w:rsidR="00960BB8" w:rsidRDefault="00C06650">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5A1B047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71" w14:textId="77777777" w:rsidR="00960BB8" w:rsidRDefault="00C06650">
            <w:pPr>
              <w:jc w:val="right"/>
              <w:textAlignment w:val="bottom"/>
            </w:pPr>
            <w:r>
              <w:rPr>
                <w:rFonts w:ascii="Arial" w:eastAsia="宋体" w:hAnsi="Arial" w:cs="Arial"/>
                <w:b/>
                <w:bCs/>
                <w:color w:val="262626"/>
                <w:sz w:val="18"/>
                <w:szCs w:val="18"/>
              </w:rPr>
              <w:t>55.4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472" w14:textId="77777777" w:rsidR="00960BB8" w:rsidRDefault="00C06650">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5A1B047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74" w14:textId="77777777" w:rsidR="00960BB8" w:rsidRDefault="00C06650">
            <w:pPr>
              <w:jc w:val="right"/>
              <w:textAlignment w:val="bottom"/>
            </w:pPr>
            <w:r>
              <w:rPr>
                <w:rFonts w:ascii="Arial" w:eastAsia="宋体" w:hAnsi="Arial" w:cs="Arial"/>
                <w:b/>
                <w:bCs/>
                <w:color w:val="262626"/>
                <w:sz w:val="18"/>
                <w:szCs w:val="18"/>
              </w:rPr>
              <w:t>56.0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475" w14:textId="77777777" w:rsidR="00960BB8" w:rsidRDefault="00C06650">
            <w:pPr>
              <w:jc w:val="right"/>
              <w:textAlignment w:val="bottom"/>
            </w:pPr>
            <w:r>
              <w:rPr>
                <w:rFonts w:ascii="Arial" w:eastAsia="宋体" w:hAnsi="Arial" w:cs="Arial"/>
                <w:b/>
                <w:bCs/>
                <w:color w:val="262626"/>
                <w:sz w:val="18"/>
                <w:szCs w:val="18"/>
              </w:rPr>
              <w:t>%</w:t>
            </w:r>
          </w:p>
        </w:tc>
      </w:tr>
      <w:tr w:rsidR="00960BB8" w14:paraId="5A1B0481" w14:textId="77777777">
        <w:tc>
          <w:tcPr>
            <w:tcW w:w="0" w:type="auto"/>
            <w:gridSpan w:val="3"/>
            <w:shd w:val="clear" w:color="auto" w:fill="auto"/>
            <w:tcMar>
              <w:top w:w="40" w:type="dxa"/>
              <w:left w:w="245" w:type="dxa"/>
              <w:bottom w:w="40" w:type="dxa"/>
              <w:right w:w="20" w:type="dxa"/>
            </w:tcMar>
            <w:vAlign w:val="bottom"/>
          </w:tcPr>
          <w:p w14:paraId="5A1B0477" w14:textId="77777777" w:rsidR="00960BB8" w:rsidRDefault="00C06650">
            <w:pPr>
              <w:textAlignment w:val="bottom"/>
            </w:pPr>
            <w:r>
              <w:rPr>
                <w:rFonts w:ascii="Arial" w:eastAsia="宋体" w:hAnsi="Arial" w:cs="Arial"/>
                <w:color w:val="262626"/>
                <w:sz w:val="18"/>
                <w:szCs w:val="18"/>
              </w:rPr>
              <w:t>Acquisition-related adjustments</w:t>
            </w:r>
          </w:p>
        </w:tc>
        <w:tc>
          <w:tcPr>
            <w:tcW w:w="0" w:type="auto"/>
            <w:shd w:val="clear" w:color="auto" w:fill="auto"/>
            <w:vAlign w:val="bottom"/>
          </w:tcPr>
          <w:p w14:paraId="5A1B0478"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479" w14:textId="77777777" w:rsidR="00960BB8" w:rsidRDefault="00C06650">
            <w:pPr>
              <w:jc w:val="right"/>
              <w:textAlignment w:val="bottom"/>
            </w:pPr>
            <w:r>
              <w:rPr>
                <w:rFonts w:ascii="Arial" w:eastAsia="宋体" w:hAnsi="Arial" w:cs="Arial"/>
                <w:color w:val="0068B5"/>
                <w:sz w:val="18"/>
                <w:szCs w:val="18"/>
              </w:rPr>
              <w:t>2.1 </w:t>
            </w:r>
          </w:p>
        </w:tc>
        <w:tc>
          <w:tcPr>
            <w:tcW w:w="0" w:type="auto"/>
            <w:shd w:val="clear" w:color="auto" w:fill="auto"/>
            <w:tcMar>
              <w:top w:w="40" w:type="dxa"/>
              <w:left w:w="0" w:type="dxa"/>
              <w:bottom w:w="40" w:type="dxa"/>
              <w:right w:w="20" w:type="dxa"/>
            </w:tcMar>
            <w:vAlign w:val="bottom"/>
          </w:tcPr>
          <w:p w14:paraId="5A1B047A"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047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7C" w14:textId="77777777" w:rsidR="00960BB8" w:rsidRDefault="00C06650">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5A1B047D"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047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7F" w14:textId="77777777" w:rsidR="00960BB8" w:rsidRDefault="00C06650">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5A1B0480" w14:textId="77777777" w:rsidR="00960BB8" w:rsidRDefault="00C06650">
            <w:pPr>
              <w:jc w:val="right"/>
              <w:textAlignment w:val="bottom"/>
            </w:pPr>
            <w:r>
              <w:rPr>
                <w:rFonts w:ascii="Arial" w:eastAsia="宋体" w:hAnsi="Arial" w:cs="Arial"/>
                <w:color w:val="262626"/>
                <w:sz w:val="18"/>
                <w:szCs w:val="18"/>
              </w:rPr>
              <w:t>%</w:t>
            </w:r>
          </w:p>
        </w:tc>
      </w:tr>
      <w:tr w:rsidR="00960BB8" w14:paraId="5A1B0489" w14:textId="77777777">
        <w:trPr>
          <w:hidden/>
        </w:trPr>
        <w:tc>
          <w:tcPr>
            <w:tcW w:w="0" w:type="auto"/>
            <w:gridSpan w:val="3"/>
            <w:shd w:val="clear" w:color="auto" w:fill="auto"/>
            <w:vAlign w:val="bottom"/>
          </w:tcPr>
          <w:p w14:paraId="5A1B0482" w14:textId="77777777" w:rsidR="00960BB8" w:rsidRDefault="00960BB8">
            <w:pPr>
              <w:rPr>
                <w:rFonts w:ascii="宋体"/>
                <w:vanish/>
              </w:rPr>
            </w:pPr>
          </w:p>
        </w:tc>
        <w:tc>
          <w:tcPr>
            <w:tcW w:w="0" w:type="auto"/>
            <w:shd w:val="clear" w:color="auto" w:fill="auto"/>
            <w:vAlign w:val="bottom"/>
          </w:tcPr>
          <w:p w14:paraId="5A1B0483" w14:textId="77777777" w:rsidR="00960BB8" w:rsidRDefault="00960BB8">
            <w:pPr>
              <w:rPr>
                <w:rFonts w:ascii="宋体"/>
                <w:vanish/>
              </w:rPr>
            </w:pPr>
          </w:p>
        </w:tc>
        <w:tc>
          <w:tcPr>
            <w:tcW w:w="0" w:type="auto"/>
            <w:gridSpan w:val="3"/>
            <w:shd w:val="clear" w:color="auto" w:fill="auto"/>
            <w:vAlign w:val="bottom"/>
          </w:tcPr>
          <w:p w14:paraId="5A1B0484" w14:textId="77777777" w:rsidR="00960BB8" w:rsidRDefault="00960BB8">
            <w:pPr>
              <w:rPr>
                <w:rFonts w:ascii="宋体"/>
                <w:vanish/>
              </w:rPr>
            </w:pPr>
          </w:p>
        </w:tc>
        <w:tc>
          <w:tcPr>
            <w:tcW w:w="0" w:type="auto"/>
            <w:gridSpan w:val="3"/>
            <w:shd w:val="clear" w:color="auto" w:fill="auto"/>
            <w:vAlign w:val="bottom"/>
          </w:tcPr>
          <w:p w14:paraId="5A1B0485" w14:textId="77777777" w:rsidR="00960BB8" w:rsidRDefault="00960BB8">
            <w:pPr>
              <w:rPr>
                <w:rFonts w:ascii="宋体"/>
                <w:vanish/>
              </w:rPr>
            </w:pPr>
          </w:p>
        </w:tc>
        <w:tc>
          <w:tcPr>
            <w:tcW w:w="0" w:type="auto"/>
            <w:gridSpan w:val="3"/>
            <w:shd w:val="clear" w:color="auto" w:fill="auto"/>
            <w:vAlign w:val="bottom"/>
          </w:tcPr>
          <w:p w14:paraId="5A1B0486" w14:textId="77777777" w:rsidR="00960BB8" w:rsidRDefault="00960BB8">
            <w:pPr>
              <w:rPr>
                <w:rFonts w:ascii="宋体"/>
                <w:vanish/>
              </w:rPr>
            </w:pPr>
          </w:p>
        </w:tc>
        <w:tc>
          <w:tcPr>
            <w:tcW w:w="0" w:type="auto"/>
            <w:gridSpan w:val="3"/>
            <w:shd w:val="clear" w:color="auto" w:fill="auto"/>
            <w:vAlign w:val="bottom"/>
          </w:tcPr>
          <w:p w14:paraId="5A1B0487" w14:textId="77777777" w:rsidR="00960BB8" w:rsidRDefault="00960BB8">
            <w:pPr>
              <w:rPr>
                <w:rFonts w:ascii="宋体"/>
                <w:vanish/>
              </w:rPr>
            </w:pPr>
          </w:p>
        </w:tc>
        <w:tc>
          <w:tcPr>
            <w:tcW w:w="0" w:type="auto"/>
            <w:gridSpan w:val="3"/>
            <w:shd w:val="clear" w:color="auto" w:fill="auto"/>
            <w:vAlign w:val="bottom"/>
          </w:tcPr>
          <w:p w14:paraId="5A1B0488" w14:textId="77777777" w:rsidR="00960BB8" w:rsidRDefault="00960BB8">
            <w:pPr>
              <w:rPr>
                <w:rFonts w:ascii="宋体"/>
                <w:vanish/>
              </w:rPr>
            </w:pPr>
          </w:p>
        </w:tc>
      </w:tr>
      <w:tr w:rsidR="00960BB8" w14:paraId="5A1B0491" w14:textId="77777777">
        <w:trPr>
          <w:hidden/>
        </w:trPr>
        <w:tc>
          <w:tcPr>
            <w:tcW w:w="0" w:type="auto"/>
            <w:gridSpan w:val="3"/>
            <w:shd w:val="clear" w:color="auto" w:fill="auto"/>
            <w:vAlign w:val="bottom"/>
          </w:tcPr>
          <w:p w14:paraId="5A1B048A" w14:textId="77777777" w:rsidR="00960BB8" w:rsidRDefault="00960BB8">
            <w:pPr>
              <w:rPr>
                <w:rFonts w:ascii="宋体"/>
                <w:vanish/>
              </w:rPr>
            </w:pPr>
          </w:p>
        </w:tc>
        <w:tc>
          <w:tcPr>
            <w:tcW w:w="0" w:type="auto"/>
            <w:shd w:val="clear" w:color="auto" w:fill="auto"/>
            <w:vAlign w:val="bottom"/>
          </w:tcPr>
          <w:p w14:paraId="5A1B048B" w14:textId="77777777" w:rsidR="00960BB8" w:rsidRDefault="00960BB8">
            <w:pPr>
              <w:rPr>
                <w:rFonts w:ascii="宋体"/>
                <w:vanish/>
              </w:rPr>
            </w:pPr>
          </w:p>
        </w:tc>
        <w:tc>
          <w:tcPr>
            <w:tcW w:w="0" w:type="auto"/>
            <w:gridSpan w:val="3"/>
            <w:shd w:val="clear" w:color="auto" w:fill="auto"/>
            <w:vAlign w:val="bottom"/>
          </w:tcPr>
          <w:p w14:paraId="5A1B048C" w14:textId="77777777" w:rsidR="00960BB8" w:rsidRDefault="00960BB8">
            <w:pPr>
              <w:rPr>
                <w:rFonts w:ascii="宋体"/>
                <w:vanish/>
              </w:rPr>
            </w:pPr>
          </w:p>
        </w:tc>
        <w:tc>
          <w:tcPr>
            <w:tcW w:w="0" w:type="auto"/>
            <w:gridSpan w:val="3"/>
            <w:shd w:val="clear" w:color="auto" w:fill="auto"/>
            <w:vAlign w:val="bottom"/>
          </w:tcPr>
          <w:p w14:paraId="5A1B048D" w14:textId="77777777" w:rsidR="00960BB8" w:rsidRDefault="00960BB8">
            <w:pPr>
              <w:rPr>
                <w:rFonts w:ascii="宋体"/>
                <w:vanish/>
              </w:rPr>
            </w:pPr>
          </w:p>
        </w:tc>
        <w:tc>
          <w:tcPr>
            <w:tcW w:w="0" w:type="auto"/>
            <w:gridSpan w:val="3"/>
            <w:shd w:val="clear" w:color="auto" w:fill="auto"/>
            <w:vAlign w:val="bottom"/>
          </w:tcPr>
          <w:p w14:paraId="5A1B048E" w14:textId="77777777" w:rsidR="00960BB8" w:rsidRDefault="00960BB8">
            <w:pPr>
              <w:rPr>
                <w:rFonts w:ascii="宋体"/>
                <w:vanish/>
              </w:rPr>
            </w:pPr>
          </w:p>
        </w:tc>
        <w:tc>
          <w:tcPr>
            <w:tcW w:w="0" w:type="auto"/>
            <w:gridSpan w:val="3"/>
            <w:shd w:val="clear" w:color="auto" w:fill="auto"/>
            <w:vAlign w:val="bottom"/>
          </w:tcPr>
          <w:p w14:paraId="5A1B048F" w14:textId="77777777" w:rsidR="00960BB8" w:rsidRDefault="00960BB8">
            <w:pPr>
              <w:rPr>
                <w:rFonts w:ascii="宋体"/>
                <w:vanish/>
              </w:rPr>
            </w:pPr>
          </w:p>
        </w:tc>
        <w:tc>
          <w:tcPr>
            <w:tcW w:w="0" w:type="auto"/>
            <w:gridSpan w:val="3"/>
            <w:shd w:val="clear" w:color="auto" w:fill="auto"/>
            <w:vAlign w:val="bottom"/>
          </w:tcPr>
          <w:p w14:paraId="5A1B0490" w14:textId="77777777" w:rsidR="00960BB8" w:rsidRDefault="00960BB8">
            <w:pPr>
              <w:rPr>
                <w:rFonts w:ascii="宋体"/>
                <w:vanish/>
              </w:rPr>
            </w:pPr>
          </w:p>
        </w:tc>
      </w:tr>
      <w:tr w:rsidR="00960BB8" w14:paraId="5A1B0499" w14:textId="77777777">
        <w:trPr>
          <w:hidden/>
        </w:trPr>
        <w:tc>
          <w:tcPr>
            <w:tcW w:w="0" w:type="auto"/>
            <w:gridSpan w:val="3"/>
            <w:shd w:val="clear" w:color="auto" w:fill="auto"/>
            <w:vAlign w:val="bottom"/>
          </w:tcPr>
          <w:p w14:paraId="5A1B0492" w14:textId="77777777" w:rsidR="00960BB8" w:rsidRDefault="00960BB8">
            <w:pPr>
              <w:rPr>
                <w:rFonts w:ascii="宋体"/>
                <w:vanish/>
              </w:rPr>
            </w:pPr>
          </w:p>
        </w:tc>
        <w:tc>
          <w:tcPr>
            <w:tcW w:w="0" w:type="auto"/>
            <w:shd w:val="clear" w:color="auto" w:fill="auto"/>
            <w:vAlign w:val="bottom"/>
          </w:tcPr>
          <w:p w14:paraId="5A1B0493" w14:textId="77777777" w:rsidR="00960BB8" w:rsidRDefault="00960BB8">
            <w:pPr>
              <w:rPr>
                <w:rFonts w:ascii="宋体"/>
                <w:vanish/>
              </w:rPr>
            </w:pPr>
          </w:p>
        </w:tc>
        <w:tc>
          <w:tcPr>
            <w:tcW w:w="0" w:type="auto"/>
            <w:gridSpan w:val="3"/>
            <w:shd w:val="clear" w:color="auto" w:fill="auto"/>
            <w:vAlign w:val="bottom"/>
          </w:tcPr>
          <w:p w14:paraId="5A1B0494" w14:textId="77777777" w:rsidR="00960BB8" w:rsidRDefault="00960BB8">
            <w:pPr>
              <w:rPr>
                <w:rFonts w:ascii="宋体"/>
                <w:vanish/>
              </w:rPr>
            </w:pPr>
          </w:p>
        </w:tc>
        <w:tc>
          <w:tcPr>
            <w:tcW w:w="0" w:type="auto"/>
            <w:gridSpan w:val="3"/>
            <w:shd w:val="clear" w:color="auto" w:fill="auto"/>
            <w:vAlign w:val="bottom"/>
          </w:tcPr>
          <w:p w14:paraId="5A1B0495" w14:textId="77777777" w:rsidR="00960BB8" w:rsidRDefault="00960BB8">
            <w:pPr>
              <w:rPr>
                <w:rFonts w:ascii="宋体"/>
                <w:vanish/>
              </w:rPr>
            </w:pPr>
          </w:p>
        </w:tc>
        <w:tc>
          <w:tcPr>
            <w:tcW w:w="0" w:type="auto"/>
            <w:gridSpan w:val="3"/>
            <w:shd w:val="clear" w:color="auto" w:fill="auto"/>
            <w:vAlign w:val="bottom"/>
          </w:tcPr>
          <w:p w14:paraId="5A1B0496" w14:textId="77777777" w:rsidR="00960BB8" w:rsidRDefault="00960BB8">
            <w:pPr>
              <w:rPr>
                <w:rFonts w:ascii="宋体"/>
                <w:vanish/>
              </w:rPr>
            </w:pPr>
          </w:p>
        </w:tc>
        <w:tc>
          <w:tcPr>
            <w:tcW w:w="0" w:type="auto"/>
            <w:gridSpan w:val="3"/>
            <w:shd w:val="clear" w:color="auto" w:fill="auto"/>
            <w:vAlign w:val="bottom"/>
          </w:tcPr>
          <w:p w14:paraId="5A1B0497" w14:textId="77777777" w:rsidR="00960BB8" w:rsidRDefault="00960BB8">
            <w:pPr>
              <w:rPr>
                <w:rFonts w:ascii="宋体"/>
                <w:vanish/>
              </w:rPr>
            </w:pPr>
          </w:p>
        </w:tc>
        <w:tc>
          <w:tcPr>
            <w:tcW w:w="0" w:type="auto"/>
            <w:gridSpan w:val="3"/>
            <w:shd w:val="clear" w:color="auto" w:fill="auto"/>
            <w:vAlign w:val="bottom"/>
          </w:tcPr>
          <w:p w14:paraId="5A1B0498" w14:textId="77777777" w:rsidR="00960BB8" w:rsidRDefault="00960BB8">
            <w:pPr>
              <w:rPr>
                <w:rFonts w:ascii="宋体"/>
                <w:vanish/>
              </w:rPr>
            </w:pPr>
          </w:p>
        </w:tc>
      </w:tr>
      <w:tr w:rsidR="00960BB8" w14:paraId="5A1B04A1" w14:textId="77777777">
        <w:trPr>
          <w:hidden/>
        </w:trPr>
        <w:tc>
          <w:tcPr>
            <w:tcW w:w="0" w:type="auto"/>
            <w:gridSpan w:val="3"/>
            <w:shd w:val="clear" w:color="auto" w:fill="auto"/>
            <w:vAlign w:val="bottom"/>
          </w:tcPr>
          <w:p w14:paraId="5A1B049A" w14:textId="77777777" w:rsidR="00960BB8" w:rsidRDefault="00960BB8">
            <w:pPr>
              <w:rPr>
                <w:rFonts w:ascii="宋体"/>
                <w:vanish/>
              </w:rPr>
            </w:pPr>
          </w:p>
        </w:tc>
        <w:tc>
          <w:tcPr>
            <w:tcW w:w="0" w:type="auto"/>
            <w:shd w:val="clear" w:color="auto" w:fill="auto"/>
            <w:vAlign w:val="bottom"/>
          </w:tcPr>
          <w:p w14:paraId="5A1B049B" w14:textId="77777777" w:rsidR="00960BB8" w:rsidRDefault="00960BB8">
            <w:pPr>
              <w:rPr>
                <w:rFonts w:ascii="宋体"/>
                <w:vanish/>
              </w:rPr>
            </w:pPr>
          </w:p>
        </w:tc>
        <w:tc>
          <w:tcPr>
            <w:tcW w:w="0" w:type="auto"/>
            <w:gridSpan w:val="3"/>
            <w:shd w:val="clear" w:color="auto" w:fill="auto"/>
            <w:vAlign w:val="bottom"/>
          </w:tcPr>
          <w:p w14:paraId="5A1B049C" w14:textId="77777777" w:rsidR="00960BB8" w:rsidRDefault="00960BB8">
            <w:pPr>
              <w:rPr>
                <w:rFonts w:ascii="宋体"/>
                <w:vanish/>
              </w:rPr>
            </w:pPr>
          </w:p>
        </w:tc>
        <w:tc>
          <w:tcPr>
            <w:tcW w:w="0" w:type="auto"/>
            <w:gridSpan w:val="3"/>
            <w:shd w:val="clear" w:color="auto" w:fill="auto"/>
            <w:vAlign w:val="bottom"/>
          </w:tcPr>
          <w:p w14:paraId="5A1B049D" w14:textId="77777777" w:rsidR="00960BB8" w:rsidRDefault="00960BB8">
            <w:pPr>
              <w:rPr>
                <w:rFonts w:ascii="宋体"/>
                <w:vanish/>
              </w:rPr>
            </w:pPr>
          </w:p>
        </w:tc>
        <w:tc>
          <w:tcPr>
            <w:tcW w:w="0" w:type="auto"/>
            <w:gridSpan w:val="3"/>
            <w:shd w:val="clear" w:color="auto" w:fill="auto"/>
            <w:vAlign w:val="bottom"/>
          </w:tcPr>
          <w:p w14:paraId="5A1B049E" w14:textId="77777777" w:rsidR="00960BB8" w:rsidRDefault="00960BB8">
            <w:pPr>
              <w:rPr>
                <w:rFonts w:ascii="宋体"/>
                <w:vanish/>
              </w:rPr>
            </w:pPr>
          </w:p>
        </w:tc>
        <w:tc>
          <w:tcPr>
            <w:tcW w:w="0" w:type="auto"/>
            <w:gridSpan w:val="3"/>
            <w:shd w:val="clear" w:color="auto" w:fill="auto"/>
            <w:vAlign w:val="bottom"/>
          </w:tcPr>
          <w:p w14:paraId="5A1B049F" w14:textId="77777777" w:rsidR="00960BB8" w:rsidRDefault="00960BB8">
            <w:pPr>
              <w:rPr>
                <w:rFonts w:ascii="宋体"/>
                <w:vanish/>
              </w:rPr>
            </w:pPr>
          </w:p>
        </w:tc>
        <w:tc>
          <w:tcPr>
            <w:tcW w:w="0" w:type="auto"/>
            <w:gridSpan w:val="3"/>
            <w:shd w:val="clear" w:color="auto" w:fill="auto"/>
            <w:vAlign w:val="bottom"/>
          </w:tcPr>
          <w:p w14:paraId="5A1B04A0" w14:textId="77777777" w:rsidR="00960BB8" w:rsidRDefault="00960BB8">
            <w:pPr>
              <w:rPr>
                <w:rFonts w:ascii="宋体"/>
                <w:vanish/>
              </w:rPr>
            </w:pPr>
          </w:p>
        </w:tc>
      </w:tr>
      <w:tr w:rsidR="00960BB8" w14:paraId="5A1B04A9" w14:textId="77777777">
        <w:trPr>
          <w:hidden/>
        </w:trPr>
        <w:tc>
          <w:tcPr>
            <w:tcW w:w="0" w:type="auto"/>
            <w:gridSpan w:val="3"/>
            <w:shd w:val="clear" w:color="auto" w:fill="auto"/>
            <w:vAlign w:val="bottom"/>
          </w:tcPr>
          <w:p w14:paraId="5A1B04A2" w14:textId="77777777" w:rsidR="00960BB8" w:rsidRDefault="00960BB8">
            <w:pPr>
              <w:rPr>
                <w:rFonts w:ascii="宋体"/>
                <w:vanish/>
              </w:rPr>
            </w:pPr>
          </w:p>
        </w:tc>
        <w:tc>
          <w:tcPr>
            <w:tcW w:w="0" w:type="auto"/>
            <w:shd w:val="clear" w:color="auto" w:fill="auto"/>
            <w:vAlign w:val="bottom"/>
          </w:tcPr>
          <w:p w14:paraId="5A1B04A3" w14:textId="77777777" w:rsidR="00960BB8" w:rsidRDefault="00960BB8">
            <w:pPr>
              <w:rPr>
                <w:rFonts w:ascii="宋体"/>
                <w:vanish/>
              </w:rPr>
            </w:pPr>
          </w:p>
        </w:tc>
        <w:tc>
          <w:tcPr>
            <w:tcW w:w="0" w:type="auto"/>
            <w:gridSpan w:val="3"/>
            <w:shd w:val="clear" w:color="auto" w:fill="auto"/>
            <w:vAlign w:val="bottom"/>
          </w:tcPr>
          <w:p w14:paraId="5A1B04A4" w14:textId="77777777" w:rsidR="00960BB8" w:rsidRDefault="00960BB8">
            <w:pPr>
              <w:rPr>
                <w:rFonts w:ascii="宋体"/>
                <w:vanish/>
              </w:rPr>
            </w:pPr>
          </w:p>
        </w:tc>
        <w:tc>
          <w:tcPr>
            <w:tcW w:w="0" w:type="auto"/>
            <w:gridSpan w:val="3"/>
            <w:shd w:val="clear" w:color="auto" w:fill="auto"/>
            <w:vAlign w:val="bottom"/>
          </w:tcPr>
          <w:p w14:paraId="5A1B04A5" w14:textId="77777777" w:rsidR="00960BB8" w:rsidRDefault="00960BB8">
            <w:pPr>
              <w:rPr>
                <w:rFonts w:ascii="宋体"/>
                <w:vanish/>
              </w:rPr>
            </w:pPr>
          </w:p>
        </w:tc>
        <w:tc>
          <w:tcPr>
            <w:tcW w:w="0" w:type="auto"/>
            <w:gridSpan w:val="3"/>
            <w:shd w:val="clear" w:color="auto" w:fill="auto"/>
            <w:vAlign w:val="bottom"/>
          </w:tcPr>
          <w:p w14:paraId="5A1B04A6" w14:textId="77777777" w:rsidR="00960BB8" w:rsidRDefault="00960BB8">
            <w:pPr>
              <w:rPr>
                <w:rFonts w:ascii="宋体"/>
                <w:vanish/>
              </w:rPr>
            </w:pPr>
          </w:p>
        </w:tc>
        <w:tc>
          <w:tcPr>
            <w:tcW w:w="0" w:type="auto"/>
            <w:gridSpan w:val="3"/>
            <w:shd w:val="clear" w:color="auto" w:fill="auto"/>
            <w:vAlign w:val="bottom"/>
          </w:tcPr>
          <w:p w14:paraId="5A1B04A7" w14:textId="77777777" w:rsidR="00960BB8" w:rsidRDefault="00960BB8">
            <w:pPr>
              <w:rPr>
                <w:rFonts w:ascii="宋体"/>
                <w:vanish/>
              </w:rPr>
            </w:pPr>
          </w:p>
        </w:tc>
        <w:tc>
          <w:tcPr>
            <w:tcW w:w="0" w:type="auto"/>
            <w:gridSpan w:val="3"/>
            <w:shd w:val="clear" w:color="auto" w:fill="auto"/>
            <w:vAlign w:val="bottom"/>
          </w:tcPr>
          <w:p w14:paraId="5A1B04A8" w14:textId="77777777" w:rsidR="00960BB8" w:rsidRDefault="00960BB8">
            <w:pPr>
              <w:rPr>
                <w:rFonts w:ascii="宋体"/>
                <w:vanish/>
              </w:rPr>
            </w:pPr>
          </w:p>
        </w:tc>
      </w:tr>
      <w:tr w:rsidR="00960BB8" w14:paraId="5A1B04B1" w14:textId="77777777">
        <w:trPr>
          <w:hidden/>
        </w:trPr>
        <w:tc>
          <w:tcPr>
            <w:tcW w:w="0" w:type="auto"/>
            <w:gridSpan w:val="3"/>
            <w:shd w:val="clear" w:color="auto" w:fill="auto"/>
            <w:vAlign w:val="bottom"/>
          </w:tcPr>
          <w:p w14:paraId="5A1B04AA" w14:textId="77777777" w:rsidR="00960BB8" w:rsidRDefault="00960BB8">
            <w:pPr>
              <w:rPr>
                <w:rFonts w:ascii="宋体"/>
                <w:vanish/>
              </w:rPr>
            </w:pPr>
          </w:p>
        </w:tc>
        <w:tc>
          <w:tcPr>
            <w:tcW w:w="0" w:type="auto"/>
            <w:shd w:val="clear" w:color="auto" w:fill="auto"/>
            <w:vAlign w:val="bottom"/>
          </w:tcPr>
          <w:p w14:paraId="5A1B04AB" w14:textId="77777777" w:rsidR="00960BB8" w:rsidRDefault="00960BB8">
            <w:pPr>
              <w:rPr>
                <w:rFonts w:ascii="宋体"/>
                <w:vanish/>
              </w:rPr>
            </w:pPr>
          </w:p>
        </w:tc>
        <w:tc>
          <w:tcPr>
            <w:tcW w:w="0" w:type="auto"/>
            <w:gridSpan w:val="3"/>
            <w:shd w:val="clear" w:color="auto" w:fill="auto"/>
            <w:vAlign w:val="bottom"/>
          </w:tcPr>
          <w:p w14:paraId="5A1B04AC" w14:textId="77777777" w:rsidR="00960BB8" w:rsidRDefault="00960BB8">
            <w:pPr>
              <w:rPr>
                <w:rFonts w:ascii="宋体"/>
                <w:vanish/>
              </w:rPr>
            </w:pPr>
          </w:p>
        </w:tc>
        <w:tc>
          <w:tcPr>
            <w:tcW w:w="0" w:type="auto"/>
            <w:gridSpan w:val="3"/>
            <w:shd w:val="clear" w:color="auto" w:fill="auto"/>
            <w:vAlign w:val="bottom"/>
          </w:tcPr>
          <w:p w14:paraId="5A1B04AD" w14:textId="77777777" w:rsidR="00960BB8" w:rsidRDefault="00960BB8">
            <w:pPr>
              <w:rPr>
                <w:rFonts w:ascii="宋体"/>
                <w:vanish/>
              </w:rPr>
            </w:pPr>
          </w:p>
        </w:tc>
        <w:tc>
          <w:tcPr>
            <w:tcW w:w="0" w:type="auto"/>
            <w:gridSpan w:val="3"/>
            <w:shd w:val="clear" w:color="auto" w:fill="auto"/>
            <w:vAlign w:val="bottom"/>
          </w:tcPr>
          <w:p w14:paraId="5A1B04AE" w14:textId="77777777" w:rsidR="00960BB8" w:rsidRDefault="00960BB8">
            <w:pPr>
              <w:rPr>
                <w:rFonts w:ascii="宋体"/>
                <w:vanish/>
              </w:rPr>
            </w:pPr>
          </w:p>
        </w:tc>
        <w:tc>
          <w:tcPr>
            <w:tcW w:w="0" w:type="auto"/>
            <w:gridSpan w:val="3"/>
            <w:shd w:val="clear" w:color="auto" w:fill="auto"/>
            <w:vAlign w:val="bottom"/>
          </w:tcPr>
          <w:p w14:paraId="5A1B04AF" w14:textId="77777777" w:rsidR="00960BB8" w:rsidRDefault="00960BB8">
            <w:pPr>
              <w:rPr>
                <w:rFonts w:ascii="宋体"/>
                <w:vanish/>
              </w:rPr>
            </w:pPr>
          </w:p>
        </w:tc>
        <w:tc>
          <w:tcPr>
            <w:tcW w:w="0" w:type="auto"/>
            <w:gridSpan w:val="3"/>
            <w:shd w:val="clear" w:color="auto" w:fill="auto"/>
            <w:vAlign w:val="bottom"/>
          </w:tcPr>
          <w:p w14:paraId="5A1B04B0" w14:textId="77777777" w:rsidR="00960BB8" w:rsidRDefault="00960BB8">
            <w:pPr>
              <w:rPr>
                <w:rFonts w:ascii="宋体"/>
                <w:vanish/>
              </w:rPr>
            </w:pPr>
          </w:p>
        </w:tc>
      </w:tr>
      <w:tr w:rsidR="00960BB8" w14:paraId="5A1B04BC" w14:textId="77777777">
        <w:tc>
          <w:tcPr>
            <w:tcW w:w="0" w:type="auto"/>
            <w:gridSpan w:val="3"/>
            <w:shd w:val="clear" w:color="auto" w:fill="auto"/>
            <w:tcMar>
              <w:top w:w="40" w:type="dxa"/>
              <w:left w:w="245" w:type="dxa"/>
              <w:bottom w:w="40" w:type="dxa"/>
              <w:right w:w="20" w:type="dxa"/>
            </w:tcMar>
            <w:vAlign w:val="bottom"/>
          </w:tcPr>
          <w:p w14:paraId="5A1B04B2" w14:textId="77777777" w:rsidR="00960BB8" w:rsidRDefault="00C06650">
            <w:pPr>
              <w:textAlignment w:val="bottom"/>
            </w:pPr>
            <w:r>
              <w:rPr>
                <w:rFonts w:ascii="Arial" w:eastAsia="宋体" w:hAnsi="Arial" w:cs="Arial"/>
                <w:color w:val="262626"/>
                <w:sz w:val="18"/>
                <w:szCs w:val="18"/>
              </w:rPr>
              <w:t>Share-based compensation</w:t>
            </w:r>
          </w:p>
        </w:tc>
        <w:tc>
          <w:tcPr>
            <w:tcW w:w="0" w:type="auto"/>
            <w:shd w:val="clear" w:color="auto" w:fill="auto"/>
            <w:vAlign w:val="bottom"/>
          </w:tcPr>
          <w:p w14:paraId="5A1B04B3"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4B4" w14:textId="77777777" w:rsidR="00960BB8" w:rsidRDefault="00C06650">
            <w:pPr>
              <w:jc w:val="right"/>
              <w:textAlignment w:val="bottom"/>
            </w:pPr>
            <w:r>
              <w:rPr>
                <w:rFonts w:ascii="Arial" w:eastAsia="宋体" w:hAnsi="Arial" w:cs="Arial"/>
                <w:color w:val="0068B5"/>
                <w:sz w:val="18"/>
                <w:szCs w:val="18"/>
              </w:rPr>
              <w:t>1.0 </w:t>
            </w:r>
          </w:p>
        </w:tc>
        <w:tc>
          <w:tcPr>
            <w:tcW w:w="0" w:type="auto"/>
            <w:shd w:val="clear" w:color="auto" w:fill="auto"/>
            <w:tcMar>
              <w:top w:w="40" w:type="dxa"/>
              <w:left w:w="0" w:type="dxa"/>
              <w:bottom w:w="40" w:type="dxa"/>
              <w:right w:w="20" w:type="dxa"/>
            </w:tcMar>
            <w:vAlign w:val="bottom"/>
          </w:tcPr>
          <w:p w14:paraId="5A1B04B5"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04B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B7" w14:textId="77777777" w:rsidR="00960BB8" w:rsidRDefault="00C06650">
            <w:pPr>
              <w:jc w:val="right"/>
              <w:textAlignment w:val="bottom"/>
            </w:pPr>
            <w:r>
              <w:rPr>
                <w:rFonts w:ascii="Arial" w:eastAsia="宋体" w:hAnsi="Arial" w:cs="Arial"/>
                <w:color w:val="262626"/>
                <w:sz w:val="18"/>
                <w:szCs w:val="18"/>
              </w:rPr>
              <w:t>0.4 </w:t>
            </w:r>
          </w:p>
        </w:tc>
        <w:tc>
          <w:tcPr>
            <w:tcW w:w="0" w:type="auto"/>
            <w:shd w:val="clear" w:color="auto" w:fill="auto"/>
            <w:tcMar>
              <w:top w:w="40" w:type="dxa"/>
              <w:left w:w="0" w:type="dxa"/>
              <w:bottom w:w="40" w:type="dxa"/>
              <w:right w:w="20" w:type="dxa"/>
            </w:tcMar>
            <w:vAlign w:val="bottom"/>
          </w:tcPr>
          <w:p w14:paraId="5A1B04B8"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04B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BA" w14:textId="77777777" w:rsidR="00960BB8" w:rsidRDefault="00C06650">
            <w:pPr>
              <w:jc w:val="right"/>
              <w:textAlignment w:val="bottom"/>
            </w:pPr>
            <w:r>
              <w:rPr>
                <w:rFonts w:ascii="Arial" w:eastAsia="宋体" w:hAnsi="Arial" w:cs="Arial"/>
                <w:color w:val="262626"/>
                <w:sz w:val="18"/>
                <w:szCs w:val="18"/>
              </w:rPr>
              <w:t>0.4 </w:t>
            </w:r>
          </w:p>
        </w:tc>
        <w:tc>
          <w:tcPr>
            <w:tcW w:w="0" w:type="auto"/>
            <w:shd w:val="clear" w:color="auto" w:fill="auto"/>
            <w:tcMar>
              <w:top w:w="40" w:type="dxa"/>
              <w:left w:w="0" w:type="dxa"/>
              <w:bottom w:w="40" w:type="dxa"/>
              <w:right w:w="20" w:type="dxa"/>
            </w:tcMar>
            <w:vAlign w:val="bottom"/>
          </w:tcPr>
          <w:p w14:paraId="5A1B04BB" w14:textId="77777777" w:rsidR="00960BB8" w:rsidRDefault="00C06650">
            <w:pPr>
              <w:jc w:val="right"/>
              <w:textAlignment w:val="bottom"/>
            </w:pPr>
            <w:r>
              <w:rPr>
                <w:rFonts w:ascii="Arial" w:eastAsia="宋体" w:hAnsi="Arial" w:cs="Arial"/>
                <w:color w:val="262626"/>
                <w:sz w:val="18"/>
                <w:szCs w:val="18"/>
              </w:rPr>
              <w:t>%</w:t>
            </w:r>
          </w:p>
        </w:tc>
      </w:tr>
      <w:tr w:rsidR="00960BB8" w14:paraId="5A1B04C7" w14:textId="77777777">
        <w:tc>
          <w:tcPr>
            <w:tcW w:w="0" w:type="auto"/>
            <w:gridSpan w:val="3"/>
            <w:shd w:val="clear" w:color="auto" w:fill="auto"/>
            <w:tcMar>
              <w:top w:w="40" w:type="dxa"/>
              <w:left w:w="245" w:type="dxa"/>
              <w:bottom w:w="40" w:type="dxa"/>
              <w:right w:w="20" w:type="dxa"/>
            </w:tcMar>
            <w:vAlign w:val="bottom"/>
          </w:tcPr>
          <w:p w14:paraId="5A1B04BD" w14:textId="77777777" w:rsidR="00960BB8" w:rsidRDefault="00C06650">
            <w:pPr>
              <w:textAlignment w:val="bottom"/>
            </w:pPr>
            <w:r>
              <w:rPr>
                <w:rFonts w:ascii="Arial" w:eastAsia="宋体" w:hAnsi="Arial" w:cs="Arial"/>
                <w:color w:val="262626"/>
                <w:sz w:val="18"/>
                <w:szCs w:val="18"/>
              </w:rPr>
              <w:t>Patent settlement</w:t>
            </w:r>
          </w:p>
        </w:tc>
        <w:tc>
          <w:tcPr>
            <w:tcW w:w="0" w:type="auto"/>
            <w:shd w:val="clear" w:color="auto" w:fill="auto"/>
            <w:vAlign w:val="bottom"/>
          </w:tcPr>
          <w:p w14:paraId="5A1B04BE"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4BF" w14:textId="77777777" w:rsidR="00960BB8" w:rsidRDefault="00C06650">
            <w:pPr>
              <w:jc w:val="right"/>
              <w:textAlignment w:val="bottom"/>
            </w:pPr>
            <w:r>
              <w:rPr>
                <w:rFonts w:ascii="Arial" w:eastAsia="宋体" w:hAnsi="Arial" w:cs="Arial"/>
                <w:color w:val="0068B5"/>
                <w:sz w:val="18"/>
                <w:szCs w:val="18"/>
              </w:rPr>
              <w:t>0.3 </w:t>
            </w:r>
          </w:p>
        </w:tc>
        <w:tc>
          <w:tcPr>
            <w:tcW w:w="0" w:type="auto"/>
            <w:shd w:val="clear" w:color="auto" w:fill="auto"/>
            <w:tcMar>
              <w:top w:w="40" w:type="dxa"/>
              <w:left w:w="0" w:type="dxa"/>
              <w:bottom w:w="40" w:type="dxa"/>
              <w:right w:w="20" w:type="dxa"/>
            </w:tcMar>
            <w:vAlign w:val="bottom"/>
          </w:tcPr>
          <w:p w14:paraId="5A1B04C0"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04C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C2"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4C3"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04C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C5"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4C6" w14:textId="77777777" w:rsidR="00960BB8" w:rsidRDefault="00C06650">
            <w:pPr>
              <w:jc w:val="right"/>
              <w:textAlignment w:val="bottom"/>
            </w:pPr>
            <w:r>
              <w:rPr>
                <w:rFonts w:ascii="Arial" w:eastAsia="宋体" w:hAnsi="Arial" w:cs="Arial"/>
                <w:color w:val="262626"/>
                <w:sz w:val="18"/>
                <w:szCs w:val="18"/>
              </w:rPr>
              <w:t>%</w:t>
            </w:r>
          </w:p>
        </w:tc>
      </w:tr>
      <w:tr w:rsidR="00960BB8" w14:paraId="5A1B04D2" w14:textId="77777777">
        <w:tc>
          <w:tcPr>
            <w:tcW w:w="0" w:type="auto"/>
            <w:gridSpan w:val="3"/>
            <w:shd w:val="clear" w:color="auto" w:fill="auto"/>
            <w:tcMar>
              <w:top w:w="40" w:type="dxa"/>
              <w:left w:w="245" w:type="dxa"/>
              <w:bottom w:w="40" w:type="dxa"/>
              <w:right w:w="20" w:type="dxa"/>
            </w:tcMar>
            <w:vAlign w:val="bottom"/>
          </w:tcPr>
          <w:p w14:paraId="5A1B04C8" w14:textId="77777777" w:rsidR="00960BB8" w:rsidRDefault="00C06650">
            <w:pPr>
              <w:textAlignment w:val="bottom"/>
            </w:pPr>
            <w:r>
              <w:rPr>
                <w:rFonts w:ascii="Arial" w:eastAsia="宋体" w:hAnsi="Arial" w:cs="Arial"/>
                <w:color w:val="262626"/>
                <w:sz w:val="18"/>
                <w:szCs w:val="18"/>
              </w:rPr>
              <w:t>Optane inventory impairment</w:t>
            </w:r>
          </w:p>
        </w:tc>
        <w:tc>
          <w:tcPr>
            <w:tcW w:w="0" w:type="auto"/>
            <w:shd w:val="clear" w:color="auto" w:fill="auto"/>
            <w:vAlign w:val="bottom"/>
          </w:tcPr>
          <w:p w14:paraId="5A1B04C9"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4CA" w14:textId="77777777" w:rsidR="00960BB8" w:rsidRDefault="00C06650">
            <w:pPr>
              <w:jc w:val="right"/>
              <w:textAlignment w:val="bottom"/>
            </w:pPr>
            <w:r>
              <w:rPr>
                <w:rFonts w:ascii="Arial" w:eastAsia="宋体" w:hAnsi="Arial" w:cs="Arial"/>
                <w:color w:val="0068B5"/>
                <w:sz w:val="18"/>
                <w:szCs w:val="18"/>
              </w:rPr>
              <w:t>1.1 </w:t>
            </w:r>
          </w:p>
        </w:tc>
        <w:tc>
          <w:tcPr>
            <w:tcW w:w="0" w:type="auto"/>
            <w:shd w:val="clear" w:color="auto" w:fill="auto"/>
            <w:tcMar>
              <w:top w:w="40" w:type="dxa"/>
              <w:left w:w="0" w:type="dxa"/>
              <w:bottom w:w="40" w:type="dxa"/>
              <w:right w:w="20" w:type="dxa"/>
            </w:tcMar>
            <w:vAlign w:val="bottom"/>
          </w:tcPr>
          <w:p w14:paraId="5A1B04CB"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04C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CD"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4CE"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04C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D0"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4D1" w14:textId="77777777" w:rsidR="00960BB8" w:rsidRDefault="00C06650">
            <w:pPr>
              <w:jc w:val="right"/>
              <w:textAlignment w:val="bottom"/>
            </w:pPr>
            <w:r>
              <w:rPr>
                <w:rFonts w:ascii="Arial" w:eastAsia="宋体" w:hAnsi="Arial" w:cs="Arial"/>
                <w:color w:val="262626"/>
                <w:sz w:val="18"/>
                <w:szCs w:val="18"/>
              </w:rPr>
              <w:t>%</w:t>
            </w:r>
          </w:p>
        </w:tc>
      </w:tr>
      <w:tr w:rsidR="00960BB8" w14:paraId="5A1B04DD" w14:textId="77777777">
        <w:tc>
          <w:tcPr>
            <w:tcW w:w="0" w:type="auto"/>
            <w:gridSpan w:val="3"/>
            <w:shd w:val="clear" w:color="auto" w:fill="auto"/>
            <w:tcMar>
              <w:top w:w="40" w:type="dxa"/>
              <w:left w:w="245" w:type="dxa"/>
              <w:bottom w:w="40" w:type="dxa"/>
              <w:right w:w="20" w:type="dxa"/>
            </w:tcMar>
            <w:vAlign w:val="bottom"/>
          </w:tcPr>
          <w:p w14:paraId="5A1B04D3" w14:textId="77777777" w:rsidR="00960BB8" w:rsidRDefault="00C06650">
            <w:pPr>
              <w:textAlignment w:val="bottom"/>
            </w:pPr>
            <w:r>
              <w:rPr>
                <w:rFonts w:ascii="Arial" w:eastAsia="宋体" w:hAnsi="Arial" w:cs="Arial"/>
                <w:color w:val="262626"/>
                <w:sz w:val="18"/>
                <w:szCs w:val="18"/>
              </w:rPr>
              <w:t xml:space="preserve">NAND </w:t>
            </w:r>
            <w:r>
              <w:rPr>
                <w:rFonts w:ascii="Arial" w:eastAsia="宋体" w:hAnsi="Arial" w:cs="Arial"/>
                <w:color w:val="262626"/>
                <w:sz w:val="18"/>
                <w:szCs w:val="18"/>
              </w:rPr>
              <w:t>memory business</w:t>
            </w:r>
          </w:p>
        </w:tc>
        <w:tc>
          <w:tcPr>
            <w:tcW w:w="0" w:type="auto"/>
            <w:shd w:val="clear" w:color="auto" w:fill="auto"/>
            <w:vAlign w:val="bottom"/>
          </w:tcPr>
          <w:p w14:paraId="5A1B04D4"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4D5"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4D6"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04D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D8" w14:textId="77777777" w:rsidR="00960BB8" w:rsidRDefault="00C06650">
            <w:pPr>
              <w:jc w:val="right"/>
              <w:textAlignment w:val="bottom"/>
            </w:pPr>
            <w:r>
              <w:rPr>
                <w:rFonts w:ascii="Arial" w:eastAsia="宋体" w:hAnsi="Arial" w:cs="Arial"/>
                <w:color w:val="262626"/>
                <w:sz w:val="18"/>
                <w:szCs w:val="18"/>
              </w:rPr>
              <w:t>0.6 </w:t>
            </w:r>
          </w:p>
        </w:tc>
        <w:tc>
          <w:tcPr>
            <w:tcW w:w="0" w:type="auto"/>
            <w:shd w:val="clear" w:color="auto" w:fill="auto"/>
            <w:tcMar>
              <w:top w:w="40" w:type="dxa"/>
              <w:left w:w="0" w:type="dxa"/>
              <w:bottom w:w="40" w:type="dxa"/>
              <w:right w:w="20" w:type="dxa"/>
            </w:tcMar>
            <w:vAlign w:val="bottom"/>
          </w:tcPr>
          <w:p w14:paraId="5A1B04D9"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04D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4DB" w14:textId="77777777" w:rsidR="00960BB8" w:rsidRDefault="00C06650">
            <w:pPr>
              <w:jc w:val="right"/>
              <w:textAlignment w:val="bottom"/>
            </w:pPr>
            <w:r>
              <w:rPr>
                <w:rFonts w:ascii="Arial" w:eastAsia="宋体" w:hAnsi="Arial" w:cs="Arial"/>
                <w:color w:val="262626"/>
                <w:sz w:val="18"/>
                <w:szCs w:val="18"/>
              </w:rPr>
              <w:t>1.8 </w:t>
            </w:r>
          </w:p>
        </w:tc>
        <w:tc>
          <w:tcPr>
            <w:tcW w:w="0" w:type="auto"/>
            <w:shd w:val="clear" w:color="auto" w:fill="auto"/>
            <w:tcMar>
              <w:top w:w="40" w:type="dxa"/>
              <w:left w:w="0" w:type="dxa"/>
              <w:bottom w:w="40" w:type="dxa"/>
              <w:right w:w="20" w:type="dxa"/>
            </w:tcMar>
            <w:vAlign w:val="bottom"/>
          </w:tcPr>
          <w:p w14:paraId="5A1B04DC" w14:textId="77777777" w:rsidR="00960BB8" w:rsidRDefault="00C06650">
            <w:pPr>
              <w:jc w:val="right"/>
              <w:textAlignment w:val="bottom"/>
            </w:pPr>
            <w:r>
              <w:rPr>
                <w:rFonts w:ascii="Arial" w:eastAsia="宋体" w:hAnsi="Arial" w:cs="Arial"/>
                <w:color w:val="262626"/>
                <w:sz w:val="18"/>
                <w:szCs w:val="18"/>
              </w:rPr>
              <w:t>%</w:t>
            </w:r>
          </w:p>
        </w:tc>
      </w:tr>
      <w:tr w:rsidR="00960BB8" w14:paraId="5A1B04E8" w14:textId="77777777">
        <w:tc>
          <w:tcPr>
            <w:tcW w:w="0" w:type="auto"/>
            <w:gridSpan w:val="3"/>
            <w:shd w:val="clear" w:color="auto" w:fill="auto"/>
            <w:tcMar>
              <w:top w:w="40" w:type="dxa"/>
              <w:left w:w="20" w:type="dxa"/>
              <w:bottom w:w="40" w:type="dxa"/>
              <w:right w:w="20" w:type="dxa"/>
            </w:tcMar>
            <w:vAlign w:val="bottom"/>
          </w:tcPr>
          <w:p w14:paraId="5A1B04DE" w14:textId="77777777" w:rsidR="00960BB8" w:rsidRDefault="00C06650">
            <w:pPr>
              <w:textAlignment w:val="bottom"/>
            </w:pPr>
            <w:r>
              <w:rPr>
                <w:rFonts w:ascii="Arial" w:eastAsia="宋体" w:hAnsi="Arial" w:cs="Arial"/>
                <w:b/>
                <w:bCs/>
                <w:color w:val="262626"/>
                <w:sz w:val="18"/>
                <w:szCs w:val="18"/>
              </w:rPr>
              <w:t>Non-GAAP gross margin percentage</w:t>
            </w:r>
          </w:p>
        </w:tc>
        <w:tc>
          <w:tcPr>
            <w:tcW w:w="0" w:type="auto"/>
            <w:shd w:val="clear" w:color="auto" w:fill="auto"/>
            <w:vAlign w:val="bottom"/>
          </w:tcPr>
          <w:p w14:paraId="5A1B04DF" w14:textId="77777777" w:rsidR="00960BB8" w:rsidRDefault="00960BB8">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4E0" w14:textId="77777777" w:rsidR="00960BB8" w:rsidRDefault="00C06650">
            <w:pPr>
              <w:jc w:val="right"/>
              <w:textAlignment w:val="bottom"/>
            </w:pPr>
            <w:r>
              <w:rPr>
                <w:rFonts w:ascii="Arial" w:eastAsia="宋体" w:hAnsi="Arial" w:cs="Arial"/>
                <w:b/>
                <w:bCs/>
                <w:color w:val="0068B5"/>
                <w:sz w:val="18"/>
                <w:szCs w:val="18"/>
              </w:rPr>
              <w:t>47.3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4E1" w14:textId="77777777" w:rsidR="00960BB8" w:rsidRDefault="00C06650">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5A1B04E2"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4E3" w14:textId="77777777" w:rsidR="00960BB8" w:rsidRDefault="00C06650">
            <w:pPr>
              <w:jc w:val="right"/>
              <w:textAlignment w:val="bottom"/>
            </w:pPr>
            <w:r>
              <w:rPr>
                <w:rFonts w:ascii="Arial" w:eastAsia="宋体" w:hAnsi="Arial" w:cs="Arial"/>
                <w:b/>
                <w:bCs/>
                <w:color w:val="262626"/>
                <w:sz w:val="18"/>
                <w:szCs w:val="18"/>
              </w:rPr>
              <w:t>58.1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4E4" w14:textId="77777777" w:rsidR="00960BB8" w:rsidRDefault="00C06650">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5A1B04E5"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4E6" w14:textId="77777777" w:rsidR="00960BB8" w:rsidRDefault="00C06650">
            <w:pPr>
              <w:jc w:val="right"/>
              <w:textAlignment w:val="bottom"/>
            </w:pPr>
            <w:r>
              <w:rPr>
                <w:rFonts w:ascii="Arial" w:eastAsia="宋体" w:hAnsi="Arial" w:cs="Arial"/>
                <w:b/>
                <w:bCs/>
                <w:color w:val="262626"/>
                <w:sz w:val="18"/>
                <w:szCs w:val="18"/>
              </w:rPr>
              <w:t>59.8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4E7" w14:textId="77777777" w:rsidR="00960BB8" w:rsidRDefault="00C06650">
            <w:pPr>
              <w:jc w:val="right"/>
              <w:textAlignment w:val="bottom"/>
            </w:pPr>
            <w:r>
              <w:rPr>
                <w:rFonts w:ascii="Arial" w:eastAsia="宋体" w:hAnsi="Arial" w:cs="Arial"/>
                <w:b/>
                <w:bCs/>
                <w:color w:val="262626"/>
                <w:sz w:val="18"/>
                <w:szCs w:val="18"/>
              </w:rPr>
              <w:t>%</w:t>
            </w:r>
          </w:p>
        </w:tc>
      </w:tr>
      <w:tr w:rsidR="00960BB8" w14:paraId="5A1B04F0" w14:textId="77777777">
        <w:trPr>
          <w:hidden/>
        </w:trPr>
        <w:tc>
          <w:tcPr>
            <w:tcW w:w="0" w:type="auto"/>
            <w:gridSpan w:val="3"/>
            <w:shd w:val="clear" w:color="auto" w:fill="auto"/>
            <w:vAlign w:val="bottom"/>
          </w:tcPr>
          <w:p w14:paraId="5A1B04E9" w14:textId="77777777" w:rsidR="00960BB8" w:rsidRDefault="00960BB8">
            <w:pPr>
              <w:rPr>
                <w:rFonts w:ascii="宋体"/>
                <w:vanish/>
              </w:rPr>
            </w:pPr>
          </w:p>
        </w:tc>
        <w:tc>
          <w:tcPr>
            <w:tcW w:w="0" w:type="auto"/>
            <w:shd w:val="clear" w:color="auto" w:fill="auto"/>
            <w:vAlign w:val="bottom"/>
          </w:tcPr>
          <w:p w14:paraId="5A1B04EA" w14:textId="77777777" w:rsidR="00960BB8" w:rsidRDefault="00960BB8">
            <w:pPr>
              <w:rPr>
                <w:rFonts w:ascii="宋体"/>
                <w:vanish/>
              </w:rPr>
            </w:pPr>
          </w:p>
        </w:tc>
        <w:tc>
          <w:tcPr>
            <w:tcW w:w="0" w:type="auto"/>
            <w:gridSpan w:val="3"/>
            <w:shd w:val="clear" w:color="auto" w:fill="auto"/>
            <w:vAlign w:val="bottom"/>
          </w:tcPr>
          <w:p w14:paraId="5A1B04EB" w14:textId="77777777" w:rsidR="00960BB8" w:rsidRDefault="00960BB8">
            <w:pPr>
              <w:rPr>
                <w:rFonts w:ascii="宋体"/>
                <w:vanish/>
              </w:rPr>
            </w:pPr>
          </w:p>
        </w:tc>
        <w:tc>
          <w:tcPr>
            <w:tcW w:w="0" w:type="auto"/>
            <w:gridSpan w:val="3"/>
            <w:shd w:val="clear" w:color="auto" w:fill="auto"/>
            <w:vAlign w:val="bottom"/>
          </w:tcPr>
          <w:p w14:paraId="5A1B04EC" w14:textId="77777777" w:rsidR="00960BB8" w:rsidRDefault="00960BB8">
            <w:pPr>
              <w:rPr>
                <w:rFonts w:ascii="宋体"/>
                <w:vanish/>
              </w:rPr>
            </w:pPr>
          </w:p>
        </w:tc>
        <w:tc>
          <w:tcPr>
            <w:tcW w:w="0" w:type="auto"/>
            <w:gridSpan w:val="3"/>
            <w:shd w:val="clear" w:color="auto" w:fill="auto"/>
            <w:vAlign w:val="bottom"/>
          </w:tcPr>
          <w:p w14:paraId="5A1B04ED" w14:textId="77777777" w:rsidR="00960BB8" w:rsidRDefault="00960BB8">
            <w:pPr>
              <w:rPr>
                <w:rFonts w:ascii="宋体"/>
                <w:vanish/>
              </w:rPr>
            </w:pPr>
          </w:p>
        </w:tc>
        <w:tc>
          <w:tcPr>
            <w:tcW w:w="0" w:type="auto"/>
            <w:gridSpan w:val="3"/>
            <w:shd w:val="clear" w:color="auto" w:fill="auto"/>
            <w:vAlign w:val="bottom"/>
          </w:tcPr>
          <w:p w14:paraId="5A1B04EE" w14:textId="77777777" w:rsidR="00960BB8" w:rsidRDefault="00960BB8">
            <w:pPr>
              <w:rPr>
                <w:rFonts w:ascii="宋体"/>
                <w:vanish/>
              </w:rPr>
            </w:pPr>
          </w:p>
        </w:tc>
        <w:tc>
          <w:tcPr>
            <w:tcW w:w="0" w:type="auto"/>
            <w:gridSpan w:val="3"/>
            <w:shd w:val="clear" w:color="auto" w:fill="auto"/>
            <w:vAlign w:val="bottom"/>
          </w:tcPr>
          <w:p w14:paraId="5A1B04EF" w14:textId="77777777" w:rsidR="00960BB8" w:rsidRDefault="00960BB8">
            <w:pPr>
              <w:rPr>
                <w:rFonts w:ascii="宋体"/>
                <w:vanish/>
              </w:rPr>
            </w:pPr>
          </w:p>
        </w:tc>
      </w:tr>
      <w:tr w:rsidR="00960BB8" w14:paraId="5A1B04F8" w14:textId="77777777">
        <w:trPr>
          <w:hidden/>
        </w:trPr>
        <w:tc>
          <w:tcPr>
            <w:tcW w:w="0" w:type="auto"/>
            <w:gridSpan w:val="3"/>
            <w:shd w:val="clear" w:color="auto" w:fill="auto"/>
            <w:vAlign w:val="bottom"/>
          </w:tcPr>
          <w:p w14:paraId="5A1B04F1" w14:textId="77777777" w:rsidR="00960BB8" w:rsidRDefault="00960BB8">
            <w:pPr>
              <w:rPr>
                <w:rFonts w:ascii="宋体"/>
                <w:vanish/>
              </w:rPr>
            </w:pPr>
          </w:p>
        </w:tc>
        <w:tc>
          <w:tcPr>
            <w:tcW w:w="0" w:type="auto"/>
            <w:shd w:val="clear" w:color="auto" w:fill="auto"/>
            <w:vAlign w:val="bottom"/>
          </w:tcPr>
          <w:p w14:paraId="5A1B04F2" w14:textId="77777777" w:rsidR="00960BB8" w:rsidRDefault="00960BB8">
            <w:pPr>
              <w:rPr>
                <w:rFonts w:ascii="宋体"/>
                <w:vanish/>
              </w:rPr>
            </w:pPr>
          </w:p>
        </w:tc>
        <w:tc>
          <w:tcPr>
            <w:tcW w:w="0" w:type="auto"/>
            <w:gridSpan w:val="3"/>
            <w:shd w:val="clear" w:color="auto" w:fill="auto"/>
            <w:vAlign w:val="bottom"/>
          </w:tcPr>
          <w:p w14:paraId="5A1B04F3" w14:textId="77777777" w:rsidR="00960BB8" w:rsidRDefault="00960BB8">
            <w:pPr>
              <w:rPr>
                <w:rFonts w:ascii="宋体"/>
                <w:vanish/>
              </w:rPr>
            </w:pPr>
          </w:p>
        </w:tc>
        <w:tc>
          <w:tcPr>
            <w:tcW w:w="0" w:type="auto"/>
            <w:gridSpan w:val="3"/>
            <w:shd w:val="clear" w:color="auto" w:fill="auto"/>
            <w:vAlign w:val="bottom"/>
          </w:tcPr>
          <w:p w14:paraId="5A1B04F4" w14:textId="77777777" w:rsidR="00960BB8" w:rsidRDefault="00960BB8">
            <w:pPr>
              <w:rPr>
                <w:rFonts w:ascii="宋体"/>
                <w:vanish/>
              </w:rPr>
            </w:pPr>
          </w:p>
        </w:tc>
        <w:tc>
          <w:tcPr>
            <w:tcW w:w="0" w:type="auto"/>
            <w:gridSpan w:val="3"/>
            <w:shd w:val="clear" w:color="auto" w:fill="auto"/>
            <w:vAlign w:val="bottom"/>
          </w:tcPr>
          <w:p w14:paraId="5A1B04F5" w14:textId="77777777" w:rsidR="00960BB8" w:rsidRDefault="00960BB8">
            <w:pPr>
              <w:rPr>
                <w:rFonts w:ascii="宋体"/>
                <w:vanish/>
              </w:rPr>
            </w:pPr>
          </w:p>
        </w:tc>
        <w:tc>
          <w:tcPr>
            <w:tcW w:w="0" w:type="auto"/>
            <w:gridSpan w:val="3"/>
            <w:shd w:val="clear" w:color="auto" w:fill="auto"/>
            <w:vAlign w:val="bottom"/>
          </w:tcPr>
          <w:p w14:paraId="5A1B04F6" w14:textId="77777777" w:rsidR="00960BB8" w:rsidRDefault="00960BB8">
            <w:pPr>
              <w:rPr>
                <w:rFonts w:ascii="宋体"/>
                <w:vanish/>
              </w:rPr>
            </w:pPr>
          </w:p>
        </w:tc>
        <w:tc>
          <w:tcPr>
            <w:tcW w:w="0" w:type="auto"/>
            <w:gridSpan w:val="3"/>
            <w:shd w:val="clear" w:color="auto" w:fill="auto"/>
            <w:vAlign w:val="bottom"/>
          </w:tcPr>
          <w:p w14:paraId="5A1B04F7" w14:textId="77777777" w:rsidR="00960BB8" w:rsidRDefault="00960BB8">
            <w:pPr>
              <w:rPr>
                <w:rFonts w:ascii="宋体"/>
                <w:vanish/>
              </w:rPr>
            </w:pPr>
          </w:p>
        </w:tc>
      </w:tr>
      <w:tr w:rsidR="00960BB8" w14:paraId="5A1B0500" w14:textId="77777777">
        <w:trPr>
          <w:hidden/>
        </w:trPr>
        <w:tc>
          <w:tcPr>
            <w:tcW w:w="0" w:type="auto"/>
            <w:gridSpan w:val="3"/>
            <w:shd w:val="clear" w:color="auto" w:fill="auto"/>
            <w:vAlign w:val="bottom"/>
          </w:tcPr>
          <w:p w14:paraId="5A1B04F9" w14:textId="77777777" w:rsidR="00960BB8" w:rsidRDefault="00960BB8">
            <w:pPr>
              <w:rPr>
                <w:rFonts w:ascii="宋体"/>
                <w:vanish/>
              </w:rPr>
            </w:pPr>
          </w:p>
        </w:tc>
        <w:tc>
          <w:tcPr>
            <w:tcW w:w="0" w:type="auto"/>
            <w:shd w:val="clear" w:color="auto" w:fill="auto"/>
            <w:vAlign w:val="bottom"/>
          </w:tcPr>
          <w:p w14:paraId="5A1B04FA" w14:textId="77777777" w:rsidR="00960BB8" w:rsidRDefault="00960BB8">
            <w:pPr>
              <w:rPr>
                <w:rFonts w:ascii="宋体"/>
                <w:vanish/>
              </w:rPr>
            </w:pPr>
          </w:p>
        </w:tc>
        <w:tc>
          <w:tcPr>
            <w:tcW w:w="0" w:type="auto"/>
            <w:gridSpan w:val="3"/>
            <w:shd w:val="clear" w:color="auto" w:fill="auto"/>
            <w:vAlign w:val="bottom"/>
          </w:tcPr>
          <w:p w14:paraId="5A1B04FB" w14:textId="77777777" w:rsidR="00960BB8" w:rsidRDefault="00960BB8">
            <w:pPr>
              <w:rPr>
                <w:rFonts w:ascii="宋体"/>
                <w:vanish/>
              </w:rPr>
            </w:pPr>
          </w:p>
        </w:tc>
        <w:tc>
          <w:tcPr>
            <w:tcW w:w="0" w:type="auto"/>
            <w:gridSpan w:val="3"/>
            <w:shd w:val="clear" w:color="auto" w:fill="auto"/>
            <w:vAlign w:val="bottom"/>
          </w:tcPr>
          <w:p w14:paraId="5A1B04FC" w14:textId="77777777" w:rsidR="00960BB8" w:rsidRDefault="00960BB8">
            <w:pPr>
              <w:rPr>
                <w:rFonts w:ascii="宋体"/>
                <w:vanish/>
              </w:rPr>
            </w:pPr>
          </w:p>
        </w:tc>
        <w:tc>
          <w:tcPr>
            <w:tcW w:w="0" w:type="auto"/>
            <w:gridSpan w:val="3"/>
            <w:shd w:val="clear" w:color="auto" w:fill="auto"/>
            <w:vAlign w:val="bottom"/>
          </w:tcPr>
          <w:p w14:paraId="5A1B04FD" w14:textId="77777777" w:rsidR="00960BB8" w:rsidRDefault="00960BB8">
            <w:pPr>
              <w:rPr>
                <w:rFonts w:ascii="宋体"/>
                <w:vanish/>
              </w:rPr>
            </w:pPr>
          </w:p>
        </w:tc>
        <w:tc>
          <w:tcPr>
            <w:tcW w:w="0" w:type="auto"/>
            <w:gridSpan w:val="3"/>
            <w:shd w:val="clear" w:color="auto" w:fill="auto"/>
            <w:vAlign w:val="bottom"/>
          </w:tcPr>
          <w:p w14:paraId="5A1B04FE" w14:textId="77777777" w:rsidR="00960BB8" w:rsidRDefault="00960BB8">
            <w:pPr>
              <w:rPr>
                <w:rFonts w:ascii="宋体"/>
                <w:vanish/>
              </w:rPr>
            </w:pPr>
          </w:p>
        </w:tc>
        <w:tc>
          <w:tcPr>
            <w:tcW w:w="0" w:type="auto"/>
            <w:gridSpan w:val="3"/>
            <w:shd w:val="clear" w:color="auto" w:fill="auto"/>
            <w:vAlign w:val="bottom"/>
          </w:tcPr>
          <w:p w14:paraId="5A1B04FF" w14:textId="77777777" w:rsidR="00960BB8" w:rsidRDefault="00960BB8">
            <w:pPr>
              <w:rPr>
                <w:rFonts w:ascii="宋体"/>
                <w:vanish/>
              </w:rPr>
            </w:pPr>
          </w:p>
        </w:tc>
      </w:tr>
      <w:tr w:rsidR="00960BB8" w14:paraId="5A1B0508" w14:textId="77777777">
        <w:trPr>
          <w:hidden/>
        </w:trPr>
        <w:tc>
          <w:tcPr>
            <w:tcW w:w="0" w:type="auto"/>
            <w:gridSpan w:val="3"/>
            <w:shd w:val="clear" w:color="auto" w:fill="auto"/>
            <w:vAlign w:val="bottom"/>
          </w:tcPr>
          <w:p w14:paraId="5A1B0501" w14:textId="77777777" w:rsidR="00960BB8" w:rsidRDefault="00960BB8">
            <w:pPr>
              <w:rPr>
                <w:rFonts w:ascii="宋体"/>
                <w:vanish/>
              </w:rPr>
            </w:pPr>
          </w:p>
        </w:tc>
        <w:tc>
          <w:tcPr>
            <w:tcW w:w="0" w:type="auto"/>
            <w:shd w:val="clear" w:color="auto" w:fill="auto"/>
            <w:vAlign w:val="bottom"/>
          </w:tcPr>
          <w:p w14:paraId="5A1B0502" w14:textId="77777777" w:rsidR="00960BB8" w:rsidRDefault="00960BB8">
            <w:pPr>
              <w:rPr>
                <w:rFonts w:ascii="宋体"/>
                <w:vanish/>
              </w:rPr>
            </w:pPr>
          </w:p>
        </w:tc>
        <w:tc>
          <w:tcPr>
            <w:tcW w:w="0" w:type="auto"/>
            <w:gridSpan w:val="3"/>
            <w:shd w:val="clear" w:color="auto" w:fill="auto"/>
            <w:vAlign w:val="bottom"/>
          </w:tcPr>
          <w:p w14:paraId="5A1B0503" w14:textId="77777777" w:rsidR="00960BB8" w:rsidRDefault="00960BB8">
            <w:pPr>
              <w:rPr>
                <w:rFonts w:ascii="宋体"/>
                <w:vanish/>
              </w:rPr>
            </w:pPr>
          </w:p>
        </w:tc>
        <w:tc>
          <w:tcPr>
            <w:tcW w:w="0" w:type="auto"/>
            <w:gridSpan w:val="3"/>
            <w:shd w:val="clear" w:color="auto" w:fill="auto"/>
            <w:vAlign w:val="bottom"/>
          </w:tcPr>
          <w:p w14:paraId="5A1B0504" w14:textId="77777777" w:rsidR="00960BB8" w:rsidRDefault="00960BB8">
            <w:pPr>
              <w:rPr>
                <w:rFonts w:ascii="宋体"/>
                <w:vanish/>
              </w:rPr>
            </w:pPr>
          </w:p>
        </w:tc>
        <w:tc>
          <w:tcPr>
            <w:tcW w:w="0" w:type="auto"/>
            <w:gridSpan w:val="3"/>
            <w:shd w:val="clear" w:color="auto" w:fill="auto"/>
            <w:vAlign w:val="bottom"/>
          </w:tcPr>
          <w:p w14:paraId="5A1B0505" w14:textId="77777777" w:rsidR="00960BB8" w:rsidRDefault="00960BB8">
            <w:pPr>
              <w:rPr>
                <w:rFonts w:ascii="宋体"/>
                <w:vanish/>
              </w:rPr>
            </w:pPr>
          </w:p>
        </w:tc>
        <w:tc>
          <w:tcPr>
            <w:tcW w:w="0" w:type="auto"/>
            <w:gridSpan w:val="3"/>
            <w:shd w:val="clear" w:color="auto" w:fill="auto"/>
            <w:vAlign w:val="bottom"/>
          </w:tcPr>
          <w:p w14:paraId="5A1B0506" w14:textId="77777777" w:rsidR="00960BB8" w:rsidRDefault="00960BB8">
            <w:pPr>
              <w:rPr>
                <w:rFonts w:ascii="宋体"/>
                <w:vanish/>
              </w:rPr>
            </w:pPr>
          </w:p>
        </w:tc>
        <w:tc>
          <w:tcPr>
            <w:tcW w:w="0" w:type="auto"/>
            <w:gridSpan w:val="3"/>
            <w:shd w:val="clear" w:color="auto" w:fill="auto"/>
            <w:vAlign w:val="bottom"/>
          </w:tcPr>
          <w:p w14:paraId="5A1B0507" w14:textId="77777777" w:rsidR="00960BB8" w:rsidRDefault="00960BB8">
            <w:pPr>
              <w:rPr>
                <w:rFonts w:ascii="宋体"/>
                <w:vanish/>
              </w:rPr>
            </w:pPr>
          </w:p>
        </w:tc>
      </w:tr>
      <w:tr w:rsidR="00960BB8" w14:paraId="5A1B0510" w14:textId="77777777">
        <w:trPr>
          <w:hidden/>
        </w:trPr>
        <w:tc>
          <w:tcPr>
            <w:tcW w:w="0" w:type="auto"/>
            <w:gridSpan w:val="3"/>
            <w:shd w:val="clear" w:color="auto" w:fill="auto"/>
            <w:vAlign w:val="bottom"/>
          </w:tcPr>
          <w:p w14:paraId="5A1B0509" w14:textId="77777777" w:rsidR="00960BB8" w:rsidRDefault="00960BB8">
            <w:pPr>
              <w:rPr>
                <w:rFonts w:ascii="宋体"/>
                <w:vanish/>
              </w:rPr>
            </w:pPr>
          </w:p>
        </w:tc>
        <w:tc>
          <w:tcPr>
            <w:tcW w:w="0" w:type="auto"/>
            <w:shd w:val="clear" w:color="auto" w:fill="auto"/>
            <w:vAlign w:val="bottom"/>
          </w:tcPr>
          <w:p w14:paraId="5A1B050A" w14:textId="77777777" w:rsidR="00960BB8" w:rsidRDefault="00960BB8">
            <w:pPr>
              <w:rPr>
                <w:rFonts w:ascii="宋体"/>
                <w:vanish/>
              </w:rPr>
            </w:pPr>
          </w:p>
        </w:tc>
        <w:tc>
          <w:tcPr>
            <w:tcW w:w="0" w:type="auto"/>
            <w:gridSpan w:val="3"/>
            <w:shd w:val="clear" w:color="auto" w:fill="auto"/>
            <w:vAlign w:val="bottom"/>
          </w:tcPr>
          <w:p w14:paraId="5A1B050B" w14:textId="77777777" w:rsidR="00960BB8" w:rsidRDefault="00960BB8">
            <w:pPr>
              <w:rPr>
                <w:rFonts w:ascii="宋体"/>
                <w:vanish/>
              </w:rPr>
            </w:pPr>
          </w:p>
        </w:tc>
        <w:tc>
          <w:tcPr>
            <w:tcW w:w="0" w:type="auto"/>
            <w:gridSpan w:val="3"/>
            <w:shd w:val="clear" w:color="auto" w:fill="auto"/>
            <w:vAlign w:val="bottom"/>
          </w:tcPr>
          <w:p w14:paraId="5A1B050C" w14:textId="77777777" w:rsidR="00960BB8" w:rsidRDefault="00960BB8">
            <w:pPr>
              <w:rPr>
                <w:rFonts w:ascii="宋体"/>
                <w:vanish/>
              </w:rPr>
            </w:pPr>
          </w:p>
        </w:tc>
        <w:tc>
          <w:tcPr>
            <w:tcW w:w="0" w:type="auto"/>
            <w:gridSpan w:val="3"/>
            <w:shd w:val="clear" w:color="auto" w:fill="auto"/>
            <w:vAlign w:val="bottom"/>
          </w:tcPr>
          <w:p w14:paraId="5A1B050D" w14:textId="77777777" w:rsidR="00960BB8" w:rsidRDefault="00960BB8">
            <w:pPr>
              <w:rPr>
                <w:rFonts w:ascii="宋体"/>
                <w:vanish/>
              </w:rPr>
            </w:pPr>
          </w:p>
        </w:tc>
        <w:tc>
          <w:tcPr>
            <w:tcW w:w="0" w:type="auto"/>
            <w:gridSpan w:val="3"/>
            <w:shd w:val="clear" w:color="auto" w:fill="auto"/>
            <w:vAlign w:val="bottom"/>
          </w:tcPr>
          <w:p w14:paraId="5A1B050E" w14:textId="77777777" w:rsidR="00960BB8" w:rsidRDefault="00960BB8">
            <w:pPr>
              <w:rPr>
                <w:rFonts w:ascii="宋体"/>
                <w:vanish/>
              </w:rPr>
            </w:pPr>
          </w:p>
        </w:tc>
        <w:tc>
          <w:tcPr>
            <w:tcW w:w="0" w:type="auto"/>
            <w:gridSpan w:val="3"/>
            <w:shd w:val="clear" w:color="auto" w:fill="auto"/>
            <w:vAlign w:val="bottom"/>
          </w:tcPr>
          <w:p w14:paraId="5A1B050F" w14:textId="77777777" w:rsidR="00960BB8" w:rsidRDefault="00960BB8">
            <w:pPr>
              <w:rPr>
                <w:rFonts w:ascii="宋体"/>
                <w:vanish/>
              </w:rPr>
            </w:pPr>
          </w:p>
        </w:tc>
      </w:tr>
      <w:tr w:rsidR="00960BB8" w14:paraId="5A1B0518" w14:textId="77777777">
        <w:trPr>
          <w:hidden/>
        </w:trPr>
        <w:tc>
          <w:tcPr>
            <w:tcW w:w="0" w:type="auto"/>
            <w:gridSpan w:val="3"/>
            <w:shd w:val="clear" w:color="auto" w:fill="auto"/>
            <w:vAlign w:val="bottom"/>
          </w:tcPr>
          <w:p w14:paraId="5A1B0511" w14:textId="77777777" w:rsidR="00960BB8" w:rsidRDefault="00960BB8">
            <w:pPr>
              <w:rPr>
                <w:rFonts w:ascii="宋体"/>
                <w:vanish/>
              </w:rPr>
            </w:pPr>
          </w:p>
        </w:tc>
        <w:tc>
          <w:tcPr>
            <w:tcW w:w="0" w:type="auto"/>
            <w:shd w:val="clear" w:color="auto" w:fill="auto"/>
            <w:vAlign w:val="bottom"/>
          </w:tcPr>
          <w:p w14:paraId="5A1B0512" w14:textId="77777777" w:rsidR="00960BB8" w:rsidRDefault="00960BB8">
            <w:pPr>
              <w:rPr>
                <w:rFonts w:ascii="宋体"/>
                <w:vanish/>
              </w:rPr>
            </w:pPr>
          </w:p>
        </w:tc>
        <w:tc>
          <w:tcPr>
            <w:tcW w:w="0" w:type="auto"/>
            <w:gridSpan w:val="3"/>
            <w:shd w:val="clear" w:color="auto" w:fill="auto"/>
            <w:vAlign w:val="bottom"/>
          </w:tcPr>
          <w:p w14:paraId="5A1B0513" w14:textId="77777777" w:rsidR="00960BB8" w:rsidRDefault="00960BB8">
            <w:pPr>
              <w:rPr>
                <w:rFonts w:ascii="宋体"/>
                <w:vanish/>
              </w:rPr>
            </w:pPr>
          </w:p>
        </w:tc>
        <w:tc>
          <w:tcPr>
            <w:tcW w:w="0" w:type="auto"/>
            <w:gridSpan w:val="3"/>
            <w:shd w:val="clear" w:color="auto" w:fill="auto"/>
            <w:vAlign w:val="bottom"/>
          </w:tcPr>
          <w:p w14:paraId="5A1B0514" w14:textId="77777777" w:rsidR="00960BB8" w:rsidRDefault="00960BB8">
            <w:pPr>
              <w:rPr>
                <w:rFonts w:ascii="宋体"/>
                <w:vanish/>
              </w:rPr>
            </w:pPr>
          </w:p>
        </w:tc>
        <w:tc>
          <w:tcPr>
            <w:tcW w:w="0" w:type="auto"/>
            <w:gridSpan w:val="3"/>
            <w:shd w:val="clear" w:color="auto" w:fill="auto"/>
            <w:vAlign w:val="bottom"/>
          </w:tcPr>
          <w:p w14:paraId="5A1B0515" w14:textId="77777777" w:rsidR="00960BB8" w:rsidRDefault="00960BB8">
            <w:pPr>
              <w:rPr>
                <w:rFonts w:ascii="宋体"/>
                <w:vanish/>
              </w:rPr>
            </w:pPr>
          </w:p>
        </w:tc>
        <w:tc>
          <w:tcPr>
            <w:tcW w:w="0" w:type="auto"/>
            <w:gridSpan w:val="3"/>
            <w:shd w:val="clear" w:color="auto" w:fill="auto"/>
            <w:vAlign w:val="bottom"/>
          </w:tcPr>
          <w:p w14:paraId="5A1B0516" w14:textId="77777777" w:rsidR="00960BB8" w:rsidRDefault="00960BB8">
            <w:pPr>
              <w:rPr>
                <w:rFonts w:ascii="宋体"/>
                <w:vanish/>
              </w:rPr>
            </w:pPr>
          </w:p>
        </w:tc>
        <w:tc>
          <w:tcPr>
            <w:tcW w:w="0" w:type="auto"/>
            <w:gridSpan w:val="3"/>
            <w:shd w:val="clear" w:color="auto" w:fill="auto"/>
            <w:vAlign w:val="bottom"/>
          </w:tcPr>
          <w:p w14:paraId="5A1B0517" w14:textId="77777777" w:rsidR="00960BB8" w:rsidRDefault="00960BB8">
            <w:pPr>
              <w:rPr>
                <w:rFonts w:ascii="宋体"/>
                <w:vanish/>
              </w:rPr>
            </w:pPr>
          </w:p>
        </w:tc>
      </w:tr>
      <w:tr w:rsidR="00960BB8" w14:paraId="5A1B0520" w14:textId="77777777">
        <w:trPr>
          <w:hidden/>
        </w:trPr>
        <w:tc>
          <w:tcPr>
            <w:tcW w:w="0" w:type="auto"/>
            <w:gridSpan w:val="3"/>
            <w:shd w:val="clear" w:color="auto" w:fill="auto"/>
            <w:vAlign w:val="bottom"/>
          </w:tcPr>
          <w:p w14:paraId="5A1B0519" w14:textId="77777777" w:rsidR="00960BB8" w:rsidRDefault="00960BB8">
            <w:pPr>
              <w:rPr>
                <w:rFonts w:ascii="宋体"/>
                <w:vanish/>
              </w:rPr>
            </w:pPr>
          </w:p>
        </w:tc>
        <w:tc>
          <w:tcPr>
            <w:tcW w:w="0" w:type="auto"/>
            <w:shd w:val="clear" w:color="auto" w:fill="auto"/>
            <w:vAlign w:val="bottom"/>
          </w:tcPr>
          <w:p w14:paraId="5A1B051A" w14:textId="77777777" w:rsidR="00960BB8" w:rsidRDefault="00960BB8">
            <w:pPr>
              <w:rPr>
                <w:rFonts w:ascii="宋体"/>
                <w:vanish/>
              </w:rPr>
            </w:pPr>
          </w:p>
        </w:tc>
        <w:tc>
          <w:tcPr>
            <w:tcW w:w="0" w:type="auto"/>
            <w:gridSpan w:val="3"/>
            <w:shd w:val="clear" w:color="auto" w:fill="auto"/>
            <w:vAlign w:val="bottom"/>
          </w:tcPr>
          <w:p w14:paraId="5A1B051B" w14:textId="77777777" w:rsidR="00960BB8" w:rsidRDefault="00960BB8">
            <w:pPr>
              <w:rPr>
                <w:rFonts w:ascii="宋体"/>
                <w:vanish/>
              </w:rPr>
            </w:pPr>
          </w:p>
        </w:tc>
        <w:tc>
          <w:tcPr>
            <w:tcW w:w="0" w:type="auto"/>
            <w:gridSpan w:val="3"/>
            <w:shd w:val="clear" w:color="auto" w:fill="auto"/>
            <w:vAlign w:val="bottom"/>
          </w:tcPr>
          <w:p w14:paraId="5A1B051C" w14:textId="77777777" w:rsidR="00960BB8" w:rsidRDefault="00960BB8">
            <w:pPr>
              <w:rPr>
                <w:rFonts w:ascii="宋体"/>
                <w:vanish/>
              </w:rPr>
            </w:pPr>
          </w:p>
        </w:tc>
        <w:tc>
          <w:tcPr>
            <w:tcW w:w="0" w:type="auto"/>
            <w:gridSpan w:val="3"/>
            <w:shd w:val="clear" w:color="auto" w:fill="auto"/>
            <w:vAlign w:val="bottom"/>
          </w:tcPr>
          <w:p w14:paraId="5A1B051D" w14:textId="77777777" w:rsidR="00960BB8" w:rsidRDefault="00960BB8">
            <w:pPr>
              <w:rPr>
                <w:rFonts w:ascii="宋体"/>
                <w:vanish/>
              </w:rPr>
            </w:pPr>
          </w:p>
        </w:tc>
        <w:tc>
          <w:tcPr>
            <w:tcW w:w="0" w:type="auto"/>
            <w:gridSpan w:val="3"/>
            <w:shd w:val="clear" w:color="auto" w:fill="auto"/>
            <w:vAlign w:val="bottom"/>
          </w:tcPr>
          <w:p w14:paraId="5A1B051E" w14:textId="77777777" w:rsidR="00960BB8" w:rsidRDefault="00960BB8">
            <w:pPr>
              <w:rPr>
                <w:rFonts w:ascii="宋体"/>
                <w:vanish/>
              </w:rPr>
            </w:pPr>
          </w:p>
        </w:tc>
        <w:tc>
          <w:tcPr>
            <w:tcW w:w="0" w:type="auto"/>
            <w:gridSpan w:val="3"/>
            <w:shd w:val="clear" w:color="auto" w:fill="auto"/>
            <w:vAlign w:val="bottom"/>
          </w:tcPr>
          <w:p w14:paraId="5A1B051F" w14:textId="77777777" w:rsidR="00960BB8" w:rsidRDefault="00960BB8">
            <w:pPr>
              <w:rPr>
                <w:rFonts w:ascii="宋体"/>
                <w:vanish/>
              </w:rPr>
            </w:pPr>
          </w:p>
        </w:tc>
      </w:tr>
      <w:tr w:rsidR="00960BB8" w14:paraId="5A1B0528" w14:textId="77777777">
        <w:trPr>
          <w:hidden/>
        </w:trPr>
        <w:tc>
          <w:tcPr>
            <w:tcW w:w="0" w:type="auto"/>
            <w:gridSpan w:val="3"/>
            <w:shd w:val="clear" w:color="auto" w:fill="auto"/>
            <w:vAlign w:val="bottom"/>
          </w:tcPr>
          <w:p w14:paraId="5A1B0521" w14:textId="77777777" w:rsidR="00960BB8" w:rsidRDefault="00960BB8">
            <w:pPr>
              <w:rPr>
                <w:rFonts w:ascii="宋体"/>
                <w:vanish/>
              </w:rPr>
            </w:pPr>
          </w:p>
        </w:tc>
        <w:tc>
          <w:tcPr>
            <w:tcW w:w="0" w:type="auto"/>
            <w:shd w:val="clear" w:color="auto" w:fill="auto"/>
            <w:vAlign w:val="bottom"/>
          </w:tcPr>
          <w:p w14:paraId="5A1B0522" w14:textId="77777777" w:rsidR="00960BB8" w:rsidRDefault="00960BB8">
            <w:pPr>
              <w:rPr>
                <w:rFonts w:ascii="宋体"/>
                <w:vanish/>
              </w:rPr>
            </w:pPr>
          </w:p>
        </w:tc>
        <w:tc>
          <w:tcPr>
            <w:tcW w:w="0" w:type="auto"/>
            <w:gridSpan w:val="3"/>
            <w:shd w:val="clear" w:color="auto" w:fill="auto"/>
            <w:vAlign w:val="bottom"/>
          </w:tcPr>
          <w:p w14:paraId="5A1B0523" w14:textId="77777777" w:rsidR="00960BB8" w:rsidRDefault="00960BB8">
            <w:pPr>
              <w:rPr>
                <w:rFonts w:ascii="宋体"/>
                <w:vanish/>
              </w:rPr>
            </w:pPr>
          </w:p>
        </w:tc>
        <w:tc>
          <w:tcPr>
            <w:tcW w:w="0" w:type="auto"/>
            <w:gridSpan w:val="3"/>
            <w:shd w:val="clear" w:color="auto" w:fill="auto"/>
            <w:vAlign w:val="bottom"/>
          </w:tcPr>
          <w:p w14:paraId="5A1B0524" w14:textId="77777777" w:rsidR="00960BB8" w:rsidRDefault="00960BB8">
            <w:pPr>
              <w:rPr>
                <w:rFonts w:ascii="宋体"/>
                <w:vanish/>
              </w:rPr>
            </w:pPr>
          </w:p>
        </w:tc>
        <w:tc>
          <w:tcPr>
            <w:tcW w:w="0" w:type="auto"/>
            <w:gridSpan w:val="3"/>
            <w:shd w:val="clear" w:color="auto" w:fill="auto"/>
            <w:vAlign w:val="bottom"/>
          </w:tcPr>
          <w:p w14:paraId="5A1B0525" w14:textId="77777777" w:rsidR="00960BB8" w:rsidRDefault="00960BB8">
            <w:pPr>
              <w:rPr>
                <w:rFonts w:ascii="宋体"/>
                <w:vanish/>
              </w:rPr>
            </w:pPr>
          </w:p>
        </w:tc>
        <w:tc>
          <w:tcPr>
            <w:tcW w:w="0" w:type="auto"/>
            <w:gridSpan w:val="3"/>
            <w:shd w:val="clear" w:color="auto" w:fill="auto"/>
            <w:vAlign w:val="bottom"/>
          </w:tcPr>
          <w:p w14:paraId="5A1B0526" w14:textId="77777777" w:rsidR="00960BB8" w:rsidRDefault="00960BB8">
            <w:pPr>
              <w:rPr>
                <w:rFonts w:ascii="宋体"/>
                <w:vanish/>
              </w:rPr>
            </w:pPr>
          </w:p>
        </w:tc>
        <w:tc>
          <w:tcPr>
            <w:tcW w:w="0" w:type="auto"/>
            <w:gridSpan w:val="3"/>
            <w:shd w:val="clear" w:color="auto" w:fill="auto"/>
            <w:vAlign w:val="bottom"/>
          </w:tcPr>
          <w:p w14:paraId="5A1B0527" w14:textId="77777777" w:rsidR="00960BB8" w:rsidRDefault="00960BB8">
            <w:pPr>
              <w:rPr>
                <w:rFonts w:ascii="宋体"/>
                <w:vanish/>
              </w:rPr>
            </w:pPr>
          </w:p>
        </w:tc>
      </w:tr>
      <w:tr w:rsidR="00960BB8" w14:paraId="5A1B0530" w14:textId="77777777">
        <w:trPr>
          <w:hidden/>
        </w:trPr>
        <w:tc>
          <w:tcPr>
            <w:tcW w:w="0" w:type="auto"/>
            <w:gridSpan w:val="3"/>
            <w:shd w:val="clear" w:color="auto" w:fill="auto"/>
            <w:vAlign w:val="bottom"/>
          </w:tcPr>
          <w:p w14:paraId="5A1B0529" w14:textId="77777777" w:rsidR="00960BB8" w:rsidRDefault="00960BB8">
            <w:pPr>
              <w:rPr>
                <w:rFonts w:ascii="宋体"/>
                <w:vanish/>
              </w:rPr>
            </w:pPr>
          </w:p>
        </w:tc>
        <w:tc>
          <w:tcPr>
            <w:tcW w:w="0" w:type="auto"/>
            <w:shd w:val="clear" w:color="auto" w:fill="auto"/>
            <w:vAlign w:val="bottom"/>
          </w:tcPr>
          <w:p w14:paraId="5A1B052A" w14:textId="77777777" w:rsidR="00960BB8" w:rsidRDefault="00960BB8">
            <w:pPr>
              <w:rPr>
                <w:rFonts w:ascii="宋体"/>
                <w:vanish/>
              </w:rPr>
            </w:pPr>
          </w:p>
        </w:tc>
        <w:tc>
          <w:tcPr>
            <w:tcW w:w="0" w:type="auto"/>
            <w:gridSpan w:val="3"/>
            <w:shd w:val="clear" w:color="auto" w:fill="auto"/>
            <w:vAlign w:val="bottom"/>
          </w:tcPr>
          <w:p w14:paraId="5A1B052B" w14:textId="77777777" w:rsidR="00960BB8" w:rsidRDefault="00960BB8">
            <w:pPr>
              <w:rPr>
                <w:rFonts w:ascii="宋体"/>
                <w:vanish/>
              </w:rPr>
            </w:pPr>
          </w:p>
        </w:tc>
        <w:tc>
          <w:tcPr>
            <w:tcW w:w="0" w:type="auto"/>
            <w:gridSpan w:val="3"/>
            <w:shd w:val="clear" w:color="auto" w:fill="auto"/>
            <w:vAlign w:val="bottom"/>
          </w:tcPr>
          <w:p w14:paraId="5A1B052C" w14:textId="77777777" w:rsidR="00960BB8" w:rsidRDefault="00960BB8">
            <w:pPr>
              <w:rPr>
                <w:rFonts w:ascii="宋体"/>
                <w:vanish/>
              </w:rPr>
            </w:pPr>
          </w:p>
        </w:tc>
        <w:tc>
          <w:tcPr>
            <w:tcW w:w="0" w:type="auto"/>
            <w:gridSpan w:val="3"/>
            <w:shd w:val="clear" w:color="auto" w:fill="auto"/>
            <w:vAlign w:val="bottom"/>
          </w:tcPr>
          <w:p w14:paraId="5A1B052D" w14:textId="77777777" w:rsidR="00960BB8" w:rsidRDefault="00960BB8">
            <w:pPr>
              <w:rPr>
                <w:rFonts w:ascii="宋体"/>
                <w:vanish/>
              </w:rPr>
            </w:pPr>
          </w:p>
        </w:tc>
        <w:tc>
          <w:tcPr>
            <w:tcW w:w="0" w:type="auto"/>
            <w:gridSpan w:val="3"/>
            <w:shd w:val="clear" w:color="auto" w:fill="auto"/>
            <w:vAlign w:val="bottom"/>
          </w:tcPr>
          <w:p w14:paraId="5A1B052E" w14:textId="77777777" w:rsidR="00960BB8" w:rsidRDefault="00960BB8">
            <w:pPr>
              <w:rPr>
                <w:rFonts w:ascii="宋体"/>
                <w:vanish/>
              </w:rPr>
            </w:pPr>
          </w:p>
        </w:tc>
        <w:tc>
          <w:tcPr>
            <w:tcW w:w="0" w:type="auto"/>
            <w:gridSpan w:val="3"/>
            <w:shd w:val="clear" w:color="auto" w:fill="auto"/>
            <w:vAlign w:val="bottom"/>
          </w:tcPr>
          <w:p w14:paraId="5A1B052F" w14:textId="77777777" w:rsidR="00960BB8" w:rsidRDefault="00960BB8">
            <w:pPr>
              <w:rPr>
                <w:rFonts w:ascii="宋体"/>
                <w:vanish/>
              </w:rPr>
            </w:pPr>
          </w:p>
        </w:tc>
      </w:tr>
      <w:tr w:rsidR="00960BB8" w14:paraId="5A1B0538" w14:textId="77777777">
        <w:trPr>
          <w:hidden/>
        </w:trPr>
        <w:tc>
          <w:tcPr>
            <w:tcW w:w="0" w:type="auto"/>
            <w:gridSpan w:val="3"/>
            <w:shd w:val="clear" w:color="auto" w:fill="auto"/>
            <w:vAlign w:val="bottom"/>
          </w:tcPr>
          <w:p w14:paraId="5A1B0531" w14:textId="77777777" w:rsidR="00960BB8" w:rsidRDefault="00960BB8">
            <w:pPr>
              <w:rPr>
                <w:rFonts w:ascii="宋体"/>
                <w:vanish/>
              </w:rPr>
            </w:pPr>
          </w:p>
        </w:tc>
        <w:tc>
          <w:tcPr>
            <w:tcW w:w="0" w:type="auto"/>
            <w:shd w:val="clear" w:color="auto" w:fill="auto"/>
            <w:vAlign w:val="bottom"/>
          </w:tcPr>
          <w:p w14:paraId="5A1B0532" w14:textId="77777777" w:rsidR="00960BB8" w:rsidRDefault="00960BB8">
            <w:pPr>
              <w:rPr>
                <w:rFonts w:ascii="宋体"/>
                <w:vanish/>
              </w:rPr>
            </w:pPr>
          </w:p>
        </w:tc>
        <w:tc>
          <w:tcPr>
            <w:tcW w:w="0" w:type="auto"/>
            <w:gridSpan w:val="3"/>
            <w:shd w:val="clear" w:color="auto" w:fill="auto"/>
            <w:vAlign w:val="bottom"/>
          </w:tcPr>
          <w:p w14:paraId="5A1B0533" w14:textId="77777777" w:rsidR="00960BB8" w:rsidRDefault="00960BB8">
            <w:pPr>
              <w:rPr>
                <w:rFonts w:ascii="宋体"/>
                <w:vanish/>
              </w:rPr>
            </w:pPr>
          </w:p>
        </w:tc>
        <w:tc>
          <w:tcPr>
            <w:tcW w:w="0" w:type="auto"/>
            <w:gridSpan w:val="3"/>
            <w:shd w:val="clear" w:color="auto" w:fill="auto"/>
            <w:vAlign w:val="bottom"/>
          </w:tcPr>
          <w:p w14:paraId="5A1B0534" w14:textId="77777777" w:rsidR="00960BB8" w:rsidRDefault="00960BB8">
            <w:pPr>
              <w:rPr>
                <w:rFonts w:ascii="宋体"/>
                <w:vanish/>
              </w:rPr>
            </w:pPr>
          </w:p>
        </w:tc>
        <w:tc>
          <w:tcPr>
            <w:tcW w:w="0" w:type="auto"/>
            <w:gridSpan w:val="3"/>
            <w:shd w:val="clear" w:color="auto" w:fill="auto"/>
            <w:vAlign w:val="bottom"/>
          </w:tcPr>
          <w:p w14:paraId="5A1B0535" w14:textId="77777777" w:rsidR="00960BB8" w:rsidRDefault="00960BB8">
            <w:pPr>
              <w:rPr>
                <w:rFonts w:ascii="宋体"/>
                <w:vanish/>
              </w:rPr>
            </w:pPr>
          </w:p>
        </w:tc>
        <w:tc>
          <w:tcPr>
            <w:tcW w:w="0" w:type="auto"/>
            <w:gridSpan w:val="3"/>
            <w:shd w:val="clear" w:color="auto" w:fill="auto"/>
            <w:vAlign w:val="bottom"/>
          </w:tcPr>
          <w:p w14:paraId="5A1B0536" w14:textId="77777777" w:rsidR="00960BB8" w:rsidRDefault="00960BB8">
            <w:pPr>
              <w:rPr>
                <w:rFonts w:ascii="宋体"/>
                <w:vanish/>
              </w:rPr>
            </w:pPr>
          </w:p>
        </w:tc>
        <w:tc>
          <w:tcPr>
            <w:tcW w:w="0" w:type="auto"/>
            <w:gridSpan w:val="3"/>
            <w:shd w:val="clear" w:color="auto" w:fill="auto"/>
            <w:vAlign w:val="bottom"/>
          </w:tcPr>
          <w:p w14:paraId="5A1B0537" w14:textId="77777777" w:rsidR="00960BB8" w:rsidRDefault="00960BB8">
            <w:pPr>
              <w:rPr>
                <w:rFonts w:ascii="宋体"/>
                <w:vanish/>
              </w:rPr>
            </w:pPr>
          </w:p>
        </w:tc>
      </w:tr>
      <w:tr w:rsidR="00960BB8" w14:paraId="5A1B0540" w14:textId="77777777">
        <w:trPr>
          <w:hidden/>
        </w:trPr>
        <w:tc>
          <w:tcPr>
            <w:tcW w:w="0" w:type="auto"/>
            <w:gridSpan w:val="3"/>
            <w:shd w:val="clear" w:color="auto" w:fill="auto"/>
            <w:vAlign w:val="bottom"/>
          </w:tcPr>
          <w:p w14:paraId="5A1B0539" w14:textId="77777777" w:rsidR="00960BB8" w:rsidRDefault="00960BB8">
            <w:pPr>
              <w:rPr>
                <w:rFonts w:ascii="宋体"/>
                <w:vanish/>
              </w:rPr>
            </w:pPr>
          </w:p>
        </w:tc>
        <w:tc>
          <w:tcPr>
            <w:tcW w:w="0" w:type="auto"/>
            <w:shd w:val="clear" w:color="auto" w:fill="auto"/>
            <w:vAlign w:val="bottom"/>
          </w:tcPr>
          <w:p w14:paraId="5A1B053A" w14:textId="77777777" w:rsidR="00960BB8" w:rsidRDefault="00960BB8">
            <w:pPr>
              <w:rPr>
                <w:rFonts w:ascii="宋体"/>
                <w:vanish/>
              </w:rPr>
            </w:pPr>
          </w:p>
        </w:tc>
        <w:tc>
          <w:tcPr>
            <w:tcW w:w="0" w:type="auto"/>
            <w:gridSpan w:val="3"/>
            <w:shd w:val="clear" w:color="auto" w:fill="auto"/>
            <w:vAlign w:val="bottom"/>
          </w:tcPr>
          <w:p w14:paraId="5A1B053B" w14:textId="77777777" w:rsidR="00960BB8" w:rsidRDefault="00960BB8">
            <w:pPr>
              <w:rPr>
                <w:rFonts w:ascii="宋体"/>
                <w:vanish/>
              </w:rPr>
            </w:pPr>
          </w:p>
        </w:tc>
        <w:tc>
          <w:tcPr>
            <w:tcW w:w="0" w:type="auto"/>
            <w:gridSpan w:val="3"/>
            <w:shd w:val="clear" w:color="auto" w:fill="auto"/>
            <w:vAlign w:val="bottom"/>
          </w:tcPr>
          <w:p w14:paraId="5A1B053C" w14:textId="77777777" w:rsidR="00960BB8" w:rsidRDefault="00960BB8">
            <w:pPr>
              <w:rPr>
                <w:rFonts w:ascii="宋体"/>
                <w:vanish/>
              </w:rPr>
            </w:pPr>
          </w:p>
        </w:tc>
        <w:tc>
          <w:tcPr>
            <w:tcW w:w="0" w:type="auto"/>
            <w:gridSpan w:val="3"/>
            <w:shd w:val="clear" w:color="auto" w:fill="auto"/>
            <w:vAlign w:val="bottom"/>
          </w:tcPr>
          <w:p w14:paraId="5A1B053D" w14:textId="77777777" w:rsidR="00960BB8" w:rsidRDefault="00960BB8">
            <w:pPr>
              <w:rPr>
                <w:rFonts w:ascii="宋体"/>
                <w:vanish/>
              </w:rPr>
            </w:pPr>
          </w:p>
        </w:tc>
        <w:tc>
          <w:tcPr>
            <w:tcW w:w="0" w:type="auto"/>
            <w:gridSpan w:val="3"/>
            <w:shd w:val="clear" w:color="auto" w:fill="auto"/>
            <w:vAlign w:val="bottom"/>
          </w:tcPr>
          <w:p w14:paraId="5A1B053E" w14:textId="77777777" w:rsidR="00960BB8" w:rsidRDefault="00960BB8">
            <w:pPr>
              <w:rPr>
                <w:rFonts w:ascii="宋体"/>
                <w:vanish/>
              </w:rPr>
            </w:pPr>
          </w:p>
        </w:tc>
        <w:tc>
          <w:tcPr>
            <w:tcW w:w="0" w:type="auto"/>
            <w:gridSpan w:val="3"/>
            <w:shd w:val="clear" w:color="auto" w:fill="auto"/>
            <w:vAlign w:val="bottom"/>
          </w:tcPr>
          <w:p w14:paraId="5A1B053F" w14:textId="77777777" w:rsidR="00960BB8" w:rsidRDefault="00960BB8">
            <w:pPr>
              <w:rPr>
                <w:rFonts w:ascii="宋体"/>
                <w:vanish/>
              </w:rPr>
            </w:pPr>
          </w:p>
        </w:tc>
      </w:tr>
      <w:tr w:rsidR="00960BB8" w14:paraId="5A1B0548" w14:textId="77777777">
        <w:trPr>
          <w:hidden/>
        </w:trPr>
        <w:tc>
          <w:tcPr>
            <w:tcW w:w="0" w:type="auto"/>
            <w:gridSpan w:val="3"/>
            <w:shd w:val="clear" w:color="auto" w:fill="auto"/>
            <w:vAlign w:val="bottom"/>
          </w:tcPr>
          <w:p w14:paraId="5A1B0541" w14:textId="77777777" w:rsidR="00960BB8" w:rsidRDefault="00960BB8">
            <w:pPr>
              <w:rPr>
                <w:rFonts w:ascii="宋体"/>
                <w:vanish/>
              </w:rPr>
            </w:pPr>
          </w:p>
        </w:tc>
        <w:tc>
          <w:tcPr>
            <w:tcW w:w="0" w:type="auto"/>
            <w:shd w:val="clear" w:color="auto" w:fill="auto"/>
            <w:vAlign w:val="bottom"/>
          </w:tcPr>
          <w:p w14:paraId="5A1B0542" w14:textId="77777777" w:rsidR="00960BB8" w:rsidRDefault="00960BB8">
            <w:pPr>
              <w:rPr>
                <w:rFonts w:ascii="宋体"/>
                <w:vanish/>
              </w:rPr>
            </w:pPr>
          </w:p>
        </w:tc>
        <w:tc>
          <w:tcPr>
            <w:tcW w:w="0" w:type="auto"/>
            <w:gridSpan w:val="3"/>
            <w:shd w:val="clear" w:color="auto" w:fill="auto"/>
            <w:vAlign w:val="bottom"/>
          </w:tcPr>
          <w:p w14:paraId="5A1B0543" w14:textId="77777777" w:rsidR="00960BB8" w:rsidRDefault="00960BB8">
            <w:pPr>
              <w:rPr>
                <w:rFonts w:ascii="宋体"/>
                <w:vanish/>
              </w:rPr>
            </w:pPr>
          </w:p>
        </w:tc>
        <w:tc>
          <w:tcPr>
            <w:tcW w:w="0" w:type="auto"/>
            <w:gridSpan w:val="3"/>
            <w:shd w:val="clear" w:color="auto" w:fill="auto"/>
            <w:vAlign w:val="bottom"/>
          </w:tcPr>
          <w:p w14:paraId="5A1B0544" w14:textId="77777777" w:rsidR="00960BB8" w:rsidRDefault="00960BB8">
            <w:pPr>
              <w:rPr>
                <w:rFonts w:ascii="宋体"/>
                <w:vanish/>
              </w:rPr>
            </w:pPr>
          </w:p>
        </w:tc>
        <w:tc>
          <w:tcPr>
            <w:tcW w:w="0" w:type="auto"/>
            <w:gridSpan w:val="3"/>
            <w:shd w:val="clear" w:color="auto" w:fill="auto"/>
            <w:vAlign w:val="bottom"/>
          </w:tcPr>
          <w:p w14:paraId="5A1B0545" w14:textId="77777777" w:rsidR="00960BB8" w:rsidRDefault="00960BB8">
            <w:pPr>
              <w:rPr>
                <w:rFonts w:ascii="宋体"/>
                <w:vanish/>
              </w:rPr>
            </w:pPr>
          </w:p>
        </w:tc>
        <w:tc>
          <w:tcPr>
            <w:tcW w:w="0" w:type="auto"/>
            <w:gridSpan w:val="3"/>
            <w:shd w:val="clear" w:color="auto" w:fill="auto"/>
            <w:vAlign w:val="bottom"/>
          </w:tcPr>
          <w:p w14:paraId="5A1B0546" w14:textId="77777777" w:rsidR="00960BB8" w:rsidRDefault="00960BB8">
            <w:pPr>
              <w:rPr>
                <w:rFonts w:ascii="宋体"/>
                <w:vanish/>
              </w:rPr>
            </w:pPr>
          </w:p>
        </w:tc>
        <w:tc>
          <w:tcPr>
            <w:tcW w:w="0" w:type="auto"/>
            <w:gridSpan w:val="3"/>
            <w:shd w:val="clear" w:color="auto" w:fill="auto"/>
            <w:vAlign w:val="bottom"/>
          </w:tcPr>
          <w:p w14:paraId="5A1B0547" w14:textId="77777777" w:rsidR="00960BB8" w:rsidRDefault="00960BB8">
            <w:pPr>
              <w:rPr>
                <w:rFonts w:ascii="宋体"/>
                <w:vanish/>
              </w:rPr>
            </w:pPr>
          </w:p>
        </w:tc>
      </w:tr>
      <w:tr w:rsidR="00960BB8" w14:paraId="5A1B0550" w14:textId="77777777">
        <w:trPr>
          <w:hidden/>
        </w:trPr>
        <w:tc>
          <w:tcPr>
            <w:tcW w:w="0" w:type="auto"/>
            <w:gridSpan w:val="3"/>
            <w:shd w:val="clear" w:color="auto" w:fill="auto"/>
            <w:vAlign w:val="bottom"/>
          </w:tcPr>
          <w:p w14:paraId="5A1B0549" w14:textId="77777777" w:rsidR="00960BB8" w:rsidRDefault="00960BB8">
            <w:pPr>
              <w:rPr>
                <w:rFonts w:ascii="宋体"/>
                <w:vanish/>
              </w:rPr>
            </w:pPr>
          </w:p>
        </w:tc>
        <w:tc>
          <w:tcPr>
            <w:tcW w:w="0" w:type="auto"/>
            <w:shd w:val="clear" w:color="auto" w:fill="auto"/>
            <w:vAlign w:val="bottom"/>
          </w:tcPr>
          <w:p w14:paraId="5A1B054A" w14:textId="77777777" w:rsidR="00960BB8" w:rsidRDefault="00960BB8">
            <w:pPr>
              <w:rPr>
                <w:rFonts w:ascii="宋体"/>
                <w:vanish/>
              </w:rPr>
            </w:pPr>
          </w:p>
        </w:tc>
        <w:tc>
          <w:tcPr>
            <w:tcW w:w="0" w:type="auto"/>
            <w:gridSpan w:val="3"/>
            <w:shd w:val="clear" w:color="auto" w:fill="auto"/>
            <w:vAlign w:val="bottom"/>
          </w:tcPr>
          <w:p w14:paraId="5A1B054B" w14:textId="77777777" w:rsidR="00960BB8" w:rsidRDefault="00960BB8">
            <w:pPr>
              <w:rPr>
                <w:rFonts w:ascii="宋体"/>
                <w:vanish/>
              </w:rPr>
            </w:pPr>
          </w:p>
        </w:tc>
        <w:tc>
          <w:tcPr>
            <w:tcW w:w="0" w:type="auto"/>
            <w:gridSpan w:val="3"/>
            <w:shd w:val="clear" w:color="auto" w:fill="auto"/>
            <w:vAlign w:val="bottom"/>
          </w:tcPr>
          <w:p w14:paraId="5A1B054C" w14:textId="77777777" w:rsidR="00960BB8" w:rsidRDefault="00960BB8">
            <w:pPr>
              <w:rPr>
                <w:rFonts w:ascii="宋体"/>
                <w:vanish/>
              </w:rPr>
            </w:pPr>
          </w:p>
        </w:tc>
        <w:tc>
          <w:tcPr>
            <w:tcW w:w="0" w:type="auto"/>
            <w:gridSpan w:val="3"/>
            <w:shd w:val="clear" w:color="auto" w:fill="auto"/>
            <w:vAlign w:val="bottom"/>
          </w:tcPr>
          <w:p w14:paraId="5A1B054D" w14:textId="77777777" w:rsidR="00960BB8" w:rsidRDefault="00960BB8">
            <w:pPr>
              <w:rPr>
                <w:rFonts w:ascii="宋体"/>
                <w:vanish/>
              </w:rPr>
            </w:pPr>
          </w:p>
        </w:tc>
        <w:tc>
          <w:tcPr>
            <w:tcW w:w="0" w:type="auto"/>
            <w:gridSpan w:val="3"/>
            <w:shd w:val="clear" w:color="auto" w:fill="auto"/>
            <w:vAlign w:val="bottom"/>
          </w:tcPr>
          <w:p w14:paraId="5A1B054E" w14:textId="77777777" w:rsidR="00960BB8" w:rsidRDefault="00960BB8">
            <w:pPr>
              <w:rPr>
                <w:rFonts w:ascii="宋体"/>
                <w:vanish/>
              </w:rPr>
            </w:pPr>
          </w:p>
        </w:tc>
        <w:tc>
          <w:tcPr>
            <w:tcW w:w="0" w:type="auto"/>
            <w:gridSpan w:val="3"/>
            <w:shd w:val="clear" w:color="auto" w:fill="auto"/>
            <w:vAlign w:val="bottom"/>
          </w:tcPr>
          <w:p w14:paraId="5A1B054F" w14:textId="77777777" w:rsidR="00960BB8" w:rsidRDefault="00960BB8">
            <w:pPr>
              <w:rPr>
                <w:rFonts w:ascii="宋体"/>
                <w:vanish/>
              </w:rPr>
            </w:pPr>
          </w:p>
        </w:tc>
      </w:tr>
      <w:tr w:rsidR="00960BB8" w14:paraId="5A1B0558" w14:textId="77777777">
        <w:trPr>
          <w:hidden/>
        </w:trPr>
        <w:tc>
          <w:tcPr>
            <w:tcW w:w="0" w:type="auto"/>
            <w:gridSpan w:val="3"/>
            <w:shd w:val="clear" w:color="auto" w:fill="auto"/>
            <w:vAlign w:val="bottom"/>
          </w:tcPr>
          <w:p w14:paraId="5A1B0551" w14:textId="77777777" w:rsidR="00960BB8" w:rsidRDefault="00960BB8">
            <w:pPr>
              <w:rPr>
                <w:rFonts w:ascii="宋体"/>
                <w:vanish/>
              </w:rPr>
            </w:pPr>
          </w:p>
        </w:tc>
        <w:tc>
          <w:tcPr>
            <w:tcW w:w="0" w:type="auto"/>
            <w:shd w:val="clear" w:color="auto" w:fill="auto"/>
            <w:vAlign w:val="bottom"/>
          </w:tcPr>
          <w:p w14:paraId="5A1B0552" w14:textId="77777777" w:rsidR="00960BB8" w:rsidRDefault="00960BB8">
            <w:pPr>
              <w:rPr>
                <w:rFonts w:ascii="宋体"/>
                <w:vanish/>
              </w:rPr>
            </w:pPr>
          </w:p>
        </w:tc>
        <w:tc>
          <w:tcPr>
            <w:tcW w:w="0" w:type="auto"/>
            <w:gridSpan w:val="3"/>
            <w:shd w:val="clear" w:color="auto" w:fill="auto"/>
            <w:vAlign w:val="bottom"/>
          </w:tcPr>
          <w:p w14:paraId="5A1B0553" w14:textId="77777777" w:rsidR="00960BB8" w:rsidRDefault="00960BB8">
            <w:pPr>
              <w:rPr>
                <w:rFonts w:ascii="宋体"/>
                <w:vanish/>
              </w:rPr>
            </w:pPr>
          </w:p>
        </w:tc>
        <w:tc>
          <w:tcPr>
            <w:tcW w:w="0" w:type="auto"/>
            <w:gridSpan w:val="3"/>
            <w:shd w:val="clear" w:color="auto" w:fill="auto"/>
            <w:vAlign w:val="bottom"/>
          </w:tcPr>
          <w:p w14:paraId="5A1B0554" w14:textId="77777777" w:rsidR="00960BB8" w:rsidRDefault="00960BB8">
            <w:pPr>
              <w:rPr>
                <w:rFonts w:ascii="宋体"/>
                <w:vanish/>
              </w:rPr>
            </w:pPr>
          </w:p>
        </w:tc>
        <w:tc>
          <w:tcPr>
            <w:tcW w:w="0" w:type="auto"/>
            <w:gridSpan w:val="3"/>
            <w:shd w:val="clear" w:color="auto" w:fill="auto"/>
            <w:vAlign w:val="bottom"/>
          </w:tcPr>
          <w:p w14:paraId="5A1B0555" w14:textId="77777777" w:rsidR="00960BB8" w:rsidRDefault="00960BB8">
            <w:pPr>
              <w:rPr>
                <w:rFonts w:ascii="宋体"/>
                <w:vanish/>
              </w:rPr>
            </w:pPr>
          </w:p>
        </w:tc>
        <w:tc>
          <w:tcPr>
            <w:tcW w:w="0" w:type="auto"/>
            <w:gridSpan w:val="3"/>
            <w:shd w:val="clear" w:color="auto" w:fill="auto"/>
            <w:vAlign w:val="bottom"/>
          </w:tcPr>
          <w:p w14:paraId="5A1B0556" w14:textId="77777777" w:rsidR="00960BB8" w:rsidRDefault="00960BB8">
            <w:pPr>
              <w:rPr>
                <w:rFonts w:ascii="宋体"/>
                <w:vanish/>
              </w:rPr>
            </w:pPr>
          </w:p>
        </w:tc>
        <w:tc>
          <w:tcPr>
            <w:tcW w:w="0" w:type="auto"/>
            <w:gridSpan w:val="3"/>
            <w:shd w:val="clear" w:color="auto" w:fill="auto"/>
            <w:vAlign w:val="bottom"/>
          </w:tcPr>
          <w:p w14:paraId="5A1B0557" w14:textId="77777777" w:rsidR="00960BB8" w:rsidRDefault="00960BB8">
            <w:pPr>
              <w:rPr>
                <w:rFonts w:ascii="宋体"/>
                <w:vanish/>
              </w:rPr>
            </w:pPr>
          </w:p>
        </w:tc>
      </w:tr>
      <w:tr w:rsidR="00960BB8" w14:paraId="5A1B0560" w14:textId="77777777">
        <w:trPr>
          <w:hidden/>
        </w:trPr>
        <w:tc>
          <w:tcPr>
            <w:tcW w:w="0" w:type="auto"/>
            <w:gridSpan w:val="3"/>
            <w:shd w:val="clear" w:color="auto" w:fill="auto"/>
            <w:vAlign w:val="bottom"/>
          </w:tcPr>
          <w:p w14:paraId="5A1B0559" w14:textId="77777777" w:rsidR="00960BB8" w:rsidRDefault="00960BB8">
            <w:pPr>
              <w:rPr>
                <w:rFonts w:ascii="宋体"/>
                <w:vanish/>
              </w:rPr>
            </w:pPr>
          </w:p>
        </w:tc>
        <w:tc>
          <w:tcPr>
            <w:tcW w:w="0" w:type="auto"/>
            <w:shd w:val="clear" w:color="auto" w:fill="auto"/>
            <w:vAlign w:val="bottom"/>
          </w:tcPr>
          <w:p w14:paraId="5A1B055A" w14:textId="77777777" w:rsidR="00960BB8" w:rsidRDefault="00960BB8">
            <w:pPr>
              <w:rPr>
                <w:rFonts w:ascii="宋体"/>
                <w:vanish/>
              </w:rPr>
            </w:pPr>
          </w:p>
        </w:tc>
        <w:tc>
          <w:tcPr>
            <w:tcW w:w="0" w:type="auto"/>
            <w:gridSpan w:val="3"/>
            <w:shd w:val="clear" w:color="auto" w:fill="auto"/>
            <w:vAlign w:val="bottom"/>
          </w:tcPr>
          <w:p w14:paraId="5A1B055B" w14:textId="77777777" w:rsidR="00960BB8" w:rsidRDefault="00960BB8">
            <w:pPr>
              <w:rPr>
                <w:rFonts w:ascii="宋体"/>
                <w:vanish/>
              </w:rPr>
            </w:pPr>
          </w:p>
        </w:tc>
        <w:tc>
          <w:tcPr>
            <w:tcW w:w="0" w:type="auto"/>
            <w:gridSpan w:val="3"/>
            <w:shd w:val="clear" w:color="auto" w:fill="auto"/>
            <w:vAlign w:val="bottom"/>
          </w:tcPr>
          <w:p w14:paraId="5A1B055C" w14:textId="77777777" w:rsidR="00960BB8" w:rsidRDefault="00960BB8">
            <w:pPr>
              <w:rPr>
                <w:rFonts w:ascii="宋体"/>
                <w:vanish/>
              </w:rPr>
            </w:pPr>
          </w:p>
        </w:tc>
        <w:tc>
          <w:tcPr>
            <w:tcW w:w="0" w:type="auto"/>
            <w:gridSpan w:val="3"/>
            <w:shd w:val="clear" w:color="auto" w:fill="auto"/>
            <w:vAlign w:val="bottom"/>
          </w:tcPr>
          <w:p w14:paraId="5A1B055D" w14:textId="77777777" w:rsidR="00960BB8" w:rsidRDefault="00960BB8">
            <w:pPr>
              <w:rPr>
                <w:rFonts w:ascii="宋体"/>
                <w:vanish/>
              </w:rPr>
            </w:pPr>
          </w:p>
        </w:tc>
        <w:tc>
          <w:tcPr>
            <w:tcW w:w="0" w:type="auto"/>
            <w:gridSpan w:val="3"/>
            <w:shd w:val="clear" w:color="auto" w:fill="auto"/>
            <w:vAlign w:val="bottom"/>
          </w:tcPr>
          <w:p w14:paraId="5A1B055E" w14:textId="77777777" w:rsidR="00960BB8" w:rsidRDefault="00960BB8">
            <w:pPr>
              <w:rPr>
                <w:rFonts w:ascii="宋体"/>
                <w:vanish/>
              </w:rPr>
            </w:pPr>
          </w:p>
        </w:tc>
        <w:tc>
          <w:tcPr>
            <w:tcW w:w="0" w:type="auto"/>
            <w:gridSpan w:val="3"/>
            <w:shd w:val="clear" w:color="auto" w:fill="auto"/>
            <w:vAlign w:val="bottom"/>
          </w:tcPr>
          <w:p w14:paraId="5A1B055F" w14:textId="77777777" w:rsidR="00960BB8" w:rsidRDefault="00960BB8">
            <w:pPr>
              <w:rPr>
                <w:rFonts w:ascii="宋体"/>
                <w:vanish/>
              </w:rPr>
            </w:pPr>
          </w:p>
        </w:tc>
      </w:tr>
      <w:tr w:rsidR="00960BB8" w14:paraId="5A1B0568" w14:textId="77777777">
        <w:trPr>
          <w:hidden/>
        </w:trPr>
        <w:tc>
          <w:tcPr>
            <w:tcW w:w="0" w:type="auto"/>
            <w:gridSpan w:val="3"/>
            <w:shd w:val="clear" w:color="auto" w:fill="auto"/>
            <w:vAlign w:val="bottom"/>
          </w:tcPr>
          <w:p w14:paraId="5A1B0561" w14:textId="77777777" w:rsidR="00960BB8" w:rsidRDefault="00960BB8">
            <w:pPr>
              <w:rPr>
                <w:rFonts w:ascii="宋体"/>
                <w:vanish/>
              </w:rPr>
            </w:pPr>
          </w:p>
        </w:tc>
        <w:tc>
          <w:tcPr>
            <w:tcW w:w="0" w:type="auto"/>
            <w:shd w:val="clear" w:color="auto" w:fill="auto"/>
            <w:vAlign w:val="bottom"/>
          </w:tcPr>
          <w:p w14:paraId="5A1B0562" w14:textId="77777777" w:rsidR="00960BB8" w:rsidRDefault="00960BB8">
            <w:pPr>
              <w:rPr>
                <w:rFonts w:ascii="宋体"/>
                <w:vanish/>
              </w:rPr>
            </w:pPr>
          </w:p>
        </w:tc>
        <w:tc>
          <w:tcPr>
            <w:tcW w:w="0" w:type="auto"/>
            <w:gridSpan w:val="3"/>
            <w:shd w:val="clear" w:color="auto" w:fill="auto"/>
            <w:vAlign w:val="bottom"/>
          </w:tcPr>
          <w:p w14:paraId="5A1B0563" w14:textId="77777777" w:rsidR="00960BB8" w:rsidRDefault="00960BB8">
            <w:pPr>
              <w:rPr>
                <w:rFonts w:ascii="宋体"/>
                <w:vanish/>
              </w:rPr>
            </w:pPr>
          </w:p>
        </w:tc>
        <w:tc>
          <w:tcPr>
            <w:tcW w:w="0" w:type="auto"/>
            <w:gridSpan w:val="3"/>
            <w:shd w:val="clear" w:color="auto" w:fill="auto"/>
            <w:vAlign w:val="bottom"/>
          </w:tcPr>
          <w:p w14:paraId="5A1B0564" w14:textId="77777777" w:rsidR="00960BB8" w:rsidRDefault="00960BB8">
            <w:pPr>
              <w:rPr>
                <w:rFonts w:ascii="宋体"/>
                <w:vanish/>
              </w:rPr>
            </w:pPr>
          </w:p>
        </w:tc>
        <w:tc>
          <w:tcPr>
            <w:tcW w:w="0" w:type="auto"/>
            <w:gridSpan w:val="3"/>
            <w:shd w:val="clear" w:color="auto" w:fill="auto"/>
            <w:vAlign w:val="bottom"/>
          </w:tcPr>
          <w:p w14:paraId="5A1B0565" w14:textId="77777777" w:rsidR="00960BB8" w:rsidRDefault="00960BB8">
            <w:pPr>
              <w:rPr>
                <w:rFonts w:ascii="宋体"/>
                <w:vanish/>
              </w:rPr>
            </w:pPr>
          </w:p>
        </w:tc>
        <w:tc>
          <w:tcPr>
            <w:tcW w:w="0" w:type="auto"/>
            <w:gridSpan w:val="3"/>
            <w:shd w:val="clear" w:color="auto" w:fill="auto"/>
            <w:vAlign w:val="bottom"/>
          </w:tcPr>
          <w:p w14:paraId="5A1B0566" w14:textId="77777777" w:rsidR="00960BB8" w:rsidRDefault="00960BB8">
            <w:pPr>
              <w:rPr>
                <w:rFonts w:ascii="宋体"/>
                <w:vanish/>
              </w:rPr>
            </w:pPr>
          </w:p>
        </w:tc>
        <w:tc>
          <w:tcPr>
            <w:tcW w:w="0" w:type="auto"/>
            <w:gridSpan w:val="3"/>
            <w:shd w:val="clear" w:color="auto" w:fill="auto"/>
            <w:vAlign w:val="bottom"/>
          </w:tcPr>
          <w:p w14:paraId="5A1B0567" w14:textId="77777777" w:rsidR="00960BB8" w:rsidRDefault="00960BB8">
            <w:pPr>
              <w:rPr>
                <w:rFonts w:ascii="宋体"/>
                <w:vanish/>
              </w:rPr>
            </w:pPr>
          </w:p>
        </w:tc>
      </w:tr>
      <w:tr w:rsidR="00960BB8" w14:paraId="5A1B0570" w14:textId="77777777">
        <w:trPr>
          <w:trHeight w:val="60"/>
        </w:trPr>
        <w:tc>
          <w:tcPr>
            <w:tcW w:w="0" w:type="auto"/>
            <w:gridSpan w:val="3"/>
            <w:shd w:val="clear" w:color="auto" w:fill="auto"/>
            <w:tcMar>
              <w:top w:w="0" w:type="dxa"/>
              <w:left w:w="20" w:type="dxa"/>
              <w:bottom w:w="0" w:type="dxa"/>
              <w:right w:w="20" w:type="dxa"/>
            </w:tcMar>
            <w:vAlign w:val="bottom"/>
          </w:tcPr>
          <w:p w14:paraId="5A1B0569" w14:textId="77777777" w:rsidR="00960BB8" w:rsidRDefault="00960BB8">
            <w:pPr>
              <w:rPr>
                <w:rFonts w:ascii="宋体"/>
              </w:rPr>
            </w:pPr>
          </w:p>
        </w:tc>
        <w:tc>
          <w:tcPr>
            <w:tcW w:w="0" w:type="auto"/>
            <w:shd w:val="clear" w:color="auto" w:fill="auto"/>
            <w:vAlign w:val="bottom"/>
          </w:tcPr>
          <w:p w14:paraId="5A1B056A" w14:textId="77777777" w:rsidR="00960BB8" w:rsidRDefault="00960BB8">
            <w:pPr>
              <w:rPr>
                <w:rFonts w:ascii="宋体"/>
                <w:vanish/>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056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56C"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056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56E"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056F" w14:textId="77777777" w:rsidR="00960BB8" w:rsidRDefault="00960BB8">
            <w:pPr>
              <w:rPr>
                <w:rFonts w:ascii="宋体"/>
              </w:rPr>
            </w:pPr>
          </w:p>
        </w:tc>
      </w:tr>
      <w:tr w:rsidR="00960BB8" w14:paraId="5A1B057E" w14:textId="77777777">
        <w:tc>
          <w:tcPr>
            <w:tcW w:w="0" w:type="auto"/>
            <w:gridSpan w:val="3"/>
            <w:shd w:val="clear" w:color="auto" w:fill="auto"/>
            <w:tcMar>
              <w:top w:w="40" w:type="dxa"/>
              <w:left w:w="20" w:type="dxa"/>
              <w:bottom w:w="40" w:type="dxa"/>
              <w:right w:w="20" w:type="dxa"/>
            </w:tcMar>
            <w:vAlign w:val="bottom"/>
          </w:tcPr>
          <w:p w14:paraId="5A1B0571" w14:textId="77777777" w:rsidR="00960BB8" w:rsidRDefault="00C06650">
            <w:pPr>
              <w:textAlignment w:val="bottom"/>
            </w:pPr>
            <w:r>
              <w:rPr>
                <w:rFonts w:ascii="Arial" w:eastAsia="宋体" w:hAnsi="Arial" w:cs="Arial"/>
                <w:b/>
                <w:bCs/>
                <w:color w:val="262626"/>
                <w:sz w:val="18"/>
                <w:szCs w:val="18"/>
              </w:rPr>
              <w:t>Earnings per share—diluted</w:t>
            </w:r>
            <w:r>
              <w:rPr>
                <w:rFonts w:ascii="Arial" w:eastAsia="宋体" w:hAnsi="Arial" w:cs="Arial"/>
                <w:b/>
                <w:bCs/>
                <w:color w:val="262626"/>
                <w:sz w:val="11"/>
                <w:szCs w:val="11"/>
              </w:rPr>
              <w:t>1</w:t>
            </w:r>
          </w:p>
        </w:tc>
        <w:tc>
          <w:tcPr>
            <w:tcW w:w="0" w:type="auto"/>
            <w:shd w:val="clear" w:color="auto" w:fill="auto"/>
            <w:vAlign w:val="bottom"/>
          </w:tcPr>
          <w:p w14:paraId="5A1B0572" w14:textId="77777777" w:rsidR="00960BB8" w:rsidRDefault="00960BB8">
            <w:pPr>
              <w:rPr>
                <w:rFonts w:ascii="宋体"/>
                <w:vanish/>
              </w:rPr>
            </w:pPr>
          </w:p>
        </w:tc>
        <w:tc>
          <w:tcPr>
            <w:tcW w:w="0" w:type="auto"/>
            <w:shd w:val="clear" w:color="auto" w:fill="auto"/>
            <w:tcMar>
              <w:top w:w="40" w:type="dxa"/>
              <w:left w:w="20" w:type="dxa"/>
              <w:bottom w:w="40" w:type="dxa"/>
              <w:right w:w="0" w:type="dxa"/>
            </w:tcMar>
            <w:vAlign w:val="bottom"/>
          </w:tcPr>
          <w:p w14:paraId="5A1B0573" w14:textId="77777777" w:rsidR="00960BB8" w:rsidRDefault="00C06650">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A1B0574" w14:textId="77777777" w:rsidR="00960BB8" w:rsidRDefault="00C06650">
            <w:pPr>
              <w:jc w:val="right"/>
              <w:textAlignment w:val="bottom"/>
            </w:pPr>
            <w:r>
              <w:rPr>
                <w:rFonts w:ascii="Arial" w:eastAsia="宋体" w:hAnsi="Arial" w:cs="Arial"/>
                <w:b/>
                <w:bCs/>
                <w:color w:val="0068B5"/>
                <w:sz w:val="18"/>
                <w:szCs w:val="18"/>
              </w:rPr>
              <w:t>1.94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57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76"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577"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578" w14:textId="77777777" w:rsidR="00960BB8" w:rsidRDefault="00C06650">
            <w:pPr>
              <w:jc w:val="right"/>
              <w:textAlignment w:val="bottom"/>
            </w:pPr>
            <w:r>
              <w:rPr>
                <w:rFonts w:ascii="Arial" w:eastAsia="宋体" w:hAnsi="Arial" w:cs="Arial"/>
                <w:b/>
                <w:bCs/>
                <w:color w:val="262626"/>
                <w:sz w:val="18"/>
                <w:szCs w:val="18"/>
              </w:rPr>
              <w:t>4.86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57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7A"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57B"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57C" w14:textId="77777777" w:rsidR="00960BB8" w:rsidRDefault="00C06650">
            <w:pPr>
              <w:jc w:val="right"/>
              <w:textAlignment w:val="bottom"/>
            </w:pPr>
            <w:r>
              <w:rPr>
                <w:rFonts w:ascii="Arial" w:eastAsia="宋体" w:hAnsi="Arial" w:cs="Arial"/>
                <w:b/>
                <w:bCs/>
                <w:color w:val="262626"/>
                <w:sz w:val="18"/>
                <w:szCs w:val="18"/>
              </w:rPr>
              <w:t>4.94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57D" w14:textId="77777777" w:rsidR="00960BB8" w:rsidRDefault="00960BB8">
            <w:pPr>
              <w:jc w:val="right"/>
              <w:rPr>
                <w:rFonts w:ascii="宋体"/>
              </w:rPr>
            </w:pPr>
          </w:p>
        </w:tc>
      </w:tr>
      <w:tr w:rsidR="00960BB8" w14:paraId="5A1B0589" w14:textId="77777777">
        <w:tc>
          <w:tcPr>
            <w:tcW w:w="0" w:type="auto"/>
            <w:gridSpan w:val="3"/>
            <w:shd w:val="clear" w:color="auto" w:fill="auto"/>
            <w:tcMar>
              <w:top w:w="40" w:type="dxa"/>
              <w:left w:w="245" w:type="dxa"/>
              <w:bottom w:w="40" w:type="dxa"/>
              <w:right w:w="20" w:type="dxa"/>
            </w:tcMar>
            <w:vAlign w:val="bottom"/>
          </w:tcPr>
          <w:p w14:paraId="5A1B057F" w14:textId="77777777" w:rsidR="00960BB8" w:rsidRDefault="00C06650">
            <w:pPr>
              <w:textAlignment w:val="bottom"/>
            </w:pPr>
            <w:r>
              <w:rPr>
                <w:rFonts w:ascii="Arial" w:eastAsia="宋体" w:hAnsi="Arial" w:cs="Arial"/>
                <w:color w:val="262626"/>
                <w:sz w:val="18"/>
                <w:szCs w:val="18"/>
              </w:rPr>
              <w:t>Acquisition-related adjustments</w:t>
            </w:r>
          </w:p>
        </w:tc>
        <w:tc>
          <w:tcPr>
            <w:tcW w:w="0" w:type="auto"/>
            <w:shd w:val="clear" w:color="auto" w:fill="auto"/>
            <w:vAlign w:val="bottom"/>
          </w:tcPr>
          <w:p w14:paraId="5A1B0580"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581" w14:textId="77777777" w:rsidR="00960BB8" w:rsidRDefault="00C06650">
            <w:pPr>
              <w:jc w:val="right"/>
              <w:textAlignment w:val="bottom"/>
            </w:pPr>
            <w:r>
              <w:rPr>
                <w:rFonts w:ascii="Arial" w:eastAsia="宋体" w:hAnsi="Arial" w:cs="Arial"/>
                <w:color w:val="0068B5"/>
                <w:sz w:val="18"/>
                <w:szCs w:val="18"/>
              </w:rPr>
              <w:t>0.37 </w:t>
            </w:r>
          </w:p>
        </w:tc>
        <w:tc>
          <w:tcPr>
            <w:tcW w:w="0" w:type="auto"/>
            <w:shd w:val="clear" w:color="auto" w:fill="auto"/>
            <w:tcMar>
              <w:top w:w="40" w:type="dxa"/>
              <w:left w:w="0" w:type="dxa"/>
              <w:bottom w:w="40" w:type="dxa"/>
              <w:right w:w="20" w:type="dxa"/>
            </w:tcMar>
            <w:vAlign w:val="bottom"/>
          </w:tcPr>
          <w:p w14:paraId="5A1B058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8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84" w14:textId="77777777" w:rsidR="00960BB8" w:rsidRDefault="00C06650">
            <w:pPr>
              <w:jc w:val="right"/>
              <w:textAlignment w:val="bottom"/>
            </w:pPr>
            <w:r>
              <w:rPr>
                <w:rFonts w:ascii="Arial" w:eastAsia="宋体" w:hAnsi="Arial" w:cs="Arial"/>
                <w:color w:val="262626"/>
                <w:sz w:val="18"/>
                <w:szCs w:val="18"/>
              </w:rPr>
              <w:t>0.36 </w:t>
            </w:r>
          </w:p>
        </w:tc>
        <w:tc>
          <w:tcPr>
            <w:tcW w:w="0" w:type="auto"/>
            <w:shd w:val="clear" w:color="auto" w:fill="auto"/>
            <w:tcMar>
              <w:top w:w="40" w:type="dxa"/>
              <w:left w:w="0" w:type="dxa"/>
              <w:bottom w:w="40" w:type="dxa"/>
              <w:right w:w="20" w:type="dxa"/>
            </w:tcMar>
            <w:vAlign w:val="bottom"/>
          </w:tcPr>
          <w:p w14:paraId="5A1B058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8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87" w14:textId="77777777" w:rsidR="00960BB8" w:rsidRDefault="00C06650">
            <w:pPr>
              <w:jc w:val="right"/>
              <w:textAlignment w:val="bottom"/>
            </w:pPr>
            <w:r>
              <w:rPr>
                <w:rFonts w:ascii="Arial" w:eastAsia="宋体" w:hAnsi="Arial" w:cs="Arial"/>
                <w:color w:val="262626"/>
                <w:sz w:val="18"/>
                <w:szCs w:val="18"/>
              </w:rPr>
              <w:t>0.33 </w:t>
            </w:r>
          </w:p>
        </w:tc>
        <w:tc>
          <w:tcPr>
            <w:tcW w:w="0" w:type="auto"/>
            <w:shd w:val="clear" w:color="auto" w:fill="auto"/>
            <w:tcMar>
              <w:top w:w="40" w:type="dxa"/>
              <w:left w:w="0" w:type="dxa"/>
              <w:bottom w:w="40" w:type="dxa"/>
              <w:right w:w="20" w:type="dxa"/>
            </w:tcMar>
            <w:vAlign w:val="bottom"/>
          </w:tcPr>
          <w:p w14:paraId="5A1B0588" w14:textId="77777777" w:rsidR="00960BB8" w:rsidRDefault="00960BB8">
            <w:pPr>
              <w:jc w:val="right"/>
              <w:rPr>
                <w:rFonts w:ascii="宋体"/>
              </w:rPr>
            </w:pPr>
          </w:p>
        </w:tc>
      </w:tr>
      <w:tr w:rsidR="00960BB8" w14:paraId="5A1B0594" w14:textId="77777777">
        <w:tc>
          <w:tcPr>
            <w:tcW w:w="0" w:type="auto"/>
            <w:gridSpan w:val="3"/>
            <w:shd w:val="clear" w:color="auto" w:fill="auto"/>
            <w:tcMar>
              <w:top w:w="40" w:type="dxa"/>
              <w:left w:w="245" w:type="dxa"/>
              <w:bottom w:w="40" w:type="dxa"/>
              <w:right w:w="20" w:type="dxa"/>
            </w:tcMar>
            <w:vAlign w:val="bottom"/>
          </w:tcPr>
          <w:p w14:paraId="5A1B058A" w14:textId="77777777" w:rsidR="00960BB8" w:rsidRDefault="00C06650">
            <w:pPr>
              <w:textAlignment w:val="bottom"/>
            </w:pPr>
            <w:r>
              <w:rPr>
                <w:rFonts w:ascii="Arial" w:eastAsia="宋体" w:hAnsi="Arial" w:cs="Arial"/>
                <w:color w:val="262626"/>
                <w:sz w:val="18"/>
                <w:szCs w:val="18"/>
              </w:rPr>
              <w:t>Share-based compensation</w:t>
            </w:r>
          </w:p>
        </w:tc>
        <w:tc>
          <w:tcPr>
            <w:tcW w:w="0" w:type="auto"/>
            <w:shd w:val="clear" w:color="auto" w:fill="auto"/>
            <w:vAlign w:val="bottom"/>
          </w:tcPr>
          <w:p w14:paraId="5A1B058B"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58C" w14:textId="77777777" w:rsidR="00960BB8" w:rsidRDefault="00C06650">
            <w:pPr>
              <w:jc w:val="right"/>
              <w:textAlignment w:val="bottom"/>
            </w:pPr>
            <w:r>
              <w:rPr>
                <w:rFonts w:ascii="Arial" w:eastAsia="宋体" w:hAnsi="Arial" w:cs="Arial"/>
                <w:color w:val="0068B5"/>
                <w:sz w:val="18"/>
                <w:szCs w:val="18"/>
              </w:rPr>
              <w:t>0.76 </w:t>
            </w:r>
          </w:p>
        </w:tc>
        <w:tc>
          <w:tcPr>
            <w:tcW w:w="0" w:type="auto"/>
            <w:shd w:val="clear" w:color="auto" w:fill="auto"/>
            <w:tcMar>
              <w:top w:w="40" w:type="dxa"/>
              <w:left w:w="0" w:type="dxa"/>
              <w:bottom w:w="40" w:type="dxa"/>
              <w:right w:w="20" w:type="dxa"/>
            </w:tcMar>
            <w:vAlign w:val="bottom"/>
          </w:tcPr>
          <w:p w14:paraId="5A1B058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8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8F" w14:textId="77777777" w:rsidR="00960BB8" w:rsidRDefault="00C06650">
            <w:pPr>
              <w:jc w:val="right"/>
              <w:textAlignment w:val="bottom"/>
            </w:pPr>
            <w:r>
              <w:rPr>
                <w:rFonts w:ascii="Arial" w:eastAsia="宋体" w:hAnsi="Arial" w:cs="Arial"/>
                <w:color w:val="262626"/>
                <w:sz w:val="18"/>
                <w:szCs w:val="18"/>
              </w:rPr>
              <w:t>0.50 </w:t>
            </w:r>
          </w:p>
        </w:tc>
        <w:tc>
          <w:tcPr>
            <w:tcW w:w="0" w:type="auto"/>
            <w:shd w:val="clear" w:color="auto" w:fill="auto"/>
            <w:tcMar>
              <w:top w:w="40" w:type="dxa"/>
              <w:left w:w="0" w:type="dxa"/>
              <w:bottom w:w="40" w:type="dxa"/>
              <w:right w:w="20" w:type="dxa"/>
            </w:tcMar>
            <w:vAlign w:val="bottom"/>
          </w:tcPr>
          <w:p w14:paraId="5A1B059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9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92" w14:textId="77777777" w:rsidR="00960BB8" w:rsidRDefault="00C06650">
            <w:pPr>
              <w:jc w:val="right"/>
              <w:textAlignment w:val="bottom"/>
            </w:pPr>
            <w:r>
              <w:rPr>
                <w:rFonts w:ascii="Arial" w:eastAsia="宋体" w:hAnsi="Arial" w:cs="Arial"/>
                <w:color w:val="262626"/>
                <w:sz w:val="18"/>
                <w:szCs w:val="18"/>
              </w:rPr>
              <w:t>0.44 </w:t>
            </w:r>
          </w:p>
        </w:tc>
        <w:tc>
          <w:tcPr>
            <w:tcW w:w="0" w:type="auto"/>
            <w:shd w:val="clear" w:color="auto" w:fill="auto"/>
            <w:tcMar>
              <w:top w:w="40" w:type="dxa"/>
              <w:left w:w="0" w:type="dxa"/>
              <w:bottom w:w="40" w:type="dxa"/>
              <w:right w:w="20" w:type="dxa"/>
            </w:tcMar>
            <w:vAlign w:val="bottom"/>
          </w:tcPr>
          <w:p w14:paraId="5A1B0593" w14:textId="77777777" w:rsidR="00960BB8" w:rsidRDefault="00960BB8">
            <w:pPr>
              <w:jc w:val="right"/>
              <w:rPr>
                <w:rFonts w:ascii="宋体"/>
              </w:rPr>
            </w:pPr>
          </w:p>
        </w:tc>
      </w:tr>
      <w:tr w:rsidR="00960BB8" w14:paraId="5A1B059F" w14:textId="77777777">
        <w:tc>
          <w:tcPr>
            <w:tcW w:w="0" w:type="auto"/>
            <w:gridSpan w:val="3"/>
            <w:shd w:val="clear" w:color="auto" w:fill="auto"/>
            <w:tcMar>
              <w:top w:w="40" w:type="dxa"/>
              <w:left w:w="245" w:type="dxa"/>
              <w:bottom w:w="40" w:type="dxa"/>
              <w:right w:w="20" w:type="dxa"/>
            </w:tcMar>
            <w:vAlign w:val="bottom"/>
          </w:tcPr>
          <w:p w14:paraId="5A1B0595" w14:textId="77777777" w:rsidR="00960BB8" w:rsidRDefault="00C06650">
            <w:pPr>
              <w:textAlignment w:val="bottom"/>
            </w:pPr>
            <w:r>
              <w:rPr>
                <w:rFonts w:ascii="Arial" w:eastAsia="宋体" w:hAnsi="Arial" w:cs="Arial"/>
                <w:color w:val="262626"/>
                <w:sz w:val="18"/>
                <w:szCs w:val="18"/>
              </w:rPr>
              <w:t>Patent settlement</w:t>
            </w:r>
          </w:p>
        </w:tc>
        <w:tc>
          <w:tcPr>
            <w:tcW w:w="0" w:type="auto"/>
            <w:shd w:val="clear" w:color="auto" w:fill="auto"/>
            <w:vAlign w:val="bottom"/>
          </w:tcPr>
          <w:p w14:paraId="5A1B0596"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597" w14:textId="77777777" w:rsidR="00960BB8" w:rsidRDefault="00C06650">
            <w:pPr>
              <w:jc w:val="right"/>
              <w:textAlignment w:val="bottom"/>
            </w:pPr>
            <w:r>
              <w:rPr>
                <w:rFonts w:ascii="Arial" w:eastAsia="宋体" w:hAnsi="Arial" w:cs="Arial"/>
                <w:color w:val="0068B5"/>
                <w:sz w:val="18"/>
                <w:szCs w:val="18"/>
              </w:rPr>
              <w:t>0.05 </w:t>
            </w:r>
          </w:p>
        </w:tc>
        <w:tc>
          <w:tcPr>
            <w:tcW w:w="0" w:type="auto"/>
            <w:shd w:val="clear" w:color="auto" w:fill="auto"/>
            <w:tcMar>
              <w:top w:w="40" w:type="dxa"/>
              <w:left w:w="0" w:type="dxa"/>
              <w:bottom w:w="40" w:type="dxa"/>
              <w:right w:w="20" w:type="dxa"/>
            </w:tcMar>
            <w:vAlign w:val="bottom"/>
          </w:tcPr>
          <w:p w14:paraId="5A1B059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9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9A"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59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9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9D"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59E" w14:textId="77777777" w:rsidR="00960BB8" w:rsidRDefault="00960BB8">
            <w:pPr>
              <w:jc w:val="right"/>
              <w:rPr>
                <w:rFonts w:ascii="宋体"/>
              </w:rPr>
            </w:pPr>
          </w:p>
        </w:tc>
      </w:tr>
      <w:tr w:rsidR="00960BB8" w14:paraId="5A1B05AA" w14:textId="77777777">
        <w:tc>
          <w:tcPr>
            <w:tcW w:w="0" w:type="auto"/>
            <w:gridSpan w:val="3"/>
            <w:shd w:val="clear" w:color="auto" w:fill="auto"/>
            <w:tcMar>
              <w:top w:w="40" w:type="dxa"/>
              <w:left w:w="245" w:type="dxa"/>
              <w:bottom w:w="40" w:type="dxa"/>
              <w:right w:w="20" w:type="dxa"/>
            </w:tcMar>
            <w:vAlign w:val="bottom"/>
          </w:tcPr>
          <w:p w14:paraId="5A1B05A0" w14:textId="77777777" w:rsidR="00960BB8" w:rsidRDefault="00C06650">
            <w:pPr>
              <w:textAlignment w:val="bottom"/>
            </w:pPr>
            <w:r>
              <w:rPr>
                <w:rFonts w:ascii="Arial" w:eastAsia="宋体" w:hAnsi="Arial" w:cs="Arial"/>
                <w:color w:val="262626"/>
                <w:sz w:val="18"/>
                <w:szCs w:val="18"/>
              </w:rPr>
              <w:t>Optane inventory impairment</w:t>
            </w:r>
          </w:p>
        </w:tc>
        <w:tc>
          <w:tcPr>
            <w:tcW w:w="0" w:type="auto"/>
            <w:shd w:val="clear" w:color="auto" w:fill="auto"/>
            <w:vAlign w:val="bottom"/>
          </w:tcPr>
          <w:p w14:paraId="5A1B05A1"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5A2" w14:textId="77777777" w:rsidR="00960BB8" w:rsidRDefault="00C06650">
            <w:pPr>
              <w:jc w:val="right"/>
              <w:textAlignment w:val="bottom"/>
            </w:pPr>
            <w:r>
              <w:rPr>
                <w:rFonts w:ascii="Arial" w:eastAsia="宋体" w:hAnsi="Arial" w:cs="Arial"/>
                <w:color w:val="0068B5"/>
                <w:sz w:val="18"/>
                <w:szCs w:val="18"/>
              </w:rPr>
              <w:t>0.18 </w:t>
            </w:r>
          </w:p>
        </w:tc>
        <w:tc>
          <w:tcPr>
            <w:tcW w:w="0" w:type="auto"/>
            <w:shd w:val="clear" w:color="auto" w:fill="auto"/>
            <w:tcMar>
              <w:top w:w="40" w:type="dxa"/>
              <w:left w:w="0" w:type="dxa"/>
              <w:bottom w:w="40" w:type="dxa"/>
              <w:right w:w="20" w:type="dxa"/>
            </w:tcMar>
            <w:vAlign w:val="bottom"/>
          </w:tcPr>
          <w:p w14:paraId="5A1B05A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A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A5"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5A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A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A8"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5A9" w14:textId="77777777" w:rsidR="00960BB8" w:rsidRDefault="00960BB8">
            <w:pPr>
              <w:jc w:val="right"/>
              <w:rPr>
                <w:rFonts w:ascii="宋体"/>
              </w:rPr>
            </w:pPr>
          </w:p>
        </w:tc>
      </w:tr>
      <w:tr w:rsidR="00960BB8" w14:paraId="5A1B05B5" w14:textId="77777777">
        <w:tc>
          <w:tcPr>
            <w:tcW w:w="0" w:type="auto"/>
            <w:gridSpan w:val="3"/>
            <w:shd w:val="clear" w:color="auto" w:fill="auto"/>
            <w:tcMar>
              <w:top w:w="40" w:type="dxa"/>
              <w:left w:w="245" w:type="dxa"/>
              <w:bottom w:w="40" w:type="dxa"/>
              <w:right w:w="20" w:type="dxa"/>
            </w:tcMar>
            <w:vAlign w:val="bottom"/>
          </w:tcPr>
          <w:p w14:paraId="5A1B05AB" w14:textId="77777777" w:rsidR="00960BB8" w:rsidRDefault="00C06650">
            <w:pPr>
              <w:textAlignment w:val="bottom"/>
            </w:pPr>
            <w:r>
              <w:rPr>
                <w:rFonts w:ascii="Arial" w:eastAsia="宋体" w:hAnsi="Arial" w:cs="Arial"/>
                <w:color w:val="262626"/>
                <w:sz w:val="18"/>
                <w:szCs w:val="18"/>
              </w:rPr>
              <w:t>Restructuring and other charges</w:t>
            </w:r>
          </w:p>
        </w:tc>
        <w:tc>
          <w:tcPr>
            <w:tcW w:w="0" w:type="auto"/>
            <w:shd w:val="clear" w:color="auto" w:fill="auto"/>
            <w:vAlign w:val="bottom"/>
          </w:tcPr>
          <w:p w14:paraId="5A1B05AC"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5AD"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5A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A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B0" w14:textId="77777777" w:rsidR="00960BB8" w:rsidRDefault="00C06650">
            <w:pPr>
              <w:jc w:val="right"/>
              <w:textAlignment w:val="bottom"/>
            </w:pPr>
            <w:r>
              <w:rPr>
                <w:rFonts w:ascii="Arial" w:eastAsia="宋体" w:hAnsi="Arial" w:cs="Arial"/>
                <w:color w:val="262626"/>
                <w:sz w:val="18"/>
                <w:szCs w:val="18"/>
              </w:rPr>
              <w:t>0.64 </w:t>
            </w:r>
          </w:p>
        </w:tc>
        <w:tc>
          <w:tcPr>
            <w:tcW w:w="0" w:type="auto"/>
            <w:shd w:val="clear" w:color="auto" w:fill="auto"/>
            <w:tcMar>
              <w:top w:w="40" w:type="dxa"/>
              <w:left w:w="0" w:type="dxa"/>
              <w:bottom w:w="40" w:type="dxa"/>
              <w:right w:w="20" w:type="dxa"/>
            </w:tcMar>
            <w:vAlign w:val="bottom"/>
          </w:tcPr>
          <w:p w14:paraId="5A1B05B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B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B3" w14:textId="77777777" w:rsidR="00960BB8" w:rsidRDefault="00C06650">
            <w:pPr>
              <w:jc w:val="right"/>
              <w:textAlignment w:val="bottom"/>
            </w:pPr>
            <w:r>
              <w:rPr>
                <w:rFonts w:ascii="Arial" w:eastAsia="宋体" w:hAnsi="Arial" w:cs="Arial"/>
                <w:color w:val="262626"/>
                <w:sz w:val="18"/>
                <w:szCs w:val="18"/>
              </w:rPr>
              <w:t>0.05 </w:t>
            </w:r>
          </w:p>
        </w:tc>
        <w:tc>
          <w:tcPr>
            <w:tcW w:w="0" w:type="auto"/>
            <w:shd w:val="clear" w:color="auto" w:fill="auto"/>
            <w:tcMar>
              <w:top w:w="40" w:type="dxa"/>
              <w:left w:w="0" w:type="dxa"/>
              <w:bottom w:w="40" w:type="dxa"/>
              <w:right w:w="20" w:type="dxa"/>
            </w:tcMar>
            <w:vAlign w:val="bottom"/>
          </w:tcPr>
          <w:p w14:paraId="5A1B05B4" w14:textId="77777777" w:rsidR="00960BB8" w:rsidRDefault="00960BB8">
            <w:pPr>
              <w:jc w:val="right"/>
              <w:rPr>
                <w:rFonts w:ascii="宋体"/>
              </w:rPr>
            </w:pPr>
          </w:p>
        </w:tc>
      </w:tr>
      <w:tr w:rsidR="00960BB8" w14:paraId="5A1B05BD" w14:textId="77777777">
        <w:trPr>
          <w:hidden/>
        </w:trPr>
        <w:tc>
          <w:tcPr>
            <w:tcW w:w="0" w:type="auto"/>
            <w:gridSpan w:val="3"/>
            <w:shd w:val="clear" w:color="auto" w:fill="auto"/>
            <w:vAlign w:val="bottom"/>
          </w:tcPr>
          <w:p w14:paraId="5A1B05B6" w14:textId="77777777" w:rsidR="00960BB8" w:rsidRDefault="00960BB8">
            <w:pPr>
              <w:rPr>
                <w:rFonts w:ascii="宋体"/>
                <w:vanish/>
              </w:rPr>
            </w:pPr>
          </w:p>
        </w:tc>
        <w:tc>
          <w:tcPr>
            <w:tcW w:w="0" w:type="auto"/>
            <w:shd w:val="clear" w:color="auto" w:fill="auto"/>
            <w:vAlign w:val="bottom"/>
          </w:tcPr>
          <w:p w14:paraId="5A1B05B7" w14:textId="77777777" w:rsidR="00960BB8" w:rsidRDefault="00960BB8">
            <w:pPr>
              <w:rPr>
                <w:rFonts w:ascii="宋体"/>
                <w:vanish/>
              </w:rPr>
            </w:pPr>
          </w:p>
        </w:tc>
        <w:tc>
          <w:tcPr>
            <w:tcW w:w="0" w:type="auto"/>
            <w:gridSpan w:val="3"/>
            <w:shd w:val="clear" w:color="auto" w:fill="auto"/>
            <w:vAlign w:val="bottom"/>
          </w:tcPr>
          <w:p w14:paraId="5A1B05B8" w14:textId="77777777" w:rsidR="00960BB8" w:rsidRDefault="00960BB8">
            <w:pPr>
              <w:rPr>
                <w:rFonts w:ascii="宋体"/>
                <w:vanish/>
              </w:rPr>
            </w:pPr>
          </w:p>
        </w:tc>
        <w:tc>
          <w:tcPr>
            <w:tcW w:w="0" w:type="auto"/>
            <w:gridSpan w:val="3"/>
            <w:shd w:val="clear" w:color="auto" w:fill="auto"/>
            <w:vAlign w:val="bottom"/>
          </w:tcPr>
          <w:p w14:paraId="5A1B05B9" w14:textId="77777777" w:rsidR="00960BB8" w:rsidRDefault="00960BB8">
            <w:pPr>
              <w:rPr>
                <w:rFonts w:ascii="宋体"/>
                <w:vanish/>
              </w:rPr>
            </w:pPr>
          </w:p>
        </w:tc>
        <w:tc>
          <w:tcPr>
            <w:tcW w:w="0" w:type="auto"/>
            <w:gridSpan w:val="3"/>
            <w:shd w:val="clear" w:color="auto" w:fill="auto"/>
            <w:vAlign w:val="bottom"/>
          </w:tcPr>
          <w:p w14:paraId="5A1B05BA" w14:textId="77777777" w:rsidR="00960BB8" w:rsidRDefault="00960BB8">
            <w:pPr>
              <w:rPr>
                <w:rFonts w:ascii="宋体"/>
                <w:vanish/>
              </w:rPr>
            </w:pPr>
          </w:p>
        </w:tc>
        <w:tc>
          <w:tcPr>
            <w:tcW w:w="0" w:type="auto"/>
            <w:gridSpan w:val="3"/>
            <w:shd w:val="clear" w:color="auto" w:fill="auto"/>
            <w:vAlign w:val="bottom"/>
          </w:tcPr>
          <w:p w14:paraId="5A1B05BB" w14:textId="77777777" w:rsidR="00960BB8" w:rsidRDefault="00960BB8">
            <w:pPr>
              <w:rPr>
                <w:rFonts w:ascii="宋体"/>
                <w:vanish/>
              </w:rPr>
            </w:pPr>
          </w:p>
        </w:tc>
        <w:tc>
          <w:tcPr>
            <w:tcW w:w="0" w:type="auto"/>
            <w:gridSpan w:val="3"/>
            <w:shd w:val="clear" w:color="auto" w:fill="auto"/>
            <w:vAlign w:val="bottom"/>
          </w:tcPr>
          <w:p w14:paraId="5A1B05BC" w14:textId="77777777" w:rsidR="00960BB8" w:rsidRDefault="00960BB8">
            <w:pPr>
              <w:rPr>
                <w:rFonts w:ascii="宋体"/>
                <w:vanish/>
              </w:rPr>
            </w:pPr>
          </w:p>
        </w:tc>
      </w:tr>
      <w:tr w:rsidR="00960BB8" w14:paraId="5A1B05C8" w14:textId="77777777">
        <w:tc>
          <w:tcPr>
            <w:tcW w:w="0" w:type="auto"/>
            <w:gridSpan w:val="3"/>
            <w:shd w:val="clear" w:color="auto" w:fill="auto"/>
            <w:tcMar>
              <w:top w:w="40" w:type="dxa"/>
              <w:left w:w="245" w:type="dxa"/>
              <w:bottom w:w="40" w:type="dxa"/>
              <w:right w:w="20" w:type="dxa"/>
            </w:tcMar>
            <w:vAlign w:val="bottom"/>
          </w:tcPr>
          <w:p w14:paraId="5A1B05BE" w14:textId="77777777" w:rsidR="00960BB8" w:rsidRDefault="00C06650">
            <w:pPr>
              <w:textAlignment w:val="bottom"/>
            </w:pPr>
            <w:r>
              <w:rPr>
                <w:rFonts w:ascii="Arial" w:eastAsia="宋体" w:hAnsi="Arial" w:cs="Arial"/>
                <w:color w:val="262626"/>
                <w:sz w:val="18"/>
                <w:szCs w:val="18"/>
              </w:rPr>
              <w:t>(Gains) losses on equity investments, net</w:t>
            </w:r>
          </w:p>
        </w:tc>
        <w:tc>
          <w:tcPr>
            <w:tcW w:w="0" w:type="auto"/>
            <w:shd w:val="clear" w:color="auto" w:fill="auto"/>
            <w:vAlign w:val="bottom"/>
          </w:tcPr>
          <w:p w14:paraId="5A1B05BF"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5C0" w14:textId="77777777" w:rsidR="00960BB8" w:rsidRDefault="00C06650">
            <w:pPr>
              <w:jc w:val="right"/>
              <w:textAlignment w:val="bottom"/>
            </w:pPr>
            <w:r>
              <w:rPr>
                <w:rFonts w:ascii="Arial" w:eastAsia="宋体" w:hAnsi="Arial" w:cs="Arial"/>
                <w:color w:val="0068B5"/>
                <w:sz w:val="18"/>
                <w:szCs w:val="18"/>
              </w:rPr>
              <w:t>(1.04)</w:t>
            </w:r>
          </w:p>
        </w:tc>
        <w:tc>
          <w:tcPr>
            <w:tcW w:w="0" w:type="auto"/>
            <w:shd w:val="clear" w:color="auto" w:fill="auto"/>
            <w:tcMar>
              <w:top w:w="40" w:type="dxa"/>
              <w:left w:w="0" w:type="dxa"/>
              <w:bottom w:w="40" w:type="dxa"/>
              <w:right w:w="20" w:type="dxa"/>
            </w:tcMar>
            <w:vAlign w:val="bottom"/>
          </w:tcPr>
          <w:p w14:paraId="5A1B05C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C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C3" w14:textId="77777777" w:rsidR="00960BB8" w:rsidRDefault="00C06650">
            <w:pPr>
              <w:jc w:val="right"/>
              <w:textAlignment w:val="bottom"/>
            </w:pPr>
            <w:r>
              <w:rPr>
                <w:rFonts w:ascii="Arial" w:eastAsia="宋体" w:hAnsi="Arial" w:cs="Arial"/>
                <w:color w:val="262626"/>
                <w:sz w:val="18"/>
                <w:szCs w:val="18"/>
              </w:rPr>
              <w:t>(0.67)</w:t>
            </w:r>
          </w:p>
        </w:tc>
        <w:tc>
          <w:tcPr>
            <w:tcW w:w="0" w:type="auto"/>
            <w:shd w:val="clear" w:color="auto" w:fill="auto"/>
            <w:tcMar>
              <w:top w:w="40" w:type="dxa"/>
              <w:left w:w="0" w:type="dxa"/>
              <w:bottom w:w="40" w:type="dxa"/>
              <w:right w:w="20" w:type="dxa"/>
            </w:tcMar>
            <w:vAlign w:val="bottom"/>
          </w:tcPr>
          <w:p w14:paraId="5A1B05C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C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C6" w14:textId="77777777" w:rsidR="00960BB8" w:rsidRDefault="00C06650">
            <w:pPr>
              <w:jc w:val="right"/>
              <w:textAlignment w:val="bottom"/>
            </w:pPr>
            <w:r>
              <w:rPr>
                <w:rFonts w:ascii="Arial" w:eastAsia="宋体" w:hAnsi="Arial" w:cs="Arial"/>
                <w:color w:val="262626"/>
                <w:sz w:val="18"/>
                <w:szCs w:val="18"/>
              </w:rPr>
              <w:t>(0.45)</w:t>
            </w:r>
          </w:p>
        </w:tc>
        <w:tc>
          <w:tcPr>
            <w:tcW w:w="0" w:type="auto"/>
            <w:shd w:val="clear" w:color="auto" w:fill="auto"/>
            <w:tcMar>
              <w:top w:w="40" w:type="dxa"/>
              <w:left w:w="0" w:type="dxa"/>
              <w:bottom w:w="40" w:type="dxa"/>
              <w:right w:w="20" w:type="dxa"/>
            </w:tcMar>
            <w:vAlign w:val="bottom"/>
          </w:tcPr>
          <w:p w14:paraId="5A1B05C7" w14:textId="77777777" w:rsidR="00960BB8" w:rsidRDefault="00960BB8">
            <w:pPr>
              <w:jc w:val="right"/>
              <w:rPr>
                <w:rFonts w:ascii="宋体"/>
              </w:rPr>
            </w:pPr>
          </w:p>
        </w:tc>
      </w:tr>
      <w:tr w:rsidR="00960BB8" w14:paraId="5A1B05D3" w14:textId="77777777">
        <w:tc>
          <w:tcPr>
            <w:tcW w:w="0" w:type="auto"/>
            <w:gridSpan w:val="3"/>
            <w:shd w:val="clear" w:color="auto" w:fill="auto"/>
            <w:tcMar>
              <w:top w:w="40" w:type="dxa"/>
              <w:left w:w="245" w:type="dxa"/>
              <w:bottom w:w="40" w:type="dxa"/>
              <w:right w:w="20" w:type="dxa"/>
            </w:tcMar>
            <w:vAlign w:val="bottom"/>
          </w:tcPr>
          <w:p w14:paraId="5A1B05C9" w14:textId="77777777" w:rsidR="00960BB8" w:rsidRDefault="00C06650">
            <w:pPr>
              <w:textAlignment w:val="bottom"/>
            </w:pPr>
            <w:r>
              <w:rPr>
                <w:rFonts w:ascii="Arial" w:eastAsia="宋体" w:hAnsi="Arial" w:cs="Arial"/>
                <w:color w:val="262626"/>
                <w:sz w:val="18"/>
                <w:szCs w:val="18"/>
              </w:rPr>
              <w:t>(Gains) losses from divestiture</w:t>
            </w:r>
          </w:p>
        </w:tc>
        <w:tc>
          <w:tcPr>
            <w:tcW w:w="0" w:type="auto"/>
            <w:shd w:val="clear" w:color="auto" w:fill="auto"/>
            <w:vAlign w:val="bottom"/>
          </w:tcPr>
          <w:p w14:paraId="5A1B05CA"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5CB" w14:textId="77777777" w:rsidR="00960BB8" w:rsidRDefault="00C06650">
            <w:pPr>
              <w:jc w:val="right"/>
              <w:textAlignment w:val="bottom"/>
            </w:pPr>
            <w:r>
              <w:rPr>
                <w:rFonts w:ascii="Arial" w:eastAsia="宋体" w:hAnsi="Arial" w:cs="Arial"/>
                <w:color w:val="0068B5"/>
                <w:sz w:val="18"/>
                <w:szCs w:val="18"/>
              </w:rPr>
              <w:t>(0.28)</w:t>
            </w:r>
          </w:p>
        </w:tc>
        <w:tc>
          <w:tcPr>
            <w:tcW w:w="0" w:type="auto"/>
            <w:shd w:val="clear" w:color="auto" w:fill="auto"/>
            <w:tcMar>
              <w:top w:w="40" w:type="dxa"/>
              <w:left w:w="0" w:type="dxa"/>
              <w:bottom w:w="40" w:type="dxa"/>
              <w:right w:w="20" w:type="dxa"/>
            </w:tcMar>
            <w:vAlign w:val="bottom"/>
          </w:tcPr>
          <w:p w14:paraId="5A1B05C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C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CE"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5C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D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D1"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5D2" w14:textId="77777777" w:rsidR="00960BB8" w:rsidRDefault="00960BB8">
            <w:pPr>
              <w:jc w:val="right"/>
              <w:rPr>
                <w:rFonts w:ascii="宋体"/>
              </w:rPr>
            </w:pPr>
          </w:p>
        </w:tc>
      </w:tr>
      <w:tr w:rsidR="00960BB8" w14:paraId="5A1B05DE" w14:textId="77777777">
        <w:tc>
          <w:tcPr>
            <w:tcW w:w="0" w:type="auto"/>
            <w:gridSpan w:val="3"/>
            <w:shd w:val="clear" w:color="auto" w:fill="auto"/>
            <w:tcMar>
              <w:top w:w="40" w:type="dxa"/>
              <w:left w:w="245" w:type="dxa"/>
              <w:bottom w:w="40" w:type="dxa"/>
              <w:right w:w="20" w:type="dxa"/>
            </w:tcMar>
            <w:vAlign w:val="bottom"/>
          </w:tcPr>
          <w:p w14:paraId="5A1B05D4" w14:textId="77777777" w:rsidR="00960BB8" w:rsidRDefault="00C06650">
            <w:pPr>
              <w:textAlignment w:val="bottom"/>
            </w:pPr>
            <w:r>
              <w:rPr>
                <w:rFonts w:ascii="Arial" w:eastAsia="宋体" w:hAnsi="Arial" w:cs="Arial"/>
                <w:color w:val="262626"/>
                <w:sz w:val="18"/>
                <w:szCs w:val="18"/>
              </w:rPr>
              <w:t>NAND memory business</w:t>
            </w:r>
          </w:p>
        </w:tc>
        <w:tc>
          <w:tcPr>
            <w:tcW w:w="0" w:type="auto"/>
            <w:shd w:val="clear" w:color="auto" w:fill="auto"/>
            <w:vAlign w:val="bottom"/>
          </w:tcPr>
          <w:p w14:paraId="5A1B05D5"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5D6"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5D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D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D9" w14:textId="77777777" w:rsidR="00960BB8" w:rsidRDefault="00C06650">
            <w:pPr>
              <w:jc w:val="right"/>
              <w:textAlignment w:val="bottom"/>
            </w:pPr>
            <w:r>
              <w:rPr>
                <w:rFonts w:ascii="Arial" w:eastAsia="宋体" w:hAnsi="Arial" w:cs="Arial"/>
                <w:color w:val="262626"/>
                <w:sz w:val="18"/>
                <w:szCs w:val="18"/>
              </w:rPr>
              <w:t>(0.33)</w:t>
            </w:r>
          </w:p>
        </w:tc>
        <w:tc>
          <w:tcPr>
            <w:tcW w:w="0" w:type="auto"/>
            <w:shd w:val="clear" w:color="auto" w:fill="auto"/>
            <w:tcMar>
              <w:top w:w="40" w:type="dxa"/>
              <w:left w:w="0" w:type="dxa"/>
              <w:bottom w:w="40" w:type="dxa"/>
              <w:right w:w="20" w:type="dxa"/>
            </w:tcMar>
            <w:vAlign w:val="bottom"/>
          </w:tcPr>
          <w:p w14:paraId="5A1B05D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D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DC" w14:textId="77777777" w:rsidR="00960BB8" w:rsidRDefault="00C06650">
            <w:pPr>
              <w:jc w:val="right"/>
              <w:textAlignment w:val="bottom"/>
            </w:pPr>
            <w:r>
              <w:rPr>
                <w:rFonts w:ascii="Arial" w:eastAsia="宋体" w:hAnsi="Arial" w:cs="Arial"/>
                <w:color w:val="262626"/>
                <w:sz w:val="18"/>
                <w:szCs w:val="18"/>
              </w:rPr>
              <w:t>(0.22)</w:t>
            </w:r>
          </w:p>
        </w:tc>
        <w:tc>
          <w:tcPr>
            <w:tcW w:w="0" w:type="auto"/>
            <w:shd w:val="clear" w:color="auto" w:fill="auto"/>
            <w:tcMar>
              <w:top w:w="40" w:type="dxa"/>
              <w:left w:w="0" w:type="dxa"/>
              <w:bottom w:w="40" w:type="dxa"/>
              <w:right w:w="20" w:type="dxa"/>
            </w:tcMar>
            <w:vAlign w:val="bottom"/>
          </w:tcPr>
          <w:p w14:paraId="5A1B05DD" w14:textId="77777777" w:rsidR="00960BB8" w:rsidRDefault="00960BB8">
            <w:pPr>
              <w:jc w:val="right"/>
              <w:rPr>
                <w:rFonts w:ascii="宋体"/>
              </w:rPr>
            </w:pPr>
          </w:p>
        </w:tc>
      </w:tr>
      <w:tr w:rsidR="00960BB8" w14:paraId="5A1B05E6" w14:textId="77777777">
        <w:trPr>
          <w:hidden/>
        </w:trPr>
        <w:tc>
          <w:tcPr>
            <w:tcW w:w="0" w:type="auto"/>
            <w:gridSpan w:val="3"/>
            <w:shd w:val="clear" w:color="auto" w:fill="auto"/>
            <w:vAlign w:val="bottom"/>
          </w:tcPr>
          <w:p w14:paraId="5A1B05DF" w14:textId="77777777" w:rsidR="00960BB8" w:rsidRDefault="00960BB8">
            <w:pPr>
              <w:rPr>
                <w:rFonts w:ascii="宋体"/>
                <w:vanish/>
              </w:rPr>
            </w:pPr>
          </w:p>
        </w:tc>
        <w:tc>
          <w:tcPr>
            <w:tcW w:w="0" w:type="auto"/>
            <w:shd w:val="clear" w:color="auto" w:fill="auto"/>
            <w:vAlign w:val="bottom"/>
          </w:tcPr>
          <w:p w14:paraId="5A1B05E0" w14:textId="77777777" w:rsidR="00960BB8" w:rsidRDefault="00960BB8">
            <w:pPr>
              <w:rPr>
                <w:rFonts w:ascii="宋体"/>
                <w:vanish/>
              </w:rPr>
            </w:pPr>
          </w:p>
        </w:tc>
        <w:tc>
          <w:tcPr>
            <w:tcW w:w="0" w:type="auto"/>
            <w:gridSpan w:val="3"/>
            <w:shd w:val="clear" w:color="auto" w:fill="auto"/>
            <w:vAlign w:val="bottom"/>
          </w:tcPr>
          <w:p w14:paraId="5A1B05E1" w14:textId="77777777" w:rsidR="00960BB8" w:rsidRDefault="00960BB8">
            <w:pPr>
              <w:rPr>
                <w:rFonts w:ascii="宋体"/>
                <w:vanish/>
              </w:rPr>
            </w:pPr>
          </w:p>
        </w:tc>
        <w:tc>
          <w:tcPr>
            <w:tcW w:w="0" w:type="auto"/>
            <w:gridSpan w:val="3"/>
            <w:shd w:val="clear" w:color="auto" w:fill="auto"/>
            <w:vAlign w:val="bottom"/>
          </w:tcPr>
          <w:p w14:paraId="5A1B05E2" w14:textId="77777777" w:rsidR="00960BB8" w:rsidRDefault="00960BB8">
            <w:pPr>
              <w:rPr>
                <w:rFonts w:ascii="宋体"/>
                <w:vanish/>
              </w:rPr>
            </w:pPr>
          </w:p>
        </w:tc>
        <w:tc>
          <w:tcPr>
            <w:tcW w:w="0" w:type="auto"/>
            <w:gridSpan w:val="3"/>
            <w:shd w:val="clear" w:color="auto" w:fill="auto"/>
            <w:vAlign w:val="bottom"/>
          </w:tcPr>
          <w:p w14:paraId="5A1B05E3" w14:textId="77777777" w:rsidR="00960BB8" w:rsidRDefault="00960BB8">
            <w:pPr>
              <w:rPr>
                <w:rFonts w:ascii="宋体"/>
                <w:vanish/>
              </w:rPr>
            </w:pPr>
          </w:p>
        </w:tc>
        <w:tc>
          <w:tcPr>
            <w:tcW w:w="0" w:type="auto"/>
            <w:gridSpan w:val="3"/>
            <w:shd w:val="clear" w:color="auto" w:fill="auto"/>
            <w:vAlign w:val="bottom"/>
          </w:tcPr>
          <w:p w14:paraId="5A1B05E4" w14:textId="77777777" w:rsidR="00960BB8" w:rsidRDefault="00960BB8">
            <w:pPr>
              <w:rPr>
                <w:rFonts w:ascii="宋体"/>
                <w:vanish/>
              </w:rPr>
            </w:pPr>
          </w:p>
        </w:tc>
        <w:tc>
          <w:tcPr>
            <w:tcW w:w="0" w:type="auto"/>
            <w:gridSpan w:val="3"/>
            <w:shd w:val="clear" w:color="auto" w:fill="auto"/>
            <w:vAlign w:val="bottom"/>
          </w:tcPr>
          <w:p w14:paraId="5A1B05E5" w14:textId="77777777" w:rsidR="00960BB8" w:rsidRDefault="00960BB8">
            <w:pPr>
              <w:rPr>
                <w:rFonts w:ascii="宋体"/>
                <w:vanish/>
              </w:rPr>
            </w:pPr>
          </w:p>
        </w:tc>
      </w:tr>
      <w:tr w:rsidR="00960BB8" w14:paraId="5A1B05F1" w14:textId="77777777">
        <w:tc>
          <w:tcPr>
            <w:tcW w:w="0" w:type="auto"/>
            <w:gridSpan w:val="3"/>
            <w:shd w:val="clear" w:color="auto" w:fill="auto"/>
            <w:tcMar>
              <w:top w:w="40" w:type="dxa"/>
              <w:left w:w="245" w:type="dxa"/>
              <w:bottom w:w="40" w:type="dxa"/>
              <w:right w:w="20" w:type="dxa"/>
            </w:tcMar>
            <w:vAlign w:val="bottom"/>
          </w:tcPr>
          <w:p w14:paraId="5A1B05E7" w14:textId="77777777" w:rsidR="00960BB8" w:rsidRDefault="00C06650">
            <w:pPr>
              <w:textAlignment w:val="bottom"/>
            </w:pPr>
            <w:r>
              <w:rPr>
                <w:rFonts w:ascii="Arial" w:eastAsia="宋体" w:hAnsi="Arial" w:cs="Arial"/>
                <w:color w:val="262626"/>
                <w:sz w:val="18"/>
                <w:szCs w:val="18"/>
              </w:rPr>
              <w:t>Tax Reform</w:t>
            </w:r>
          </w:p>
        </w:tc>
        <w:tc>
          <w:tcPr>
            <w:tcW w:w="0" w:type="auto"/>
            <w:shd w:val="clear" w:color="auto" w:fill="auto"/>
            <w:vAlign w:val="bottom"/>
          </w:tcPr>
          <w:p w14:paraId="5A1B05E8"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5E9" w14:textId="77777777" w:rsidR="00960BB8" w:rsidRDefault="00C06650">
            <w:pPr>
              <w:jc w:val="right"/>
              <w:textAlignment w:val="bottom"/>
            </w:pPr>
            <w:r>
              <w:rPr>
                <w:rFonts w:ascii="Arial" w:eastAsia="宋体" w:hAnsi="Arial" w:cs="Arial"/>
                <w:color w:val="0068B5"/>
                <w:sz w:val="18"/>
                <w:szCs w:val="18"/>
              </w:rPr>
              <w:t>(0.20)</w:t>
            </w:r>
          </w:p>
        </w:tc>
        <w:tc>
          <w:tcPr>
            <w:tcW w:w="0" w:type="auto"/>
            <w:shd w:val="clear" w:color="auto" w:fill="auto"/>
            <w:tcMar>
              <w:top w:w="40" w:type="dxa"/>
              <w:left w:w="0" w:type="dxa"/>
              <w:bottom w:w="40" w:type="dxa"/>
              <w:right w:w="20" w:type="dxa"/>
            </w:tcMar>
            <w:vAlign w:val="bottom"/>
          </w:tcPr>
          <w:p w14:paraId="5A1B05E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E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EC"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5E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E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EF"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5F0" w14:textId="77777777" w:rsidR="00960BB8" w:rsidRDefault="00960BB8">
            <w:pPr>
              <w:jc w:val="right"/>
              <w:rPr>
                <w:rFonts w:ascii="宋体"/>
              </w:rPr>
            </w:pPr>
          </w:p>
        </w:tc>
      </w:tr>
      <w:tr w:rsidR="00960BB8" w14:paraId="5A1B05FC" w14:textId="77777777">
        <w:tc>
          <w:tcPr>
            <w:tcW w:w="0" w:type="auto"/>
            <w:gridSpan w:val="3"/>
            <w:shd w:val="clear" w:color="auto" w:fill="auto"/>
            <w:tcMar>
              <w:top w:w="40" w:type="dxa"/>
              <w:left w:w="245" w:type="dxa"/>
              <w:bottom w:w="40" w:type="dxa"/>
              <w:right w:w="20" w:type="dxa"/>
            </w:tcMar>
            <w:vAlign w:val="bottom"/>
          </w:tcPr>
          <w:p w14:paraId="5A1B05F2" w14:textId="77777777" w:rsidR="00960BB8" w:rsidRDefault="00C06650">
            <w:pPr>
              <w:textAlignment w:val="bottom"/>
            </w:pPr>
            <w:r>
              <w:rPr>
                <w:rFonts w:ascii="Arial" w:eastAsia="宋体" w:hAnsi="Arial" w:cs="Arial"/>
                <w:color w:val="262626"/>
                <w:sz w:val="18"/>
                <w:szCs w:val="18"/>
              </w:rPr>
              <w:t>Income tax effects</w:t>
            </w:r>
          </w:p>
        </w:tc>
        <w:tc>
          <w:tcPr>
            <w:tcW w:w="0" w:type="auto"/>
            <w:shd w:val="clear" w:color="auto" w:fill="auto"/>
            <w:vAlign w:val="bottom"/>
          </w:tcPr>
          <w:p w14:paraId="5A1B05F3"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05F4" w14:textId="77777777" w:rsidR="00960BB8" w:rsidRDefault="00C06650">
            <w:pPr>
              <w:jc w:val="right"/>
              <w:textAlignment w:val="bottom"/>
            </w:pPr>
            <w:r>
              <w:rPr>
                <w:rFonts w:ascii="Arial" w:eastAsia="宋体" w:hAnsi="Arial" w:cs="Arial"/>
                <w:color w:val="0068B5"/>
                <w:sz w:val="18"/>
                <w:szCs w:val="18"/>
              </w:rPr>
              <w:t>0.06 </w:t>
            </w:r>
          </w:p>
        </w:tc>
        <w:tc>
          <w:tcPr>
            <w:tcW w:w="0" w:type="auto"/>
            <w:shd w:val="clear" w:color="auto" w:fill="auto"/>
            <w:tcMar>
              <w:top w:w="40" w:type="dxa"/>
              <w:left w:w="0" w:type="dxa"/>
              <w:bottom w:w="40" w:type="dxa"/>
              <w:right w:w="20" w:type="dxa"/>
            </w:tcMar>
            <w:vAlign w:val="bottom"/>
          </w:tcPr>
          <w:p w14:paraId="5A1B05F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F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F7" w14:textId="77777777" w:rsidR="00960BB8" w:rsidRDefault="00C06650">
            <w:pPr>
              <w:jc w:val="right"/>
              <w:textAlignment w:val="bottom"/>
            </w:pPr>
            <w:r>
              <w:rPr>
                <w:rFonts w:ascii="Arial" w:eastAsia="宋体" w:hAnsi="Arial" w:cs="Arial"/>
                <w:color w:val="262626"/>
                <w:sz w:val="18"/>
                <w:szCs w:val="18"/>
              </w:rPr>
              <w:t>(0.06)</w:t>
            </w:r>
          </w:p>
        </w:tc>
        <w:tc>
          <w:tcPr>
            <w:tcW w:w="0" w:type="auto"/>
            <w:shd w:val="clear" w:color="auto" w:fill="auto"/>
            <w:tcMar>
              <w:top w:w="40" w:type="dxa"/>
              <w:left w:w="0" w:type="dxa"/>
              <w:bottom w:w="40" w:type="dxa"/>
              <w:right w:w="20" w:type="dxa"/>
            </w:tcMar>
            <w:vAlign w:val="bottom"/>
          </w:tcPr>
          <w:p w14:paraId="5A1B05F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5F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5FA" w14:textId="77777777" w:rsidR="00960BB8" w:rsidRDefault="00C06650">
            <w:pPr>
              <w:jc w:val="right"/>
              <w:textAlignment w:val="bottom"/>
            </w:pPr>
            <w:r>
              <w:rPr>
                <w:rFonts w:ascii="Arial" w:eastAsia="宋体" w:hAnsi="Arial" w:cs="Arial"/>
                <w:color w:val="262626"/>
                <w:sz w:val="18"/>
                <w:szCs w:val="18"/>
              </w:rPr>
              <w:t>(0.03)</w:t>
            </w:r>
          </w:p>
        </w:tc>
        <w:tc>
          <w:tcPr>
            <w:tcW w:w="0" w:type="auto"/>
            <w:shd w:val="clear" w:color="auto" w:fill="auto"/>
            <w:tcMar>
              <w:top w:w="40" w:type="dxa"/>
              <w:left w:w="0" w:type="dxa"/>
              <w:bottom w:w="40" w:type="dxa"/>
              <w:right w:w="20" w:type="dxa"/>
            </w:tcMar>
            <w:vAlign w:val="bottom"/>
          </w:tcPr>
          <w:p w14:paraId="5A1B05FB" w14:textId="77777777" w:rsidR="00960BB8" w:rsidRDefault="00960BB8">
            <w:pPr>
              <w:jc w:val="right"/>
              <w:rPr>
                <w:rFonts w:ascii="宋体"/>
              </w:rPr>
            </w:pPr>
          </w:p>
        </w:tc>
      </w:tr>
      <w:tr w:rsidR="00960BB8" w14:paraId="5A1B060A" w14:textId="77777777">
        <w:tc>
          <w:tcPr>
            <w:tcW w:w="0" w:type="auto"/>
            <w:gridSpan w:val="3"/>
            <w:shd w:val="clear" w:color="auto" w:fill="auto"/>
            <w:tcMar>
              <w:top w:w="40" w:type="dxa"/>
              <w:left w:w="20" w:type="dxa"/>
              <w:bottom w:w="40" w:type="dxa"/>
              <w:right w:w="20" w:type="dxa"/>
            </w:tcMar>
            <w:vAlign w:val="bottom"/>
          </w:tcPr>
          <w:p w14:paraId="5A1B05FD" w14:textId="77777777" w:rsidR="00960BB8" w:rsidRDefault="00C06650">
            <w:pPr>
              <w:textAlignment w:val="bottom"/>
            </w:pPr>
            <w:r>
              <w:rPr>
                <w:rFonts w:ascii="Arial" w:eastAsia="宋体" w:hAnsi="Arial" w:cs="Arial"/>
                <w:b/>
                <w:bCs/>
                <w:color w:val="262626"/>
                <w:sz w:val="18"/>
                <w:szCs w:val="18"/>
              </w:rPr>
              <w:t>Non-GAAP earnings per share—diluted</w:t>
            </w:r>
          </w:p>
        </w:tc>
        <w:tc>
          <w:tcPr>
            <w:tcW w:w="0" w:type="auto"/>
            <w:shd w:val="clear" w:color="auto" w:fill="auto"/>
            <w:vAlign w:val="bottom"/>
          </w:tcPr>
          <w:p w14:paraId="5A1B05FE" w14:textId="77777777" w:rsidR="00960BB8" w:rsidRDefault="00960BB8">
            <w:pPr>
              <w:rPr>
                <w:rFonts w:ascii="宋体"/>
                <w:vanish/>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05FF"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0600" w14:textId="77777777" w:rsidR="00960BB8" w:rsidRDefault="00C06650">
            <w:pPr>
              <w:jc w:val="right"/>
              <w:textAlignment w:val="bottom"/>
            </w:pPr>
            <w:r>
              <w:rPr>
                <w:rFonts w:ascii="Arial" w:eastAsia="宋体" w:hAnsi="Arial" w:cs="Arial"/>
                <w:b/>
                <w:bCs/>
                <w:color w:val="0068B5"/>
                <w:sz w:val="18"/>
                <w:szCs w:val="18"/>
              </w:rPr>
              <w:t>1.84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060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02"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0603"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0604" w14:textId="77777777" w:rsidR="00960BB8" w:rsidRDefault="00C06650">
            <w:pPr>
              <w:jc w:val="right"/>
              <w:textAlignment w:val="bottom"/>
            </w:pPr>
            <w:r>
              <w:rPr>
                <w:rFonts w:ascii="Arial" w:eastAsia="宋体" w:hAnsi="Arial" w:cs="Arial"/>
                <w:b/>
                <w:bCs/>
                <w:color w:val="262626"/>
                <w:sz w:val="18"/>
                <w:szCs w:val="18"/>
              </w:rPr>
              <w:t>5.30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060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06"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0607"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0608" w14:textId="77777777" w:rsidR="00960BB8" w:rsidRDefault="00C06650">
            <w:pPr>
              <w:jc w:val="right"/>
              <w:textAlignment w:val="bottom"/>
            </w:pPr>
            <w:r>
              <w:rPr>
                <w:rFonts w:ascii="Arial" w:eastAsia="宋体" w:hAnsi="Arial" w:cs="Arial"/>
                <w:b/>
                <w:bCs/>
                <w:color w:val="262626"/>
                <w:sz w:val="18"/>
                <w:szCs w:val="18"/>
              </w:rPr>
              <w:t>5.06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0609" w14:textId="77777777" w:rsidR="00960BB8" w:rsidRDefault="00960BB8">
            <w:pPr>
              <w:jc w:val="right"/>
              <w:rPr>
                <w:rFonts w:ascii="宋体"/>
              </w:rPr>
            </w:pPr>
          </w:p>
        </w:tc>
      </w:tr>
    </w:tbl>
    <w:p w14:paraId="5A1B060B" w14:textId="77777777" w:rsidR="00960BB8" w:rsidRDefault="00C06650">
      <w:pPr>
        <w:spacing w:after="60"/>
      </w:pPr>
      <w:r>
        <w:rPr>
          <w:rFonts w:ascii="Arial" w:eastAsia="宋体" w:hAnsi="Arial" w:cs="Arial"/>
          <w:i/>
          <w:iCs/>
          <w:color w:val="262626"/>
          <w:sz w:val="10"/>
          <w:szCs w:val="10"/>
        </w:rPr>
        <w:t>1</w:t>
      </w:r>
      <w:r>
        <w:rPr>
          <w:rFonts w:ascii="Arial" w:eastAsia="宋体" w:hAnsi="Arial" w:cs="Arial"/>
          <w:i/>
          <w:iCs/>
          <w:color w:val="262626"/>
          <w:sz w:val="16"/>
          <w:szCs w:val="16"/>
        </w:rPr>
        <w:t xml:space="preserve"> For the year ended December 31, 2022, the impact of non-controlling interest to our non-GAAP adjustments is insignificant and thus is not included in our reconciliation of non-GAAP measures.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615" w14:textId="77777777">
        <w:tc>
          <w:tcPr>
            <w:tcW w:w="50" w:type="pct"/>
            <w:shd w:val="clear" w:color="auto" w:fill="auto"/>
            <w:vAlign w:val="bottom"/>
          </w:tcPr>
          <w:p w14:paraId="5A1B060C" w14:textId="77777777" w:rsidR="00960BB8" w:rsidRDefault="00960BB8">
            <w:pPr>
              <w:rPr>
                <w:rFonts w:ascii="宋体"/>
              </w:rPr>
            </w:pPr>
          </w:p>
        </w:tc>
        <w:tc>
          <w:tcPr>
            <w:tcW w:w="283" w:type="pct"/>
            <w:shd w:val="clear" w:color="auto" w:fill="auto"/>
            <w:vAlign w:val="bottom"/>
          </w:tcPr>
          <w:p w14:paraId="5A1B060D" w14:textId="77777777" w:rsidR="00960BB8" w:rsidRDefault="00960BB8">
            <w:pPr>
              <w:rPr>
                <w:rFonts w:ascii="宋体"/>
              </w:rPr>
            </w:pPr>
          </w:p>
        </w:tc>
        <w:tc>
          <w:tcPr>
            <w:tcW w:w="5" w:type="pct"/>
            <w:shd w:val="clear" w:color="auto" w:fill="auto"/>
            <w:vAlign w:val="bottom"/>
          </w:tcPr>
          <w:p w14:paraId="5A1B060E" w14:textId="77777777" w:rsidR="00960BB8" w:rsidRDefault="00960BB8">
            <w:pPr>
              <w:rPr>
                <w:rFonts w:ascii="宋体"/>
              </w:rPr>
            </w:pPr>
          </w:p>
        </w:tc>
        <w:tc>
          <w:tcPr>
            <w:tcW w:w="50" w:type="pct"/>
            <w:shd w:val="clear" w:color="auto" w:fill="auto"/>
            <w:vAlign w:val="bottom"/>
          </w:tcPr>
          <w:p w14:paraId="5A1B060F" w14:textId="77777777" w:rsidR="00960BB8" w:rsidRDefault="00960BB8">
            <w:pPr>
              <w:rPr>
                <w:rFonts w:ascii="宋体"/>
              </w:rPr>
            </w:pPr>
          </w:p>
        </w:tc>
        <w:tc>
          <w:tcPr>
            <w:tcW w:w="2656" w:type="pct"/>
            <w:shd w:val="clear" w:color="auto" w:fill="auto"/>
            <w:vAlign w:val="bottom"/>
          </w:tcPr>
          <w:p w14:paraId="5A1B0610" w14:textId="77777777" w:rsidR="00960BB8" w:rsidRDefault="00960BB8">
            <w:pPr>
              <w:rPr>
                <w:rFonts w:ascii="宋体"/>
              </w:rPr>
            </w:pPr>
          </w:p>
        </w:tc>
        <w:tc>
          <w:tcPr>
            <w:tcW w:w="5" w:type="pct"/>
            <w:shd w:val="clear" w:color="auto" w:fill="auto"/>
            <w:vAlign w:val="bottom"/>
          </w:tcPr>
          <w:p w14:paraId="5A1B0611" w14:textId="77777777" w:rsidR="00960BB8" w:rsidRDefault="00960BB8">
            <w:pPr>
              <w:rPr>
                <w:rFonts w:ascii="宋体"/>
              </w:rPr>
            </w:pPr>
          </w:p>
        </w:tc>
        <w:tc>
          <w:tcPr>
            <w:tcW w:w="50" w:type="pct"/>
            <w:shd w:val="clear" w:color="auto" w:fill="auto"/>
            <w:vAlign w:val="bottom"/>
          </w:tcPr>
          <w:p w14:paraId="5A1B0612" w14:textId="77777777" w:rsidR="00960BB8" w:rsidRDefault="00960BB8">
            <w:pPr>
              <w:rPr>
                <w:rFonts w:ascii="宋体"/>
              </w:rPr>
            </w:pPr>
          </w:p>
        </w:tc>
        <w:tc>
          <w:tcPr>
            <w:tcW w:w="1894" w:type="pct"/>
            <w:shd w:val="clear" w:color="auto" w:fill="auto"/>
            <w:vAlign w:val="bottom"/>
          </w:tcPr>
          <w:p w14:paraId="5A1B0613" w14:textId="77777777" w:rsidR="00960BB8" w:rsidRDefault="00960BB8">
            <w:pPr>
              <w:rPr>
                <w:rFonts w:ascii="宋体"/>
              </w:rPr>
            </w:pPr>
          </w:p>
        </w:tc>
        <w:tc>
          <w:tcPr>
            <w:tcW w:w="5" w:type="pct"/>
            <w:shd w:val="clear" w:color="auto" w:fill="auto"/>
            <w:vAlign w:val="bottom"/>
          </w:tcPr>
          <w:p w14:paraId="5A1B0614" w14:textId="77777777" w:rsidR="00960BB8" w:rsidRDefault="00960BB8">
            <w:pPr>
              <w:rPr>
                <w:rFonts w:ascii="宋体"/>
              </w:rPr>
            </w:pPr>
          </w:p>
        </w:tc>
      </w:tr>
      <w:tr w:rsidR="00960BB8" w14:paraId="5A1B061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616"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13" wp14:editId="5A1B4414">
                  <wp:extent cx="304800" cy="304800"/>
                  <wp:effectExtent l="0" t="0" r="0" b="0"/>
                  <wp:docPr id="5" name="图片 18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617"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618" w14:textId="77777777" w:rsidR="00960BB8" w:rsidRDefault="00C06650">
            <w:pPr>
              <w:jc w:val="right"/>
              <w:textAlignment w:val="center"/>
            </w:pPr>
            <w:r>
              <w:rPr>
                <w:rFonts w:ascii="Arial" w:eastAsia="宋体" w:hAnsi="Arial" w:cs="Arial"/>
                <w:color w:val="262626"/>
                <w:sz w:val="16"/>
                <w:szCs w:val="16"/>
              </w:rPr>
              <w:t>49</w:t>
            </w:r>
          </w:p>
        </w:tc>
      </w:tr>
    </w:tbl>
    <w:p w14:paraId="5A1B061A" w14:textId="77777777" w:rsidR="00960BB8" w:rsidRDefault="00C06650">
      <w:r>
        <w:pict w14:anchorId="5A1B4415">
          <v:rect id="_x0000_i1075" style="width:415.3pt;height:1.5pt" o:hralign="center" o:hrstd="t" o:hr="t" fillcolor="#a0a0a0" stroked="f"/>
        </w:pict>
      </w:r>
    </w:p>
    <w:p w14:paraId="5A1B061B" w14:textId="77777777" w:rsidR="00960BB8" w:rsidRDefault="00C06650">
      <w:pPr>
        <w:jc w:val="right"/>
      </w:pPr>
      <w:hyperlink r:id="rId68" w:anchor="i8aaa7b4dbd2e419ca0f5c30af85a11aa_16" w:history="1">
        <w:r>
          <w:rPr>
            <w:rStyle w:val="a5"/>
            <w:rFonts w:ascii="Arial" w:eastAsia="宋体" w:hAnsi="Arial" w:cs="Arial"/>
            <w:b/>
            <w:bCs/>
            <w:sz w:val="16"/>
            <w:szCs w:val="16"/>
          </w:rPr>
          <w:t>Table of Contents</w:t>
        </w:r>
      </w:hyperlink>
    </w:p>
    <w:p w14:paraId="5A1B061C"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39"/>
        <w:gridCol w:w="2944"/>
        <w:gridCol w:w="38"/>
        <w:gridCol w:w="36"/>
        <w:gridCol w:w="36"/>
        <w:gridCol w:w="36"/>
        <w:gridCol w:w="121"/>
        <w:gridCol w:w="797"/>
        <w:gridCol w:w="36"/>
        <w:gridCol w:w="36"/>
        <w:gridCol w:w="36"/>
        <w:gridCol w:w="36"/>
        <w:gridCol w:w="121"/>
        <w:gridCol w:w="797"/>
        <w:gridCol w:w="36"/>
        <w:gridCol w:w="36"/>
        <w:gridCol w:w="36"/>
        <w:gridCol w:w="36"/>
        <w:gridCol w:w="121"/>
        <w:gridCol w:w="798"/>
        <w:gridCol w:w="36"/>
        <w:gridCol w:w="36"/>
        <w:gridCol w:w="36"/>
        <w:gridCol w:w="36"/>
        <w:gridCol w:w="121"/>
        <w:gridCol w:w="799"/>
        <w:gridCol w:w="36"/>
        <w:gridCol w:w="36"/>
        <w:gridCol w:w="36"/>
        <w:gridCol w:w="36"/>
        <w:gridCol w:w="121"/>
        <w:gridCol w:w="799"/>
        <w:gridCol w:w="36"/>
      </w:tblGrid>
      <w:tr w:rsidR="00960BB8" w14:paraId="5A1B063E" w14:textId="77777777">
        <w:tc>
          <w:tcPr>
            <w:tcW w:w="50" w:type="pct"/>
            <w:shd w:val="clear" w:color="auto" w:fill="auto"/>
            <w:vAlign w:val="bottom"/>
          </w:tcPr>
          <w:p w14:paraId="5A1B061D" w14:textId="77777777" w:rsidR="00960BB8" w:rsidRDefault="00960BB8">
            <w:pPr>
              <w:rPr>
                <w:rFonts w:ascii="宋体"/>
              </w:rPr>
            </w:pPr>
          </w:p>
        </w:tc>
        <w:tc>
          <w:tcPr>
            <w:tcW w:w="1802" w:type="pct"/>
            <w:shd w:val="clear" w:color="auto" w:fill="auto"/>
            <w:vAlign w:val="bottom"/>
          </w:tcPr>
          <w:p w14:paraId="5A1B061E" w14:textId="77777777" w:rsidR="00960BB8" w:rsidRDefault="00960BB8">
            <w:pPr>
              <w:rPr>
                <w:rFonts w:ascii="宋体"/>
              </w:rPr>
            </w:pPr>
          </w:p>
        </w:tc>
        <w:tc>
          <w:tcPr>
            <w:tcW w:w="5" w:type="pct"/>
            <w:shd w:val="clear" w:color="auto" w:fill="auto"/>
            <w:vAlign w:val="bottom"/>
          </w:tcPr>
          <w:p w14:paraId="5A1B061F" w14:textId="77777777" w:rsidR="00960BB8" w:rsidRDefault="00960BB8">
            <w:pPr>
              <w:rPr>
                <w:rFonts w:ascii="宋体"/>
              </w:rPr>
            </w:pPr>
          </w:p>
        </w:tc>
        <w:tc>
          <w:tcPr>
            <w:tcW w:w="5" w:type="pct"/>
            <w:shd w:val="clear" w:color="auto" w:fill="auto"/>
            <w:vAlign w:val="bottom"/>
          </w:tcPr>
          <w:p w14:paraId="5A1B0620" w14:textId="77777777" w:rsidR="00960BB8" w:rsidRDefault="00960BB8">
            <w:pPr>
              <w:rPr>
                <w:rFonts w:ascii="宋体"/>
              </w:rPr>
            </w:pPr>
          </w:p>
        </w:tc>
        <w:tc>
          <w:tcPr>
            <w:tcW w:w="24" w:type="pct"/>
            <w:shd w:val="clear" w:color="auto" w:fill="auto"/>
            <w:vAlign w:val="bottom"/>
          </w:tcPr>
          <w:p w14:paraId="5A1B0621" w14:textId="77777777" w:rsidR="00960BB8" w:rsidRDefault="00960BB8">
            <w:pPr>
              <w:rPr>
                <w:rFonts w:ascii="宋体"/>
              </w:rPr>
            </w:pPr>
          </w:p>
        </w:tc>
        <w:tc>
          <w:tcPr>
            <w:tcW w:w="5" w:type="pct"/>
            <w:shd w:val="clear" w:color="auto" w:fill="auto"/>
            <w:vAlign w:val="bottom"/>
          </w:tcPr>
          <w:p w14:paraId="5A1B0622" w14:textId="77777777" w:rsidR="00960BB8" w:rsidRDefault="00960BB8">
            <w:pPr>
              <w:rPr>
                <w:rFonts w:ascii="宋体"/>
              </w:rPr>
            </w:pPr>
          </w:p>
        </w:tc>
        <w:tc>
          <w:tcPr>
            <w:tcW w:w="50" w:type="pct"/>
            <w:shd w:val="clear" w:color="auto" w:fill="auto"/>
            <w:vAlign w:val="bottom"/>
          </w:tcPr>
          <w:p w14:paraId="5A1B0623" w14:textId="77777777" w:rsidR="00960BB8" w:rsidRDefault="00960BB8">
            <w:pPr>
              <w:rPr>
                <w:rFonts w:ascii="宋体"/>
              </w:rPr>
            </w:pPr>
          </w:p>
        </w:tc>
        <w:tc>
          <w:tcPr>
            <w:tcW w:w="539" w:type="pct"/>
            <w:shd w:val="clear" w:color="auto" w:fill="auto"/>
            <w:vAlign w:val="bottom"/>
          </w:tcPr>
          <w:p w14:paraId="5A1B0624" w14:textId="77777777" w:rsidR="00960BB8" w:rsidRDefault="00960BB8">
            <w:pPr>
              <w:rPr>
                <w:rFonts w:ascii="宋体"/>
              </w:rPr>
            </w:pPr>
          </w:p>
        </w:tc>
        <w:tc>
          <w:tcPr>
            <w:tcW w:w="5" w:type="pct"/>
            <w:shd w:val="clear" w:color="auto" w:fill="auto"/>
            <w:vAlign w:val="bottom"/>
          </w:tcPr>
          <w:p w14:paraId="5A1B0625" w14:textId="77777777" w:rsidR="00960BB8" w:rsidRDefault="00960BB8">
            <w:pPr>
              <w:rPr>
                <w:rFonts w:ascii="宋体"/>
              </w:rPr>
            </w:pPr>
          </w:p>
        </w:tc>
        <w:tc>
          <w:tcPr>
            <w:tcW w:w="5" w:type="pct"/>
            <w:shd w:val="clear" w:color="auto" w:fill="auto"/>
            <w:vAlign w:val="bottom"/>
          </w:tcPr>
          <w:p w14:paraId="5A1B0626" w14:textId="77777777" w:rsidR="00960BB8" w:rsidRDefault="00960BB8">
            <w:pPr>
              <w:rPr>
                <w:rFonts w:ascii="宋体"/>
              </w:rPr>
            </w:pPr>
          </w:p>
        </w:tc>
        <w:tc>
          <w:tcPr>
            <w:tcW w:w="24" w:type="pct"/>
            <w:shd w:val="clear" w:color="auto" w:fill="auto"/>
            <w:vAlign w:val="bottom"/>
          </w:tcPr>
          <w:p w14:paraId="5A1B0627" w14:textId="77777777" w:rsidR="00960BB8" w:rsidRDefault="00960BB8">
            <w:pPr>
              <w:rPr>
                <w:rFonts w:ascii="宋体"/>
              </w:rPr>
            </w:pPr>
          </w:p>
        </w:tc>
        <w:tc>
          <w:tcPr>
            <w:tcW w:w="5" w:type="pct"/>
            <w:shd w:val="clear" w:color="auto" w:fill="auto"/>
            <w:vAlign w:val="bottom"/>
          </w:tcPr>
          <w:p w14:paraId="5A1B0628" w14:textId="77777777" w:rsidR="00960BB8" w:rsidRDefault="00960BB8">
            <w:pPr>
              <w:rPr>
                <w:rFonts w:ascii="宋体"/>
              </w:rPr>
            </w:pPr>
          </w:p>
        </w:tc>
        <w:tc>
          <w:tcPr>
            <w:tcW w:w="50" w:type="pct"/>
            <w:shd w:val="clear" w:color="auto" w:fill="auto"/>
            <w:vAlign w:val="bottom"/>
          </w:tcPr>
          <w:p w14:paraId="5A1B0629" w14:textId="77777777" w:rsidR="00960BB8" w:rsidRDefault="00960BB8">
            <w:pPr>
              <w:rPr>
                <w:rFonts w:ascii="宋体"/>
              </w:rPr>
            </w:pPr>
          </w:p>
        </w:tc>
        <w:tc>
          <w:tcPr>
            <w:tcW w:w="539" w:type="pct"/>
            <w:shd w:val="clear" w:color="auto" w:fill="auto"/>
            <w:vAlign w:val="bottom"/>
          </w:tcPr>
          <w:p w14:paraId="5A1B062A" w14:textId="77777777" w:rsidR="00960BB8" w:rsidRDefault="00960BB8">
            <w:pPr>
              <w:rPr>
                <w:rFonts w:ascii="宋体"/>
              </w:rPr>
            </w:pPr>
          </w:p>
        </w:tc>
        <w:tc>
          <w:tcPr>
            <w:tcW w:w="5" w:type="pct"/>
            <w:shd w:val="clear" w:color="auto" w:fill="auto"/>
            <w:vAlign w:val="bottom"/>
          </w:tcPr>
          <w:p w14:paraId="5A1B062B" w14:textId="77777777" w:rsidR="00960BB8" w:rsidRDefault="00960BB8">
            <w:pPr>
              <w:rPr>
                <w:rFonts w:ascii="宋体"/>
              </w:rPr>
            </w:pPr>
          </w:p>
        </w:tc>
        <w:tc>
          <w:tcPr>
            <w:tcW w:w="5" w:type="pct"/>
            <w:shd w:val="clear" w:color="auto" w:fill="auto"/>
            <w:vAlign w:val="bottom"/>
          </w:tcPr>
          <w:p w14:paraId="5A1B062C" w14:textId="77777777" w:rsidR="00960BB8" w:rsidRDefault="00960BB8">
            <w:pPr>
              <w:rPr>
                <w:rFonts w:ascii="宋体"/>
              </w:rPr>
            </w:pPr>
          </w:p>
        </w:tc>
        <w:tc>
          <w:tcPr>
            <w:tcW w:w="24" w:type="pct"/>
            <w:shd w:val="clear" w:color="auto" w:fill="auto"/>
            <w:vAlign w:val="bottom"/>
          </w:tcPr>
          <w:p w14:paraId="5A1B062D" w14:textId="77777777" w:rsidR="00960BB8" w:rsidRDefault="00960BB8">
            <w:pPr>
              <w:rPr>
                <w:rFonts w:ascii="宋体"/>
              </w:rPr>
            </w:pPr>
          </w:p>
        </w:tc>
        <w:tc>
          <w:tcPr>
            <w:tcW w:w="5" w:type="pct"/>
            <w:shd w:val="clear" w:color="auto" w:fill="auto"/>
            <w:vAlign w:val="bottom"/>
          </w:tcPr>
          <w:p w14:paraId="5A1B062E" w14:textId="77777777" w:rsidR="00960BB8" w:rsidRDefault="00960BB8">
            <w:pPr>
              <w:rPr>
                <w:rFonts w:ascii="宋体"/>
              </w:rPr>
            </w:pPr>
          </w:p>
        </w:tc>
        <w:tc>
          <w:tcPr>
            <w:tcW w:w="50" w:type="pct"/>
            <w:shd w:val="clear" w:color="auto" w:fill="auto"/>
            <w:vAlign w:val="bottom"/>
          </w:tcPr>
          <w:p w14:paraId="5A1B062F" w14:textId="77777777" w:rsidR="00960BB8" w:rsidRDefault="00960BB8">
            <w:pPr>
              <w:rPr>
                <w:rFonts w:ascii="宋体"/>
              </w:rPr>
            </w:pPr>
          </w:p>
        </w:tc>
        <w:tc>
          <w:tcPr>
            <w:tcW w:w="539" w:type="pct"/>
            <w:shd w:val="clear" w:color="auto" w:fill="auto"/>
            <w:vAlign w:val="bottom"/>
          </w:tcPr>
          <w:p w14:paraId="5A1B0630" w14:textId="77777777" w:rsidR="00960BB8" w:rsidRDefault="00960BB8">
            <w:pPr>
              <w:rPr>
                <w:rFonts w:ascii="宋体"/>
              </w:rPr>
            </w:pPr>
          </w:p>
        </w:tc>
        <w:tc>
          <w:tcPr>
            <w:tcW w:w="5" w:type="pct"/>
            <w:shd w:val="clear" w:color="auto" w:fill="auto"/>
            <w:vAlign w:val="bottom"/>
          </w:tcPr>
          <w:p w14:paraId="5A1B0631" w14:textId="77777777" w:rsidR="00960BB8" w:rsidRDefault="00960BB8">
            <w:pPr>
              <w:rPr>
                <w:rFonts w:ascii="宋体"/>
              </w:rPr>
            </w:pPr>
          </w:p>
        </w:tc>
        <w:tc>
          <w:tcPr>
            <w:tcW w:w="5" w:type="pct"/>
            <w:shd w:val="clear" w:color="auto" w:fill="auto"/>
            <w:vAlign w:val="bottom"/>
          </w:tcPr>
          <w:p w14:paraId="5A1B0632" w14:textId="77777777" w:rsidR="00960BB8" w:rsidRDefault="00960BB8">
            <w:pPr>
              <w:rPr>
                <w:rFonts w:ascii="宋体"/>
              </w:rPr>
            </w:pPr>
          </w:p>
        </w:tc>
        <w:tc>
          <w:tcPr>
            <w:tcW w:w="24" w:type="pct"/>
            <w:shd w:val="clear" w:color="auto" w:fill="auto"/>
            <w:vAlign w:val="bottom"/>
          </w:tcPr>
          <w:p w14:paraId="5A1B0633" w14:textId="77777777" w:rsidR="00960BB8" w:rsidRDefault="00960BB8">
            <w:pPr>
              <w:rPr>
                <w:rFonts w:ascii="宋体"/>
              </w:rPr>
            </w:pPr>
          </w:p>
        </w:tc>
        <w:tc>
          <w:tcPr>
            <w:tcW w:w="5" w:type="pct"/>
            <w:shd w:val="clear" w:color="auto" w:fill="auto"/>
            <w:vAlign w:val="bottom"/>
          </w:tcPr>
          <w:p w14:paraId="5A1B0634" w14:textId="77777777" w:rsidR="00960BB8" w:rsidRDefault="00960BB8">
            <w:pPr>
              <w:rPr>
                <w:rFonts w:ascii="宋体"/>
              </w:rPr>
            </w:pPr>
          </w:p>
        </w:tc>
        <w:tc>
          <w:tcPr>
            <w:tcW w:w="50" w:type="pct"/>
            <w:shd w:val="clear" w:color="auto" w:fill="auto"/>
            <w:vAlign w:val="bottom"/>
          </w:tcPr>
          <w:p w14:paraId="5A1B0635" w14:textId="77777777" w:rsidR="00960BB8" w:rsidRDefault="00960BB8">
            <w:pPr>
              <w:rPr>
                <w:rFonts w:ascii="宋体"/>
              </w:rPr>
            </w:pPr>
          </w:p>
        </w:tc>
        <w:tc>
          <w:tcPr>
            <w:tcW w:w="539" w:type="pct"/>
            <w:shd w:val="clear" w:color="auto" w:fill="auto"/>
            <w:vAlign w:val="bottom"/>
          </w:tcPr>
          <w:p w14:paraId="5A1B0636" w14:textId="77777777" w:rsidR="00960BB8" w:rsidRDefault="00960BB8">
            <w:pPr>
              <w:rPr>
                <w:rFonts w:ascii="宋体"/>
              </w:rPr>
            </w:pPr>
          </w:p>
        </w:tc>
        <w:tc>
          <w:tcPr>
            <w:tcW w:w="5" w:type="pct"/>
            <w:shd w:val="clear" w:color="auto" w:fill="auto"/>
            <w:vAlign w:val="bottom"/>
          </w:tcPr>
          <w:p w14:paraId="5A1B0637" w14:textId="77777777" w:rsidR="00960BB8" w:rsidRDefault="00960BB8">
            <w:pPr>
              <w:rPr>
                <w:rFonts w:ascii="宋体"/>
              </w:rPr>
            </w:pPr>
          </w:p>
        </w:tc>
        <w:tc>
          <w:tcPr>
            <w:tcW w:w="5" w:type="pct"/>
            <w:shd w:val="clear" w:color="auto" w:fill="auto"/>
            <w:vAlign w:val="bottom"/>
          </w:tcPr>
          <w:p w14:paraId="5A1B0638" w14:textId="77777777" w:rsidR="00960BB8" w:rsidRDefault="00960BB8">
            <w:pPr>
              <w:rPr>
                <w:rFonts w:ascii="宋体"/>
              </w:rPr>
            </w:pPr>
          </w:p>
        </w:tc>
        <w:tc>
          <w:tcPr>
            <w:tcW w:w="24" w:type="pct"/>
            <w:shd w:val="clear" w:color="auto" w:fill="auto"/>
            <w:vAlign w:val="bottom"/>
          </w:tcPr>
          <w:p w14:paraId="5A1B0639" w14:textId="77777777" w:rsidR="00960BB8" w:rsidRDefault="00960BB8">
            <w:pPr>
              <w:rPr>
                <w:rFonts w:ascii="宋体"/>
              </w:rPr>
            </w:pPr>
          </w:p>
        </w:tc>
        <w:tc>
          <w:tcPr>
            <w:tcW w:w="5" w:type="pct"/>
            <w:shd w:val="clear" w:color="auto" w:fill="auto"/>
            <w:vAlign w:val="bottom"/>
          </w:tcPr>
          <w:p w14:paraId="5A1B063A" w14:textId="77777777" w:rsidR="00960BB8" w:rsidRDefault="00960BB8">
            <w:pPr>
              <w:rPr>
                <w:rFonts w:ascii="宋体"/>
              </w:rPr>
            </w:pPr>
          </w:p>
        </w:tc>
        <w:tc>
          <w:tcPr>
            <w:tcW w:w="50" w:type="pct"/>
            <w:shd w:val="clear" w:color="auto" w:fill="auto"/>
            <w:vAlign w:val="bottom"/>
          </w:tcPr>
          <w:p w14:paraId="5A1B063B" w14:textId="77777777" w:rsidR="00960BB8" w:rsidRDefault="00960BB8">
            <w:pPr>
              <w:rPr>
                <w:rFonts w:ascii="宋体"/>
              </w:rPr>
            </w:pPr>
          </w:p>
        </w:tc>
        <w:tc>
          <w:tcPr>
            <w:tcW w:w="539" w:type="pct"/>
            <w:shd w:val="clear" w:color="auto" w:fill="auto"/>
            <w:vAlign w:val="bottom"/>
          </w:tcPr>
          <w:p w14:paraId="5A1B063C" w14:textId="77777777" w:rsidR="00960BB8" w:rsidRDefault="00960BB8">
            <w:pPr>
              <w:rPr>
                <w:rFonts w:ascii="宋体"/>
              </w:rPr>
            </w:pPr>
          </w:p>
        </w:tc>
        <w:tc>
          <w:tcPr>
            <w:tcW w:w="5" w:type="pct"/>
            <w:shd w:val="clear" w:color="auto" w:fill="auto"/>
            <w:vAlign w:val="bottom"/>
          </w:tcPr>
          <w:p w14:paraId="5A1B063D" w14:textId="77777777" w:rsidR="00960BB8" w:rsidRDefault="00960BB8">
            <w:pPr>
              <w:rPr>
                <w:rFonts w:ascii="宋体"/>
              </w:rPr>
            </w:pPr>
          </w:p>
        </w:tc>
      </w:tr>
      <w:tr w:rsidR="00960BB8" w14:paraId="5A1B064A" w14:textId="77777777">
        <w:tc>
          <w:tcPr>
            <w:tcW w:w="0" w:type="auto"/>
            <w:gridSpan w:val="3"/>
            <w:shd w:val="clear" w:color="auto" w:fill="auto"/>
            <w:tcMar>
              <w:top w:w="40" w:type="dxa"/>
              <w:left w:w="20" w:type="dxa"/>
              <w:bottom w:w="40" w:type="dxa"/>
              <w:right w:w="20" w:type="dxa"/>
            </w:tcMar>
            <w:vAlign w:val="bottom"/>
          </w:tcPr>
          <w:p w14:paraId="5A1B063F" w14:textId="77777777" w:rsidR="00960BB8" w:rsidRDefault="00C06650">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5A1B064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641"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064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643"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064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645" w14:textId="77777777" w:rsidR="00960BB8" w:rsidRDefault="00C06650">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5A1B064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647" w14:textId="77777777" w:rsidR="00960BB8" w:rsidRDefault="00C06650">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vAlign w:val="bottom"/>
          </w:tcPr>
          <w:p w14:paraId="5A1B064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649" w14:textId="77777777" w:rsidR="00960BB8" w:rsidRDefault="00C06650">
            <w:pPr>
              <w:jc w:val="center"/>
              <w:textAlignment w:val="bottom"/>
            </w:pPr>
            <w:r>
              <w:rPr>
                <w:rFonts w:ascii="Arial" w:eastAsia="宋体" w:hAnsi="Arial" w:cs="Arial"/>
                <w:b/>
                <w:bCs/>
                <w:color w:val="262626"/>
                <w:sz w:val="18"/>
                <w:szCs w:val="18"/>
              </w:rPr>
              <w:t>Dec 29, 2018</w:t>
            </w:r>
          </w:p>
        </w:tc>
      </w:tr>
      <w:tr w:rsidR="00960BB8" w14:paraId="5A1B066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64B" w14:textId="77777777" w:rsidR="00960BB8" w:rsidRDefault="00C06650">
            <w:pPr>
              <w:textAlignment w:val="bottom"/>
            </w:pPr>
            <w:r>
              <w:rPr>
                <w:rFonts w:ascii="Arial" w:eastAsia="宋体" w:hAnsi="Arial" w:cs="Arial"/>
                <w:b/>
                <w:bCs/>
                <w:color w:val="262626"/>
                <w:sz w:val="18"/>
                <w:szCs w:val="18"/>
              </w:rPr>
              <w:t xml:space="preserve">Net cash provided by operating </w:t>
            </w:r>
            <w:r>
              <w:rPr>
                <w:rFonts w:ascii="Arial" w:eastAsia="宋体" w:hAnsi="Arial" w:cs="Arial"/>
                <w:b/>
                <w:bCs/>
                <w:color w:val="262626"/>
                <w:sz w:val="18"/>
                <w:szCs w:val="18"/>
              </w:rPr>
              <w:t>activities</w:t>
            </w:r>
          </w:p>
        </w:tc>
        <w:tc>
          <w:tcPr>
            <w:tcW w:w="0" w:type="auto"/>
            <w:gridSpan w:val="3"/>
            <w:shd w:val="clear" w:color="auto" w:fill="auto"/>
            <w:tcMar>
              <w:top w:w="0" w:type="dxa"/>
              <w:left w:w="20" w:type="dxa"/>
              <w:bottom w:w="0" w:type="dxa"/>
              <w:right w:w="20" w:type="dxa"/>
            </w:tcMar>
            <w:vAlign w:val="bottom"/>
          </w:tcPr>
          <w:p w14:paraId="5A1B064C"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64D"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64E" w14:textId="77777777" w:rsidR="00960BB8" w:rsidRDefault="00C06650">
            <w:pPr>
              <w:jc w:val="right"/>
              <w:textAlignment w:val="bottom"/>
            </w:pPr>
            <w:r>
              <w:rPr>
                <w:rFonts w:ascii="Arial" w:eastAsia="宋体" w:hAnsi="Arial" w:cs="Arial"/>
                <w:b/>
                <w:bCs/>
                <w:color w:val="0068B5"/>
                <w:sz w:val="18"/>
                <w:szCs w:val="18"/>
              </w:rPr>
              <w:t>15,433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64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50"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651"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652" w14:textId="77777777" w:rsidR="00960BB8" w:rsidRDefault="00C06650">
            <w:pPr>
              <w:jc w:val="right"/>
              <w:textAlignment w:val="bottom"/>
            </w:pPr>
            <w:r>
              <w:rPr>
                <w:rFonts w:ascii="Arial" w:eastAsia="宋体" w:hAnsi="Arial" w:cs="Arial"/>
                <w:b/>
                <w:bCs/>
                <w:color w:val="262626"/>
                <w:sz w:val="18"/>
                <w:szCs w:val="18"/>
              </w:rPr>
              <w:t>29,456</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65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54"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655"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656" w14:textId="77777777" w:rsidR="00960BB8" w:rsidRDefault="00C06650">
            <w:pPr>
              <w:jc w:val="right"/>
              <w:textAlignment w:val="bottom"/>
            </w:pPr>
            <w:r>
              <w:rPr>
                <w:rFonts w:ascii="Arial" w:eastAsia="宋体" w:hAnsi="Arial" w:cs="Arial"/>
                <w:b/>
                <w:bCs/>
                <w:color w:val="262626"/>
                <w:sz w:val="18"/>
                <w:szCs w:val="18"/>
              </w:rPr>
              <w:t>35,864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65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58"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65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65A" w14:textId="77777777" w:rsidR="00960BB8" w:rsidRDefault="00C06650">
            <w:pPr>
              <w:jc w:val="right"/>
              <w:textAlignment w:val="bottom"/>
            </w:pPr>
            <w:r>
              <w:rPr>
                <w:rFonts w:ascii="Arial" w:eastAsia="宋体" w:hAnsi="Arial" w:cs="Arial"/>
                <w:b/>
                <w:bCs/>
                <w:color w:val="262626"/>
                <w:sz w:val="18"/>
                <w:szCs w:val="18"/>
              </w:rPr>
              <w:t>32,618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65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5C"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65D"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65E" w14:textId="77777777" w:rsidR="00960BB8" w:rsidRDefault="00C06650">
            <w:pPr>
              <w:jc w:val="right"/>
              <w:textAlignment w:val="bottom"/>
            </w:pPr>
            <w:r>
              <w:rPr>
                <w:rFonts w:ascii="Arial" w:eastAsia="宋体" w:hAnsi="Arial" w:cs="Arial"/>
                <w:b/>
                <w:bCs/>
                <w:color w:val="262626"/>
                <w:sz w:val="18"/>
                <w:szCs w:val="18"/>
              </w:rPr>
              <w:t>29,757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65F" w14:textId="77777777" w:rsidR="00960BB8" w:rsidRDefault="00960BB8">
            <w:pPr>
              <w:jc w:val="right"/>
              <w:rPr>
                <w:rFonts w:ascii="宋体"/>
              </w:rPr>
            </w:pPr>
          </w:p>
        </w:tc>
      </w:tr>
      <w:tr w:rsidR="00960BB8" w14:paraId="5A1B0671" w14:textId="77777777">
        <w:tc>
          <w:tcPr>
            <w:tcW w:w="0" w:type="auto"/>
            <w:gridSpan w:val="3"/>
            <w:shd w:val="clear" w:color="auto" w:fill="auto"/>
            <w:tcMar>
              <w:top w:w="40" w:type="dxa"/>
              <w:left w:w="140" w:type="dxa"/>
              <w:bottom w:w="40" w:type="dxa"/>
              <w:right w:w="20" w:type="dxa"/>
            </w:tcMar>
            <w:vAlign w:val="bottom"/>
          </w:tcPr>
          <w:p w14:paraId="5A1B0661" w14:textId="77777777" w:rsidR="00960BB8" w:rsidRDefault="00C06650">
            <w:pPr>
              <w:textAlignment w:val="bottom"/>
            </w:pPr>
            <w:r>
              <w:rPr>
                <w:rFonts w:ascii="Arial" w:eastAsia="宋体" w:hAnsi="Arial" w:cs="Arial"/>
                <w:color w:val="262626"/>
                <w:sz w:val="18"/>
                <w:szCs w:val="18"/>
              </w:rPr>
              <w:t>Net additions to property, plant, and equipment</w:t>
            </w:r>
          </w:p>
        </w:tc>
        <w:tc>
          <w:tcPr>
            <w:tcW w:w="0" w:type="auto"/>
            <w:gridSpan w:val="3"/>
            <w:shd w:val="clear" w:color="auto" w:fill="auto"/>
            <w:tcMar>
              <w:top w:w="0" w:type="dxa"/>
              <w:left w:w="20" w:type="dxa"/>
              <w:bottom w:w="0" w:type="dxa"/>
              <w:right w:w="20" w:type="dxa"/>
            </w:tcMar>
            <w:vAlign w:val="bottom"/>
          </w:tcPr>
          <w:p w14:paraId="5A1B066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63" w14:textId="77777777" w:rsidR="00960BB8" w:rsidRDefault="00C06650">
            <w:pPr>
              <w:jc w:val="right"/>
              <w:textAlignment w:val="bottom"/>
            </w:pPr>
            <w:r>
              <w:rPr>
                <w:rFonts w:ascii="Arial" w:eastAsia="宋体" w:hAnsi="Arial" w:cs="Arial"/>
                <w:color w:val="0068B5"/>
                <w:sz w:val="18"/>
                <w:szCs w:val="18"/>
              </w:rPr>
              <w:t>(23,724)</w:t>
            </w:r>
          </w:p>
        </w:tc>
        <w:tc>
          <w:tcPr>
            <w:tcW w:w="0" w:type="auto"/>
            <w:shd w:val="clear" w:color="auto" w:fill="auto"/>
            <w:tcMar>
              <w:top w:w="40" w:type="dxa"/>
              <w:left w:w="0" w:type="dxa"/>
              <w:bottom w:w="40" w:type="dxa"/>
              <w:right w:w="20" w:type="dxa"/>
            </w:tcMar>
            <w:vAlign w:val="bottom"/>
          </w:tcPr>
          <w:p w14:paraId="5A1B066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6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66" w14:textId="77777777" w:rsidR="00960BB8" w:rsidRDefault="00C06650">
            <w:pPr>
              <w:jc w:val="right"/>
              <w:textAlignment w:val="bottom"/>
            </w:pPr>
            <w:r>
              <w:rPr>
                <w:rFonts w:ascii="Arial" w:eastAsia="宋体" w:hAnsi="Arial" w:cs="Arial"/>
                <w:color w:val="262626"/>
                <w:sz w:val="18"/>
                <w:szCs w:val="18"/>
              </w:rPr>
              <w:t>(18,567)</w:t>
            </w:r>
          </w:p>
        </w:tc>
        <w:tc>
          <w:tcPr>
            <w:tcW w:w="0" w:type="auto"/>
            <w:shd w:val="clear" w:color="auto" w:fill="auto"/>
            <w:tcMar>
              <w:top w:w="40" w:type="dxa"/>
              <w:left w:w="0" w:type="dxa"/>
              <w:bottom w:w="40" w:type="dxa"/>
              <w:right w:w="20" w:type="dxa"/>
            </w:tcMar>
            <w:vAlign w:val="bottom"/>
          </w:tcPr>
          <w:p w14:paraId="5A1B066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6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69" w14:textId="77777777" w:rsidR="00960BB8" w:rsidRDefault="00C06650">
            <w:pPr>
              <w:jc w:val="right"/>
              <w:textAlignment w:val="bottom"/>
            </w:pPr>
            <w:r>
              <w:rPr>
                <w:rFonts w:ascii="Arial" w:eastAsia="宋体" w:hAnsi="Arial" w:cs="Arial"/>
                <w:color w:val="262626"/>
                <w:sz w:val="18"/>
                <w:szCs w:val="18"/>
              </w:rPr>
              <w:t>(14,086)</w:t>
            </w:r>
          </w:p>
        </w:tc>
        <w:tc>
          <w:tcPr>
            <w:tcW w:w="0" w:type="auto"/>
            <w:shd w:val="clear" w:color="auto" w:fill="auto"/>
            <w:tcMar>
              <w:top w:w="40" w:type="dxa"/>
              <w:left w:w="0" w:type="dxa"/>
              <w:bottom w:w="40" w:type="dxa"/>
              <w:right w:w="20" w:type="dxa"/>
            </w:tcMar>
            <w:vAlign w:val="bottom"/>
          </w:tcPr>
          <w:p w14:paraId="5A1B066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6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6C" w14:textId="77777777" w:rsidR="00960BB8" w:rsidRDefault="00C06650">
            <w:pPr>
              <w:jc w:val="right"/>
              <w:textAlignment w:val="bottom"/>
            </w:pPr>
            <w:r>
              <w:rPr>
                <w:rFonts w:ascii="Arial" w:eastAsia="宋体" w:hAnsi="Arial" w:cs="Arial"/>
                <w:color w:val="262626"/>
                <w:sz w:val="18"/>
                <w:szCs w:val="18"/>
              </w:rPr>
              <w:t>(15,948)</w:t>
            </w:r>
          </w:p>
        </w:tc>
        <w:tc>
          <w:tcPr>
            <w:tcW w:w="0" w:type="auto"/>
            <w:shd w:val="clear" w:color="auto" w:fill="auto"/>
            <w:tcMar>
              <w:top w:w="40" w:type="dxa"/>
              <w:left w:w="0" w:type="dxa"/>
              <w:bottom w:w="40" w:type="dxa"/>
              <w:right w:w="20" w:type="dxa"/>
            </w:tcMar>
            <w:vAlign w:val="bottom"/>
          </w:tcPr>
          <w:p w14:paraId="5A1B066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6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6F" w14:textId="77777777" w:rsidR="00960BB8" w:rsidRDefault="00C06650">
            <w:pPr>
              <w:jc w:val="right"/>
              <w:textAlignment w:val="bottom"/>
            </w:pPr>
            <w:r>
              <w:rPr>
                <w:rFonts w:ascii="Arial" w:eastAsia="宋体" w:hAnsi="Arial" w:cs="Arial"/>
                <w:color w:val="262626"/>
                <w:sz w:val="18"/>
                <w:szCs w:val="18"/>
              </w:rPr>
              <w:t>(14,649)</w:t>
            </w:r>
          </w:p>
        </w:tc>
        <w:tc>
          <w:tcPr>
            <w:tcW w:w="0" w:type="auto"/>
            <w:shd w:val="clear" w:color="auto" w:fill="auto"/>
            <w:tcMar>
              <w:top w:w="40" w:type="dxa"/>
              <w:left w:w="0" w:type="dxa"/>
              <w:bottom w:w="40" w:type="dxa"/>
              <w:right w:w="20" w:type="dxa"/>
            </w:tcMar>
            <w:vAlign w:val="bottom"/>
          </w:tcPr>
          <w:p w14:paraId="5A1B0670" w14:textId="77777777" w:rsidR="00960BB8" w:rsidRDefault="00960BB8">
            <w:pPr>
              <w:jc w:val="right"/>
              <w:rPr>
                <w:rFonts w:ascii="宋体"/>
              </w:rPr>
            </w:pPr>
          </w:p>
        </w:tc>
      </w:tr>
      <w:tr w:rsidR="00960BB8" w14:paraId="5A1B0682" w14:textId="77777777">
        <w:tc>
          <w:tcPr>
            <w:tcW w:w="0" w:type="auto"/>
            <w:gridSpan w:val="3"/>
            <w:shd w:val="clear" w:color="auto" w:fill="auto"/>
            <w:tcMar>
              <w:top w:w="40" w:type="dxa"/>
              <w:left w:w="140" w:type="dxa"/>
              <w:bottom w:w="40" w:type="dxa"/>
              <w:right w:w="20" w:type="dxa"/>
            </w:tcMar>
            <w:vAlign w:val="bottom"/>
          </w:tcPr>
          <w:p w14:paraId="5A1B0672" w14:textId="77777777" w:rsidR="00960BB8" w:rsidRDefault="00C06650">
            <w:pPr>
              <w:textAlignment w:val="bottom"/>
            </w:pPr>
            <w:r>
              <w:rPr>
                <w:rFonts w:ascii="Arial" w:eastAsia="宋体" w:hAnsi="Arial" w:cs="Arial"/>
                <w:color w:val="262626"/>
                <w:sz w:val="18"/>
                <w:szCs w:val="18"/>
              </w:rPr>
              <w:t>Payments on finance leases</w:t>
            </w:r>
          </w:p>
        </w:tc>
        <w:tc>
          <w:tcPr>
            <w:tcW w:w="0" w:type="auto"/>
            <w:gridSpan w:val="3"/>
            <w:shd w:val="clear" w:color="auto" w:fill="auto"/>
            <w:tcMar>
              <w:top w:w="0" w:type="dxa"/>
              <w:left w:w="20" w:type="dxa"/>
              <w:bottom w:w="0" w:type="dxa"/>
              <w:right w:w="20" w:type="dxa"/>
            </w:tcMar>
            <w:vAlign w:val="bottom"/>
          </w:tcPr>
          <w:p w14:paraId="5A1B067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74" w14:textId="77777777" w:rsidR="00960BB8" w:rsidRDefault="00C06650">
            <w:pPr>
              <w:jc w:val="right"/>
              <w:textAlignment w:val="bottom"/>
            </w:pPr>
            <w:r>
              <w:rPr>
                <w:rFonts w:ascii="Arial" w:eastAsia="宋体" w:hAnsi="Arial" w:cs="Arial"/>
                <w:color w:val="0068B5"/>
                <w:sz w:val="18"/>
                <w:szCs w:val="18"/>
              </w:rPr>
              <w:t>(345)</w:t>
            </w:r>
          </w:p>
        </w:tc>
        <w:tc>
          <w:tcPr>
            <w:tcW w:w="0" w:type="auto"/>
            <w:shd w:val="clear" w:color="auto" w:fill="auto"/>
            <w:tcMar>
              <w:top w:w="40" w:type="dxa"/>
              <w:left w:w="0" w:type="dxa"/>
              <w:bottom w:w="40" w:type="dxa"/>
              <w:right w:w="20" w:type="dxa"/>
            </w:tcMar>
            <w:vAlign w:val="bottom"/>
          </w:tcPr>
          <w:p w14:paraId="5A1B067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7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77"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67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7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7A"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67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7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7D"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67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7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80"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681" w14:textId="77777777" w:rsidR="00960BB8" w:rsidRDefault="00960BB8">
            <w:pPr>
              <w:jc w:val="right"/>
              <w:rPr>
                <w:rFonts w:ascii="宋体"/>
              </w:rPr>
            </w:pPr>
          </w:p>
        </w:tc>
      </w:tr>
      <w:tr w:rsidR="00960BB8" w14:paraId="5A1B0693" w14:textId="77777777">
        <w:tc>
          <w:tcPr>
            <w:tcW w:w="0" w:type="auto"/>
            <w:gridSpan w:val="3"/>
            <w:shd w:val="clear" w:color="auto" w:fill="auto"/>
            <w:tcMar>
              <w:top w:w="40" w:type="dxa"/>
              <w:left w:w="140" w:type="dxa"/>
              <w:bottom w:w="40" w:type="dxa"/>
              <w:right w:w="20" w:type="dxa"/>
            </w:tcMar>
            <w:vAlign w:val="bottom"/>
          </w:tcPr>
          <w:p w14:paraId="5A1B0683" w14:textId="77777777" w:rsidR="00960BB8" w:rsidRDefault="00C06650">
            <w:pPr>
              <w:textAlignment w:val="bottom"/>
            </w:pPr>
            <w:r>
              <w:rPr>
                <w:rFonts w:ascii="Arial" w:eastAsia="宋体" w:hAnsi="Arial" w:cs="Arial"/>
                <w:color w:val="262626"/>
                <w:sz w:val="18"/>
                <w:szCs w:val="18"/>
              </w:rPr>
              <w:t>Sale of equity investment</w:t>
            </w:r>
          </w:p>
        </w:tc>
        <w:tc>
          <w:tcPr>
            <w:tcW w:w="0" w:type="auto"/>
            <w:gridSpan w:val="3"/>
            <w:shd w:val="clear" w:color="auto" w:fill="auto"/>
            <w:tcMar>
              <w:top w:w="0" w:type="dxa"/>
              <w:left w:w="20" w:type="dxa"/>
              <w:bottom w:w="0" w:type="dxa"/>
              <w:right w:w="20" w:type="dxa"/>
            </w:tcMar>
            <w:vAlign w:val="bottom"/>
          </w:tcPr>
          <w:p w14:paraId="5A1B068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85" w14:textId="77777777" w:rsidR="00960BB8" w:rsidRDefault="00C06650">
            <w:pPr>
              <w:jc w:val="right"/>
              <w:textAlignment w:val="bottom"/>
            </w:pPr>
            <w:r>
              <w:rPr>
                <w:rFonts w:ascii="Arial" w:eastAsia="宋体" w:hAnsi="Arial" w:cs="Arial"/>
                <w:color w:val="0068B5"/>
                <w:sz w:val="18"/>
                <w:szCs w:val="18"/>
              </w:rPr>
              <w:t>4,561 </w:t>
            </w:r>
          </w:p>
        </w:tc>
        <w:tc>
          <w:tcPr>
            <w:tcW w:w="0" w:type="auto"/>
            <w:shd w:val="clear" w:color="auto" w:fill="auto"/>
            <w:tcMar>
              <w:top w:w="40" w:type="dxa"/>
              <w:left w:w="0" w:type="dxa"/>
              <w:bottom w:w="40" w:type="dxa"/>
              <w:right w:w="20" w:type="dxa"/>
            </w:tcMar>
            <w:vAlign w:val="bottom"/>
          </w:tcPr>
          <w:p w14:paraId="5A1B068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8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88"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68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8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8B"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68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8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8E"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68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9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691"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692" w14:textId="77777777" w:rsidR="00960BB8" w:rsidRDefault="00960BB8">
            <w:pPr>
              <w:jc w:val="right"/>
              <w:rPr>
                <w:rFonts w:ascii="宋体"/>
              </w:rPr>
            </w:pPr>
          </w:p>
        </w:tc>
      </w:tr>
      <w:tr w:rsidR="00960BB8" w14:paraId="5A1B069F" w14:textId="77777777">
        <w:trPr>
          <w:hidden/>
        </w:trPr>
        <w:tc>
          <w:tcPr>
            <w:tcW w:w="0" w:type="auto"/>
            <w:gridSpan w:val="3"/>
            <w:shd w:val="clear" w:color="auto" w:fill="auto"/>
            <w:vAlign w:val="bottom"/>
          </w:tcPr>
          <w:p w14:paraId="5A1B0694" w14:textId="77777777" w:rsidR="00960BB8" w:rsidRDefault="00960BB8">
            <w:pPr>
              <w:rPr>
                <w:rFonts w:ascii="宋体"/>
                <w:vanish/>
              </w:rPr>
            </w:pPr>
          </w:p>
        </w:tc>
        <w:tc>
          <w:tcPr>
            <w:tcW w:w="0" w:type="auto"/>
            <w:gridSpan w:val="3"/>
            <w:shd w:val="clear" w:color="auto" w:fill="auto"/>
            <w:vAlign w:val="bottom"/>
          </w:tcPr>
          <w:p w14:paraId="5A1B0695" w14:textId="77777777" w:rsidR="00960BB8" w:rsidRDefault="00960BB8">
            <w:pPr>
              <w:rPr>
                <w:rFonts w:ascii="宋体"/>
                <w:vanish/>
              </w:rPr>
            </w:pPr>
          </w:p>
        </w:tc>
        <w:tc>
          <w:tcPr>
            <w:tcW w:w="0" w:type="auto"/>
            <w:gridSpan w:val="3"/>
            <w:shd w:val="clear" w:color="auto" w:fill="auto"/>
            <w:vAlign w:val="bottom"/>
          </w:tcPr>
          <w:p w14:paraId="5A1B0696" w14:textId="77777777" w:rsidR="00960BB8" w:rsidRDefault="00960BB8">
            <w:pPr>
              <w:rPr>
                <w:rFonts w:ascii="宋体"/>
                <w:vanish/>
              </w:rPr>
            </w:pPr>
          </w:p>
        </w:tc>
        <w:tc>
          <w:tcPr>
            <w:tcW w:w="0" w:type="auto"/>
            <w:gridSpan w:val="3"/>
            <w:shd w:val="clear" w:color="auto" w:fill="auto"/>
            <w:vAlign w:val="bottom"/>
          </w:tcPr>
          <w:p w14:paraId="5A1B0697" w14:textId="77777777" w:rsidR="00960BB8" w:rsidRDefault="00960BB8">
            <w:pPr>
              <w:rPr>
                <w:rFonts w:ascii="宋体"/>
                <w:vanish/>
              </w:rPr>
            </w:pPr>
          </w:p>
        </w:tc>
        <w:tc>
          <w:tcPr>
            <w:tcW w:w="0" w:type="auto"/>
            <w:gridSpan w:val="3"/>
            <w:shd w:val="clear" w:color="auto" w:fill="auto"/>
            <w:vAlign w:val="bottom"/>
          </w:tcPr>
          <w:p w14:paraId="5A1B0698" w14:textId="77777777" w:rsidR="00960BB8" w:rsidRDefault="00960BB8">
            <w:pPr>
              <w:rPr>
                <w:rFonts w:ascii="宋体"/>
                <w:vanish/>
              </w:rPr>
            </w:pPr>
          </w:p>
        </w:tc>
        <w:tc>
          <w:tcPr>
            <w:tcW w:w="0" w:type="auto"/>
            <w:gridSpan w:val="3"/>
            <w:shd w:val="clear" w:color="auto" w:fill="auto"/>
            <w:vAlign w:val="bottom"/>
          </w:tcPr>
          <w:p w14:paraId="5A1B0699" w14:textId="77777777" w:rsidR="00960BB8" w:rsidRDefault="00960BB8">
            <w:pPr>
              <w:rPr>
                <w:rFonts w:ascii="宋体"/>
                <w:vanish/>
              </w:rPr>
            </w:pPr>
          </w:p>
        </w:tc>
        <w:tc>
          <w:tcPr>
            <w:tcW w:w="0" w:type="auto"/>
            <w:gridSpan w:val="3"/>
            <w:shd w:val="clear" w:color="auto" w:fill="auto"/>
            <w:vAlign w:val="bottom"/>
          </w:tcPr>
          <w:p w14:paraId="5A1B069A" w14:textId="77777777" w:rsidR="00960BB8" w:rsidRDefault="00960BB8">
            <w:pPr>
              <w:rPr>
                <w:rFonts w:ascii="宋体"/>
                <w:vanish/>
              </w:rPr>
            </w:pPr>
          </w:p>
        </w:tc>
        <w:tc>
          <w:tcPr>
            <w:tcW w:w="0" w:type="auto"/>
            <w:gridSpan w:val="3"/>
            <w:shd w:val="clear" w:color="auto" w:fill="auto"/>
            <w:vAlign w:val="bottom"/>
          </w:tcPr>
          <w:p w14:paraId="5A1B069B" w14:textId="77777777" w:rsidR="00960BB8" w:rsidRDefault="00960BB8">
            <w:pPr>
              <w:rPr>
                <w:rFonts w:ascii="宋体"/>
                <w:vanish/>
              </w:rPr>
            </w:pPr>
          </w:p>
        </w:tc>
        <w:tc>
          <w:tcPr>
            <w:tcW w:w="0" w:type="auto"/>
            <w:gridSpan w:val="3"/>
            <w:shd w:val="clear" w:color="auto" w:fill="auto"/>
            <w:vAlign w:val="bottom"/>
          </w:tcPr>
          <w:p w14:paraId="5A1B069C" w14:textId="77777777" w:rsidR="00960BB8" w:rsidRDefault="00960BB8">
            <w:pPr>
              <w:rPr>
                <w:rFonts w:ascii="宋体"/>
                <w:vanish/>
              </w:rPr>
            </w:pPr>
          </w:p>
        </w:tc>
        <w:tc>
          <w:tcPr>
            <w:tcW w:w="0" w:type="auto"/>
            <w:gridSpan w:val="3"/>
            <w:shd w:val="clear" w:color="auto" w:fill="auto"/>
            <w:vAlign w:val="bottom"/>
          </w:tcPr>
          <w:p w14:paraId="5A1B069D" w14:textId="77777777" w:rsidR="00960BB8" w:rsidRDefault="00960BB8">
            <w:pPr>
              <w:rPr>
                <w:rFonts w:ascii="宋体"/>
                <w:vanish/>
              </w:rPr>
            </w:pPr>
          </w:p>
        </w:tc>
        <w:tc>
          <w:tcPr>
            <w:tcW w:w="0" w:type="auto"/>
            <w:gridSpan w:val="3"/>
            <w:shd w:val="clear" w:color="auto" w:fill="auto"/>
            <w:vAlign w:val="bottom"/>
          </w:tcPr>
          <w:p w14:paraId="5A1B069E" w14:textId="77777777" w:rsidR="00960BB8" w:rsidRDefault="00960BB8">
            <w:pPr>
              <w:rPr>
                <w:rFonts w:ascii="宋体"/>
                <w:vanish/>
              </w:rPr>
            </w:pPr>
          </w:p>
        </w:tc>
      </w:tr>
      <w:tr w:rsidR="00960BB8" w14:paraId="5A1B06B5" w14:textId="77777777">
        <w:tc>
          <w:tcPr>
            <w:tcW w:w="0" w:type="auto"/>
            <w:gridSpan w:val="3"/>
            <w:shd w:val="clear" w:color="auto" w:fill="auto"/>
            <w:tcMar>
              <w:top w:w="40" w:type="dxa"/>
              <w:left w:w="20" w:type="dxa"/>
              <w:bottom w:w="40" w:type="dxa"/>
              <w:right w:w="20" w:type="dxa"/>
            </w:tcMar>
            <w:vAlign w:val="bottom"/>
          </w:tcPr>
          <w:p w14:paraId="5A1B06A0" w14:textId="77777777" w:rsidR="00960BB8" w:rsidRDefault="00C06650">
            <w:pPr>
              <w:textAlignment w:val="bottom"/>
            </w:pPr>
            <w:r>
              <w:rPr>
                <w:rFonts w:ascii="Arial" w:eastAsia="宋体" w:hAnsi="Arial" w:cs="Arial"/>
                <w:b/>
                <w:bCs/>
                <w:color w:val="262626"/>
                <w:sz w:val="18"/>
                <w:szCs w:val="18"/>
              </w:rPr>
              <w:t>Adjusted free cash flow</w:t>
            </w:r>
          </w:p>
        </w:tc>
        <w:tc>
          <w:tcPr>
            <w:tcW w:w="0" w:type="auto"/>
            <w:gridSpan w:val="3"/>
            <w:shd w:val="clear" w:color="auto" w:fill="auto"/>
            <w:tcMar>
              <w:top w:w="0" w:type="dxa"/>
              <w:left w:w="20" w:type="dxa"/>
              <w:bottom w:w="0" w:type="dxa"/>
              <w:right w:w="20" w:type="dxa"/>
            </w:tcMar>
            <w:vAlign w:val="bottom"/>
          </w:tcPr>
          <w:p w14:paraId="5A1B06A1" w14:textId="77777777" w:rsidR="00960BB8" w:rsidRDefault="00960BB8">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A1B06A2"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A1B06A3" w14:textId="77777777" w:rsidR="00960BB8" w:rsidRDefault="00C06650">
            <w:pPr>
              <w:jc w:val="right"/>
              <w:textAlignment w:val="bottom"/>
            </w:pPr>
            <w:r>
              <w:rPr>
                <w:rFonts w:ascii="Arial" w:eastAsia="宋体" w:hAnsi="Arial" w:cs="Arial"/>
                <w:b/>
                <w:bCs/>
                <w:color w:val="0068B5"/>
                <w:sz w:val="18"/>
                <w:szCs w:val="18"/>
              </w:rPr>
              <w:t>(4,075)</w:t>
            </w:r>
          </w:p>
        </w:tc>
        <w:tc>
          <w:tcPr>
            <w:tcW w:w="0" w:type="auto"/>
            <w:tcBorders>
              <w:top w:val="single" w:sz="8" w:space="0" w:color="000000"/>
            </w:tcBorders>
            <w:shd w:val="clear" w:color="auto" w:fill="auto"/>
            <w:tcMar>
              <w:top w:w="40" w:type="dxa"/>
              <w:left w:w="0" w:type="dxa"/>
              <w:bottom w:w="40" w:type="dxa"/>
              <w:right w:w="20" w:type="dxa"/>
            </w:tcMar>
            <w:vAlign w:val="bottom"/>
          </w:tcPr>
          <w:p w14:paraId="5A1B06A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A5" w14:textId="77777777" w:rsidR="00960BB8" w:rsidRDefault="00960BB8">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A1B06A6" w14:textId="77777777" w:rsidR="00960BB8" w:rsidRDefault="00C0665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A1B06A7" w14:textId="77777777" w:rsidR="00960BB8" w:rsidRDefault="00C06650">
            <w:pPr>
              <w:jc w:val="right"/>
              <w:textAlignment w:val="bottom"/>
            </w:pPr>
            <w:r>
              <w:rPr>
                <w:rFonts w:ascii="Arial" w:eastAsia="宋体" w:hAnsi="Arial" w:cs="Arial"/>
                <w:b/>
                <w:bCs/>
                <w:color w:val="000000"/>
                <w:sz w:val="18"/>
                <w:szCs w:val="18"/>
              </w:rPr>
              <w:t>10,889</w:t>
            </w:r>
            <w:r>
              <w:rPr>
                <w:rFonts w:ascii="Arial" w:eastAsia="宋体" w:hAnsi="Arial" w:cs="Arial"/>
                <w:color w:val="000000"/>
                <w:sz w:val="18"/>
                <w:szCs w:val="18"/>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A1B06A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A9" w14:textId="77777777" w:rsidR="00960BB8" w:rsidRDefault="00960BB8">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A1B06AA" w14:textId="77777777" w:rsidR="00960BB8" w:rsidRDefault="00C0665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A1B06AB" w14:textId="77777777" w:rsidR="00960BB8" w:rsidRDefault="00C06650">
            <w:pPr>
              <w:jc w:val="right"/>
              <w:textAlignment w:val="bottom"/>
            </w:pPr>
            <w:r>
              <w:rPr>
                <w:rFonts w:ascii="Arial" w:eastAsia="宋体" w:hAnsi="Arial" w:cs="Arial"/>
                <w:b/>
                <w:bCs/>
                <w:color w:val="000000"/>
                <w:sz w:val="18"/>
                <w:szCs w:val="18"/>
              </w:rPr>
              <w:t>21,778</w:t>
            </w:r>
            <w:r>
              <w:rPr>
                <w:rFonts w:ascii="Arial" w:eastAsia="宋体" w:hAnsi="Arial" w:cs="Arial"/>
                <w:color w:val="000000"/>
                <w:sz w:val="18"/>
                <w:szCs w:val="18"/>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A1B06A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AD" w14:textId="77777777" w:rsidR="00960BB8" w:rsidRDefault="00960BB8">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A1B06AE" w14:textId="77777777" w:rsidR="00960BB8" w:rsidRDefault="00C0665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A1B06AF" w14:textId="77777777" w:rsidR="00960BB8" w:rsidRDefault="00C06650">
            <w:pPr>
              <w:jc w:val="right"/>
              <w:textAlignment w:val="bottom"/>
            </w:pPr>
            <w:r>
              <w:rPr>
                <w:rFonts w:ascii="Arial" w:eastAsia="宋体" w:hAnsi="Arial" w:cs="Arial"/>
                <w:b/>
                <w:bCs/>
                <w:color w:val="000000"/>
                <w:sz w:val="18"/>
                <w:szCs w:val="18"/>
              </w:rPr>
              <w:t>16,670</w:t>
            </w:r>
            <w:r>
              <w:rPr>
                <w:rFonts w:ascii="Arial" w:eastAsia="宋体" w:hAnsi="Arial" w:cs="Arial"/>
                <w:color w:val="000000"/>
                <w:sz w:val="18"/>
                <w:szCs w:val="18"/>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A1B06B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B1" w14:textId="77777777" w:rsidR="00960BB8" w:rsidRDefault="00960BB8">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A1B06B2" w14:textId="77777777" w:rsidR="00960BB8" w:rsidRDefault="00C0665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A1B06B3" w14:textId="77777777" w:rsidR="00960BB8" w:rsidRDefault="00C06650">
            <w:pPr>
              <w:jc w:val="right"/>
              <w:textAlignment w:val="bottom"/>
            </w:pPr>
            <w:r>
              <w:rPr>
                <w:rFonts w:ascii="Arial" w:eastAsia="宋体" w:hAnsi="Arial" w:cs="Arial"/>
                <w:b/>
                <w:bCs/>
                <w:color w:val="000000"/>
                <w:sz w:val="18"/>
                <w:szCs w:val="18"/>
              </w:rPr>
              <w:t>15,108</w:t>
            </w:r>
            <w:r>
              <w:rPr>
                <w:rFonts w:ascii="Arial" w:eastAsia="宋体" w:hAnsi="Arial" w:cs="Arial"/>
                <w:color w:val="000000"/>
                <w:sz w:val="18"/>
                <w:szCs w:val="18"/>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A1B06B4" w14:textId="77777777" w:rsidR="00960BB8" w:rsidRDefault="00960BB8">
            <w:pPr>
              <w:jc w:val="right"/>
              <w:rPr>
                <w:rFonts w:ascii="宋体"/>
              </w:rPr>
            </w:pPr>
          </w:p>
        </w:tc>
      </w:tr>
      <w:tr w:rsidR="00960BB8" w14:paraId="5A1B06C1" w14:textId="77777777">
        <w:trPr>
          <w:trHeight w:val="60"/>
        </w:trPr>
        <w:tc>
          <w:tcPr>
            <w:tcW w:w="0" w:type="auto"/>
            <w:gridSpan w:val="3"/>
            <w:shd w:val="clear" w:color="auto" w:fill="auto"/>
            <w:tcMar>
              <w:top w:w="0" w:type="dxa"/>
              <w:left w:w="20" w:type="dxa"/>
              <w:bottom w:w="0" w:type="dxa"/>
              <w:right w:w="20" w:type="dxa"/>
            </w:tcMar>
            <w:vAlign w:val="bottom"/>
          </w:tcPr>
          <w:p w14:paraId="5A1B06B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6B7" w14:textId="77777777" w:rsidR="00960BB8" w:rsidRDefault="00960BB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A1B06B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6B9" w14:textId="77777777" w:rsidR="00960BB8" w:rsidRDefault="00960BB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A1B06B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6BB" w14:textId="77777777" w:rsidR="00960BB8" w:rsidRDefault="00960BB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A1B06B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6BD" w14:textId="77777777" w:rsidR="00960BB8" w:rsidRDefault="00960BB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A1B06B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6BF" w14:textId="77777777" w:rsidR="00960BB8" w:rsidRDefault="00960BB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A1B06C0" w14:textId="77777777" w:rsidR="00960BB8" w:rsidRDefault="00960BB8">
            <w:pPr>
              <w:rPr>
                <w:rFonts w:ascii="宋体"/>
              </w:rPr>
            </w:pPr>
          </w:p>
        </w:tc>
      </w:tr>
      <w:tr w:rsidR="00960BB8" w14:paraId="5A1B06D7" w14:textId="77777777">
        <w:tc>
          <w:tcPr>
            <w:tcW w:w="0" w:type="auto"/>
            <w:gridSpan w:val="3"/>
            <w:shd w:val="clear" w:color="auto" w:fill="auto"/>
            <w:tcMar>
              <w:top w:w="40" w:type="dxa"/>
              <w:left w:w="20" w:type="dxa"/>
              <w:bottom w:w="40" w:type="dxa"/>
              <w:right w:w="20" w:type="dxa"/>
            </w:tcMar>
            <w:vAlign w:val="bottom"/>
          </w:tcPr>
          <w:p w14:paraId="5A1B06C2" w14:textId="77777777" w:rsidR="00960BB8" w:rsidRDefault="00C06650">
            <w:pPr>
              <w:textAlignment w:val="bottom"/>
            </w:pPr>
            <w:r>
              <w:rPr>
                <w:rFonts w:ascii="Arial" w:eastAsia="宋体" w:hAnsi="Arial" w:cs="Arial"/>
                <w:b/>
                <w:bCs/>
                <w:color w:val="262626"/>
                <w:sz w:val="18"/>
                <w:szCs w:val="18"/>
              </w:rPr>
              <w:t xml:space="preserve">Net cash used for </w:t>
            </w:r>
            <w:r>
              <w:rPr>
                <w:rFonts w:ascii="Arial" w:eastAsia="宋体" w:hAnsi="Arial" w:cs="Arial"/>
                <w:b/>
                <w:bCs/>
                <w:color w:val="262626"/>
                <w:sz w:val="18"/>
                <w:szCs w:val="18"/>
              </w:rPr>
              <w:t>investing activities</w:t>
            </w:r>
          </w:p>
        </w:tc>
        <w:tc>
          <w:tcPr>
            <w:tcW w:w="0" w:type="auto"/>
            <w:gridSpan w:val="3"/>
            <w:shd w:val="clear" w:color="auto" w:fill="auto"/>
            <w:tcMar>
              <w:top w:w="0" w:type="dxa"/>
              <w:left w:w="20" w:type="dxa"/>
              <w:bottom w:w="0" w:type="dxa"/>
              <w:right w:w="20" w:type="dxa"/>
            </w:tcMar>
            <w:vAlign w:val="bottom"/>
          </w:tcPr>
          <w:p w14:paraId="5A1B06C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6C4" w14:textId="77777777" w:rsidR="00960BB8" w:rsidRDefault="00C06650">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A1B06C5" w14:textId="77777777" w:rsidR="00960BB8" w:rsidRDefault="00C06650">
            <w:pPr>
              <w:jc w:val="right"/>
              <w:textAlignment w:val="bottom"/>
            </w:pPr>
            <w:r>
              <w:rPr>
                <w:rFonts w:ascii="Arial" w:eastAsia="宋体" w:hAnsi="Arial" w:cs="Arial"/>
                <w:b/>
                <w:bCs/>
                <w:color w:val="0068B5"/>
                <w:sz w:val="18"/>
                <w:szCs w:val="18"/>
              </w:rPr>
              <w:t>(10,477)</w:t>
            </w:r>
          </w:p>
        </w:tc>
        <w:tc>
          <w:tcPr>
            <w:tcW w:w="0" w:type="auto"/>
            <w:shd w:val="clear" w:color="auto" w:fill="auto"/>
            <w:tcMar>
              <w:top w:w="40" w:type="dxa"/>
              <w:left w:w="0" w:type="dxa"/>
              <w:bottom w:w="40" w:type="dxa"/>
              <w:right w:w="20" w:type="dxa"/>
            </w:tcMar>
            <w:vAlign w:val="bottom"/>
          </w:tcPr>
          <w:p w14:paraId="5A1B06C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C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6C8"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6C9" w14:textId="77777777" w:rsidR="00960BB8" w:rsidRDefault="00C06650">
            <w:pPr>
              <w:jc w:val="right"/>
              <w:textAlignment w:val="bottom"/>
            </w:pPr>
            <w:r>
              <w:rPr>
                <w:rFonts w:ascii="Arial" w:eastAsia="宋体" w:hAnsi="Arial" w:cs="Arial"/>
                <w:b/>
                <w:bCs/>
                <w:color w:val="262626"/>
                <w:sz w:val="18"/>
                <w:szCs w:val="18"/>
              </w:rPr>
              <w:t>(24,449)</w:t>
            </w:r>
          </w:p>
        </w:tc>
        <w:tc>
          <w:tcPr>
            <w:tcW w:w="0" w:type="auto"/>
            <w:shd w:val="clear" w:color="auto" w:fill="auto"/>
            <w:tcMar>
              <w:top w:w="40" w:type="dxa"/>
              <w:left w:w="0" w:type="dxa"/>
              <w:bottom w:w="40" w:type="dxa"/>
              <w:right w:w="20" w:type="dxa"/>
            </w:tcMar>
            <w:vAlign w:val="bottom"/>
          </w:tcPr>
          <w:p w14:paraId="5A1B06C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C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6CC"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6CD" w14:textId="77777777" w:rsidR="00960BB8" w:rsidRDefault="00C06650">
            <w:pPr>
              <w:jc w:val="right"/>
              <w:textAlignment w:val="bottom"/>
            </w:pPr>
            <w:r>
              <w:rPr>
                <w:rFonts w:ascii="Arial" w:eastAsia="宋体" w:hAnsi="Arial" w:cs="Arial"/>
                <w:b/>
                <w:bCs/>
                <w:color w:val="262626"/>
                <w:sz w:val="18"/>
                <w:szCs w:val="18"/>
              </w:rPr>
              <w:t>(21,524)</w:t>
            </w:r>
          </w:p>
        </w:tc>
        <w:tc>
          <w:tcPr>
            <w:tcW w:w="0" w:type="auto"/>
            <w:shd w:val="clear" w:color="auto" w:fill="auto"/>
            <w:tcMar>
              <w:top w:w="40" w:type="dxa"/>
              <w:left w:w="0" w:type="dxa"/>
              <w:bottom w:w="40" w:type="dxa"/>
              <w:right w:w="20" w:type="dxa"/>
            </w:tcMar>
            <w:vAlign w:val="bottom"/>
          </w:tcPr>
          <w:p w14:paraId="5A1B06C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C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6D0"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6D1" w14:textId="77777777" w:rsidR="00960BB8" w:rsidRDefault="00C06650">
            <w:pPr>
              <w:jc w:val="right"/>
              <w:textAlignment w:val="bottom"/>
            </w:pPr>
            <w:r>
              <w:rPr>
                <w:rFonts w:ascii="Arial" w:eastAsia="宋体" w:hAnsi="Arial" w:cs="Arial"/>
                <w:b/>
                <w:bCs/>
                <w:color w:val="262626"/>
                <w:sz w:val="18"/>
                <w:szCs w:val="18"/>
              </w:rPr>
              <w:t>(13,579)</w:t>
            </w:r>
          </w:p>
        </w:tc>
        <w:tc>
          <w:tcPr>
            <w:tcW w:w="0" w:type="auto"/>
            <w:shd w:val="clear" w:color="auto" w:fill="auto"/>
            <w:tcMar>
              <w:top w:w="40" w:type="dxa"/>
              <w:left w:w="0" w:type="dxa"/>
              <w:bottom w:w="40" w:type="dxa"/>
              <w:right w:w="20" w:type="dxa"/>
            </w:tcMar>
            <w:vAlign w:val="bottom"/>
          </w:tcPr>
          <w:p w14:paraId="5A1B06D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D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6D4"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6D5" w14:textId="77777777" w:rsidR="00960BB8" w:rsidRDefault="00C06650">
            <w:pPr>
              <w:jc w:val="right"/>
              <w:textAlignment w:val="bottom"/>
            </w:pPr>
            <w:r>
              <w:rPr>
                <w:rFonts w:ascii="Arial" w:eastAsia="宋体" w:hAnsi="Arial" w:cs="Arial"/>
                <w:b/>
                <w:bCs/>
                <w:color w:val="262626"/>
                <w:sz w:val="18"/>
                <w:szCs w:val="18"/>
              </w:rPr>
              <w:t>(11,638)</w:t>
            </w:r>
          </w:p>
        </w:tc>
        <w:tc>
          <w:tcPr>
            <w:tcW w:w="0" w:type="auto"/>
            <w:shd w:val="clear" w:color="auto" w:fill="auto"/>
            <w:tcMar>
              <w:top w:w="40" w:type="dxa"/>
              <w:left w:w="0" w:type="dxa"/>
              <w:bottom w:w="40" w:type="dxa"/>
              <w:right w:w="20" w:type="dxa"/>
            </w:tcMar>
            <w:vAlign w:val="bottom"/>
          </w:tcPr>
          <w:p w14:paraId="5A1B06D6" w14:textId="77777777" w:rsidR="00960BB8" w:rsidRDefault="00960BB8">
            <w:pPr>
              <w:jc w:val="right"/>
              <w:rPr>
                <w:rFonts w:ascii="宋体"/>
              </w:rPr>
            </w:pPr>
          </w:p>
        </w:tc>
      </w:tr>
      <w:tr w:rsidR="00960BB8" w14:paraId="5A1B06ED" w14:textId="77777777">
        <w:tc>
          <w:tcPr>
            <w:tcW w:w="0" w:type="auto"/>
            <w:gridSpan w:val="3"/>
            <w:shd w:val="clear" w:color="auto" w:fill="auto"/>
            <w:tcMar>
              <w:top w:w="40" w:type="dxa"/>
              <w:left w:w="20" w:type="dxa"/>
              <w:bottom w:w="40" w:type="dxa"/>
              <w:right w:w="20" w:type="dxa"/>
            </w:tcMar>
            <w:vAlign w:val="bottom"/>
          </w:tcPr>
          <w:p w14:paraId="5A1B06D8" w14:textId="77777777" w:rsidR="00960BB8" w:rsidRDefault="00C06650">
            <w:pPr>
              <w:textAlignment w:val="bottom"/>
            </w:pPr>
            <w:r>
              <w:rPr>
                <w:rFonts w:ascii="Arial" w:eastAsia="宋体" w:hAnsi="Arial" w:cs="Arial"/>
                <w:b/>
                <w:bCs/>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5A1B06D9"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6DA" w14:textId="77777777" w:rsidR="00960BB8" w:rsidRDefault="00C06650">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A1B06DB" w14:textId="77777777" w:rsidR="00960BB8" w:rsidRDefault="00C06650">
            <w:pPr>
              <w:jc w:val="right"/>
              <w:textAlignment w:val="bottom"/>
            </w:pPr>
            <w:r>
              <w:rPr>
                <w:rFonts w:ascii="Arial" w:eastAsia="宋体" w:hAnsi="Arial" w:cs="Arial"/>
                <w:b/>
                <w:bCs/>
                <w:color w:val="0068B5"/>
                <w:sz w:val="18"/>
                <w:szCs w:val="18"/>
              </w:rPr>
              <w:t>1,361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6D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DD"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6DE"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6DF" w14:textId="77777777" w:rsidR="00960BB8" w:rsidRDefault="00C06650">
            <w:pPr>
              <w:jc w:val="right"/>
              <w:textAlignment w:val="bottom"/>
            </w:pPr>
            <w:r>
              <w:rPr>
                <w:rFonts w:ascii="Arial" w:eastAsia="宋体" w:hAnsi="Arial" w:cs="Arial"/>
                <w:b/>
                <w:bCs/>
                <w:color w:val="262626"/>
                <w:sz w:val="18"/>
                <w:szCs w:val="18"/>
              </w:rPr>
              <w:t>(6,045)</w:t>
            </w:r>
          </w:p>
        </w:tc>
        <w:tc>
          <w:tcPr>
            <w:tcW w:w="0" w:type="auto"/>
            <w:shd w:val="clear" w:color="auto" w:fill="auto"/>
            <w:tcMar>
              <w:top w:w="40" w:type="dxa"/>
              <w:left w:w="0" w:type="dxa"/>
              <w:bottom w:w="40" w:type="dxa"/>
              <w:right w:w="20" w:type="dxa"/>
            </w:tcMar>
            <w:vAlign w:val="bottom"/>
          </w:tcPr>
          <w:p w14:paraId="5A1B06E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E1"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6E2"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6E3" w14:textId="77777777" w:rsidR="00960BB8" w:rsidRDefault="00C06650">
            <w:pPr>
              <w:jc w:val="right"/>
              <w:textAlignment w:val="bottom"/>
            </w:pPr>
            <w:r>
              <w:rPr>
                <w:rFonts w:ascii="Arial" w:eastAsia="宋体" w:hAnsi="Arial" w:cs="Arial"/>
                <w:b/>
                <w:bCs/>
                <w:color w:val="262626"/>
                <w:sz w:val="18"/>
                <w:szCs w:val="18"/>
              </w:rPr>
              <w:t>(12,669)</w:t>
            </w:r>
          </w:p>
        </w:tc>
        <w:tc>
          <w:tcPr>
            <w:tcW w:w="0" w:type="auto"/>
            <w:shd w:val="clear" w:color="auto" w:fill="auto"/>
            <w:tcMar>
              <w:top w:w="40" w:type="dxa"/>
              <w:left w:w="0" w:type="dxa"/>
              <w:bottom w:w="40" w:type="dxa"/>
              <w:right w:w="20" w:type="dxa"/>
            </w:tcMar>
            <w:vAlign w:val="bottom"/>
          </w:tcPr>
          <w:p w14:paraId="5A1B06E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E5"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6E6"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6E7" w14:textId="77777777" w:rsidR="00960BB8" w:rsidRDefault="00C06650">
            <w:pPr>
              <w:jc w:val="right"/>
              <w:textAlignment w:val="bottom"/>
            </w:pPr>
            <w:r>
              <w:rPr>
                <w:rFonts w:ascii="Arial" w:eastAsia="宋体" w:hAnsi="Arial" w:cs="Arial"/>
                <w:b/>
                <w:bCs/>
                <w:color w:val="262626"/>
                <w:sz w:val="18"/>
                <w:szCs w:val="18"/>
              </w:rPr>
              <w:t>(17,864)</w:t>
            </w:r>
          </w:p>
        </w:tc>
        <w:tc>
          <w:tcPr>
            <w:tcW w:w="0" w:type="auto"/>
            <w:shd w:val="clear" w:color="auto" w:fill="auto"/>
            <w:tcMar>
              <w:top w:w="40" w:type="dxa"/>
              <w:left w:w="0" w:type="dxa"/>
              <w:bottom w:w="40" w:type="dxa"/>
              <w:right w:w="20" w:type="dxa"/>
            </w:tcMar>
            <w:vAlign w:val="bottom"/>
          </w:tcPr>
          <w:p w14:paraId="5A1B06E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6E9"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6EA"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6EB" w14:textId="77777777" w:rsidR="00960BB8" w:rsidRDefault="00C06650">
            <w:pPr>
              <w:jc w:val="right"/>
              <w:textAlignment w:val="bottom"/>
            </w:pPr>
            <w:r>
              <w:rPr>
                <w:rFonts w:ascii="Arial" w:eastAsia="宋体" w:hAnsi="Arial" w:cs="Arial"/>
                <w:b/>
                <w:bCs/>
                <w:color w:val="262626"/>
                <w:sz w:val="18"/>
                <w:szCs w:val="18"/>
              </w:rPr>
              <w:t>(18,533)</w:t>
            </w:r>
          </w:p>
        </w:tc>
        <w:tc>
          <w:tcPr>
            <w:tcW w:w="0" w:type="auto"/>
            <w:shd w:val="clear" w:color="auto" w:fill="auto"/>
            <w:tcMar>
              <w:top w:w="40" w:type="dxa"/>
              <w:left w:w="0" w:type="dxa"/>
              <w:bottom w:w="40" w:type="dxa"/>
              <w:right w:w="20" w:type="dxa"/>
            </w:tcMar>
            <w:vAlign w:val="bottom"/>
          </w:tcPr>
          <w:p w14:paraId="5A1B06EC" w14:textId="77777777" w:rsidR="00960BB8" w:rsidRDefault="00960BB8">
            <w:pPr>
              <w:jc w:val="right"/>
              <w:rPr>
                <w:rFonts w:ascii="宋体"/>
              </w:rPr>
            </w:pPr>
          </w:p>
        </w:tc>
      </w:tr>
    </w:tbl>
    <w:p w14:paraId="5A1B06EE"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6F8" w14:textId="77777777">
        <w:tc>
          <w:tcPr>
            <w:tcW w:w="50" w:type="pct"/>
            <w:shd w:val="clear" w:color="auto" w:fill="auto"/>
            <w:vAlign w:val="bottom"/>
          </w:tcPr>
          <w:p w14:paraId="5A1B06EF" w14:textId="77777777" w:rsidR="00960BB8" w:rsidRDefault="00960BB8">
            <w:pPr>
              <w:rPr>
                <w:rFonts w:ascii="宋体"/>
              </w:rPr>
            </w:pPr>
          </w:p>
        </w:tc>
        <w:tc>
          <w:tcPr>
            <w:tcW w:w="283" w:type="pct"/>
            <w:shd w:val="clear" w:color="auto" w:fill="auto"/>
            <w:vAlign w:val="bottom"/>
          </w:tcPr>
          <w:p w14:paraId="5A1B06F0" w14:textId="77777777" w:rsidR="00960BB8" w:rsidRDefault="00960BB8">
            <w:pPr>
              <w:rPr>
                <w:rFonts w:ascii="宋体"/>
              </w:rPr>
            </w:pPr>
          </w:p>
        </w:tc>
        <w:tc>
          <w:tcPr>
            <w:tcW w:w="5" w:type="pct"/>
            <w:shd w:val="clear" w:color="auto" w:fill="auto"/>
            <w:vAlign w:val="bottom"/>
          </w:tcPr>
          <w:p w14:paraId="5A1B06F1" w14:textId="77777777" w:rsidR="00960BB8" w:rsidRDefault="00960BB8">
            <w:pPr>
              <w:rPr>
                <w:rFonts w:ascii="宋体"/>
              </w:rPr>
            </w:pPr>
          </w:p>
        </w:tc>
        <w:tc>
          <w:tcPr>
            <w:tcW w:w="50" w:type="pct"/>
            <w:shd w:val="clear" w:color="auto" w:fill="auto"/>
            <w:vAlign w:val="bottom"/>
          </w:tcPr>
          <w:p w14:paraId="5A1B06F2" w14:textId="77777777" w:rsidR="00960BB8" w:rsidRDefault="00960BB8">
            <w:pPr>
              <w:rPr>
                <w:rFonts w:ascii="宋体"/>
              </w:rPr>
            </w:pPr>
          </w:p>
        </w:tc>
        <w:tc>
          <w:tcPr>
            <w:tcW w:w="2656" w:type="pct"/>
            <w:shd w:val="clear" w:color="auto" w:fill="auto"/>
            <w:vAlign w:val="bottom"/>
          </w:tcPr>
          <w:p w14:paraId="5A1B06F3" w14:textId="77777777" w:rsidR="00960BB8" w:rsidRDefault="00960BB8">
            <w:pPr>
              <w:rPr>
                <w:rFonts w:ascii="宋体"/>
              </w:rPr>
            </w:pPr>
          </w:p>
        </w:tc>
        <w:tc>
          <w:tcPr>
            <w:tcW w:w="5" w:type="pct"/>
            <w:shd w:val="clear" w:color="auto" w:fill="auto"/>
            <w:vAlign w:val="bottom"/>
          </w:tcPr>
          <w:p w14:paraId="5A1B06F4" w14:textId="77777777" w:rsidR="00960BB8" w:rsidRDefault="00960BB8">
            <w:pPr>
              <w:rPr>
                <w:rFonts w:ascii="宋体"/>
              </w:rPr>
            </w:pPr>
          </w:p>
        </w:tc>
        <w:tc>
          <w:tcPr>
            <w:tcW w:w="50" w:type="pct"/>
            <w:shd w:val="clear" w:color="auto" w:fill="auto"/>
            <w:vAlign w:val="bottom"/>
          </w:tcPr>
          <w:p w14:paraId="5A1B06F5" w14:textId="77777777" w:rsidR="00960BB8" w:rsidRDefault="00960BB8">
            <w:pPr>
              <w:rPr>
                <w:rFonts w:ascii="宋体"/>
              </w:rPr>
            </w:pPr>
          </w:p>
        </w:tc>
        <w:tc>
          <w:tcPr>
            <w:tcW w:w="1894" w:type="pct"/>
            <w:shd w:val="clear" w:color="auto" w:fill="auto"/>
            <w:vAlign w:val="bottom"/>
          </w:tcPr>
          <w:p w14:paraId="5A1B06F6" w14:textId="77777777" w:rsidR="00960BB8" w:rsidRDefault="00960BB8">
            <w:pPr>
              <w:rPr>
                <w:rFonts w:ascii="宋体"/>
              </w:rPr>
            </w:pPr>
          </w:p>
        </w:tc>
        <w:tc>
          <w:tcPr>
            <w:tcW w:w="5" w:type="pct"/>
            <w:shd w:val="clear" w:color="auto" w:fill="auto"/>
            <w:vAlign w:val="bottom"/>
          </w:tcPr>
          <w:p w14:paraId="5A1B06F7" w14:textId="77777777" w:rsidR="00960BB8" w:rsidRDefault="00960BB8">
            <w:pPr>
              <w:rPr>
                <w:rFonts w:ascii="宋体"/>
              </w:rPr>
            </w:pPr>
          </w:p>
        </w:tc>
      </w:tr>
      <w:tr w:rsidR="00960BB8" w14:paraId="5A1B06F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6F9"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16" wp14:editId="5A1B4417">
                  <wp:extent cx="304800" cy="304800"/>
                  <wp:effectExtent l="0" t="0" r="0" b="0"/>
                  <wp:docPr id="23" name="图片 18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8"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6FA"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6FB" w14:textId="77777777" w:rsidR="00960BB8" w:rsidRDefault="00C06650">
            <w:pPr>
              <w:jc w:val="right"/>
              <w:textAlignment w:val="center"/>
            </w:pPr>
            <w:r>
              <w:rPr>
                <w:rFonts w:ascii="Arial" w:eastAsia="宋体" w:hAnsi="Arial" w:cs="Arial"/>
                <w:color w:val="262626"/>
                <w:sz w:val="16"/>
                <w:szCs w:val="16"/>
              </w:rPr>
              <w:t>50</w:t>
            </w:r>
          </w:p>
        </w:tc>
      </w:tr>
    </w:tbl>
    <w:p w14:paraId="5A1B06FD" w14:textId="77777777" w:rsidR="00960BB8" w:rsidRDefault="00C06650">
      <w:r>
        <w:pict w14:anchorId="5A1B4418">
          <v:rect id="_x0000_i1076" style="width:415.3pt;height:1.5pt" o:hralign="center" o:hrstd="t" o:hr="t" fillcolor="#a0a0a0" stroked="f"/>
        </w:pict>
      </w:r>
    </w:p>
    <w:p w14:paraId="5A1B06FE" w14:textId="77777777" w:rsidR="00960BB8" w:rsidRDefault="00C06650">
      <w:pPr>
        <w:jc w:val="right"/>
      </w:pPr>
      <w:hyperlink r:id="rId69" w:anchor="i8aaa7b4dbd2e419ca0f5c30af85a11aa_16" w:history="1">
        <w:r>
          <w:rPr>
            <w:rStyle w:val="a5"/>
            <w:rFonts w:ascii="Arial" w:eastAsia="宋体" w:hAnsi="Arial" w:cs="Arial"/>
            <w:b/>
            <w:bCs/>
            <w:sz w:val="16"/>
            <w:szCs w:val="16"/>
          </w:rPr>
          <w:t>Table of Contents</w:t>
        </w:r>
      </w:hyperlink>
    </w:p>
    <w:p w14:paraId="5A1B06FF" w14:textId="77777777" w:rsidR="00960BB8" w:rsidRDefault="00960BB8">
      <w:pPr>
        <w:jc w:val="right"/>
      </w:pPr>
    </w:p>
    <w:p w14:paraId="5A1B0700"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0707" w14:textId="77777777">
        <w:tc>
          <w:tcPr>
            <w:tcW w:w="50" w:type="pct"/>
            <w:shd w:val="clear" w:color="auto" w:fill="auto"/>
            <w:vAlign w:val="bottom"/>
          </w:tcPr>
          <w:p w14:paraId="5A1B0701" w14:textId="77777777" w:rsidR="00960BB8" w:rsidRDefault="00960BB8">
            <w:pPr>
              <w:rPr>
                <w:rFonts w:ascii="宋体"/>
              </w:rPr>
            </w:pPr>
          </w:p>
        </w:tc>
        <w:tc>
          <w:tcPr>
            <w:tcW w:w="4870" w:type="pct"/>
            <w:shd w:val="clear" w:color="auto" w:fill="auto"/>
            <w:vAlign w:val="bottom"/>
          </w:tcPr>
          <w:p w14:paraId="5A1B0702" w14:textId="77777777" w:rsidR="00960BB8" w:rsidRDefault="00960BB8">
            <w:pPr>
              <w:rPr>
                <w:rFonts w:ascii="宋体"/>
              </w:rPr>
            </w:pPr>
          </w:p>
        </w:tc>
        <w:tc>
          <w:tcPr>
            <w:tcW w:w="5" w:type="pct"/>
            <w:shd w:val="clear" w:color="auto" w:fill="auto"/>
            <w:vAlign w:val="bottom"/>
          </w:tcPr>
          <w:p w14:paraId="5A1B0703" w14:textId="77777777" w:rsidR="00960BB8" w:rsidRDefault="00960BB8">
            <w:pPr>
              <w:rPr>
                <w:rFonts w:ascii="宋体"/>
              </w:rPr>
            </w:pPr>
          </w:p>
        </w:tc>
        <w:tc>
          <w:tcPr>
            <w:tcW w:w="5" w:type="pct"/>
            <w:shd w:val="clear" w:color="auto" w:fill="auto"/>
            <w:vAlign w:val="bottom"/>
          </w:tcPr>
          <w:p w14:paraId="5A1B0704" w14:textId="77777777" w:rsidR="00960BB8" w:rsidRDefault="00960BB8">
            <w:pPr>
              <w:rPr>
                <w:rFonts w:ascii="宋体"/>
              </w:rPr>
            </w:pPr>
          </w:p>
        </w:tc>
        <w:tc>
          <w:tcPr>
            <w:tcW w:w="64" w:type="pct"/>
            <w:shd w:val="clear" w:color="auto" w:fill="auto"/>
            <w:vAlign w:val="bottom"/>
          </w:tcPr>
          <w:p w14:paraId="5A1B0705" w14:textId="77777777" w:rsidR="00960BB8" w:rsidRDefault="00960BB8">
            <w:pPr>
              <w:rPr>
                <w:rFonts w:ascii="宋体"/>
              </w:rPr>
            </w:pPr>
          </w:p>
        </w:tc>
        <w:tc>
          <w:tcPr>
            <w:tcW w:w="5" w:type="pct"/>
            <w:shd w:val="clear" w:color="auto" w:fill="auto"/>
            <w:vAlign w:val="bottom"/>
          </w:tcPr>
          <w:p w14:paraId="5A1B0706" w14:textId="77777777" w:rsidR="00960BB8" w:rsidRDefault="00960BB8">
            <w:pPr>
              <w:rPr>
                <w:rFonts w:ascii="宋体"/>
              </w:rPr>
            </w:pPr>
          </w:p>
        </w:tc>
      </w:tr>
      <w:tr w:rsidR="00960BB8" w14:paraId="5A1B070A" w14:textId="77777777">
        <w:tc>
          <w:tcPr>
            <w:tcW w:w="0" w:type="auto"/>
            <w:gridSpan w:val="3"/>
            <w:shd w:val="clear" w:color="auto" w:fill="004A86"/>
            <w:tcMar>
              <w:top w:w="40" w:type="dxa"/>
              <w:left w:w="20" w:type="dxa"/>
              <w:bottom w:w="40" w:type="dxa"/>
              <w:right w:w="20" w:type="dxa"/>
            </w:tcMar>
            <w:vAlign w:val="center"/>
          </w:tcPr>
          <w:p w14:paraId="5A1B0708" w14:textId="77777777" w:rsidR="00960BB8" w:rsidRDefault="00C06650">
            <w:pPr>
              <w:textAlignment w:val="center"/>
            </w:pPr>
            <w:r>
              <w:rPr>
                <w:rFonts w:ascii="Arial" w:eastAsia="宋体" w:hAnsi="Arial" w:cs="Arial"/>
                <w:color w:val="FFFFFF"/>
                <w:sz w:val="36"/>
                <w:szCs w:val="36"/>
              </w:rPr>
              <w:t>Other Key Information</w:t>
            </w:r>
          </w:p>
        </w:tc>
        <w:tc>
          <w:tcPr>
            <w:tcW w:w="0" w:type="auto"/>
            <w:gridSpan w:val="3"/>
            <w:shd w:val="clear" w:color="auto" w:fill="auto"/>
            <w:tcMar>
              <w:top w:w="0" w:type="dxa"/>
              <w:left w:w="20" w:type="dxa"/>
              <w:bottom w:w="0" w:type="dxa"/>
              <w:right w:w="20" w:type="dxa"/>
            </w:tcMar>
            <w:vAlign w:val="bottom"/>
          </w:tcPr>
          <w:p w14:paraId="5A1B0709" w14:textId="77777777" w:rsidR="00960BB8" w:rsidRDefault="00960BB8">
            <w:pPr>
              <w:rPr>
                <w:rFonts w:ascii="宋体"/>
              </w:rPr>
            </w:pPr>
          </w:p>
        </w:tc>
      </w:tr>
      <w:tr w:rsidR="00960BB8" w14:paraId="5A1B070D" w14:textId="77777777">
        <w:trPr>
          <w:trHeight w:val="160"/>
        </w:trPr>
        <w:tc>
          <w:tcPr>
            <w:tcW w:w="0" w:type="auto"/>
            <w:gridSpan w:val="3"/>
            <w:shd w:val="clear" w:color="auto" w:fill="auto"/>
            <w:tcMar>
              <w:top w:w="0" w:type="dxa"/>
              <w:left w:w="20" w:type="dxa"/>
              <w:bottom w:w="0" w:type="dxa"/>
              <w:right w:w="20" w:type="dxa"/>
            </w:tcMar>
            <w:vAlign w:val="bottom"/>
          </w:tcPr>
          <w:p w14:paraId="5A1B070B"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070C" w14:textId="77777777" w:rsidR="00960BB8" w:rsidRDefault="00960BB8">
            <w:pPr>
              <w:rPr>
                <w:rFonts w:ascii="宋体"/>
              </w:rPr>
            </w:pPr>
          </w:p>
        </w:tc>
      </w:tr>
    </w:tbl>
    <w:p w14:paraId="5A1B070E" w14:textId="77777777" w:rsidR="00960BB8" w:rsidRDefault="00C06650">
      <w:pPr>
        <w:spacing w:after="180"/>
      </w:pPr>
      <w:r>
        <w:rPr>
          <w:rFonts w:ascii="Arial" w:eastAsia="宋体" w:hAnsi="Arial" w:cs="Arial"/>
          <w:color w:val="0068B5"/>
          <w:sz w:val="28"/>
          <w:szCs w:val="28"/>
        </w:rPr>
        <w:t>Sales and Marketing</w:t>
      </w:r>
    </w:p>
    <w:p w14:paraId="5A1B070F" w14:textId="77777777" w:rsidR="00960BB8" w:rsidRDefault="00C06650">
      <w:pPr>
        <w:spacing w:after="120"/>
      </w:pPr>
      <w:r>
        <w:rPr>
          <w:rFonts w:ascii="Arial" w:eastAsia="宋体" w:hAnsi="Arial" w:cs="Arial"/>
          <w:color w:val="0068B5"/>
        </w:rPr>
        <w:t>Customers</w:t>
      </w:r>
    </w:p>
    <w:p w14:paraId="5A1B0710" w14:textId="77777777" w:rsidR="00960BB8" w:rsidRDefault="00C06650">
      <w:pPr>
        <w:spacing w:after="180"/>
      </w:pPr>
      <w:r>
        <w:rPr>
          <w:rFonts w:ascii="Arial" w:eastAsia="宋体" w:hAnsi="Arial" w:cs="Arial"/>
          <w:color w:val="262626"/>
          <w:sz w:val="18"/>
          <w:szCs w:val="18"/>
        </w:rPr>
        <w:t xml:space="preserve">We sell our </w:t>
      </w:r>
      <w:r>
        <w:rPr>
          <w:rFonts w:ascii="Arial" w:eastAsia="宋体" w:hAnsi="Arial" w:cs="Arial"/>
          <w:color w:val="262626"/>
          <w:sz w:val="18"/>
          <w:szCs w:val="18"/>
        </w:rPr>
        <w:t>products primarily to OEMs, ODMs, and cloud service providers. ODMs provide design and manufacturing services to branded and unbranded private-label resellers. In addition, our customers include other manufacturers and service providers, such as industrial</w:t>
      </w:r>
      <w:r>
        <w:rPr>
          <w:rFonts w:ascii="Arial" w:eastAsia="宋体" w:hAnsi="Arial" w:cs="Arial"/>
          <w:color w:val="262626"/>
          <w:sz w:val="18"/>
          <w:szCs w:val="18"/>
        </w:rPr>
        <w:t xml:space="preserve"> and communication equipment manufacturers and other cloud service providers who buy our products through distributor, reseller, retail, and OEM channels throughout the world. For more information about our customers, including customers who accounted for </w:t>
      </w:r>
      <w:r>
        <w:rPr>
          <w:rFonts w:ascii="Arial" w:eastAsia="宋体" w:hAnsi="Arial" w:cs="Arial"/>
          <w:color w:val="262626"/>
          <w:sz w:val="18"/>
          <w:szCs w:val="18"/>
        </w:rPr>
        <w:t>greater than 10% of our net consolidated revenue, see "Note 3: Operating Segments" within the Notes to Consolidated Financial Statements.</w:t>
      </w:r>
    </w:p>
    <w:p w14:paraId="5A1B0711" w14:textId="77777777" w:rsidR="00960BB8" w:rsidRDefault="00C06650">
      <w:pPr>
        <w:spacing w:after="180"/>
      </w:pPr>
      <w:r>
        <w:rPr>
          <w:rFonts w:ascii="Arial" w:eastAsia="宋体" w:hAnsi="Arial" w:cs="Arial"/>
          <w:color w:val="262626"/>
          <w:sz w:val="18"/>
          <w:szCs w:val="18"/>
        </w:rPr>
        <w:t xml:space="preserve">Our worldwide reseller sales channel consists of thousands of indirect customers—systems builders that purchase Intel </w:t>
      </w:r>
      <w:r>
        <w:rPr>
          <w:rFonts w:ascii="Arial" w:eastAsia="宋体" w:hAnsi="Arial" w:cs="Arial"/>
          <w:color w:val="262626"/>
          <w:sz w:val="18"/>
          <w:szCs w:val="18"/>
        </w:rPr>
        <w:t>processors and other products from our distributors. Certain of our microprocessors and other products are also available in direct retail outlets.</w:t>
      </w:r>
    </w:p>
    <w:p w14:paraId="5A1B0712" w14:textId="77777777" w:rsidR="00960BB8" w:rsidRDefault="00C06650">
      <w:pPr>
        <w:spacing w:after="120"/>
      </w:pPr>
      <w:r>
        <w:rPr>
          <w:rFonts w:ascii="Arial" w:eastAsia="宋体" w:hAnsi="Arial" w:cs="Arial"/>
          <w:color w:val="0068B5"/>
        </w:rPr>
        <w:t>Sales Arrangements</w:t>
      </w:r>
    </w:p>
    <w:p w14:paraId="5A1B0713" w14:textId="77777777" w:rsidR="00960BB8" w:rsidRDefault="00C06650">
      <w:pPr>
        <w:spacing w:after="180"/>
      </w:pPr>
      <w:r>
        <w:rPr>
          <w:rFonts w:ascii="Arial" w:eastAsia="宋体" w:hAnsi="Arial" w:cs="Arial"/>
          <w:color w:val="262626"/>
          <w:sz w:val="18"/>
          <w:szCs w:val="18"/>
        </w:rPr>
        <w:t>Our products are sold through distribution channels throughout the world. Sales of our pr</w:t>
      </w:r>
      <w:r>
        <w:rPr>
          <w:rFonts w:ascii="Arial" w:eastAsia="宋体" w:hAnsi="Arial" w:cs="Arial"/>
          <w:color w:val="262626"/>
          <w:sz w:val="18"/>
          <w:szCs w:val="18"/>
        </w:rPr>
        <w:t>oducts are frequently made via purchase order acknowledgments that contain standard terms and conditions covering matters such as pricing, payment terms, and warranties, as well as indemnities for issues specific to our products, such as patent and copyrig</w:t>
      </w:r>
      <w:r>
        <w:rPr>
          <w:rFonts w:ascii="Arial" w:eastAsia="宋体" w:hAnsi="Arial" w:cs="Arial"/>
          <w:color w:val="262626"/>
          <w:sz w:val="18"/>
          <w:szCs w:val="18"/>
        </w:rPr>
        <w:t>ht indemnities. Because our customers generally order from us on a purchase order basis, they can typically cancel, change, or delay product purchase commitments with little or no notice to us and without penalty. From time to time, we may enter into addit</w:t>
      </w:r>
      <w:r>
        <w:rPr>
          <w:rFonts w:ascii="Arial" w:eastAsia="宋体" w:hAnsi="Arial" w:cs="Arial"/>
          <w:color w:val="262626"/>
          <w:sz w:val="18"/>
          <w:szCs w:val="18"/>
        </w:rPr>
        <w:t>ional agreements with customers covering, for example, changes from our standard terms and conditions, new product development and marketing, and private-label branding. Our sales are routinely made using electronic and web-based processes that allow custo</w:t>
      </w:r>
      <w:r>
        <w:rPr>
          <w:rFonts w:ascii="Arial" w:eastAsia="宋体" w:hAnsi="Arial" w:cs="Arial"/>
          <w:color w:val="262626"/>
          <w:sz w:val="18"/>
          <w:szCs w:val="18"/>
        </w:rPr>
        <w:t>mers to review inventory availability and track the progress of specific goods ordered. Pricing on particular products may vary based on volumes ordered and other factors. We also offer discounts, rebates, and other incentives to customers to increase acce</w:t>
      </w:r>
      <w:r>
        <w:rPr>
          <w:rFonts w:ascii="Arial" w:eastAsia="宋体" w:hAnsi="Arial" w:cs="Arial"/>
          <w:color w:val="262626"/>
          <w:sz w:val="18"/>
          <w:szCs w:val="18"/>
        </w:rPr>
        <w:t>ptance of our products and technology.</w:t>
      </w:r>
    </w:p>
    <w:p w14:paraId="5A1B0714" w14:textId="77777777" w:rsidR="00960BB8" w:rsidRDefault="00C06650">
      <w:pPr>
        <w:spacing w:after="180"/>
      </w:pPr>
      <w:r>
        <w:rPr>
          <w:rFonts w:ascii="Arial" w:eastAsia="宋体" w:hAnsi="Arial" w:cs="Arial"/>
          <w:color w:val="262626"/>
          <w:sz w:val="18"/>
          <w:szCs w:val="18"/>
        </w:rPr>
        <w:t xml:space="preserve">In accordance with contract terms, the revenue for combined performance obligations and standalone product sales is recognized at the time of product shipment from our facilities or delivery to the customer location, </w:t>
      </w:r>
      <w:r>
        <w:rPr>
          <w:rFonts w:ascii="Arial" w:eastAsia="宋体" w:hAnsi="Arial" w:cs="Arial"/>
          <w:color w:val="262626"/>
          <w:sz w:val="18"/>
          <w:szCs w:val="18"/>
        </w:rPr>
        <w:t>as determined by the agreed-upon shipping terms. Our standard terms and conditions of sale typically provide that payment is due at a later date, usually 30 days after shipment or delivery. We assess credit risk through quantitative and qualitative analysi</w:t>
      </w:r>
      <w:r>
        <w:rPr>
          <w:rFonts w:ascii="Arial" w:eastAsia="宋体" w:hAnsi="Arial" w:cs="Arial"/>
          <w:color w:val="262626"/>
          <w:sz w:val="18"/>
          <w:szCs w:val="18"/>
        </w:rPr>
        <w:t>s. From this analysis, we establish shipping and credit limits and determine whether we will seek to use one or more credit support protection devices, such as obtaining a parent guarantee, standby letter of credit, or credit insurance. Credit losses may s</w:t>
      </w:r>
      <w:r>
        <w:rPr>
          <w:rFonts w:ascii="Arial" w:eastAsia="宋体" w:hAnsi="Arial" w:cs="Arial"/>
          <w:color w:val="262626"/>
          <w:sz w:val="18"/>
          <w:szCs w:val="18"/>
        </w:rPr>
        <w:t xml:space="preserve">till be incurred due to bankruptcy, fraud, or other failure of the customer to pay. </w:t>
      </w:r>
    </w:p>
    <w:p w14:paraId="5A1B0715" w14:textId="77777777" w:rsidR="00960BB8" w:rsidRDefault="00C06650">
      <w:pPr>
        <w:spacing w:after="180"/>
      </w:pPr>
      <w:r>
        <w:rPr>
          <w:rFonts w:ascii="Arial" w:eastAsia="宋体" w:hAnsi="Arial" w:cs="Arial"/>
          <w:color w:val="262626"/>
          <w:sz w:val="18"/>
          <w:szCs w:val="18"/>
        </w:rPr>
        <w:t xml:space="preserve">Our sales to distributors are typically made under agreements allowing for price protection on unsold merchandise and a right of return on stipulated quantities of unsold </w:t>
      </w:r>
      <w:r>
        <w:rPr>
          <w:rFonts w:ascii="Arial" w:eastAsia="宋体" w:hAnsi="Arial" w:cs="Arial"/>
          <w:color w:val="262626"/>
          <w:sz w:val="18"/>
          <w:szCs w:val="18"/>
        </w:rPr>
        <w:t>merchandise. Under the price protection program, we give distributors credits for the difference between the original price paid and the current price that we offer. Our products typically have no contractual limit on the amount of price protection, nor is</w:t>
      </w:r>
      <w:r>
        <w:rPr>
          <w:rFonts w:ascii="Arial" w:eastAsia="宋体" w:hAnsi="Arial" w:cs="Arial"/>
          <w:color w:val="262626"/>
          <w:sz w:val="18"/>
          <w:szCs w:val="18"/>
        </w:rPr>
        <w:t xml:space="preserve"> there a limit on the time horizon under which price protection is granted. The right of return granted generally consists of a stock rotation program in which distributors can exchange certain products based on the number of qualified purchases made by th</w:t>
      </w:r>
      <w:r>
        <w:rPr>
          <w:rFonts w:ascii="Arial" w:eastAsia="宋体" w:hAnsi="Arial" w:cs="Arial"/>
          <w:color w:val="262626"/>
          <w:sz w:val="18"/>
          <w:szCs w:val="18"/>
        </w:rPr>
        <w:t xml:space="preserve">e distributor. </w:t>
      </w:r>
    </w:p>
    <w:p w14:paraId="5A1B0716" w14:textId="77777777" w:rsidR="00960BB8" w:rsidRDefault="00C06650">
      <w:pPr>
        <w:spacing w:after="120"/>
      </w:pPr>
      <w:r>
        <w:rPr>
          <w:rFonts w:ascii="Arial" w:eastAsia="宋体" w:hAnsi="Arial" w:cs="Arial"/>
          <w:color w:val="0068B5"/>
        </w:rPr>
        <w:t>Distribution</w:t>
      </w:r>
    </w:p>
    <w:p w14:paraId="5A1B0717" w14:textId="77777777" w:rsidR="00960BB8" w:rsidRDefault="00C06650">
      <w:pPr>
        <w:spacing w:after="180"/>
      </w:pPr>
      <w:r>
        <w:rPr>
          <w:rFonts w:ascii="Arial" w:eastAsia="宋体" w:hAnsi="Arial" w:cs="Arial"/>
          <w:color w:val="262626"/>
          <w:sz w:val="18"/>
          <w:szCs w:val="18"/>
        </w:rPr>
        <w:t xml:space="preserve">Distributors typically handle a wide variety of products, including those that compete with our products, and fill orders for many customers. Customers may place orders directly with us or through distributors. We have several </w:t>
      </w:r>
      <w:r>
        <w:rPr>
          <w:rFonts w:ascii="Arial" w:eastAsia="宋体" w:hAnsi="Arial" w:cs="Arial"/>
          <w:color w:val="262626"/>
          <w:sz w:val="18"/>
          <w:szCs w:val="18"/>
        </w:rPr>
        <w:t>distribution warehouses that are located in proximity to key customers.</w:t>
      </w:r>
    </w:p>
    <w:p w14:paraId="5A1B0718" w14:textId="77777777" w:rsidR="00960BB8" w:rsidRDefault="00C06650">
      <w:pPr>
        <w:spacing w:after="120"/>
      </w:pPr>
      <w:r>
        <w:rPr>
          <w:rFonts w:ascii="Arial" w:eastAsia="宋体" w:hAnsi="Arial" w:cs="Arial"/>
          <w:color w:val="0068B5"/>
        </w:rPr>
        <w:t>Seasonal Trends</w:t>
      </w:r>
    </w:p>
    <w:p w14:paraId="5A1B0719" w14:textId="77777777" w:rsidR="00960BB8" w:rsidRDefault="00C06650">
      <w:pPr>
        <w:spacing w:after="180"/>
      </w:pPr>
      <w:r>
        <w:rPr>
          <w:rFonts w:ascii="Arial" w:eastAsia="宋体" w:hAnsi="Arial" w:cs="Arial"/>
          <w:color w:val="262626"/>
          <w:sz w:val="18"/>
          <w:szCs w:val="18"/>
        </w:rPr>
        <w:t>Historically, our net revenue has typically been higher in the second half of the year than in the first half of the year, accelerating in the third quarter and peaking</w:t>
      </w:r>
      <w:r>
        <w:rPr>
          <w:rFonts w:ascii="Arial" w:eastAsia="宋体" w:hAnsi="Arial" w:cs="Arial"/>
          <w:color w:val="262626"/>
          <w:sz w:val="18"/>
          <w:szCs w:val="18"/>
        </w:rPr>
        <w:t xml:space="preserve"> in the fourth quarter. In 2021, continued strong COVID-driven notebook demand in the first half of the year contributed to a flatter trend than we historically observe. In 2022, we had a flatter trend than we historically observe as we experienced the unc</w:t>
      </w:r>
      <w:r>
        <w:rPr>
          <w:rFonts w:ascii="Arial" w:eastAsia="宋体" w:hAnsi="Arial" w:cs="Arial"/>
          <w:color w:val="262626"/>
          <w:sz w:val="18"/>
          <w:szCs w:val="18"/>
        </w:rPr>
        <w:t>ertainty and impacts, including demand volatility and supply chain disruption, of current macroeconomic conditions, the potential for a recession, and the risk for continued COVID-related disruptions or shutdowns.</w:t>
      </w:r>
    </w:p>
    <w:p w14:paraId="5A1B071A" w14:textId="77777777" w:rsidR="00960BB8" w:rsidRDefault="00C06650">
      <w:pPr>
        <w:spacing w:after="120"/>
      </w:pPr>
      <w:r>
        <w:rPr>
          <w:rFonts w:ascii="Arial" w:eastAsia="宋体" w:hAnsi="Arial" w:cs="Arial"/>
          <w:color w:val="0068B5"/>
        </w:rPr>
        <w:t>Marketing</w:t>
      </w:r>
    </w:p>
    <w:p w14:paraId="5A1B071B" w14:textId="77777777" w:rsidR="00960BB8" w:rsidRDefault="00C06650">
      <w:pPr>
        <w:spacing w:after="180"/>
      </w:pPr>
      <w:r>
        <w:rPr>
          <w:rFonts w:ascii="Arial" w:eastAsia="宋体" w:hAnsi="Arial" w:cs="Arial"/>
          <w:color w:val="262626"/>
          <w:sz w:val="18"/>
          <w:szCs w:val="18"/>
        </w:rPr>
        <w:t xml:space="preserve">Our global marketing </w:t>
      </w:r>
      <w:r>
        <w:rPr>
          <w:rFonts w:ascii="Arial" w:eastAsia="宋体" w:hAnsi="Arial" w:cs="Arial"/>
          <w:color w:val="262626"/>
          <w:sz w:val="18"/>
          <w:szCs w:val="18"/>
        </w:rPr>
        <w:t xml:space="preserve">objectives are to build a strong, well-known, differentiated, and meaningful Intel corporate brand that drives preference with businesses and consumers, and to offer a limited number of meaningful and valuable brands in our portfolio to aid businesses and </w:t>
      </w:r>
      <w:r>
        <w:rPr>
          <w:rFonts w:ascii="Arial" w:eastAsia="宋体" w:hAnsi="Arial" w:cs="Arial"/>
          <w:color w:val="262626"/>
          <w:sz w:val="18"/>
          <w:szCs w:val="18"/>
        </w:rPr>
        <w:t>consumers in making informed choices about technology purchases. The Intel Core processor family and the Intel Atom, Celeron</w:t>
      </w:r>
      <w:r>
        <w:rPr>
          <w:rFonts w:ascii="Arial" w:eastAsia="宋体" w:hAnsi="Arial" w:cs="Arial"/>
          <w:color w:val="262626"/>
          <w:sz w:val="11"/>
          <w:szCs w:val="11"/>
        </w:rPr>
        <w:t>®</w:t>
      </w:r>
      <w:r>
        <w:rPr>
          <w:rFonts w:ascii="Arial" w:eastAsia="宋体" w:hAnsi="Arial" w:cs="Arial"/>
          <w:color w:val="262626"/>
          <w:sz w:val="18"/>
          <w:szCs w:val="18"/>
        </w:rPr>
        <w:t>, Pentium</w:t>
      </w:r>
      <w:r>
        <w:rPr>
          <w:rFonts w:ascii="Arial" w:eastAsia="宋体" w:hAnsi="Arial" w:cs="Arial"/>
          <w:color w:val="262626"/>
          <w:sz w:val="11"/>
          <w:szCs w:val="11"/>
        </w:rPr>
        <w:t>®</w:t>
      </w:r>
      <w:r>
        <w:rPr>
          <w:rFonts w:ascii="Arial" w:eastAsia="宋体" w:hAnsi="Arial" w:cs="Arial"/>
          <w:color w:val="262626"/>
          <w:sz w:val="18"/>
          <w:szCs w:val="18"/>
        </w:rPr>
        <w:t>, Intel</w:t>
      </w:r>
      <w:r>
        <w:rPr>
          <w:rFonts w:ascii="Arial" w:eastAsia="宋体" w:hAnsi="Arial" w:cs="Arial"/>
          <w:color w:val="262626"/>
          <w:sz w:val="11"/>
          <w:szCs w:val="11"/>
        </w:rPr>
        <w:t>®</w:t>
      </w:r>
      <w:r>
        <w:rPr>
          <w:rFonts w:ascii="Arial" w:eastAsia="宋体" w:hAnsi="Arial" w:cs="Arial"/>
          <w:color w:val="262626"/>
          <w:sz w:val="18"/>
          <w:szCs w:val="18"/>
        </w:rPr>
        <w:t xml:space="preserve"> Movidius™, and Intel Xeon</w:t>
      </w:r>
      <w:r>
        <w:rPr>
          <w:rFonts w:ascii="Arial" w:eastAsia="宋体" w:hAnsi="Arial" w:cs="Arial"/>
          <w:color w:val="262626"/>
          <w:sz w:val="11"/>
          <w:szCs w:val="11"/>
        </w:rPr>
        <w:t xml:space="preserve"> </w:t>
      </w:r>
      <w:r>
        <w:rPr>
          <w:rFonts w:ascii="Arial" w:eastAsia="宋体" w:hAnsi="Arial" w:cs="Arial"/>
          <w:color w:val="262626"/>
          <w:sz w:val="18"/>
          <w:szCs w:val="18"/>
        </w:rPr>
        <w:t>trademarks make up our key CPU brands. This year, we introduced the Intel</w:t>
      </w:r>
      <w:r>
        <w:rPr>
          <w:rFonts w:ascii="Arial" w:eastAsia="宋体" w:hAnsi="Arial" w:cs="Arial"/>
          <w:color w:val="262626"/>
          <w:sz w:val="11"/>
          <w:szCs w:val="11"/>
        </w:rPr>
        <w:t>®</w:t>
      </w:r>
      <w:r>
        <w:rPr>
          <w:rFonts w:ascii="Arial" w:eastAsia="宋体" w:hAnsi="Arial" w:cs="Arial"/>
          <w:color w:val="262626"/>
          <w:sz w:val="18"/>
          <w:szCs w:val="18"/>
        </w:rPr>
        <w:t xml:space="preserve"> Max Series </w:t>
      </w:r>
      <w:r>
        <w:rPr>
          <w:rFonts w:ascii="Arial" w:eastAsia="宋体" w:hAnsi="Arial" w:cs="Arial"/>
          <w:color w:val="262626"/>
          <w:sz w:val="18"/>
          <w:szCs w:val="18"/>
        </w:rPr>
        <w:t>product family with two leading-edge products for high-performance computing (AI): the Intel Xeon CPU Max Series (also known as Sapphire Rapids HBM) and Intel Data Center GPU Max Series (also known as Ponte Vecchio).</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725" w14:textId="77777777">
        <w:tc>
          <w:tcPr>
            <w:tcW w:w="50" w:type="pct"/>
            <w:shd w:val="clear" w:color="auto" w:fill="auto"/>
            <w:vAlign w:val="bottom"/>
          </w:tcPr>
          <w:p w14:paraId="5A1B071C" w14:textId="77777777" w:rsidR="00960BB8" w:rsidRDefault="00960BB8">
            <w:pPr>
              <w:rPr>
                <w:rFonts w:ascii="宋体"/>
              </w:rPr>
            </w:pPr>
          </w:p>
        </w:tc>
        <w:tc>
          <w:tcPr>
            <w:tcW w:w="283" w:type="pct"/>
            <w:shd w:val="clear" w:color="auto" w:fill="auto"/>
            <w:vAlign w:val="bottom"/>
          </w:tcPr>
          <w:p w14:paraId="5A1B071D" w14:textId="77777777" w:rsidR="00960BB8" w:rsidRDefault="00960BB8">
            <w:pPr>
              <w:rPr>
                <w:rFonts w:ascii="宋体"/>
              </w:rPr>
            </w:pPr>
          </w:p>
        </w:tc>
        <w:tc>
          <w:tcPr>
            <w:tcW w:w="5" w:type="pct"/>
            <w:shd w:val="clear" w:color="auto" w:fill="auto"/>
            <w:vAlign w:val="bottom"/>
          </w:tcPr>
          <w:p w14:paraId="5A1B071E" w14:textId="77777777" w:rsidR="00960BB8" w:rsidRDefault="00960BB8">
            <w:pPr>
              <w:rPr>
                <w:rFonts w:ascii="宋体"/>
              </w:rPr>
            </w:pPr>
          </w:p>
        </w:tc>
        <w:tc>
          <w:tcPr>
            <w:tcW w:w="50" w:type="pct"/>
            <w:shd w:val="clear" w:color="auto" w:fill="auto"/>
            <w:vAlign w:val="bottom"/>
          </w:tcPr>
          <w:p w14:paraId="5A1B071F" w14:textId="77777777" w:rsidR="00960BB8" w:rsidRDefault="00960BB8">
            <w:pPr>
              <w:rPr>
                <w:rFonts w:ascii="宋体"/>
              </w:rPr>
            </w:pPr>
          </w:p>
        </w:tc>
        <w:tc>
          <w:tcPr>
            <w:tcW w:w="2656" w:type="pct"/>
            <w:shd w:val="clear" w:color="auto" w:fill="auto"/>
            <w:vAlign w:val="bottom"/>
          </w:tcPr>
          <w:p w14:paraId="5A1B0720" w14:textId="77777777" w:rsidR="00960BB8" w:rsidRDefault="00960BB8">
            <w:pPr>
              <w:rPr>
                <w:rFonts w:ascii="宋体"/>
              </w:rPr>
            </w:pPr>
          </w:p>
        </w:tc>
        <w:tc>
          <w:tcPr>
            <w:tcW w:w="5" w:type="pct"/>
            <w:shd w:val="clear" w:color="auto" w:fill="auto"/>
            <w:vAlign w:val="bottom"/>
          </w:tcPr>
          <w:p w14:paraId="5A1B0721" w14:textId="77777777" w:rsidR="00960BB8" w:rsidRDefault="00960BB8">
            <w:pPr>
              <w:rPr>
                <w:rFonts w:ascii="宋体"/>
              </w:rPr>
            </w:pPr>
          </w:p>
        </w:tc>
        <w:tc>
          <w:tcPr>
            <w:tcW w:w="50" w:type="pct"/>
            <w:shd w:val="clear" w:color="auto" w:fill="auto"/>
            <w:vAlign w:val="bottom"/>
          </w:tcPr>
          <w:p w14:paraId="5A1B0722" w14:textId="77777777" w:rsidR="00960BB8" w:rsidRDefault="00960BB8">
            <w:pPr>
              <w:rPr>
                <w:rFonts w:ascii="宋体"/>
              </w:rPr>
            </w:pPr>
          </w:p>
        </w:tc>
        <w:tc>
          <w:tcPr>
            <w:tcW w:w="1894" w:type="pct"/>
            <w:shd w:val="clear" w:color="auto" w:fill="auto"/>
            <w:vAlign w:val="bottom"/>
          </w:tcPr>
          <w:p w14:paraId="5A1B0723" w14:textId="77777777" w:rsidR="00960BB8" w:rsidRDefault="00960BB8">
            <w:pPr>
              <w:rPr>
                <w:rFonts w:ascii="宋体"/>
              </w:rPr>
            </w:pPr>
          </w:p>
        </w:tc>
        <w:tc>
          <w:tcPr>
            <w:tcW w:w="5" w:type="pct"/>
            <w:shd w:val="clear" w:color="auto" w:fill="auto"/>
            <w:vAlign w:val="bottom"/>
          </w:tcPr>
          <w:p w14:paraId="5A1B0724" w14:textId="77777777" w:rsidR="00960BB8" w:rsidRDefault="00960BB8">
            <w:pPr>
              <w:rPr>
                <w:rFonts w:ascii="宋体"/>
              </w:rPr>
            </w:pPr>
          </w:p>
        </w:tc>
      </w:tr>
      <w:tr w:rsidR="00960BB8" w14:paraId="5A1B072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726"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19" wp14:editId="5A1B441A">
                  <wp:extent cx="304800" cy="304800"/>
                  <wp:effectExtent l="0" t="0" r="0" b="0"/>
                  <wp:docPr id="21" name="图片 19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0"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27" w14:textId="77777777" w:rsidR="00960BB8" w:rsidRDefault="00C06650">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28" w14:textId="77777777" w:rsidR="00960BB8" w:rsidRDefault="00C06650">
            <w:pPr>
              <w:jc w:val="right"/>
              <w:textAlignment w:val="center"/>
            </w:pPr>
            <w:r>
              <w:rPr>
                <w:rFonts w:ascii="Arial" w:eastAsia="宋体" w:hAnsi="Arial" w:cs="Arial"/>
                <w:color w:val="262626"/>
                <w:sz w:val="16"/>
                <w:szCs w:val="16"/>
              </w:rPr>
              <w:t>51</w:t>
            </w:r>
          </w:p>
        </w:tc>
      </w:tr>
    </w:tbl>
    <w:p w14:paraId="5A1B072A" w14:textId="77777777" w:rsidR="00960BB8" w:rsidRDefault="00C06650">
      <w:r>
        <w:pict w14:anchorId="5A1B441B">
          <v:rect id="_x0000_i1077" style="width:415.3pt;height:1.5pt" o:hralign="center" o:hrstd="t" o:hr="t" fillcolor="#a0a0a0" stroked="f"/>
        </w:pict>
      </w:r>
    </w:p>
    <w:p w14:paraId="5A1B072B" w14:textId="77777777" w:rsidR="00960BB8" w:rsidRDefault="00C06650">
      <w:pPr>
        <w:jc w:val="right"/>
      </w:pPr>
      <w:hyperlink r:id="rId70" w:anchor="i8aaa7b4dbd2e419ca0f5c30af85a11aa_16" w:history="1">
        <w:r>
          <w:rPr>
            <w:rStyle w:val="a5"/>
            <w:rFonts w:ascii="Arial" w:eastAsia="宋体" w:hAnsi="Arial" w:cs="Arial"/>
            <w:b/>
            <w:bCs/>
            <w:sz w:val="16"/>
            <w:szCs w:val="16"/>
          </w:rPr>
          <w:t>Table of Contents</w:t>
        </w:r>
      </w:hyperlink>
    </w:p>
    <w:p w14:paraId="5A1B072C" w14:textId="77777777" w:rsidR="00960BB8" w:rsidRDefault="00960BB8">
      <w:pPr>
        <w:jc w:val="right"/>
      </w:pPr>
    </w:p>
    <w:p w14:paraId="5A1B072D" w14:textId="77777777" w:rsidR="00960BB8" w:rsidRDefault="00C06650">
      <w:pPr>
        <w:spacing w:after="180"/>
      </w:pPr>
      <w:r>
        <w:rPr>
          <w:rFonts w:ascii="Arial" w:eastAsia="宋体" w:hAnsi="Arial" w:cs="Arial"/>
          <w:color w:val="262626"/>
          <w:sz w:val="18"/>
          <w:szCs w:val="18"/>
        </w:rPr>
        <w:t xml:space="preserve">We promote brand awareness and preference and generate demand through our own </w:t>
      </w:r>
      <w:r>
        <w:rPr>
          <w:rFonts w:ascii="Arial" w:eastAsia="宋体" w:hAnsi="Arial" w:cs="Arial"/>
          <w:color w:val="262626"/>
          <w:sz w:val="18"/>
          <w:szCs w:val="18"/>
        </w:rPr>
        <w:t>direct marketing, as well as through co-marketing programs. Our direct marketing activities primarily include advertising through digital and social media and television, as well as consumer and trade events, industry and consumer communications, and press</w:t>
      </w:r>
      <w:r>
        <w:rPr>
          <w:rFonts w:ascii="Arial" w:eastAsia="宋体" w:hAnsi="Arial" w:cs="Arial"/>
          <w:color w:val="262626"/>
          <w:sz w:val="18"/>
          <w:szCs w:val="18"/>
        </w:rPr>
        <w:t xml:space="preserve"> relations. We market to consumer and business audiences and focus on building awareness and generating demand for our products. Our key messaging focuses on increased performance, improved energy efficiency, and other capabilities such as connectivity.</w:t>
      </w:r>
    </w:p>
    <w:p w14:paraId="5A1B072E" w14:textId="77777777" w:rsidR="00960BB8" w:rsidRDefault="00C06650">
      <w:pPr>
        <w:spacing w:after="180"/>
      </w:pPr>
      <w:r>
        <w:rPr>
          <w:rFonts w:ascii="Arial" w:eastAsia="宋体" w:hAnsi="Arial" w:cs="Arial"/>
          <w:color w:val="262626"/>
          <w:sz w:val="18"/>
          <w:szCs w:val="18"/>
        </w:rPr>
        <w:t>Ce</w:t>
      </w:r>
      <w:r>
        <w:rPr>
          <w:rFonts w:ascii="Arial" w:eastAsia="宋体" w:hAnsi="Arial" w:cs="Arial"/>
          <w:color w:val="262626"/>
          <w:sz w:val="18"/>
          <w:szCs w:val="18"/>
        </w:rPr>
        <w:t>rtain customers participate in cooperative advertising and marketing programs. These cooperative advertising and marketing programs broaden the reach of our brands beyond the scope of our own direct marketing. Certain customers are licensed to place Intel</w:t>
      </w:r>
      <w:r>
        <w:rPr>
          <w:rFonts w:ascii="Arial" w:eastAsia="宋体" w:hAnsi="Arial" w:cs="Arial"/>
          <w:color w:val="262626"/>
          <w:sz w:val="11"/>
          <w:szCs w:val="11"/>
        </w:rPr>
        <w:t>®</w:t>
      </w:r>
      <w:r>
        <w:rPr>
          <w:rFonts w:ascii="Arial" w:eastAsia="宋体" w:hAnsi="Arial" w:cs="Arial"/>
          <w:color w:val="262626"/>
          <w:sz w:val="18"/>
          <w:szCs w:val="18"/>
        </w:rPr>
        <w:t xml:space="preserve"> logos on computing devices containing our microprocessors and processor technologies, and to use our brands in their marketing activities. The program partially reimburses customers for marketing activities for products featuring Intel brands, subject to </w:t>
      </w:r>
      <w:r>
        <w:rPr>
          <w:rFonts w:ascii="Arial" w:eastAsia="宋体" w:hAnsi="Arial" w:cs="Arial"/>
          <w:color w:val="262626"/>
          <w:sz w:val="18"/>
          <w:szCs w:val="18"/>
        </w:rPr>
        <w:t>customers meeting defined criteria. These marketing activities primarily include advertising through digital and social media and television, as well as press relations. We have also entered into joint marketing arrangements with certain customers.</w:t>
      </w:r>
    </w:p>
    <w:p w14:paraId="5A1B072F" w14:textId="77777777" w:rsidR="00960BB8" w:rsidRDefault="00960BB8"/>
    <w:p w14:paraId="5A1B0730" w14:textId="77777777" w:rsidR="00960BB8" w:rsidRDefault="00C06650">
      <w:pPr>
        <w:spacing w:after="180"/>
      </w:pPr>
      <w:r>
        <w:rPr>
          <w:rFonts w:ascii="Arial" w:eastAsia="宋体" w:hAnsi="Arial" w:cs="Arial"/>
          <w:color w:val="0068B5"/>
          <w:sz w:val="28"/>
          <w:szCs w:val="28"/>
        </w:rPr>
        <w:t>Quanti</w:t>
      </w:r>
      <w:r>
        <w:rPr>
          <w:rFonts w:ascii="Arial" w:eastAsia="宋体" w:hAnsi="Arial" w:cs="Arial"/>
          <w:color w:val="0068B5"/>
          <w:sz w:val="28"/>
          <w:szCs w:val="28"/>
        </w:rPr>
        <w:t>tative and Qualitative Disclosures About Market Risk</w:t>
      </w:r>
    </w:p>
    <w:p w14:paraId="5A1B0731" w14:textId="77777777" w:rsidR="00960BB8" w:rsidRDefault="00C06650">
      <w:pPr>
        <w:spacing w:after="180"/>
      </w:pPr>
      <w:r>
        <w:rPr>
          <w:rFonts w:ascii="Arial" w:eastAsia="宋体" w:hAnsi="Arial" w:cs="Arial"/>
          <w:color w:val="262626"/>
          <w:sz w:val="18"/>
          <w:szCs w:val="18"/>
        </w:rPr>
        <w:t>We are affected by changes in currency exchange and interest rates, as well as equity and commodity prices. Our risk management programs are designed to reduce, but may not eliminate, the impacts of thes</w:t>
      </w:r>
      <w:r>
        <w:rPr>
          <w:rFonts w:ascii="Arial" w:eastAsia="宋体" w:hAnsi="Arial" w:cs="Arial"/>
          <w:color w:val="262626"/>
          <w:sz w:val="18"/>
          <w:szCs w:val="18"/>
        </w:rPr>
        <w:t xml:space="preserve">e risks. All of the following potential changes are based on sensitivity analyses performed on our financial positions as of December 31, 2022 and December 25, 2021. Actual results may differ materially. </w:t>
      </w:r>
    </w:p>
    <w:p w14:paraId="5A1B0732" w14:textId="77777777" w:rsidR="00960BB8" w:rsidRDefault="00C06650">
      <w:pPr>
        <w:spacing w:after="120"/>
      </w:pPr>
      <w:r>
        <w:rPr>
          <w:rFonts w:ascii="Arial" w:eastAsia="宋体" w:hAnsi="Arial" w:cs="Arial"/>
          <w:color w:val="0068B5"/>
        </w:rPr>
        <w:t>Currency Exchange Rates</w:t>
      </w:r>
    </w:p>
    <w:p w14:paraId="5A1B0733" w14:textId="77777777" w:rsidR="00960BB8" w:rsidRDefault="00C06650">
      <w:pPr>
        <w:spacing w:after="180"/>
      </w:pPr>
      <w:r>
        <w:rPr>
          <w:rFonts w:ascii="Arial" w:eastAsia="宋体" w:hAnsi="Arial" w:cs="Arial"/>
          <w:color w:val="262626"/>
          <w:sz w:val="18"/>
          <w:szCs w:val="18"/>
        </w:rPr>
        <w:t xml:space="preserve">We are exposed to currency </w:t>
      </w:r>
      <w:r>
        <w:rPr>
          <w:rFonts w:ascii="Arial" w:eastAsia="宋体" w:hAnsi="Arial" w:cs="Arial"/>
          <w:color w:val="262626"/>
          <w:sz w:val="18"/>
          <w:szCs w:val="18"/>
        </w:rPr>
        <w:t xml:space="preserve">exchange risks of non-US-dollar-denominated investments in debt and equity instruments and loans receivable, and may economically hedge this risk with foreign currency contracts, such as currency forward contracts or currency interest rate swaps. Gains or </w:t>
      </w:r>
      <w:r>
        <w:rPr>
          <w:rFonts w:ascii="Arial" w:eastAsia="宋体" w:hAnsi="Arial" w:cs="Arial"/>
          <w:color w:val="262626"/>
          <w:sz w:val="18"/>
          <w:szCs w:val="18"/>
        </w:rPr>
        <w:t xml:space="preserve">losses on these non-US-currency investments are generally offset by corresponding losses or gains on the related hedging instruments. </w:t>
      </w:r>
    </w:p>
    <w:p w14:paraId="5A1B0734" w14:textId="77777777" w:rsidR="00960BB8" w:rsidRDefault="00C06650">
      <w:pPr>
        <w:spacing w:after="180"/>
      </w:pPr>
      <w:r>
        <w:rPr>
          <w:rFonts w:ascii="Arial" w:eastAsia="宋体" w:hAnsi="Arial" w:cs="Arial"/>
          <w:color w:val="262626"/>
          <w:sz w:val="18"/>
          <w:szCs w:val="18"/>
        </w:rPr>
        <w:t>Substantially all of our revenue is transacted in US dollars. However, a significant portion of our operating expenditure</w:t>
      </w:r>
      <w:r>
        <w:rPr>
          <w:rFonts w:ascii="Arial" w:eastAsia="宋体" w:hAnsi="Arial" w:cs="Arial"/>
          <w:color w:val="262626"/>
          <w:sz w:val="18"/>
          <w:szCs w:val="18"/>
        </w:rPr>
        <w:t xml:space="preserve">s and capital purchases are incurred in other currencies, </w:t>
      </w:r>
      <w:r>
        <w:rPr>
          <w:rFonts w:ascii="Arial" w:eastAsia="宋体" w:hAnsi="Arial" w:cs="Arial"/>
          <w:color w:val="000000"/>
          <w:sz w:val="18"/>
          <w:szCs w:val="18"/>
        </w:rPr>
        <w:t>primarily the Israeli shekel, the Malaysian ringgit, the European Union euro, the Japanese yen, and the Chinese yuan</w:t>
      </w:r>
      <w:r>
        <w:rPr>
          <w:rFonts w:ascii="Arial" w:eastAsia="宋体" w:hAnsi="Arial" w:cs="Arial"/>
          <w:color w:val="262626"/>
          <w:sz w:val="18"/>
          <w:szCs w:val="18"/>
        </w:rPr>
        <w:t>. We have established currency risk management programs to protect against currenc</w:t>
      </w:r>
      <w:r>
        <w:rPr>
          <w:rFonts w:ascii="Arial" w:eastAsia="宋体" w:hAnsi="Arial" w:cs="Arial"/>
          <w:color w:val="262626"/>
          <w:sz w:val="18"/>
          <w:szCs w:val="18"/>
        </w:rPr>
        <w:t>y exchange rate risks associated with non-US dollar forecasted future cash flows and existing non-US dollar monetary assets and liabilities. We may also hedge currency risk arising from funding of foreign currency-denominated future investments. We may uti</w:t>
      </w:r>
      <w:r>
        <w:rPr>
          <w:rFonts w:ascii="Arial" w:eastAsia="宋体" w:hAnsi="Arial" w:cs="Arial"/>
          <w:color w:val="262626"/>
          <w:sz w:val="18"/>
          <w:szCs w:val="18"/>
        </w:rPr>
        <w:t>lize foreign currency contracts, such as currency forwards or option contracts in these hedging programs. We considered the historical trends in currency exchange rates and determined that it was reasonably possible that a weighted average adverse change o</w:t>
      </w:r>
      <w:r>
        <w:rPr>
          <w:rFonts w:ascii="Arial" w:eastAsia="宋体" w:hAnsi="Arial" w:cs="Arial"/>
          <w:color w:val="262626"/>
          <w:sz w:val="18"/>
          <w:szCs w:val="18"/>
        </w:rPr>
        <w:t>f 10% in currency exchange rates could be experienced in the near term. Such an adverse change, after taking into account balance sheet hedges only and offsetting recorded monetary asset and liability positions outstanding as of December 31, 2022 and Decem</w:t>
      </w:r>
      <w:r>
        <w:rPr>
          <w:rFonts w:ascii="Arial" w:eastAsia="宋体" w:hAnsi="Arial" w:cs="Arial"/>
          <w:color w:val="262626"/>
          <w:sz w:val="18"/>
          <w:szCs w:val="18"/>
        </w:rPr>
        <w:t>ber 25, 2021, would result in an adverse impact on income before taxes of less than $64 million and less than $38 million, respectively.</w:t>
      </w:r>
    </w:p>
    <w:p w14:paraId="5A1B0735" w14:textId="77777777" w:rsidR="00960BB8" w:rsidRDefault="00C06650">
      <w:pPr>
        <w:spacing w:after="120"/>
      </w:pPr>
      <w:r>
        <w:rPr>
          <w:rFonts w:ascii="Arial" w:eastAsia="宋体" w:hAnsi="Arial" w:cs="Arial"/>
          <w:color w:val="0068B5"/>
        </w:rPr>
        <w:t>Interest Rates</w:t>
      </w:r>
    </w:p>
    <w:p w14:paraId="5A1B0736" w14:textId="77777777" w:rsidR="00960BB8" w:rsidRDefault="00C06650">
      <w:pPr>
        <w:spacing w:after="180"/>
      </w:pPr>
      <w:r>
        <w:rPr>
          <w:rFonts w:ascii="Arial" w:eastAsia="宋体" w:hAnsi="Arial" w:cs="Arial"/>
          <w:color w:val="262626"/>
          <w:sz w:val="18"/>
          <w:szCs w:val="18"/>
        </w:rPr>
        <w:t xml:space="preserve">We are exposed to interest rate risk related to our fixed-rate investment portfolio and </w:t>
      </w:r>
      <w:r>
        <w:rPr>
          <w:rFonts w:ascii="Arial" w:eastAsia="宋体" w:hAnsi="Arial" w:cs="Arial"/>
          <w:color w:val="262626"/>
          <w:sz w:val="18"/>
          <w:szCs w:val="18"/>
        </w:rPr>
        <w:t>outstanding debt. The primary objective of our investment policy is to preserve principal and provide financial flexibility to fund our business while maximizing yields, which generally track the SOFR. We generally enter into interest rate contracts to con</w:t>
      </w:r>
      <w:r>
        <w:rPr>
          <w:rFonts w:ascii="Arial" w:eastAsia="宋体" w:hAnsi="Arial" w:cs="Arial"/>
          <w:color w:val="262626"/>
          <w:sz w:val="18"/>
          <w:szCs w:val="18"/>
        </w:rPr>
        <w:t>vert the returns on our fixed-rate debt investment with remaining maturities longer than six months into SOFR-based returns. We also entered into swaps to convert fixed-rate coupon payments into floating-rate coupon payments for a portion of our existing i</w:t>
      </w:r>
      <w:r>
        <w:rPr>
          <w:rFonts w:ascii="Arial" w:eastAsia="宋体" w:hAnsi="Arial" w:cs="Arial"/>
          <w:color w:val="262626"/>
          <w:sz w:val="18"/>
          <w:szCs w:val="18"/>
        </w:rPr>
        <w:t>ndebtedness. Gains or losses on these instruments are generally offset by corresponding losses or gains on the related hedging instruments.</w:t>
      </w:r>
    </w:p>
    <w:p w14:paraId="5A1B0737" w14:textId="77777777" w:rsidR="00960BB8" w:rsidRDefault="00C06650">
      <w:pPr>
        <w:spacing w:after="180"/>
      </w:pPr>
      <w:r>
        <w:rPr>
          <w:rFonts w:ascii="Arial" w:eastAsia="宋体" w:hAnsi="Arial" w:cs="Arial"/>
          <w:color w:val="262626"/>
          <w:sz w:val="18"/>
          <w:szCs w:val="18"/>
        </w:rPr>
        <w:t>A hypothetical change in benchmark interest rates of 1%, after taking into account investment hedges, would have res</w:t>
      </w:r>
      <w:r>
        <w:rPr>
          <w:rFonts w:ascii="Arial" w:eastAsia="宋体" w:hAnsi="Arial" w:cs="Arial"/>
          <w:color w:val="262626"/>
          <w:sz w:val="18"/>
          <w:szCs w:val="18"/>
        </w:rPr>
        <w:t>ulted in a change in the fair value of our investment portfolio of less than $100 million as of December 31, 2022 and as of December 25, 2021.</w:t>
      </w:r>
    </w:p>
    <w:p w14:paraId="5A1B0738" w14:textId="77777777" w:rsidR="00960BB8" w:rsidRDefault="00C06650">
      <w:pPr>
        <w:spacing w:after="180"/>
      </w:pPr>
      <w:r>
        <w:rPr>
          <w:rFonts w:ascii="Arial" w:eastAsia="宋体" w:hAnsi="Arial" w:cs="Arial"/>
          <w:color w:val="262626"/>
          <w:sz w:val="18"/>
          <w:szCs w:val="18"/>
        </w:rPr>
        <w:t xml:space="preserve">Taking into account floating-rate debt and fixed-rate debt that is swapped to floating-rate debt, a hypothetical </w:t>
      </w:r>
      <w:r>
        <w:rPr>
          <w:rFonts w:ascii="Arial" w:eastAsia="宋体" w:hAnsi="Arial" w:cs="Arial"/>
          <w:color w:val="262626"/>
          <w:sz w:val="18"/>
          <w:szCs w:val="18"/>
        </w:rPr>
        <w:t>increase in interest rates of 1% would result in an increase in annual interest expense of approximately $120 million from debt outstanding as of December 31, 2022 (a hypothetical increase of 1% would have resulted in an increase in annual interest expense</w:t>
      </w:r>
      <w:r>
        <w:rPr>
          <w:rFonts w:ascii="Arial" w:eastAsia="宋体" w:hAnsi="Arial" w:cs="Arial"/>
          <w:color w:val="262626"/>
          <w:sz w:val="18"/>
          <w:szCs w:val="18"/>
        </w:rPr>
        <w:t xml:space="preserve"> of approximately $132 million from debt outstanding as of December 25, 2021). </w:t>
      </w:r>
    </w:p>
    <w:p w14:paraId="5A1B0739" w14:textId="77777777" w:rsidR="00960BB8" w:rsidRDefault="00C06650">
      <w:pPr>
        <w:spacing w:after="120"/>
      </w:pPr>
      <w:r>
        <w:rPr>
          <w:rFonts w:ascii="Arial" w:eastAsia="宋体" w:hAnsi="Arial" w:cs="Arial"/>
          <w:color w:val="0068B5"/>
        </w:rPr>
        <w:t>Equity Prices</w:t>
      </w:r>
    </w:p>
    <w:p w14:paraId="5A1B073A" w14:textId="77777777" w:rsidR="00960BB8" w:rsidRDefault="00C06650">
      <w:pPr>
        <w:spacing w:after="180"/>
      </w:pPr>
      <w:r>
        <w:rPr>
          <w:rFonts w:ascii="Arial" w:eastAsia="宋体" w:hAnsi="Arial" w:cs="Arial"/>
          <w:color w:val="262626"/>
          <w:sz w:val="18"/>
          <w:szCs w:val="18"/>
        </w:rPr>
        <w:t>We are exposed to equity market risk through our investments in marketable equity securities, which we typically do not attempt to reduce or eliminate through hed</w:t>
      </w:r>
      <w:r>
        <w:rPr>
          <w:rFonts w:ascii="Arial" w:eastAsia="宋体" w:hAnsi="Arial" w:cs="Arial"/>
          <w:color w:val="262626"/>
          <w:sz w:val="18"/>
          <w:szCs w:val="18"/>
        </w:rPr>
        <w:t xml:space="preserve">ging activities. </w:t>
      </w:r>
    </w:p>
    <w:p w14:paraId="5A1B073B" w14:textId="77777777" w:rsidR="00960BB8" w:rsidRDefault="00C06650">
      <w:pPr>
        <w:spacing w:after="180"/>
      </w:pPr>
      <w:r>
        <w:rPr>
          <w:rFonts w:ascii="Arial" w:eastAsia="宋体" w:hAnsi="Arial" w:cs="Arial"/>
          <w:color w:val="262626"/>
          <w:sz w:val="18"/>
          <w:szCs w:val="18"/>
        </w:rPr>
        <w:t xml:space="preserve">As of December 31, 2022, the fair value of our marketable equity securities was $1.3 billion ($2.2 billion as of December 25, 2021). The </w:t>
      </w:r>
      <w:r>
        <w:rPr>
          <w:rFonts w:ascii="Arial" w:eastAsia="宋体" w:hAnsi="Arial" w:cs="Arial"/>
          <w:color w:val="000000"/>
          <w:sz w:val="18"/>
          <w:szCs w:val="18"/>
        </w:rPr>
        <w:t xml:space="preserve">substantial majority </w:t>
      </w:r>
      <w:r>
        <w:rPr>
          <w:rFonts w:ascii="Arial" w:eastAsia="宋体" w:hAnsi="Arial" w:cs="Arial"/>
          <w:color w:val="262626"/>
          <w:sz w:val="18"/>
          <w:szCs w:val="18"/>
        </w:rPr>
        <w:t>of our marketable equity securities portfolio as of December 31, 2022 was concen</w:t>
      </w:r>
      <w:r>
        <w:rPr>
          <w:rFonts w:ascii="Arial" w:eastAsia="宋体" w:hAnsi="Arial" w:cs="Arial"/>
          <w:color w:val="262626"/>
          <w:sz w:val="18"/>
          <w:szCs w:val="18"/>
        </w:rPr>
        <w:t>trated in securities traded on the Chinese Shanghai Stock Exchange Science and Technology Innovation Board. To determine reasonably possible decreases in the market value of our marketable equity securities, we have analyzed the historical market price sen</w:t>
      </w:r>
      <w:r>
        <w:rPr>
          <w:rFonts w:ascii="Arial" w:eastAsia="宋体" w:hAnsi="Arial" w:cs="Arial"/>
          <w:color w:val="262626"/>
          <w:sz w:val="18"/>
          <w:szCs w:val="18"/>
        </w:rPr>
        <w:t>sitivity of our portfolio. Assuming a decline of 50% in market prices, the aggregate value of our marketable equity securities could decrease by approximately $670 million, based on the value as of December 31, 2022 (a decrease in value of approximately $1</w:t>
      </w:r>
      <w:r>
        <w:rPr>
          <w:rFonts w:ascii="Arial" w:eastAsia="宋体" w:hAnsi="Arial" w:cs="Arial"/>
          <w:color w:val="262626"/>
          <w:sz w:val="18"/>
          <w:szCs w:val="18"/>
        </w:rPr>
        <w:t xml:space="preserve">.3 billion, based on the value as of December 25, 2021 using an assumed decline of 60%). </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745" w14:textId="77777777">
        <w:tc>
          <w:tcPr>
            <w:tcW w:w="50" w:type="pct"/>
            <w:shd w:val="clear" w:color="auto" w:fill="auto"/>
            <w:vAlign w:val="bottom"/>
          </w:tcPr>
          <w:p w14:paraId="5A1B073C" w14:textId="77777777" w:rsidR="00960BB8" w:rsidRDefault="00960BB8">
            <w:pPr>
              <w:rPr>
                <w:rFonts w:ascii="宋体"/>
              </w:rPr>
            </w:pPr>
          </w:p>
        </w:tc>
        <w:tc>
          <w:tcPr>
            <w:tcW w:w="283" w:type="pct"/>
            <w:shd w:val="clear" w:color="auto" w:fill="auto"/>
            <w:vAlign w:val="bottom"/>
          </w:tcPr>
          <w:p w14:paraId="5A1B073D" w14:textId="77777777" w:rsidR="00960BB8" w:rsidRDefault="00960BB8">
            <w:pPr>
              <w:rPr>
                <w:rFonts w:ascii="宋体"/>
              </w:rPr>
            </w:pPr>
          </w:p>
        </w:tc>
        <w:tc>
          <w:tcPr>
            <w:tcW w:w="5" w:type="pct"/>
            <w:shd w:val="clear" w:color="auto" w:fill="auto"/>
            <w:vAlign w:val="bottom"/>
          </w:tcPr>
          <w:p w14:paraId="5A1B073E" w14:textId="77777777" w:rsidR="00960BB8" w:rsidRDefault="00960BB8">
            <w:pPr>
              <w:rPr>
                <w:rFonts w:ascii="宋体"/>
              </w:rPr>
            </w:pPr>
          </w:p>
        </w:tc>
        <w:tc>
          <w:tcPr>
            <w:tcW w:w="50" w:type="pct"/>
            <w:shd w:val="clear" w:color="auto" w:fill="auto"/>
            <w:vAlign w:val="bottom"/>
          </w:tcPr>
          <w:p w14:paraId="5A1B073F" w14:textId="77777777" w:rsidR="00960BB8" w:rsidRDefault="00960BB8">
            <w:pPr>
              <w:rPr>
                <w:rFonts w:ascii="宋体"/>
              </w:rPr>
            </w:pPr>
          </w:p>
        </w:tc>
        <w:tc>
          <w:tcPr>
            <w:tcW w:w="2656" w:type="pct"/>
            <w:shd w:val="clear" w:color="auto" w:fill="auto"/>
            <w:vAlign w:val="bottom"/>
          </w:tcPr>
          <w:p w14:paraId="5A1B0740" w14:textId="77777777" w:rsidR="00960BB8" w:rsidRDefault="00960BB8">
            <w:pPr>
              <w:rPr>
                <w:rFonts w:ascii="宋体"/>
              </w:rPr>
            </w:pPr>
          </w:p>
        </w:tc>
        <w:tc>
          <w:tcPr>
            <w:tcW w:w="5" w:type="pct"/>
            <w:shd w:val="clear" w:color="auto" w:fill="auto"/>
            <w:vAlign w:val="bottom"/>
          </w:tcPr>
          <w:p w14:paraId="5A1B0741" w14:textId="77777777" w:rsidR="00960BB8" w:rsidRDefault="00960BB8">
            <w:pPr>
              <w:rPr>
                <w:rFonts w:ascii="宋体"/>
              </w:rPr>
            </w:pPr>
          </w:p>
        </w:tc>
        <w:tc>
          <w:tcPr>
            <w:tcW w:w="50" w:type="pct"/>
            <w:shd w:val="clear" w:color="auto" w:fill="auto"/>
            <w:vAlign w:val="bottom"/>
          </w:tcPr>
          <w:p w14:paraId="5A1B0742" w14:textId="77777777" w:rsidR="00960BB8" w:rsidRDefault="00960BB8">
            <w:pPr>
              <w:rPr>
                <w:rFonts w:ascii="宋体"/>
              </w:rPr>
            </w:pPr>
          </w:p>
        </w:tc>
        <w:tc>
          <w:tcPr>
            <w:tcW w:w="1894" w:type="pct"/>
            <w:shd w:val="clear" w:color="auto" w:fill="auto"/>
            <w:vAlign w:val="bottom"/>
          </w:tcPr>
          <w:p w14:paraId="5A1B0743" w14:textId="77777777" w:rsidR="00960BB8" w:rsidRDefault="00960BB8">
            <w:pPr>
              <w:rPr>
                <w:rFonts w:ascii="宋体"/>
              </w:rPr>
            </w:pPr>
          </w:p>
        </w:tc>
        <w:tc>
          <w:tcPr>
            <w:tcW w:w="5" w:type="pct"/>
            <w:shd w:val="clear" w:color="auto" w:fill="auto"/>
            <w:vAlign w:val="bottom"/>
          </w:tcPr>
          <w:p w14:paraId="5A1B0744" w14:textId="77777777" w:rsidR="00960BB8" w:rsidRDefault="00960BB8">
            <w:pPr>
              <w:rPr>
                <w:rFonts w:ascii="宋体"/>
              </w:rPr>
            </w:pPr>
          </w:p>
        </w:tc>
      </w:tr>
      <w:tr w:rsidR="00960BB8" w14:paraId="5A1B074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746"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1C" wp14:editId="5A1B441D">
                  <wp:extent cx="304800" cy="304800"/>
                  <wp:effectExtent l="0" t="0" r="0" b="0"/>
                  <wp:docPr id="32" name="图片 192"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2"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47"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48" w14:textId="77777777" w:rsidR="00960BB8" w:rsidRDefault="00C06650">
            <w:pPr>
              <w:jc w:val="right"/>
              <w:textAlignment w:val="center"/>
            </w:pPr>
            <w:r>
              <w:rPr>
                <w:rFonts w:ascii="Arial" w:eastAsia="宋体" w:hAnsi="Arial" w:cs="Arial"/>
                <w:color w:val="262626"/>
                <w:sz w:val="16"/>
                <w:szCs w:val="16"/>
              </w:rPr>
              <w:t>52</w:t>
            </w:r>
          </w:p>
        </w:tc>
      </w:tr>
    </w:tbl>
    <w:p w14:paraId="5A1B074A" w14:textId="77777777" w:rsidR="00960BB8" w:rsidRDefault="00C06650">
      <w:r>
        <w:pict w14:anchorId="5A1B441E">
          <v:rect id="_x0000_i1078" style="width:415.3pt;height:1.5pt" o:hralign="center" o:hrstd="t" o:hr="t" fillcolor="#a0a0a0" stroked="f"/>
        </w:pict>
      </w:r>
    </w:p>
    <w:p w14:paraId="5A1B074B" w14:textId="77777777" w:rsidR="00960BB8" w:rsidRDefault="00C06650">
      <w:pPr>
        <w:jc w:val="right"/>
      </w:pPr>
      <w:hyperlink r:id="rId71" w:anchor="i8aaa7b4dbd2e419ca0f5c30af85a11aa_16" w:history="1">
        <w:r>
          <w:rPr>
            <w:rStyle w:val="a5"/>
            <w:rFonts w:ascii="Arial" w:eastAsia="宋体" w:hAnsi="Arial" w:cs="Arial"/>
            <w:b/>
            <w:bCs/>
            <w:sz w:val="16"/>
            <w:szCs w:val="16"/>
          </w:rPr>
          <w:t>Table of Contents</w:t>
        </w:r>
      </w:hyperlink>
    </w:p>
    <w:p w14:paraId="5A1B074C" w14:textId="77777777" w:rsidR="00960BB8" w:rsidRDefault="00960BB8">
      <w:pPr>
        <w:jc w:val="right"/>
      </w:pPr>
    </w:p>
    <w:p w14:paraId="5A1B074D" w14:textId="77777777" w:rsidR="00960BB8" w:rsidRDefault="00C06650">
      <w:pPr>
        <w:spacing w:after="180"/>
      </w:pPr>
      <w:r>
        <w:rPr>
          <w:rFonts w:ascii="Arial" w:eastAsia="宋体" w:hAnsi="Arial" w:cs="Arial"/>
          <w:color w:val="262626"/>
          <w:sz w:val="18"/>
          <w:szCs w:val="18"/>
        </w:rPr>
        <w:t>We utilize total return swaps to offset changes in liabilities related to the equit</w:t>
      </w:r>
      <w:r>
        <w:rPr>
          <w:rFonts w:ascii="Arial" w:eastAsia="宋体" w:hAnsi="Arial" w:cs="Arial"/>
          <w:color w:val="262626"/>
          <w:sz w:val="18"/>
          <w:szCs w:val="18"/>
        </w:rPr>
        <w:t>y market risks of certain deferred compensation arrangements. Gains or losses from changes in fair value of these total return swaps are generally offset by the losses or gains on the related liabilities.</w:t>
      </w:r>
    </w:p>
    <w:p w14:paraId="5A1B074E" w14:textId="77777777" w:rsidR="00960BB8" w:rsidRDefault="00C06650">
      <w:pPr>
        <w:spacing w:after="180"/>
      </w:pPr>
      <w:r>
        <w:rPr>
          <w:rFonts w:ascii="Arial" w:eastAsia="宋体" w:hAnsi="Arial" w:cs="Arial"/>
          <w:color w:val="262626"/>
          <w:sz w:val="18"/>
          <w:szCs w:val="18"/>
        </w:rPr>
        <w:t>Many of the same factors that could result in an ad</w:t>
      </w:r>
      <w:r>
        <w:rPr>
          <w:rFonts w:ascii="Arial" w:eastAsia="宋体" w:hAnsi="Arial" w:cs="Arial"/>
          <w:color w:val="262626"/>
          <w:sz w:val="18"/>
          <w:szCs w:val="18"/>
        </w:rPr>
        <w:t>verse movement of equity market prices affect our non-marketable equity investments, although we cannot always quantify the impacts directly. Financial markets are volatile, which could negatively affect the prospects of the companies we invest in, their a</w:t>
      </w:r>
      <w:r>
        <w:rPr>
          <w:rFonts w:ascii="Arial" w:eastAsia="宋体" w:hAnsi="Arial" w:cs="Arial"/>
          <w:color w:val="262626"/>
          <w:sz w:val="18"/>
          <w:szCs w:val="18"/>
        </w:rPr>
        <w:t>bility to raise additional capital, and the likelihood of our ability to realize value in our investments through liquidity events such as IPOs, mergers, and private sales. These types of investments involve a great deal of risk, and there can be no assura</w:t>
      </w:r>
      <w:r>
        <w:rPr>
          <w:rFonts w:ascii="Arial" w:eastAsia="宋体" w:hAnsi="Arial" w:cs="Arial"/>
          <w:color w:val="262626"/>
          <w:sz w:val="18"/>
          <w:szCs w:val="18"/>
        </w:rPr>
        <w:t>nce that any specific company will grow or become successful; consequently, we could lose all or part of our investment. Our non-marketable equity securities had a carrying amount of $4.6 billion as of December 31, 2022 ($4.1 billion as of December 25, 202</w:t>
      </w:r>
      <w:r>
        <w:rPr>
          <w:rFonts w:ascii="Arial" w:eastAsia="宋体" w:hAnsi="Arial" w:cs="Arial"/>
          <w:color w:val="262626"/>
          <w:sz w:val="18"/>
          <w:szCs w:val="18"/>
        </w:rPr>
        <w:t xml:space="preserve">1) and include our investment in Beijing Unisoc Technology Ltd. of $1.1 billion ($1.1 billion as of December 25, 2021). </w:t>
      </w:r>
    </w:p>
    <w:p w14:paraId="5A1B074F" w14:textId="77777777" w:rsidR="00960BB8" w:rsidRDefault="00C06650">
      <w:pPr>
        <w:spacing w:after="120"/>
      </w:pPr>
      <w:r>
        <w:rPr>
          <w:rFonts w:ascii="Arial" w:eastAsia="宋体" w:hAnsi="Arial" w:cs="Arial"/>
          <w:color w:val="0068B5"/>
        </w:rPr>
        <w:t>Commodity Price Risk</w:t>
      </w:r>
    </w:p>
    <w:p w14:paraId="5A1B0750" w14:textId="77777777" w:rsidR="00960BB8" w:rsidRDefault="00C06650">
      <w:pPr>
        <w:spacing w:after="180"/>
      </w:pPr>
      <w:r>
        <w:rPr>
          <w:rFonts w:ascii="Arial" w:eastAsia="宋体" w:hAnsi="Arial" w:cs="Arial"/>
          <w:color w:val="262626"/>
          <w:sz w:val="18"/>
          <w:szCs w:val="18"/>
        </w:rPr>
        <w:t>Although we operate facilities that consume commodities, we are not directly affected by commodity price risk to a</w:t>
      </w:r>
      <w:r>
        <w:rPr>
          <w:rFonts w:ascii="Arial" w:eastAsia="宋体" w:hAnsi="Arial" w:cs="Arial"/>
          <w:color w:val="262626"/>
          <w:sz w:val="18"/>
          <w:szCs w:val="18"/>
        </w:rPr>
        <w:t xml:space="preserve"> material degree. We have established forecasted transaction risk management programs to protect against fluctuations in commodity prices. We may use commodity derivatives contracts, such as commodity swaps, in these hedging programs. In addition, we have </w:t>
      </w:r>
      <w:r>
        <w:rPr>
          <w:rFonts w:ascii="Arial" w:eastAsia="宋体" w:hAnsi="Arial" w:cs="Arial"/>
          <w:color w:val="262626"/>
          <w:sz w:val="18"/>
          <w:szCs w:val="18"/>
        </w:rPr>
        <w:t xml:space="preserve">sourcing plans in place that are designed to mitigate the risk of a potential supplier concentration for our key commodities. </w:t>
      </w:r>
    </w:p>
    <w:p w14:paraId="5A1B0751" w14:textId="77777777" w:rsidR="00960BB8" w:rsidRDefault="00C06650">
      <w:pPr>
        <w:spacing w:after="180"/>
      </w:pPr>
      <w:r>
        <w:rPr>
          <w:rFonts w:ascii="Arial" w:eastAsia="宋体" w:hAnsi="Arial" w:cs="Arial"/>
          <w:color w:val="262626"/>
          <w:sz w:val="18"/>
          <w:szCs w:val="18"/>
        </w:rPr>
        <w:br/>
      </w:r>
      <w:r>
        <w:rPr>
          <w:rFonts w:ascii="Arial" w:eastAsia="宋体" w:hAnsi="Arial" w:cs="Arial"/>
          <w:color w:val="0068B5"/>
          <w:sz w:val="28"/>
          <w:szCs w:val="28"/>
        </w:rPr>
        <w:t>Risk Factors</w:t>
      </w:r>
    </w:p>
    <w:p w14:paraId="5A1B0752" w14:textId="77777777" w:rsidR="00960BB8" w:rsidRDefault="00C06650">
      <w:pPr>
        <w:spacing w:after="180"/>
      </w:pPr>
      <w:r>
        <w:rPr>
          <w:rFonts w:ascii="Arial" w:eastAsia="宋体" w:hAnsi="Arial" w:cs="Arial"/>
          <w:color w:val="262626"/>
          <w:sz w:val="18"/>
          <w:szCs w:val="18"/>
        </w:rPr>
        <w:t xml:space="preserve">The following summarizes the material factors that make an investment in our securities speculative or risky. </w:t>
      </w:r>
      <w:r>
        <w:rPr>
          <w:rFonts w:ascii="Arial" w:eastAsia="宋体" w:hAnsi="Arial" w:cs="Arial"/>
          <w:color w:val="262626"/>
          <w:sz w:val="18"/>
          <w:szCs w:val="18"/>
        </w:rPr>
        <w:t>When any one or more of the following risks materialize from time to time, our business, reputation, financial condition, cash flows, and results of operations can be materially and adversely affected, and the trading price of our common stock could declin</w:t>
      </w:r>
      <w:r>
        <w:rPr>
          <w:rFonts w:ascii="Arial" w:eastAsia="宋体" w:hAnsi="Arial" w:cs="Arial"/>
          <w:color w:val="262626"/>
          <w:sz w:val="18"/>
          <w:szCs w:val="18"/>
        </w:rPr>
        <w:t>e. These risk factors do not identify all risks that we face; our operations can also be affected by factors that are not presently known to us or that we currently consider to be immaterial to our operations. Due to risks and uncertainties, known and unkn</w:t>
      </w:r>
      <w:r>
        <w:rPr>
          <w:rFonts w:ascii="Arial" w:eastAsia="宋体" w:hAnsi="Arial" w:cs="Arial"/>
          <w:color w:val="262626"/>
          <w:sz w:val="18"/>
          <w:szCs w:val="18"/>
        </w:rPr>
        <w:t>own, our past financial results may not be a reliable indicator of future performance, and historical trends should not be used to anticipate results or trends in future periods. Refer also to the other information set forth in this Form 10-K, including in</w:t>
      </w:r>
      <w:r>
        <w:rPr>
          <w:rFonts w:ascii="Arial" w:eastAsia="宋体" w:hAnsi="Arial" w:cs="Arial"/>
          <w:color w:val="262626"/>
          <w:sz w:val="18"/>
          <w:szCs w:val="18"/>
        </w:rPr>
        <w:t xml:space="preserve"> the MD&amp;A and Financial Statements and Supplemental Details sections.</w:t>
      </w:r>
    </w:p>
    <w:p w14:paraId="5A1B0753" w14:textId="77777777" w:rsidR="00960BB8" w:rsidRDefault="00C06650">
      <w:pPr>
        <w:spacing w:after="120"/>
      </w:pPr>
      <w:r>
        <w:rPr>
          <w:rFonts w:ascii="Arial" w:eastAsia="宋体" w:hAnsi="Arial" w:cs="Arial"/>
          <w:color w:val="0068B5"/>
        </w:rPr>
        <w:t xml:space="preserve">Changes in product demand can adversely affect our financial results. </w:t>
      </w:r>
    </w:p>
    <w:p w14:paraId="5A1B0754" w14:textId="77777777" w:rsidR="00960BB8" w:rsidRDefault="00C06650">
      <w:pPr>
        <w:spacing w:after="180"/>
      </w:pPr>
      <w:r>
        <w:rPr>
          <w:rFonts w:ascii="Arial" w:eastAsia="宋体" w:hAnsi="Arial" w:cs="Arial"/>
          <w:color w:val="0068B5"/>
          <w:sz w:val="18"/>
          <w:szCs w:val="18"/>
        </w:rPr>
        <w:t xml:space="preserve">Demand for our products is variable and hard to predict. </w:t>
      </w:r>
      <w:r>
        <w:rPr>
          <w:rFonts w:ascii="Arial" w:eastAsia="宋体" w:hAnsi="Arial" w:cs="Arial"/>
          <w:color w:val="262626"/>
          <w:sz w:val="18"/>
          <w:szCs w:val="18"/>
        </w:rPr>
        <w:t>Our products are used in different market segments, and de</w:t>
      </w:r>
      <w:r>
        <w:rPr>
          <w:rFonts w:ascii="Arial" w:eastAsia="宋体" w:hAnsi="Arial" w:cs="Arial"/>
          <w:color w:val="262626"/>
          <w:sz w:val="18"/>
          <w:szCs w:val="18"/>
        </w:rPr>
        <w:t>mand for our products varies within or among them. It is difficult to forecast these changes and their impact. For example, we expect the PC TAM to grow over time driven by factors such as a larger installed base, new platforms, shorter replacement cycles,</w:t>
      </w:r>
      <w:r>
        <w:rPr>
          <w:rFonts w:ascii="Arial" w:eastAsia="宋体" w:hAnsi="Arial" w:cs="Arial"/>
          <w:color w:val="262626"/>
          <w:sz w:val="18"/>
          <w:szCs w:val="18"/>
        </w:rPr>
        <w:t xml:space="preserve"> and adoption in new markets; however, the PC industry has been highly cyclical in the past, and these growth expectations may not materialize, or we may fail to capitalize on them. Changes in the demand for our products, particularly our CCG, DCAI, and NE</w:t>
      </w:r>
      <w:r>
        <w:rPr>
          <w:rFonts w:ascii="Arial" w:eastAsia="宋体" w:hAnsi="Arial" w:cs="Arial"/>
          <w:color w:val="262626"/>
          <w:sz w:val="18"/>
          <w:szCs w:val="18"/>
        </w:rPr>
        <w:t>X platform products, have reduced and can in the future reduce our revenue, lower our gross margin, or require us to write down the value of our assets.</w:t>
      </w:r>
    </w:p>
    <w:p w14:paraId="5A1B0755" w14:textId="77777777" w:rsidR="00960BB8" w:rsidRDefault="00C06650">
      <w:pPr>
        <w:spacing w:after="120"/>
      </w:pPr>
      <w:r>
        <w:rPr>
          <w:rFonts w:ascii="Arial" w:eastAsia="宋体" w:hAnsi="Arial" w:cs="Arial"/>
          <w:color w:val="262626"/>
          <w:sz w:val="18"/>
          <w:szCs w:val="18"/>
        </w:rPr>
        <w:t>Important factors that lead to variation in the demand for our products include:</w:t>
      </w:r>
    </w:p>
    <w:p w14:paraId="5A1B0756"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business conditions, </w:t>
      </w:r>
      <w:r>
        <w:rPr>
          <w:rFonts w:ascii="Arial" w:eastAsia="宋体" w:hAnsi="Arial" w:cs="Arial"/>
          <w:color w:val="262626"/>
          <w:sz w:val="18"/>
          <w:szCs w:val="18"/>
        </w:rPr>
        <w:t>including downturns in the market segments in which we operate, or in global or regional economies;</w:t>
      </w:r>
    </w:p>
    <w:p w14:paraId="5A1B0757"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consumer confidence, income levels, and customer capital spending, which can be impacted by changes in market conditions, including changes in government b</w:t>
      </w:r>
      <w:r>
        <w:rPr>
          <w:rFonts w:ascii="Arial" w:eastAsia="宋体" w:hAnsi="Arial" w:cs="Arial"/>
          <w:color w:val="262626"/>
          <w:sz w:val="18"/>
          <w:szCs w:val="18"/>
        </w:rPr>
        <w:t>orrowing or spending, taxation, interest rates, the credit market, current or expected inflation, employment, and energy or other commodity prices;</w:t>
      </w:r>
    </w:p>
    <w:p w14:paraId="5A1B0758"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geopolitical conditions, including trade policies;</w:t>
      </w:r>
    </w:p>
    <w:p w14:paraId="5A1B0759"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our ability to timely introduce competitive products; </w:t>
      </w:r>
    </w:p>
    <w:p w14:paraId="5A1B075A"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competitive and pricing pressures, including new product introductions and other actions taken by competitors;</w:t>
      </w:r>
    </w:p>
    <w:p w14:paraId="5A1B075B"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the level of our customers' inventories and computing capacity;</w:t>
      </w:r>
    </w:p>
    <w:p w14:paraId="5A1B075C"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customer order patterns</w:t>
      </w:r>
      <w:r>
        <w:rPr>
          <w:rFonts w:ascii="Arial" w:eastAsia="宋体" w:hAnsi="Arial" w:cs="Arial"/>
          <w:color w:val="262626"/>
          <w:sz w:val="18"/>
          <w:szCs w:val="18"/>
        </w:rPr>
        <w:t xml:space="preserve"> and order cancellations, including as a result of maturing product cycles for our products, customers' products, and related products such as operating system upgrade cycles; and disruptions affecting customers, such as the delays in obtaining tools, comp</w:t>
      </w:r>
      <w:r>
        <w:rPr>
          <w:rFonts w:ascii="Arial" w:eastAsia="宋体" w:hAnsi="Arial" w:cs="Arial"/>
          <w:color w:val="262626"/>
          <w:sz w:val="18"/>
          <w:szCs w:val="18"/>
        </w:rPr>
        <w:t>onents, and other supplies as a result of COVID-19-related port shutdowns in China that negatively impacted demand for our business in 2022, as well as the industry substrate and component shortages that negatively impacted demand across several of our bus</w:t>
      </w:r>
      <w:r>
        <w:rPr>
          <w:rFonts w:ascii="Arial" w:eastAsia="宋体" w:hAnsi="Arial" w:cs="Arial"/>
          <w:color w:val="262626"/>
          <w:sz w:val="18"/>
          <w:szCs w:val="18"/>
        </w:rPr>
        <w:t>inesses in 2021;</w:t>
      </w:r>
    </w:p>
    <w:p w14:paraId="5A1B075D"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market acceptance and industry support of our products and services, including the introduction and availability of software and other products used together with our products, as well as our foundry services offerings through IFS; and</w:t>
      </w:r>
    </w:p>
    <w:p w14:paraId="5A1B075E"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c</w:t>
      </w:r>
      <w:r>
        <w:rPr>
          <w:rFonts w:ascii="Arial" w:eastAsia="宋体" w:hAnsi="Arial" w:cs="Arial"/>
          <w:color w:val="262626"/>
          <w:sz w:val="18"/>
          <w:szCs w:val="18"/>
        </w:rPr>
        <w:t>ustomer product needs and emerging technology trends, including changes in the levels and nature of customer and end-user computing workloads, such as work-, hybrid-, and learn-from-home trends.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768" w14:textId="77777777">
        <w:tc>
          <w:tcPr>
            <w:tcW w:w="50" w:type="pct"/>
            <w:shd w:val="clear" w:color="auto" w:fill="auto"/>
            <w:vAlign w:val="bottom"/>
          </w:tcPr>
          <w:p w14:paraId="5A1B075F" w14:textId="77777777" w:rsidR="00960BB8" w:rsidRDefault="00960BB8">
            <w:pPr>
              <w:rPr>
                <w:rFonts w:ascii="宋体"/>
              </w:rPr>
            </w:pPr>
          </w:p>
        </w:tc>
        <w:tc>
          <w:tcPr>
            <w:tcW w:w="283" w:type="pct"/>
            <w:shd w:val="clear" w:color="auto" w:fill="auto"/>
            <w:vAlign w:val="bottom"/>
          </w:tcPr>
          <w:p w14:paraId="5A1B0760" w14:textId="77777777" w:rsidR="00960BB8" w:rsidRDefault="00960BB8">
            <w:pPr>
              <w:rPr>
                <w:rFonts w:ascii="宋体"/>
              </w:rPr>
            </w:pPr>
          </w:p>
        </w:tc>
        <w:tc>
          <w:tcPr>
            <w:tcW w:w="5" w:type="pct"/>
            <w:shd w:val="clear" w:color="auto" w:fill="auto"/>
            <w:vAlign w:val="bottom"/>
          </w:tcPr>
          <w:p w14:paraId="5A1B0761" w14:textId="77777777" w:rsidR="00960BB8" w:rsidRDefault="00960BB8">
            <w:pPr>
              <w:rPr>
                <w:rFonts w:ascii="宋体"/>
              </w:rPr>
            </w:pPr>
          </w:p>
        </w:tc>
        <w:tc>
          <w:tcPr>
            <w:tcW w:w="50" w:type="pct"/>
            <w:shd w:val="clear" w:color="auto" w:fill="auto"/>
            <w:vAlign w:val="bottom"/>
          </w:tcPr>
          <w:p w14:paraId="5A1B0762" w14:textId="77777777" w:rsidR="00960BB8" w:rsidRDefault="00960BB8">
            <w:pPr>
              <w:rPr>
                <w:rFonts w:ascii="宋体"/>
              </w:rPr>
            </w:pPr>
          </w:p>
        </w:tc>
        <w:tc>
          <w:tcPr>
            <w:tcW w:w="2656" w:type="pct"/>
            <w:shd w:val="clear" w:color="auto" w:fill="auto"/>
            <w:vAlign w:val="bottom"/>
          </w:tcPr>
          <w:p w14:paraId="5A1B0763" w14:textId="77777777" w:rsidR="00960BB8" w:rsidRDefault="00960BB8">
            <w:pPr>
              <w:rPr>
                <w:rFonts w:ascii="宋体"/>
              </w:rPr>
            </w:pPr>
          </w:p>
        </w:tc>
        <w:tc>
          <w:tcPr>
            <w:tcW w:w="5" w:type="pct"/>
            <w:shd w:val="clear" w:color="auto" w:fill="auto"/>
            <w:vAlign w:val="bottom"/>
          </w:tcPr>
          <w:p w14:paraId="5A1B0764" w14:textId="77777777" w:rsidR="00960BB8" w:rsidRDefault="00960BB8">
            <w:pPr>
              <w:rPr>
                <w:rFonts w:ascii="宋体"/>
              </w:rPr>
            </w:pPr>
          </w:p>
        </w:tc>
        <w:tc>
          <w:tcPr>
            <w:tcW w:w="50" w:type="pct"/>
            <w:shd w:val="clear" w:color="auto" w:fill="auto"/>
            <w:vAlign w:val="bottom"/>
          </w:tcPr>
          <w:p w14:paraId="5A1B0765" w14:textId="77777777" w:rsidR="00960BB8" w:rsidRDefault="00960BB8">
            <w:pPr>
              <w:rPr>
                <w:rFonts w:ascii="宋体"/>
              </w:rPr>
            </w:pPr>
          </w:p>
        </w:tc>
        <w:tc>
          <w:tcPr>
            <w:tcW w:w="1894" w:type="pct"/>
            <w:shd w:val="clear" w:color="auto" w:fill="auto"/>
            <w:vAlign w:val="bottom"/>
          </w:tcPr>
          <w:p w14:paraId="5A1B0766" w14:textId="77777777" w:rsidR="00960BB8" w:rsidRDefault="00960BB8">
            <w:pPr>
              <w:rPr>
                <w:rFonts w:ascii="宋体"/>
              </w:rPr>
            </w:pPr>
          </w:p>
        </w:tc>
        <w:tc>
          <w:tcPr>
            <w:tcW w:w="5" w:type="pct"/>
            <w:shd w:val="clear" w:color="auto" w:fill="auto"/>
            <w:vAlign w:val="bottom"/>
          </w:tcPr>
          <w:p w14:paraId="5A1B0767" w14:textId="77777777" w:rsidR="00960BB8" w:rsidRDefault="00960BB8">
            <w:pPr>
              <w:rPr>
                <w:rFonts w:ascii="宋体"/>
              </w:rPr>
            </w:pPr>
          </w:p>
        </w:tc>
      </w:tr>
      <w:tr w:rsidR="00960BB8" w14:paraId="5A1B076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769"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1F" wp14:editId="5A1B4420">
                  <wp:extent cx="304800" cy="304800"/>
                  <wp:effectExtent l="0" t="0" r="0" b="0"/>
                  <wp:docPr id="31" name="图片 19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6A"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6B" w14:textId="77777777" w:rsidR="00960BB8" w:rsidRDefault="00C06650">
            <w:pPr>
              <w:jc w:val="right"/>
              <w:textAlignment w:val="center"/>
            </w:pPr>
            <w:r>
              <w:rPr>
                <w:rFonts w:ascii="Arial" w:eastAsia="宋体" w:hAnsi="Arial" w:cs="Arial"/>
                <w:color w:val="262626"/>
                <w:sz w:val="16"/>
                <w:szCs w:val="16"/>
              </w:rPr>
              <w:t>53</w:t>
            </w:r>
          </w:p>
        </w:tc>
      </w:tr>
    </w:tbl>
    <w:p w14:paraId="5A1B076D" w14:textId="77777777" w:rsidR="00960BB8" w:rsidRDefault="00C06650">
      <w:r>
        <w:pict w14:anchorId="5A1B4421">
          <v:rect id="_x0000_i1079" style="width:415.3pt;height:1.5pt" o:hralign="center" o:hrstd="t" o:hr="t" fillcolor="#a0a0a0" stroked="f"/>
        </w:pict>
      </w:r>
    </w:p>
    <w:p w14:paraId="5A1B076E" w14:textId="77777777" w:rsidR="00960BB8" w:rsidRDefault="00C06650">
      <w:pPr>
        <w:jc w:val="right"/>
      </w:pPr>
      <w:hyperlink r:id="rId72" w:anchor="i8aaa7b4dbd2e419ca0f5c30af85a11aa_16" w:history="1">
        <w:r>
          <w:rPr>
            <w:rStyle w:val="a5"/>
            <w:rFonts w:ascii="Arial" w:eastAsia="宋体" w:hAnsi="Arial" w:cs="Arial"/>
            <w:b/>
            <w:bCs/>
            <w:sz w:val="16"/>
            <w:szCs w:val="16"/>
          </w:rPr>
          <w:t>Table of Contents</w:t>
        </w:r>
      </w:hyperlink>
    </w:p>
    <w:p w14:paraId="5A1B076F" w14:textId="77777777" w:rsidR="00960BB8" w:rsidRDefault="00960BB8">
      <w:pPr>
        <w:jc w:val="right"/>
      </w:pPr>
    </w:p>
    <w:p w14:paraId="5A1B0770" w14:textId="77777777" w:rsidR="00960BB8" w:rsidRDefault="00C06650">
      <w:pPr>
        <w:spacing w:after="180"/>
      </w:pPr>
      <w:r>
        <w:rPr>
          <w:rFonts w:ascii="Arial" w:eastAsia="宋体" w:hAnsi="Arial" w:cs="Arial"/>
          <w:color w:val="0068B5"/>
          <w:sz w:val="18"/>
          <w:szCs w:val="18"/>
        </w:rPr>
        <w:t>Due to the complexity of our manufacturing operations, we are not always able to ti</w:t>
      </w:r>
      <w:r>
        <w:rPr>
          <w:rFonts w:ascii="Arial" w:eastAsia="宋体" w:hAnsi="Arial" w:cs="Arial"/>
          <w:color w:val="0068B5"/>
          <w:sz w:val="18"/>
          <w:szCs w:val="18"/>
        </w:rPr>
        <w:t>mely respond to fluctuations in demand and we may incur significant charges and costs.</w:t>
      </w:r>
      <w:r>
        <w:rPr>
          <w:rFonts w:ascii="Arial" w:eastAsia="宋体" w:hAnsi="Arial" w:cs="Arial"/>
          <w:b/>
          <w:bCs/>
          <w:color w:val="262626"/>
          <w:sz w:val="18"/>
          <w:szCs w:val="18"/>
        </w:rPr>
        <w:t xml:space="preserve"> </w:t>
      </w:r>
      <w:r>
        <w:rPr>
          <w:rFonts w:ascii="Arial" w:eastAsia="宋体" w:hAnsi="Arial" w:cs="Arial"/>
          <w:color w:val="262626"/>
          <w:sz w:val="18"/>
          <w:szCs w:val="18"/>
        </w:rPr>
        <w:t xml:space="preserve">Because we own and operate high-tech fabrication facilities, our operations have high costs that are fixed or difficult to reduce in the short term, including our costs </w:t>
      </w:r>
      <w:r>
        <w:rPr>
          <w:rFonts w:ascii="Arial" w:eastAsia="宋体" w:hAnsi="Arial" w:cs="Arial"/>
          <w:color w:val="262626"/>
          <w:sz w:val="18"/>
          <w:szCs w:val="18"/>
        </w:rPr>
        <w:t>related to utilization of existing facilities, facility construction and equipment, R&amp;D, and the employment and training of a highly skilled workforce. To the extent product demand decreases or we fail to forecast demand accurately, our gross margin and op</w:t>
      </w:r>
      <w:r>
        <w:rPr>
          <w:rFonts w:ascii="Arial" w:eastAsia="宋体" w:hAnsi="Arial" w:cs="Arial"/>
          <w:color w:val="262626"/>
          <w:sz w:val="18"/>
          <w:szCs w:val="18"/>
        </w:rPr>
        <w:t>erating income can be disproportionately affected due to our high fixed cost structure, which is difficult to reduce in response to lower revenues. We could also be required to write off inventory or record excess manufacturing capacity charges, which woul</w:t>
      </w:r>
      <w:r>
        <w:rPr>
          <w:rFonts w:ascii="Arial" w:eastAsia="宋体" w:hAnsi="Arial" w:cs="Arial"/>
          <w:color w:val="262626"/>
          <w:sz w:val="18"/>
          <w:szCs w:val="18"/>
        </w:rPr>
        <w:t>d also lower our gross margin and operating income. To the extent the demand decrease is prolonged, our manufacturing or assembly and test capacity could be underutilized, and we may be required to write down our long-lived assets, which would increase our</w:t>
      </w:r>
      <w:r>
        <w:rPr>
          <w:rFonts w:ascii="Arial" w:eastAsia="宋体" w:hAnsi="Arial" w:cs="Arial"/>
          <w:color w:val="262626"/>
          <w:sz w:val="18"/>
          <w:szCs w:val="18"/>
        </w:rPr>
        <w:t xml:space="preserve"> expenses. We may also be required to shorten the useful lives of under-used facilities and equipment and accelerate depreciation. As we continue to make substantial investments in increasing our manufacturing capacity as part of our IDM 2.0 strategy, thes</w:t>
      </w:r>
      <w:r>
        <w:rPr>
          <w:rFonts w:ascii="Arial" w:eastAsia="宋体" w:hAnsi="Arial" w:cs="Arial"/>
          <w:color w:val="262626"/>
          <w:sz w:val="18"/>
          <w:szCs w:val="18"/>
        </w:rPr>
        <w:t>e underutilization risks may be heightened. Conversely, at times, demand increases or we fail to forecast accurately or produce the mix of products demanded. To the extent we are unable to add capacity or increase production fast enough, we are at times re</w:t>
      </w:r>
      <w:r>
        <w:rPr>
          <w:rFonts w:ascii="Arial" w:eastAsia="宋体" w:hAnsi="Arial" w:cs="Arial"/>
          <w:color w:val="262626"/>
          <w:sz w:val="18"/>
          <w:szCs w:val="18"/>
        </w:rPr>
        <w:t xml:space="preserve">quired to make production decisions and/or are unable to fully meet market demand, which can result in a loss of revenue opportunities or market share, legal claims, and/or damage to customer relationships. </w:t>
      </w:r>
    </w:p>
    <w:p w14:paraId="5A1B0771" w14:textId="77777777" w:rsidR="00960BB8" w:rsidRDefault="00C06650">
      <w:pPr>
        <w:spacing w:after="180"/>
      </w:pPr>
      <w:r>
        <w:rPr>
          <w:rFonts w:ascii="Arial" w:eastAsia="宋体" w:hAnsi="Arial" w:cs="Arial"/>
          <w:color w:val="262626"/>
          <w:sz w:val="18"/>
          <w:szCs w:val="18"/>
        </w:rPr>
        <w:t>Our IDM 2.0 investments in capacity and our proc</w:t>
      </w:r>
      <w:r>
        <w:rPr>
          <w:rFonts w:ascii="Arial" w:eastAsia="宋体" w:hAnsi="Arial" w:cs="Arial"/>
          <w:color w:val="262626"/>
          <w:sz w:val="18"/>
          <w:szCs w:val="18"/>
        </w:rPr>
        <w:t xml:space="preserve">ess technology roadmap require capital expenditures above our historical levels, and if demand for our IFS business grows rapidly, we anticipate that we would need to accelerate our planned investments to meet that demand. To the extent we do not generate </w:t>
      </w:r>
      <w:r>
        <w:rPr>
          <w:rFonts w:ascii="Arial" w:eastAsia="宋体" w:hAnsi="Arial" w:cs="Arial"/>
          <w:color w:val="262626"/>
          <w:sz w:val="18"/>
          <w:szCs w:val="18"/>
        </w:rPr>
        <w:t>expected cash flows, we may be required to increase our use of external funding sources to fund our investments and operations, which may not be available on favorable terms or at all. Legislation in the US and EU has been adopted to provide government fun</w:t>
      </w:r>
      <w:r>
        <w:rPr>
          <w:rFonts w:ascii="Arial" w:eastAsia="宋体" w:hAnsi="Arial" w:cs="Arial"/>
          <w:color w:val="262626"/>
          <w:sz w:val="18"/>
          <w:szCs w:val="18"/>
        </w:rPr>
        <w:t>ding for semiconductor manufacturing expansions in those regions, but there is uncertainty as to the amounts and timing of funding we may receive and as to any restrictions on recipients. To the extent such funding is below our expectations, our anticipate</w:t>
      </w:r>
      <w:r>
        <w:rPr>
          <w:rFonts w:ascii="Arial" w:eastAsia="宋体" w:hAnsi="Arial" w:cs="Arial"/>
          <w:color w:val="262626"/>
          <w:sz w:val="18"/>
          <w:szCs w:val="18"/>
        </w:rPr>
        <w:t>d cash requirements would increase. Our construction projects to expand capacity require available sources of labor, materials, and equipment. Increasing demand for such sources, including from other foundries; supply constraints, labor shortages, and othe</w:t>
      </w:r>
      <w:r>
        <w:rPr>
          <w:rFonts w:ascii="Arial" w:eastAsia="宋体" w:hAnsi="Arial" w:cs="Arial"/>
          <w:color w:val="262626"/>
          <w:sz w:val="18"/>
          <w:szCs w:val="18"/>
        </w:rPr>
        <w:t>r adverse market conditions; issues with permits or approvals; on-site incidents; and other construction issues arise from time to time and can result in significant delays and increased costs for our projects, as well as legal and reputational harm.</w:t>
      </w:r>
    </w:p>
    <w:p w14:paraId="5A1B0772" w14:textId="77777777" w:rsidR="00960BB8" w:rsidRDefault="00C06650">
      <w:pPr>
        <w:spacing w:after="180"/>
      </w:pPr>
      <w:r>
        <w:rPr>
          <w:rFonts w:ascii="Arial" w:eastAsia="宋体" w:hAnsi="Arial" w:cs="Arial"/>
          <w:color w:val="0068B5"/>
          <w:sz w:val="18"/>
          <w:szCs w:val="18"/>
        </w:rPr>
        <w:t>We fa</w:t>
      </w:r>
      <w:r>
        <w:rPr>
          <w:rFonts w:ascii="Arial" w:eastAsia="宋体" w:hAnsi="Arial" w:cs="Arial"/>
          <w:color w:val="0068B5"/>
          <w:sz w:val="18"/>
          <w:szCs w:val="18"/>
        </w:rPr>
        <w:t>ce significant competition.</w:t>
      </w:r>
      <w:r>
        <w:rPr>
          <w:rFonts w:ascii="Arial" w:eastAsia="宋体" w:hAnsi="Arial" w:cs="Arial"/>
          <w:i/>
          <w:iCs/>
          <w:color w:val="262626"/>
          <w:sz w:val="18"/>
          <w:szCs w:val="18"/>
        </w:rPr>
        <w:t xml:space="preserve"> </w:t>
      </w:r>
      <w:r>
        <w:rPr>
          <w:rFonts w:ascii="Arial" w:eastAsia="宋体" w:hAnsi="Arial" w:cs="Arial"/>
          <w:color w:val="262626"/>
          <w:sz w:val="18"/>
          <w:szCs w:val="18"/>
        </w:rPr>
        <w:t>The industry in which we operate is highly competitive and subject to rapid technological, geopolitical and market developments; changes in industry standards; changes in customer and end-user needs, expectations, and preference</w:t>
      </w:r>
      <w:r>
        <w:rPr>
          <w:rFonts w:ascii="Arial" w:eastAsia="宋体" w:hAnsi="Arial" w:cs="Arial"/>
          <w:color w:val="262626"/>
          <w:sz w:val="18"/>
          <w:szCs w:val="18"/>
        </w:rPr>
        <w:t xml:space="preserve">s; and frequent product introductions and improvements. When we do not anticipate or respond to these developments, our competitive position can weaken, and our products or technologies can become uncompetitive or obsolete. Our competitive environment has </w:t>
      </w:r>
      <w:r>
        <w:rPr>
          <w:rFonts w:ascii="Arial" w:eastAsia="宋体" w:hAnsi="Arial" w:cs="Arial"/>
          <w:color w:val="262626"/>
          <w:sz w:val="18"/>
          <w:szCs w:val="18"/>
        </w:rPr>
        <w:t>intensified, and we expect it to continue to do so in the future.</w:t>
      </w:r>
    </w:p>
    <w:p w14:paraId="5A1B0773" w14:textId="77777777" w:rsidR="00960BB8" w:rsidRDefault="00C06650">
      <w:pPr>
        <w:spacing w:after="180"/>
      </w:pPr>
      <w:r>
        <w:rPr>
          <w:rFonts w:ascii="Arial" w:eastAsia="宋体" w:hAnsi="Arial" w:cs="Arial"/>
          <w:color w:val="262626"/>
          <w:sz w:val="18"/>
          <w:szCs w:val="18"/>
        </w:rPr>
        <w:t xml:space="preserve">Our products primarily compete based on performance, energy efficiency, integration, ease-of-use, innovative design, features, workload optimization, price, quality, reliability, </w:t>
      </w:r>
      <w:r>
        <w:rPr>
          <w:rFonts w:ascii="Arial" w:eastAsia="宋体" w:hAnsi="Arial" w:cs="Arial"/>
          <w:color w:val="262626"/>
          <w:sz w:val="18"/>
          <w:szCs w:val="18"/>
        </w:rPr>
        <w:t>security, software ecosystem and developer support, time-to-market, reliable product roadmap execution, brand recognition, customer support and customization, and availability. The importance of these factors varies by product and market segment. For examp</w:t>
      </w:r>
      <w:r>
        <w:rPr>
          <w:rFonts w:ascii="Arial" w:eastAsia="宋体" w:hAnsi="Arial" w:cs="Arial"/>
          <w:color w:val="262626"/>
          <w:sz w:val="18"/>
          <w:szCs w:val="18"/>
        </w:rPr>
        <w:t xml:space="preserve">le, our competitors have introduced data center and client platform products with performance improvements and additional processor core counts that have contributed to an increasingly competitive environment. In our IOTG business within NEX, for example, </w:t>
      </w:r>
      <w:r>
        <w:rPr>
          <w:rFonts w:ascii="Arial" w:eastAsia="宋体" w:hAnsi="Arial" w:cs="Arial"/>
          <w:color w:val="262626"/>
          <w:sz w:val="18"/>
          <w:szCs w:val="18"/>
        </w:rPr>
        <w:t>interoperability, connectivity, safety, security, industrial use conditions, and long-life support are among the key competitive factors. To the extent our products do not meet our customers' requirements across these factors in an increasingly competitive</w:t>
      </w:r>
      <w:r>
        <w:rPr>
          <w:rFonts w:ascii="Arial" w:eastAsia="宋体" w:hAnsi="Arial" w:cs="Arial"/>
          <w:color w:val="262626"/>
          <w:sz w:val="18"/>
          <w:szCs w:val="18"/>
        </w:rPr>
        <w:t xml:space="preserve"> landscape, our business and results of operation can be harmed.</w:t>
      </w:r>
    </w:p>
    <w:p w14:paraId="5A1B0774" w14:textId="77777777" w:rsidR="00960BB8" w:rsidRDefault="00C06650">
      <w:pPr>
        <w:spacing w:after="180"/>
      </w:pPr>
      <w:r>
        <w:rPr>
          <w:rFonts w:ascii="Arial" w:eastAsia="宋体" w:hAnsi="Arial" w:cs="Arial"/>
          <w:color w:val="262626"/>
          <w:sz w:val="18"/>
          <w:szCs w:val="18"/>
        </w:rPr>
        <w:t>We face intense competition across our product portfolio from companies offering platform products, such as AMD and Qualcomm; accelerator products such as GPUs, including those offered by NVI</w:t>
      </w:r>
      <w:r>
        <w:rPr>
          <w:rFonts w:ascii="Arial" w:eastAsia="宋体" w:hAnsi="Arial" w:cs="Arial"/>
          <w:color w:val="262626"/>
          <w:sz w:val="18"/>
          <w:szCs w:val="18"/>
        </w:rPr>
        <w:t>DIA; other accelerator products such as ASICs, application-specific standard products, and FPGAs; memory and storage products; connectivity and networking products; and other semiconductor products. Some of these competitors have developed or utilize compe</w:t>
      </w:r>
      <w:r>
        <w:rPr>
          <w:rFonts w:ascii="Arial" w:eastAsia="宋体" w:hAnsi="Arial" w:cs="Arial"/>
          <w:color w:val="262626"/>
          <w:sz w:val="18"/>
          <w:szCs w:val="18"/>
        </w:rPr>
        <w:t>ting computing architectures and platforms, such as the ARM architecture, and these architectures and platforms can produce beneficial network effects for competitors when an ecosystem of customers and application developers for such architectures and plat</w:t>
      </w:r>
      <w:r>
        <w:rPr>
          <w:rFonts w:ascii="Arial" w:eastAsia="宋体" w:hAnsi="Arial" w:cs="Arial"/>
          <w:color w:val="262626"/>
          <w:sz w:val="18"/>
          <w:szCs w:val="18"/>
        </w:rPr>
        <w:t>forms grows at scale. For example, ARM-based products are being used in PCs and servers, which could lead to further development and growth of the ARM ecosystem. We also compete with internally developed semiconductors from OEMs, cloud service providers, a</w:t>
      </w:r>
      <w:r>
        <w:rPr>
          <w:rFonts w:ascii="Arial" w:eastAsia="宋体" w:hAnsi="Arial" w:cs="Arial"/>
          <w:color w:val="262626"/>
          <w:sz w:val="18"/>
          <w:szCs w:val="18"/>
        </w:rPr>
        <w:t>nd others, some of whom are customers. Some of these customers vertically integrate their own semiconductor designs with their software assets and/or customize their designs for specific computing workloads. For example, in 2020, Apple introduced PC produc</w:t>
      </w:r>
      <w:r>
        <w:rPr>
          <w:rFonts w:ascii="Arial" w:eastAsia="宋体" w:hAnsi="Arial" w:cs="Arial"/>
          <w:color w:val="262626"/>
          <w:sz w:val="18"/>
          <w:szCs w:val="18"/>
        </w:rPr>
        <w:t>ts utilizing its own internally developed ARM-based semiconductor designs in place of our client CPUs, and we face increasing competition from Apple's products and ecosystem.</w:t>
      </w:r>
    </w:p>
    <w:p w14:paraId="5A1B0775" w14:textId="77777777" w:rsidR="00960BB8" w:rsidRDefault="00C06650">
      <w:pPr>
        <w:spacing w:after="180"/>
      </w:pPr>
      <w:r>
        <w:rPr>
          <w:rFonts w:ascii="Arial" w:eastAsia="宋体" w:hAnsi="Arial" w:cs="Arial"/>
          <w:color w:val="262626"/>
          <w:sz w:val="18"/>
          <w:szCs w:val="18"/>
        </w:rPr>
        <w:t>Most of our competitors rely on third-party foundries, such as TSMC or Samsung El</w:t>
      </w:r>
      <w:r>
        <w:rPr>
          <w:rFonts w:ascii="Arial" w:eastAsia="宋体" w:hAnsi="Arial" w:cs="Arial"/>
          <w:color w:val="262626"/>
          <w:sz w:val="18"/>
          <w:szCs w:val="18"/>
        </w:rPr>
        <w:t>ectronics Co., Ltd., and subcontractors for manufacture and assembly and test of their semiconductor components and products. Manufacturing process improvements introduced by TSMC have contributed, and may continue to contribute, to increasingly competitiv</w:t>
      </w:r>
      <w:r>
        <w:rPr>
          <w:rFonts w:ascii="Arial" w:eastAsia="宋体" w:hAnsi="Arial" w:cs="Arial"/>
          <w:color w:val="262626"/>
          <w:sz w:val="18"/>
          <w:szCs w:val="18"/>
        </w:rPr>
        <w:t>e offerings by our competitors. While we have set out a process technology roadmap to attain future process performance-per-watt parity and leadership relative to TSMC, our plans are subject to a number of risks and we could fail to realize our goals, incl</w:t>
      </w:r>
      <w:r>
        <w:rPr>
          <w:rFonts w:ascii="Arial" w:eastAsia="宋体" w:hAnsi="Arial" w:cs="Arial"/>
          <w:color w:val="262626"/>
          <w:sz w:val="18"/>
          <w:szCs w:val="18"/>
        </w:rPr>
        <w:t>uding due to changes in competitor technology roadmaps, changes affecting our projections regarding our technology or competing technology, and the risks described in the section "We are vulnerable to product and manufacturing-related risks." As an IDM, we</w:t>
      </w:r>
      <w:r>
        <w:rPr>
          <w:rFonts w:ascii="Arial" w:eastAsia="宋体" w:hAnsi="Arial" w:cs="Arial"/>
          <w:color w:val="262626"/>
          <w:sz w:val="18"/>
          <w:szCs w:val="18"/>
        </w:rPr>
        <w:t xml:space="preserve"> have higher capital expenditures and R&amp;D spending than many of our "fabless" competitors. We also face new sources of competition as a result of changes in industry participants through, for example, acquisitions or business collaborations, as well as new</w:t>
      </w:r>
      <w:r>
        <w:rPr>
          <w:rFonts w:ascii="Arial" w:eastAsia="宋体" w:hAnsi="Arial" w:cs="Arial"/>
          <w:color w:val="262626"/>
          <w:sz w:val="18"/>
          <w:szCs w:val="18"/>
        </w:rPr>
        <w:t xml:space="preserve"> entrants, including in China, which could have a significant impact on our competitive position. For example, we could face increased competition as a result of China's programs to promote a domestic semiconductor industry and supply chains.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77F" w14:textId="77777777">
        <w:tc>
          <w:tcPr>
            <w:tcW w:w="50" w:type="pct"/>
            <w:shd w:val="clear" w:color="auto" w:fill="auto"/>
            <w:vAlign w:val="bottom"/>
          </w:tcPr>
          <w:p w14:paraId="5A1B0776" w14:textId="77777777" w:rsidR="00960BB8" w:rsidRDefault="00960BB8">
            <w:pPr>
              <w:rPr>
                <w:rFonts w:ascii="宋体"/>
              </w:rPr>
            </w:pPr>
          </w:p>
        </w:tc>
        <w:tc>
          <w:tcPr>
            <w:tcW w:w="283" w:type="pct"/>
            <w:shd w:val="clear" w:color="auto" w:fill="auto"/>
            <w:vAlign w:val="bottom"/>
          </w:tcPr>
          <w:p w14:paraId="5A1B0777" w14:textId="77777777" w:rsidR="00960BB8" w:rsidRDefault="00960BB8">
            <w:pPr>
              <w:rPr>
                <w:rFonts w:ascii="宋体"/>
              </w:rPr>
            </w:pPr>
          </w:p>
        </w:tc>
        <w:tc>
          <w:tcPr>
            <w:tcW w:w="5" w:type="pct"/>
            <w:shd w:val="clear" w:color="auto" w:fill="auto"/>
            <w:vAlign w:val="bottom"/>
          </w:tcPr>
          <w:p w14:paraId="5A1B0778" w14:textId="77777777" w:rsidR="00960BB8" w:rsidRDefault="00960BB8">
            <w:pPr>
              <w:rPr>
                <w:rFonts w:ascii="宋体"/>
              </w:rPr>
            </w:pPr>
          </w:p>
        </w:tc>
        <w:tc>
          <w:tcPr>
            <w:tcW w:w="50" w:type="pct"/>
            <w:shd w:val="clear" w:color="auto" w:fill="auto"/>
            <w:vAlign w:val="bottom"/>
          </w:tcPr>
          <w:p w14:paraId="5A1B0779" w14:textId="77777777" w:rsidR="00960BB8" w:rsidRDefault="00960BB8">
            <w:pPr>
              <w:rPr>
                <w:rFonts w:ascii="宋体"/>
              </w:rPr>
            </w:pPr>
          </w:p>
        </w:tc>
        <w:tc>
          <w:tcPr>
            <w:tcW w:w="2656" w:type="pct"/>
            <w:shd w:val="clear" w:color="auto" w:fill="auto"/>
            <w:vAlign w:val="bottom"/>
          </w:tcPr>
          <w:p w14:paraId="5A1B077A" w14:textId="77777777" w:rsidR="00960BB8" w:rsidRDefault="00960BB8">
            <w:pPr>
              <w:rPr>
                <w:rFonts w:ascii="宋体"/>
              </w:rPr>
            </w:pPr>
          </w:p>
        </w:tc>
        <w:tc>
          <w:tcPr>
            <w:tcW w:w="5" w:type="pct"/>
            <w:shd w:val="clear" w:color="auto" w:fill="auto"/>
            <w:vAlign w:val="bottom"/>
          </w:tcPr>
          <w:p w14:paraId="5A1B077B" w14:textId="77777777" w:rsidR="00960BB8" w:rsidRDefault="00960BB8">
            <w:pPr>
              <w:rPr>
                <w:rFonts w:ascii="宋体"/>
              </w:rPr>
            </w:pPr>
          </w:p>
        </w:tc>
        <w:tc>
          <w:tcPr>
            <w:tcW w:w="50" w:type="pct"/>
            <w:shd w:val="clear" w:color="auto" w:fill="auto"/>
            <w:vAlign w:val="bottom"/>
          </w:tcPr>
          <w:p w14:paraId="5A1B077C" w14:textId="77777777" w:rsidR="00960BB8" w:rsidRDefault="00960BB8">
            <w:pPr>
              <w:rPr>
                <w:rFonts w:ascii="宋体"/>
              </w:rPr>
            </w:pPr>
          </w:p>
        </w:tc>
        <w:tc>
          <w:tcPr>
            <w:tcW w:w="1894" w:type="pct"/>
            <w:shd w:val="clear" w:color="auto" w:fill="auto"/>
            <w:vAlign w:val="bottom"/>
          </w:tcPr>
          <w:p w14:paraId="5A1B077D" w14:textId="77777777" w:rsidR="00960BB8" w:rsidRDefault="00960BB8">
            <w:pPr>
              <w:rPr>
                <w:rFonts w:ascii="宋体"/>
              </w:rPr>
            </w:pPr>
          </w:p>
        </w:tc>
        <w:tc>
          <w:tcPr>
            <w:tcW w:w="5" w:type="pct"/>
            <w:shd w:val="clear" w:color="auto" w:fill="auto"/>
            <w:vAlign w:val="bottom"/>
          </w:tcPr>
          <w:p w14:paraId="5A1B077E" w14:textId="77777777" w:rsidR="00960BB8" w:rsidRDefault="00960BB8">
            <w:pPr>
              <w:rPr>
                <w:rFonts w:ascii="宋体"/>
              </w:rPr>
            </w:pPr>
          </w:p>
        </w:tc>
      </w:tr>
      <w:tr w:rsidR="00960BB8" w14:paraId="5A1B078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780"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22" wp14:editId="5A1B4423">
                  <wp:extent cx="304800" cy="304800"/>
                  <wp:effectExtent l="0" t="0" r="0" b="0"/>
                  <wp:docPr id="26" name="图片 19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81"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82" w14:textId="77777777" w:rsidR="00960BB8" w:rsidRDefault="00C06650">
            <w:pPr>
              <w:jc w:val="right"/>
              <w:textAlignment w:val="center"/>
            </w:pPr>
            <w:r>
              <w:rPr>
                <w:rFonts w:ascii="Arial" w:eastAsia="宋体" w:hAnsi="Arial" w:cs="Arial"/>
                <w:color w:val="262626"/>
                <w:sz w:val="16"/>
                <w:szCs w:val="16"/>
              </w:rPr>
              <w:t>54</w:t>
            </w:r>
          </w:p>
        </w:tc>
      </w:tr>
    </w:tbl>
    <w:p w14:paraId="5A1B0784" w14:textId="77777777" w:rsidR="00960BB8" w:rsidRDefault="00C06650">
      <w:r>
        <w:pict w14:anchorId="5A1B4424">
          <v:rect id="_x0000_i1080" style="width:415.3pt;height:1.5pt" o:hralign="center" o:hrstd="t" o:hr="t" fillcolor="#a0a0a0" stroked="f"/>
        </w:pict>
      </w:r>
    </w:p>
    <w:p w14:paraId="5A1B0785" w14:textId="77777777" w:rsidR="00960BB8" w:rsidRDefault="00C06650">
      <w:pPr>
        <w:jc w:val="right"/>
      </w:pPr>
      <w:hyperlink r:id="rId73" w:anchor="i8aaa7b4dbd2e419ca0f5c30af85a11aa_16" w:history="1">
        <w:r>
          <w:rPr>
            <w:rStyle w:val="a5"/>
            <w:rFonts w:ascii="Arial" w:eastAsia="宋体" w:hAnsi="Arial" w:cs="Arial"/>
            <w:b/>
            <w:bCs/>
            <w:sz w:val="16"/>
            <w:szCs w:val="16"/>
          </w:rPr>
          <w:t>Table of Contents</w:t>
        </w:r>
      </w:hyperlink>
    </w:p>
    <w:p w14:paraId="5A1B0786" w14:textId="77777777" w:rsidR="00960BB8" w:rsidRDefault="00960BB8">
      <w:pPr>
        <w:jc w:val="right"/>
      </w:pPr>
    </w:p>
    <w:p w14:paraId="5A1B0787" w14:textId="77777777" w:rsidR="00960BB8" w:rsidRDefault="00C06650">
      <w:pPr>
        <w:spacing w:after="180"/>
      </w:pPr>
      <w:r>
        <w:rPr>
          <w:rFonts w:ascii="Arial" w:eastAsia="宋体" w:hAnsi="Arial" w:cs="Arial"/>
          <w:color w:val="262626"/>
          <w:sz w:val="18"/>
          <w:szCs w:val="18"/>
        </w:rPr>
        <w:t xml:space="preserve">Introduction of competitive new products and technologies, aggressive pricing, and </w:t>
      </w:r>
      <w:r>
        <w:rPr>
          <w:rFonts w:ascii="Arial" w:eastAsia="宋体" w:hAnsi="Arial" w:cs="Arial"/>
          <w:color w:val="262626"/>
          <w:sz w:val="18"/>
          <w:szCs w:val="18"/>
        </w:rPr>
        <w:t>other actions taken by competitors can harm demand for our products, exert downward pricing pressure on our products, and adversely affect our business. For example, our DCAI revenue and platform ASPs were negatively impacted by the competitive environment</w:t>
      </w:r>
      <w:r>
        <w:rPr>
          <w:rFonts w:ascii="Arial" w:eastAsia="宋体" w:hAnsi="Arial" w:cs="Arial"/>
          <w:color w:val="262626"/>
          <w:sz w:val="18"/>
          <w:szCs w:val="18"/>
        </w:rPr>
        <w:t xml:space="preserve"> during 2022 and 2021. Additionally, a number of business combinations and strategic partnerships in the semiconductor industry have occurred over the last several years, and more could occur in the future. For example, in 2022, Broadcom announced an agree</w:t>
      </w:r>
      <w:r>
        <w:rPr>
          <w:rFonts w:ascii="Arial" w:eastAsia="宋体" w:hAnsi="Arial" w:cs="Arial"/>
          <w:color w:val="262626"/>
          <w:sz w:val="18"/>
          <w:szCs w:val="18"/>
        </w:rPr>
        <w:t>ment to acquire VMware, and AMD completed its acquisition of Xilinx, Inc. Consolidation could also lead to fewer customers, partners, or suppliers, any of which could negatively affect our financial results.</w:t>
      </w:r>
    </w:p>
    <w:p w14:paraId="5A1B0788" w14:textId="77777777" w:rsidR="00960BB8" w:rsidRDefault="00C06650">
      <w:pPr>
        <w:spacing w:after="180"/>
      </w:pPr>
      <w:r>
        <w:rPr>
          <w:rFonts w:ascii="Arial" w:eastAsia="宋体" w:hAnsi="Arial" w:cs="Arial"/>
          <w:color w:val="262626"/>
          <w:sz w:val="18"/>
          <w:szCs w:val="18"/>
        </w:rPr>
        <w:t>If we are not able to compete effectively, our f</w:t>
      </w:r>
      <w:r>
        <w:rPr>
          <w:rFonts w:ascii="Arial" w:eastAsia="宋体" w:hAnsi="Arial" w:cs="Arial"/>
          <w:color w:val="262626"/>
          <w:sz w:val="18"/>
          <w:szCs w:val="18"/>
        </w:rPr>
        <w:t>inancial results will be adversely affected, including reduced revenue and gross margin, and we may be required to accelerate the write-down of the value of certain assets.</w:t>
      </w:r>
    </w:p>
    <w:p w14:paraId="5A1B0789" w14:textId="77777777" w:rsidR="00960BB8" w:rsidRDefault="00C06650">
      <w:pPr>
        <w:spacing w:after="180"/>
      </w:pPr>
      <w:r>
        <w:rPr>
          <w:rFonts w:ascii="Arial" w:eastAsia="宋体" w:hAnsi="Arial" w:cs="Arial"/>
          <w:color w:val="0068B5"/>
          <w:sz w:val="18"/>
          <w:szCs w:val="18"/>
        </w:rPr>
        <w:t>We invest significantly in R&amp;D, and to the extent our R&amp;D efforts are unsuccessful,</w:t>
      </w:r>
      <w:r>
        <w:rPr>
          <w:rFonts w:ascii="Arial" w:eastAsia="宋体" w:hAnsi="Arial" w:cs="Arial"/>
          <w:color w:val="0068B5"/>
          <w:sz w:val="18"/>
          <w:szCs w:val="18"/>
        </w:rPr>
        <w:t xml:space="preserve"> our competitive position can be harmed, and we may not realize a return on our investments.</w:t>
      </w:r>
      <w:r>
        <w:rPr>
          <w:rFonts w:ascii="Arial" w:eastAsia="宋体" w:hAnsi="Arial" w:cs="Arial"/>
          <w:color w:val="333333"/>
          <w:sz w:val="18"/>
          <w:szCs w:val="18"/>
        </w:rPr>
        <w:t xml:space="preserve"> </w:t>
      </w:r>
      <w:r>
        <w:rPr>
          <w:rFonts w:ascii="Arial" w:eastAsia="宋体" w:hAnsi="Arial" w:cs="Arial"/>
          <w:color w:val="262626"/>
          <w:sz w:val="18"/>
          <w:szCs w:val="18"/>
        </w:rPr>
        <w:t xml:space="preserve">To compete successfully, we must maintain an effective R&amp;D program, develop new products and manufacturing processes, and improve our existing products and </w:t>
      </w:r>
      <w:r>
        <w:rPr>
          <w:rFonts w:ascii="Arial" w:eastAsia="宋体" w:hAnsi="Arial" w:cs="Arial"/>
          <w:color w:val="262626"/>
          <w:sz w:val="18"/>
          <w:szCs w:val="18"/>
        </w:rPr>
        <w:t>processes, all ahead of competitors. Our R&amp;D efforts intensely utilize our different forms of capital, and we incurred R&amp;D expenses of $17.5 billion in 2022, $15.2 billion in 2021and $13.6 billion in 2020. We are focusing our R&amp;D efforts across several key</w:t>
      </w:r>
      <w:r>
        <w:rPr>
          <w:rFonts w:ascii="Arial" w:eastAsia="宋体" w:hAnsi="Arial" w:cs="Arial"/>
          <w:color w:val="262626"/>
          <w:sz w:val="18"/>
          <w:szCs w:val="18"/>
        </w:rPr>
        <w:t xml:space="preserve"> areas, including process and packaging technology, our xPU products and features, and software. These include ambitious initiatives, such as our unified oneAPI portfolio of developer tools. We cannot guarantee that all of these efforts will deliver the be</w:t>
      </w:r>
      <w:r>
        <w:rPr>
          <w:rFonts w:ascii="Arial" w:eastAsia="宋体" w:hAnsi="Arial" w:cs="Arial"/>
          <w:color w:val="262626"/>
          <w:sz w:val="18"/>
          <w:szCs w:val="18"/>
        </w:rPr>
        <w:t>nefits we anticipate. For example, we previously experienced significant delays in the implementation of our 10nm process technology, and during 2020, we announced that our Intel 4 process technology (formerly 7nm) would be delayed relative to our prior ex</w:t>
      </w:r>
      <w:r>
        <w:rPr>
          <w:rFonts w:ascii="Arial" w:eastAsia="宋体" w:hAnsi="Arial" w:cs="Arial"/>
          <w:color w:val="262626"/>
          <w:sz w:val="18"/>
          <w:szCs w:val="18"/>
        </w:rPr>
        <w:t>pectations. To the extent we do not timely introduce new manufacturing process technologies that improve performance, performance per watt, and/or transistor density with sufficient manufacturing yields and operational efficiency, relative to competing fou</w:t>
      </w:r>
      <w:r>
        <w:rPr>
          <w:rFonts w:ascii="Arial" w:eastAsia="宋体" w:hAnsi="Arial" w:cs="Arial"/>
          <w:color w:val="262626"/>
          <w:sz w:val="18"/>
          <w:szCs w:val="18"/>
        </w:rPr>
        <w:t>ndry processes, we can face cost, product performance, and time-to-market disadvantages. In addition, periods of extended investment in R&amp;D and operational strategy can impact our financial condition and planning and may result in periods of higher leverag</w:t>
      </w:r>
      <w:r>
        <w:rPr>
          <w:rFonts w:ascii="Arial" w:eastAsia="宋体" w:hAnsi="Arial" w:cs="Arial"/>
          <w:color w:val="262626"/>
          <w:sz w:val="18"/>
          <w:szCs w:val="18"/>
        </w:rPr>
        <w:t>e, operating costs, borrowing costs, and pressure on our credit ratings. Further, we are not always able to timely or successfully develop new products, including as a result of bugs, late changes to features due to customer requests, or other design chall</w:t>
      </w:r>
      <w:r>
        <w:rPr>
          <w:rFonts w:ascii="Arial" w:eastAsia="宋体" w:hAnsi="Arial" w:cs="Arial"/>
          <w:color w:val="262626"/>
          <w:sz w:val="18"/>
          <w:szCs w:val="18"/>
        </w:rPr>
        <w:t>enges. For example, in 2022, we announced that the release of our Sapphire Rapids product would be delayed from the first half of 2022 to the second half of 2022. To the extent our R&amp;D efforts do not develop new products on schedule with improvements in ar</w:t>
      </w:r>
      <w:r>
        <w:rPr>
          <w:rFonts w:ascii="Arial" w:eastAsia="宋体" w:hAnsi="Arial" w:cs="Arial"/>
          <w:color w:val="262626"/>
          <w:sz w:val="18"/>
          <w:szCs w:val="18"/>
        </w:rPr>
        <w:t>eas like performance, performance per watt, die utilization, and core counts, and/or with new features such as optimizations for AI and other workloads, our competitive position can be harmed. We have adopted a disaggregated design approach for some of our</w:t>
      </w:r>
      <w:r>
        <w:rPr>
          <w:rFonts w:ascii="Arial" w:eastAsia="宋体" w:hAnsi="Arial" w:cs="Arial"/>
          <w:color w:val="262626"/>
          <w:sz w:val="18"/>
          <w:szCs w:val="18"/>
        </w:rPr>
        <w:t xml:space="preserve"> future products, in which different processors and components can be manufactured on different processes and connected by advanced packaging technology into a single package. This approach introduces new areas of complexity in design and manufacturability</w:t>
      </w:r>
      <w:r>
        <w:rPr>
          <w:rFonts w:ascii="Arial" w:eastAsia="宋体" w:hAnsi="Arial" w:cs="Arial"/>
          <w:color w:val="262626"/>
          <w:sz w:val="18"/>
          <w:szCs w:val="18"/>
        </w:rPr>
        <w:t xml:space="preserve">, particularly in the deployment of advanced packaging technologies, several of which are novel, have a limited manufacturing history, and/or have increased costs. Delays or failures in implementing disaggregated designs could adversely affect our ability </w:t>
      </w:r>
      <w:r>
        <w:rPr>
          <w:rFonts w:ascii="Arial" w:eastAsia="宋体" w:hAnsi="Arial" w:cs="Arial"/>
          <w:color w:val="262626"/>
          <w:sz w:val="18"/>
          <w:szCs w:val="18"/>
        </w:rPr>
        <w:t>to timely introduce competitive products. For example, adapting a processor or component design for a new or different manufacturing process involves additional R&amp;D expense and can result in delays in the development of the associated product and higher co</w:t>
      </w:r>
      <w:r>
        <w:rPr>
          <w:rFonts w:ascii="Arial" w:eastAsia="宋体" w:hAnsi="Arial" w:cs="Arial"/>
          <w:color w:val="262626"/>
          <w:sz w:val="18"/>
          <w:szCs w:val="18"/>
        </w:rPr>
        <w:t>sts due to the utilization of more advanced and expensive capital equipment.</w:t>
      </w:r>
    </w:p>
    <w:p w14:paraId="5A1B078A" w14:textId="77777777" w:rsidR="00960BB8" w:rsidRDefault="00C06650">
      <w:pPr>
        <w:spacing w:after="180"/>
      </w:pPr>
      <w:r>
        <w:rPr>
          <w:rFonts w:ascii="Arial" w:eastAsia="宋体" w:hAnsi="Arial" w:cs="Arial"/>
          <w:color w:val="262626"/>
          <w:sz w:val="18"/>
          <w:szCs w:val="18"/>
        </w:rPr>
        <w:t>We do not expect all of our R&amp;D investments to be successful. Some of our efforts to develop and market new products and technologies fail or fall short of our expectations, or ar</w:t>
      </w:r>
      <w:r>
        <w:rPr>
          <w:rFonts w:ascii="Arial" w:eastAsia="宋体" w:hAnsi="Arial" w:cs="Arial"/>
          <w:color w:val="262626"/>
          <w:sz w:val="18"/>
          <w:szCs w:val="18"/>
        </w:rPr>
        <w:t>e not well-received by customers, who may adopt competing technologies. We make significant investments in R&amp;D, and our investments are growing as we pursue our IDM 2.0 strategy. Our investments at times do not contribute to our future operating results fo</w:t>
      </w:r>
      <w:r>
        <w:rPr>
          <w:rFonts w:ascii="Arial" w:eastAsia="宋体" w:hAnsi="Arial" w:cs="Arial"/>
          <w:color w:val="262626"/>
          <w:sz w:val="18"/>
          <w:szCs w:val="18"/>
        </w:rPr>
        <w:t xml:space="preserve">r several years, if at all, and such contributions at times do not meet our expectations or even cover the costs of such investments. </w:t>
      </w:r>
    </w:p>
    <w:p w14:paraId="5A1B078B" w14:textId="77777777" w:rsidR="00960BB8" w:rsidRDefault="00C06650">
      <w:pPr>
        <w:spacing w:after="180"/>
      </w:pPr>
      <w:r>
        <w:rPr>
          <w:rFonts w:ascii="Arial" w:eastAsia="宋体" w:hAnsi="Arial" w:cs="Arial"/>
          <w:color w:val="0068B5"/>
          <w:sz w:val="18"/>
          <w:szCs w:val="18"/>
        </w:rPr>
        <w:t xml:space="preserve">Our investments in new businesses, products, and technologies are inherently risky and do not always succeed. </w:t>
      </w:r>
      <w:r>
        <w:rPr>
          <w:rFonts w:ascii="Arial" w:eastAsia="宋体" w:hAnsi="Arial" w:cs="Arial"/>
          <w:color w:val="262626"/>
          <w:sz w:val="18"/>
          <w:szCs w:val="18"/>
        </w:rPr>
        <w:t>We have ent</w:t>
      </w:r>
      <w:r>
        <w:rPr>
          <w:rFonts w:ascii="Arial" w:eastAsia="宋体" w:hAnsi="Arial" w:cs="Arial"/>
          <w:color w:val="262626"/>
          <w:sz w:val="18"/>
          <w:szCs w:val="18"/>
        </w:rPr>
        <w:t>ered new areas and introduced new products and services as we seek to capitalize on the opportunities presented by ubiquitous computing, cloud to edge infrastructure, pervasive connectivity, and AI. In recent years, we have expanded our product offerings i</w:t>
      </w:r>
      <w:r>
        <w:rPr>
          <w:rFonts w:ascii="Arial" w:eastAsia="宋体" w:hAnsi="Arial" w:cs="Arial"/>
          <w:color w:val="262626"/>
          <w:sz w:val="18"/>
          <w:szCs w:val="18"/>
        </w:rPr>
        <w:t>n areas such as discrete GPUs, mobility solutions, AI accelerators, IPU products, and silicon photonics. As part of our IDM 2.0 strategy, we announced plans to establish IFS as a major provider of foundry capacity to manufacture semiconductors for others a</w:t>
      </w:r>
      <w:r>
        <w:rPr>
          <w:rFonts w:ascii="Arial" w:eastAsia="宋体" w:hAnsi="Arial" w:cs="Arial"/>
          <w:color w:val="262626"/>
          <w:sz w:val="18"/>
          <w:szCs w:val="18"/>
        </w:rPr>
        <w:t>nd to implement an internal foundry operating model through updates to our processes, systems, and guardrails between our manufacturing and our individual business units. IFS faces competition from well-established competitors such as TSMC and Samsung, and</w:t>
      </w:r>
      <w:r>
        <w:rPr>
          <w:rFonts w:ascii="Arial" w:eastAsia="宋体" w:hAnsi="Arial" w:cs="Arial"/>
          <w:color w:val="262626"/>
          <w:sz w:val="18"/>
          <w:szCs w:val="18"/>
        </w:rPr>
        <w:t xml:space="preserve"> to succeed, we will need to compete effectively across factors such as availability and time-to-market of manufacturing technology; advances in manufacturing processes in areas such as performance, performance per watt, and density; manufacturing capacity</w:t>
      </w:r>
      <w:r>
        <w:rPr>
          <w:rFonts w:ascii="Arial" w:eastAsia="宋体" w:hAnsi="Arial" w:cs="Arial"/>
          <w:color w:val="262626"/>
          <w:sz w:val="18"/>
          <w:szCs w:val="18"/>
        </w:rPr>
        <w:t>; price; margin; ease of use; quality; yields; customer satisfaction; and ecosystem support. Our "big bets" are inherently risky and are not always successful. For example, in 2022, we wound down Intel Optane; in 2020, we agreed to sell our NAND memory bus</w:t>
      </w:r>
      <w:r>
        <w:rPr>
          <w:rFonts w:ascii="Arial" w:eastAsia="宋体" w:hAnsi="Arial" w:cs="Arial"/>
          <w:color w:val="262626"/>
          <w:sz w:val="18"/>
          <w:szCs w:val="18"/>
        </w:rPr>
        <w:t xml:space="preserve">iness to SK hynix; and in 2019, we exited the 5G smartphone modem business--three of our prior big bets--based on our determination that there was no clear path to profitability for those businesses. </w:t>
      </w:r>
    </w:p>
    <w:p w14:paraId="5A1B078C" w14:textId="77777777" w:rsidR="00960BB8" w:rsidRDefault="00C06650">
      <w:pPr>
        <w:spacing w:after="180"/>
      </w:pPr>
      <w:r>
        <w:rPr>
          <w:rFonts w:ascii="Arial" w:eastAsia="宋体" w:hAnsi="Arial" w:cs="Arial"/>
          <w:color w:val="262626"/>
          <w:sz w:val="18"/>
          <w:szCs w:val="18"/>
        </w:rPr>
        <w:t>These new and developing areas and products represent a</w:t>
      </w:r>
      <w:r>
        <w:rPr>
          <w:rFonts w:ascii="Arial" w:eastAsia="宋体" w:hAnsi="Arial" w:cs="Arial"/>
          <w:color w:val="262626"/>
          <w:sz w:val="18"/>
          <w:szCs w:val="18"/>
        </w:rPr>
        <w:t xml:space="preserve"> significant portion of our revenue growth opportunity, and they also introduce new sources of competition, including, in some cases, incumbent competitors with established technologies, ecosystems, and customer bases, lower prices, margins, or costs, and </w:t>
      </w:r>
      <w:r>
        <w:rPr>
          <w:rFonts w:ascii="Arial" w:eastAsia="宋体" w:hAnsi="Arial" w:cs="Arial"/>
          <w:color w:val="262626"/>
          <w:sz w:val="18"/>
          <w:szCs w:val="18"/>
        </w:rPr>
        <w:t>greater brand recognition. These developing products and market segments require significant investment, do not always grow as projected or at all, or sometimes adopt competing technologies, and we may not realize an adequate return on our investments. For</w:t>
      </w:r>
      <w:r>
        <w:rPr>
          <w:rFonts w:ascii="Arial" w:eastAsia="宋体" w:hAnsi="Arial" w:cs="Arial"/>
          <w:color w:val="262626"/>
          <w:sz w:val="18"/>
          <w:szCs w:val="18"/>
        </w:rPr>
        <w:t xml:space="preserve"> example, AI and machine learning are increasingly driving innovations in technology, but if we fail to develop leading products for these workloads, or if our customers use competing technologies, we may not realize a return on our investments in these ar</w:t>
      </w:r>
      <w:r>
        <w:rPr>
          <w:rFonts w:ascii="Arial" w:eastAsia="宋体" w:hAnsi="Arial" w:cs="Arial"/>
          <w:color w:val="262626"/>
          <w:sz w:val="18"/>
          <w:szCs w:val="18"/>
        </w:rPr>
        <w:t>eas. Similarly, while we see significant opportunity in networking infrastructure and the distribution of computing to the network edge, we expect intense competition for this opportunity and may not succeed in our efforts. To be successful, we need to cul</w:t>
      </w:r>
      <w:r>
        <w:rPr>
          <w:rFonts w:ascii="Arial" w:eastAsia="宋体" w:hAnsi="Arial" w:cs="Arial"/>
          <w:color w:val="262626"/>
          <w:sz w:val="18"/>
          <w:szCs w:val="18"/>
        </w:rPr>
        <w:t>tivate relationships with customers and partners in these market segments and continue to improve our offerings. Despite our ongoing efforts, there is no guarantee that we will achieve or maintain market demand or acceptance for our products and services i</w:t>
      </w:r>
      <w:r>
        <w:rPr>
          <w:rFonts w:ascii="Arial" w:eastAsia="宋体" w:hAnsi="Arial" w:cs="Arial"/>
          <w:color w:val="262626"/>
          <w:sz w:val="18"/>
          <w:szCs w:val="18"/>
        </w:rPr>
        <w:t>n these various market segments or realize an adequate return on our investments, which could lead to impairment of assets and restructuring charges, as well as opportunity costs.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796" w14:textId="77777777">
        <w:tc>
          <w:tcPr>
            <w:tcW w:w="50" w:type="pct"/>
            <w:shd w:val="clear" w:color="auto" w:fill="auto"/>
            <w:vAlign w:val="bottom"/>
          </w:tcPr>
          <w:p w14:paraId="5A1B078D" w14:textId="77777777" w:rsidR="00960BB8" w:rsidRDefault="00960BB8">
            <w:pPr>
              <w:rPr>
                <w:rFonts w:ascii="宋体"/>
              </w:rPr>
            </w:pPr>
          </w:p>
        </w:tc>
        <w:tc>
          <w:tcPr>
            <w:tcW w:w="283" w:type="pct"/>
            <w:shd w:val="clear" w:color="auto" w:fill="auto"/>
            <w:vAlign w:val="bottom"/>
          </w:tcPr>
          <w:p w14:paraId="5A1B078E" w14:textId="77777777" w:rsidR="00960BB8" w:rsidRDefault="00960BB8">
            <w:pPr>
              <w:rPr>
                <w:rFonts w:ascii="宋体"/>
              </w:rPr>
            </w:pPr>
          </w:p>
        </w:tc>
        <w:tc>
          <w:tcPr>
            <w:tcW w:w="5" w:type="pct"/>
            <w:shd w:val="clear" w:color="auto" w:fill="auto"/>
            <w:vAlign w:val="bottom"/>
          </w:tcPr>
          <w:p w14:paraId="5A1B078F" w14:textId="77777777" w:rsidR="00960BB8" w:rsidRDefault="00960BB8">
            <w:pPr>
              <w:rPr>
                <w:rFonts w:ascii="宋体"/>
              </w:rPr>
            </w:pPr>
          </w:p>
        </w:tc>
        <w:tc>
          <w:tcPr>
            <w:tcW w:w="50" w:type="pct"/>
            <w:shd w:val="clear" w:color="auto" w:fill="auto"/>
            <w:vAlign w:val="bottom"/>
          </w:tcPr>
          <w:p w14:paraId="5A1B0790" w14:textId="77777777" w:rsidR="00960BB8" w:rsidRDefault="00960BB8">
            <w:pPr>
              <w:rPr>
                <w:rFonts w:ascii="宋体"/>
              </w:rPr>
            </w:pPr>
          </w:p>
        </w:tc>
        <w:tc>
          <w:tcPr>
            <w:tcW w:w="2656" w:type="pct"/>
            <w:shd w:val="clear" w:color="auto" w:fill="auto"/>
            <w:vAlign w:val="bottom"/>
          </w:tcPr>
          <w:p w14:paraId="5A1B0791" w14:textId="77777777" w:rsidR="00960BB8" w:rsidRDefault="00960BB8">
            <w:pPr>
              <w:rPr>
                <w:rFonts w:ascii="宋体"/>
              </w:rPr>
            </w:pPr>
          </w:p>
        </w:tc>
        <w:tc>
          <w:tcPr>
            <w:tcW w:w="5" w:type="pct"/>
            <w:shd w:val="clear" w:color="auto" w:fill="auto"/>
            <w:vAlign w:val="bottom"/>
          </w:tcPr>
          <w:p w14:paraId="5A1B0792" w14:textId="77777777" w:rsidR="00960BB8" w:rsidRDefault="00960BB8">
            <w:pPr>
              <w:rPr>
                <w:rFonts w:ascii="宋体"/>
              </w:rPr>
            </w:pPr>
          </w:p>
        </w:tc>
        <w:tc>
          <w:tcPr>
            <w:tcW w:w="50" w:type="pct"/>
            <w:shd w:val="clear" w:color="auto" w:fill="auto"/>
            <w:vAlign w:val="bottom"/>
          </w:tcPr>
          <w:p w14:paraId="5A1B0793" w14:textId="77777777" w:rsidR="00960BB8" w:rsidRDefault="00960BB8">
            <w:pPr>
              <w:rPr>
                <w:rFonts w:ascii="宋体"/>
              </w:rPr>
            </w:pPr>
          </w:p>
        </w:tc>
        <w:tc>
          <w:tcPr>
            <w:tcW w:w="1894" w:type="pct"/>
            <w:shd w:val="clear" w:color="auto" w:fill="auto"/>
            <w:vAlign w:val="bottom"/>
          </w:tcPr>
          <w:p w14:paraId="5A1B0794" w14:textId="77777777" w:rsidR="00960BB8" w:rsidRDefault="00960BB8">
            <w:pPr>
              <w:rPr>
                <w:rFonts w:ascii="宋体"/>
              </w:rPr>
            </w:pPr>
          </w:p>
        </w:tc>
        <w:tc>
          <w:tcPr>
            <w:tcW w:w="5" w:type="pct"/>
            <w:shd w:val="clear" w:color="auto" w:fill="auto"/>
            <w:vAlign w:val="bottom"/>
          </w:tcPr>
          <w:p w14:paraId="5A1B0795" w14:textId="77777777" w:rsidR="00960BB8" w:rsidRDefault="00960BB8">
            <w:pPr>
              <w:rPr>
                <w:rFonts w:ascii="宋体"/>
              </w:rPr>
            </w:pPr>
          </w:p>
        </w:tc>
      </w:tr>
      <w:tr w:rsidR="00960BB8" w14:paraId="5A1B079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797"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25" wp14:editId="5A1B4426">
                  <wp:extent cx="304800" cy="304800"/>
                  <wp:effectExtent l="0" t="0" r="0" b="0"/>
                  <wp:docPr id="16" name="图片 19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8"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98"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99" w14:textId="77777777" w:rsidR="00960BB8" w:rsidRDefault="00C06650">
            <w:pPr>
              <w:jc w:val="right"/>
              <w:textAlignment w:val="center"/>
            </w:pPr>
            <w:r>
              <w:rPr>
                <w:rFonts w:ascii="Arial" w:eastAsia="宋体" w:hAnsi="Arial" w:cs="Arial"/>
                <w:color w:val="262626"/>
                <w:sz w:val="16"/>
                <w:szCs w:val="16"/>
              </w:rPr>
              <w:t>55</w:t>
            </w:r>
          </w:p>
        </w:tc>
      </w:tr>
    </w:tbl>
    <w:p w14:paraId="5A1B079B" w14:textId="77777777" w:rsidR="00960BB8" w:rsidRDefault="00C06650">
      <w:r>
        <w:pict w14:anchorId="5A1B4427">
          <v:rect id="_x0000_i1081" style="width:415.3pt;height:1.5pt" o:hralign="center" o:hrstd="t" o:hr="t" fillcolor="#a0a0a0" stroked="f"/>
        </w:pict>
      </w:r>
    </w:p>
    <w:p w14:paraId="5A1B079C" w14:textId="77777777" w:rsidR="00960BB8" w:rsidRDefault="00C06650">
      <w:pPr>
        <w:jc w:val="right"/>
      </w:pPr>
      <w:hyperlink r:id="rId74" w:anchor="i8aaa7b4dbd2e419ca0f5c30af85a11aa_16" w:history="1">
        <w:r>
          <w:rPr>
            <w:rStyle w:val="a5"/>
            <w:rFonts w:ascii="Arial" w:eastAsia="宋体" w:hAnsi="Arial" w:cs="Arial"/>
            <w:b/>
            <w:bCs/>
            <w:sz w:val="16"/>
            <w:szCs w:val="16"/>
          </w:rPr>
          <w:t>Table of Contents</w:t>
        </w:r>
      </w:hyperlink>
    </w:p>
    <w:p w14:paraId="5A1B079D" w14:textId="77777777" w:rsidR="00960BB8" w:rsidRDefault="00960BB8">
      <w:pPr>
        <w:jc w:val="right"/>
      </w:pPr>
    </w:p>
    <w:p w14:paraId="5A1B079E" w14:textId="77777777" w:rsidR="00960BB8" w:rsidRDefault="00C06650">
      <w:pPr>
        <w:spacing w:after="180"/>
      </w:pPr>
      <w:r>
        <w:rPr>
          <w:rFonts w:ascii="Arial" w:eastAsia="宋体" w:hAnsi="Arial" w:cs="Arial"/>
          <w:color w:val="0068B5"/>
          <w:sz w:val="18"/>
          <w:szCs w:val="18"/>
        </w:rPr>
        <w:t xml:space="preserve">Changes in the mix of products sold can materially impact our financial results. </w:t>
      </w:r>
      <w:r>
        <w:rPr>
          <w:rFonts w:ascii="Arial" w:eastAsia="宋体" w:hAnsi="Arial" w:cs="Arial"/>
          <w:color w:val="262626"/>
          <w:sz w:val="18"/>
          <w:szCs w:val="18"/>
        </w:rPr>
        <w:t>Our pricing and margins vary across our products and market segments due in part to marketability of our products and differences in their features or manufacturing costs. For</w:t>
      </w:r>
      <w:r>
        <w:rPr>
          <w:rFonts w:ascii="Arial" w:eastAsia="宋体" w:hAnsi="Arial" w:cs="Arial"/>
          <w:color w:val="262626"/>
          <w:sz w:val="18"/>
          <w:szCs w:val="18"/>
        </w:rPr>
        <w:t xml:space="preserve"> example, our platform product offerings range from lower-priced and entry-level platforms, such as those based on Intel Atom processors, to higher-end platforms based on Intel Xeon processors. Our adjacent products also typically have significantly lower </w:t>
      </w:r>
      <w:r>
        <w:rPr>
          <w:rFonts w:ascii="Arial" w:eastAsia="宋体" w:hAnsi="Arial" w:cs="Arial"/>
          <w:color w:val="262626"/>
          <w:sz w:val="18"/>
          <w:szCs w:val="18"/>
        </w:rPr>
        <w:t>margins than our higher-priced platform products, and at times are not profitable. To the extent demand shifts from our higher-priced to lower-priced platform products in any of our market segments, or our adjacent products represent a greater share of our</w:t>
      </w:r>
      <w:r>
        <w:rPr>
          <w:rFonts w:ascii="Arial" w:eastAsia="宋体" w:hAnsi="Arial" w:cs="Arial"/>
          <w:color w:val="262626"/>
          <w:sz w:val="18"/>
          <w:szCs w:val="18"/>
        </w:rPr>
        <w:t xml:space="preserve"> mix of products sold, our gross margin percentage has decreased and may decrease again.</w:t>
      </w:r>
    </w:p>
    <w:p w14:paraId="5A1B079F" w14:textId="77777777" w:rsidR="00960BB8" w:rsidRDefault="00C06650">
      <w:pPr>
        <w:spacing w:after="120"/>
      </w:pPr>
      <w:r>
        <w:rPr>
          <w:rFonts w:ascii="Arial" w:eastAsia="宋体" w:hAnsi="Arial" w:cs="Arial"/>
          <w:color w:val="0068B5"/>
        </w:rPr>
        <w:t>We are vulnerable to product and manufacturing-related risks.</w:t>
      </w:r>
    </w:p>
    <w:p w14:paraId="5A1B07A0" w14:textId="77777777" w:rsidR="00960BB8" w:rsidRDefault="00C06650">
      <w:pPr>
        <w:spacing w:after="180"/>
      </w:pPr>
      <w:r>
        <w:rPr>
          <w:rFonts w:ascii="Arial" w:eastAsia="宋体" w:hAnsi="Arial" w:cs="Arial"/>
          <w:color w:val="0068B5"/>
          <w:sz w:val="18"/>
          <w:szCs w:val="18"/>
        </w:rPr>
        <w:t>We are subject to risks associated with the development and implementation of new manufacturing technolog</w:t>
      </w:r>
      <w:r>
        <w:rPr>
          <w:rFonts w:ascii="Arial" w:eastAsia="宋体" w:hAnsi="Arial" w:cs="Arial"/>
          <w:color w:val="0068B5"/>
          <w:sz w:val="18"/>
          <w:szCs w:val="18"/>
        </w:rPr>
        <w:t>ies.</w:t>
      </w:r>
      <w:r>
        <w:rPr>
          <w:rFonts w:ascii="Arial" w:eastAsia="宋体" w:hAnsi="Arial" w:cs="Arial"/>
          <w:color w:val="262626"/>
          <w:sz w:val="18"/>
          <w:szCs w:val="18"/>
        </w:rPr>
        <w:t xml:space="preserve"> Production of integrated circuits is a complex process. We are continually engaged in the development of next-generation process technologies at increasingly advanced nodes as we seek to realize the benefits of Moore's Law. Forecasting our progress an</w:t>
      </w:r>
      <w:r>
        <w:rPr>
          <w:rFonts w:ascii="Arial" w:eastAsia="宋体" w:hAnsi="Arial" w:cs="Arial"/>
          <w:color w:val="262626"/>
          <w:sz w:val="18"/>
          <w:szCs w:val="18"/>
        </w:rPr>
        <w:t>d schedule for developing advanced nodes is challenging, and at times we encounter unexpected delays due to the complexity of interactions among steps in the manufacturing process, challenges in using new materials or new production equipment, and other is</w:t>
      </w:r>
      <w:r>
        <w:rPr>
          <w:rFonts w:ascii="Arial" w:eastAsia="宋体" w:hAnsi="Arial" w:cs="Arial"/>
          <w:color w:val="262626"/>
          <w:sz w:val="18"/>
          <w:szCs w:val="18"/>
        </w:rPr>
        <w:t>sues. Diagnosing defects in our manufacturing processes often takes a long time, as manufacturing throughput times can delay our receipt of data about defects and the effectiveness of fixes, and defects can be more serious and difficult to resolve than ini</w:t>
      </w:r>
      <w:r>
        <w:rPr>
          <w:rFonts w:ascii="Arial" w:eastAsia="宋体" w:hAnsi="Arial" w:cs="Arial"/>
          <w:color w:val="262626"/>
          <w:sz w:val="18"/>
          <w:szCs w:val="18"/>
        </w:rPr>
        <w:t xml:space="preserve">tially understood. </w:t>
      </w:r>
    </w:p>
    <w:p w14:paraId="5A1B07A1" w14:textId="77777777" w:rsidR="00960BB8" w:rsidRDefault="00C06650">
      <w:pPr>
        <w:spacing w:after="180"/>
      </w:pPr>
      <w:r>
        <w:rPr>
          <w:rFonts w:ascii="Arial" w:eastAsia="宋体" w:hAnsi="Arial" w:cs="Arial"/>
          <w:color w:val="262626"/>
          <w:sz w:val="18"/>
          <w:szCs w:val="18"/>
        </w:rPr>
        <w:t>We are not always successful or efficient in developing or implementing new process nodes and manufacturing processes. We experienced significant delays in implementing our 10nm process technology, and in 2020, we encountered a defect m</w:t>
      </w:r>
      <w:r>
        <w:rPr>
          <w:rFonts w:ascii="Arial" w:eastAsia="宋体" w:hAnsi="Arial" w:cs="Arial"/>
          <w:color w:val="262626"/>
          <w:sz w:val="18"/>
          <w:szCs w:val="18"/>
        </w:rPr>
        <w:t>ode in the development of our Intel 4 process technology (formerly 7nm) that resulted in delays relative to our prior expectations. In 2022, Sapphire Rapids was also delayed to build in more platform and product validation time. These delays have allowed c</w:t>
      </w:r>
      <w:r>
        <w:rPr>
          <w:rFonts w:ascii="Arial" w:eastAsia="宋体" w:hAnsi="Arial" w:cs="Arial"/>
          <w:color w:val="262626"/>
          <w:sz w:val="18"/>
          <w:szCs w:val="18"/>
        </w:rPr>
        <w:t>ompetitors using third-party foundries such as TSMC to benefit from advancements in manufacturing processes introduced ahead of us by these competing foundries, including improvements in performance, energy efficiency, and other features, which have helped</w:t>
      </w:r>
      <w:r>
        <w:rPr>
          <w:rFonts w:ascii="Arial" w:eastAsia="宋体" w:hAnsi="Arial" w:cs="Arial"/>
          <w:color w:val="262626"/>
          <w:sz w:val="18"/>
          <w:szCs w:val="18"/>
        </w:rPr>
        <w:t xml:space="preserve"> increase the competitiveness of their products. Because of these prior delays in our process technologies, we may experience greater adverse competitive impacts in the event of delays in the development of future manufacturing process technologies and pro</w:t>
      </w:r>
      <w:r>
        <w:rPr>
          <w:rFonts w:ascii="Arial" w:eastAsia="宋体" w:hAnsi="Arial" w:cs="Arial"/>
          <w:color w:val="262626"/>
          <w:sz w:val="18"/>
          <w:szCs w:val="18"/>
        </w:rPr>
        <w:t xml:space="preserve">ducts. </w:t>
      </w:r>
    </w:p>
    <w:p w14:paraId="5A1B07A2" w14:textId="77777777" w:rsidR="00960BB8" w:rsidRDefault="00C06650">
      <w:pPr>
        <w:spacing w:after="180"/>
      </w:pPr>
      <w:r>
        <w:rPr>
          <w:rFonts w:ascii="Arial" w:eastAsia="宋体" w:hAnsi="Arial" w:cs="Arial"/>
          <w:color w:val="262626"/>
          <w:sz w:val="18"/>
          <w:szCs w:val="18"/>
        </w:rPr>
        <w:t>Our efforts to innovate involve significant expense and carry inherent risks, including difficulties in designing and developing next-generation process and packaging technologies, and investments in manufacturing assets and facilities that are mad</w:t>
      </w:r>
      <w:r>
        <w:rPr>
          <w:rFonts w:ascii="Arial" w:eastAsia="宋体" w:hAnsi="Arial" w:cs="Arial"/>
          <w:color w:val="262626"/>
          <w:sz w:val="18"/>
          <w:szCs w:val="18"/>
        </w:rPr>
        <w:t>e years in advance of the technology introduction. We cannot guarantee that we will realize the expected benefits of next-generation process technologies, including the expected cost, performance, power, and density advantages, or that we will achieve an a</w:t>
      </w:r>
      <w:r>
        <w:rPr>
          <w:rFonts w:ascii="Arial" w:eastAsia="宋体" w:hAnsi="Arial" w:cs="Arial"/>
          <w:color w:val="262626"/>
          <w:sz w:val="18"/>
          <w:szCs w:val="18"/>
        </w:rPr>
        <w:t>dequate return on our capital and R&amp;D investments, particularly as development of new nodes has grown increasingly expensive. In such circumstances, we may be required to write down the value of some of our manufacturing assets and facilities, increasing o</w:t>
      </w:r>
      <w:r>
        <w:rPr>
          <w:rFonts w:ascii="Arial" w:eastAsia="宋体" w:hAnsi="Arial" w:cs="Arial"/>
          <w:color w:val="262626"/>
          <w:sz w:val="18"/>
          <w:szCs w:val="18"/>
        </w:rPr>
        <w:t>ur expenses.</w:t>
      </w:r>
    </w:p>
    <w:p w14:paraId="5A1B07A3" w14:textId="77777777" w:rsidR="00960BB8" w:rsidRDefault="00C06650">
      <w:pPr>
        <w:spacing w:after="180"/>
      </w:pPr>
      <w:r>
        <w:rPr>
          <w:rFonts w:ascii="Arial" w:eastAsia="宋体" w:hAnsi="Arial" w:cs="Arial"/>
          <w:color w:val="262626"/>
          <w:sz w:val="18"/>
          <w:szCs w:val="18"/>
        </w:rPr>
        <w:t>Risks inherent in the development of next-generation process technologies include production timing delays, lower-than-anticipated manufacturing yields, longer manufacturing throughput times, failure to achieve expected performance, power, and</w:t>
      </w:r>
      <w:r>
        <w:rPr>
          <w:rFonts w:ascii="Arial" w:eastAsia="宋体" w:hAnsi="Arial" w:cs="Arial"/>
          <w:color w:val="262626"/>
          <w:sz w:val="18"/>
          <w:szCs w:val="18"/>
        </w:rPr>
        <w:t xml:space="preserve"> area improvements, and product defects and errata. Production timing delays have at times caused us to miss customer product design windows, which can result in lost revenue opportunities and damage to our customer relationships. Furthermore, when the int</w:t>
      </w:r>
      <w:r>
        <w:rPr>
          <w:rFonts w:ascii="Arial" w:eastAsia="宋体" w:hAnsi="Arial" w:cs="Arial"/>
          <w:color w:val="262626"/>
          <w:sz w:val="18"/>
          <w:szCs w:val="18"/>
        </w:rPr>
        <w:t>roduction of next-generation process nodes is delayed, adding cores or other competitive features to our products can result in larger die size products, manufacturing supply constraints, and increased product costs. Lower manufacturing yields and longer m</w:t>
      </w:r>
      <w:r>
        <w:rPr>
          <w:rFonts w:ascii="Arial" w:eastAsia="宋体" w:hAnsi="Arial" w:cs="Arial"/>
          <w:color w:val="262626"/>
          <w:sz w:val="18"/>
          <w:szCs w:val="18"/>
        </w:rPr>
        <w:t>anufacturing throughput times, compared to previous process nodes, can increase our product costs and adversely affect our gross margins, and can contribute to manufacturing supply constraints. A new process node typically has higher costs compared to a ma</w:t>
      </w:r>
      <w:r>
        <w:rPr>
          <w:rFonts w:ascii="Arial" w:eastAsia="宋体" w:hAnsi="Arial" w:cs="Arial"/>
          <w:color w:val="262626"/>
          <w:sz w:val="18"/>
          <w:szCs w:val="18"/>
        </w:rPr>
        <w:t>ture node due to factors that include higher depreciation costs and lower yields, and costs and yields at times do not improve at the same rate as on prior nodes. As the die size of our products has increased and our manufacturing process nodes have shrunk</w:t>
      </w:r>
      <w:r>
        <w:rPr>
          <w:rFonts w:ascii="Arial" w:eastAsia="宋体" w:hAnsi="Arial" w:cs="Arial"/>
          <w:color w:val="262626"/>
          <w:sz w:val="18"/>
          <w:szCs w:val="18"/>
        </w:rPr>
        <w:t>, our products and manufacturing processes have grown increasingly complex and more susceptible to product defects and errata, which at times also contribute to production timing delays and lower yields.</w:t>
      </w:r>
    </w:p>
    <w:p w14:paraId="5A1B07A4" w14:textId="77777777" w:rsidR="00960BB8" w:rsidRDefault="00C06650">
      <w:pPr>
        <w:spacing w:after="180"/>
      </w:pPr>
      <w:r>
        <w:rPr>
          <w:rFonts w:ascii="Arial" w:eastAsia="宋体" w:hAnsi="Arial" w:cs="Arial"/>
          <w:color w:val="262626"/>
          <w:sz w:val="18"/>
          <w:szCs w:val="18"/>
        </w:rPr>
        <w:t>From time to time, disruptions in the production pro</w:t>
      </w:r>
      <w:r>
        <w:rPr>
          <w:rFonts w:ascii="Arial" w:eastAsia="宋体" w:hAnsi="Arial" w:cs="Arial"/>
          <w:color w:val="262626"/>
          <w:sz w:val="18"/>
          <w:szCs w:val="18"/>
        </w:rPr>
        <w:t>cess result from errors; defects in materials; delays in obtaining or revising permits and licenses; interruptions in our supply of materials, resources, or production equipment; adverse changes in equipment productivity; and disruptions at our fabrication</w:t>
      </w:r>
      <w:r>
        <w:rPr>
          <w:rFonts w:ascii="Arial" w:eastAsia="宋体" w:hAnsi="Arial" w:cs="Arial"/>
          <w:color w:val="262626"/>
          <w:sz w:val="18"/>
          <w:szCs w:val="18"/>
        </w:rPr>
        <w:t xml:space="preserve"> and assembly and test facilities due to accidents, maintenance issues, power interruptions, equipment malfunctions, or unsafe working conditions—all of which could affect the timing of production ramps and yields. Production issues periodically lead to in</w:t>
      </w:r>
      <w:r>
        <w:rPr>
          <w:rFonts w:ascii="Arial" w:eastAsia="宋体" w:hAnsi="Arial" w:cs="Arial"/>
          <w:color w:val="262626"/>
          <w:sz w:val="18"/>
          <w:szCs w:val="18"/>
        </w:rPr>
        <w:t>creased costs and affect our ability to meet product demand, which can adversely impact our business and the results of operations. In addition, delays in our product introductions can cause us to become less competitive and lose revenue opportunities, and</w:t>
      </w:r>
      <w:r>
        <w:rPr>
          <w:rFonts w:ascii="Arial" w:eastAsia="宋体" w:hAnsi="Arial" w:cs="Arial"/>
          <w:color w:val="262626"/>
          <w:sz w:val="18"/>
          <w:szCs w:val="18"/>
        </w:rPr>
        <w:t xml:space="preserve"> our gross margin could be adversely affected because we incur significant costs up front in a product's lifecycle stage and earn revenue to offset these costs over time.</w:t>
      </w:r>
    </w:p>
    <w:p w14:paraId="5A1B07A5" w14:textId="77777777" w:rsidR="00960BB8" w:rsidRDefault="00C06650">
      <w:pPr>
        <w:spacing w:after="120"/>
      </w:pPr>
      <w:r>
        <w:rPr>
          <w:rFonts w:ascii="Arial" w:eastAsia="宋体" w:hAnsi="Arial" w:cs="Arial"/>
          <w:color w:val="0068B5"/>
          <w:sz w:val="18"/>
          <w:szCs w:val="18"/>
        </w:rPr>
        <w:t>We face supply chain risks.</w:t>
      </w:r>
      <w:r>
        <w:rPr>
          <w:rFonts w:ascii="Arial" w:eastAsia="宋体" w:hAnsi="Arial" w:cs="Arial"/>
          <w:color w:val="262626"/>
          <w:sz w:val="18"/>
          <w:szCs w:val="18"/>
        </w:rPr>
        <w:t xml:space="preserve"> We have a highly complex global supply chain composed of </w:t>
      </w:r>
      <w:r>
        <w:rPr>
          <w:rFonts w:ascii="Arial" w:eastAsia="宋体" w:hAnsi="Arial" w:cs="Arial"/>
          <w:color w:val="262626"/>
          <w:sz w:val="18"/>
          <w:szCs w:val="18"/>
        </w:rPr>
        <w:t>thousands of suppliers. These suppliers provide direct materials for our production processes; supply tools, equipment, and IP (via licenses) for our factories; deliver logistics and packaging services; and supply software, lab and office equipment, and ot</w:t>
      </w:r>
      <w:r>
        <w:rPr>
          <w:rFonts w:ascii="Arial" w:eastAsia="宋体" w:hAnsi="Arial" w:cs="Arial"/>
          <w:color w:val="262626"/>
          <w:sz w:val="18"/>
          <w:szCs w:val="18"/>
        </w:rPr>
        <w:t>her goods and services used in our business. We also rely on suppliers to provide certain components for our products and to manufacture and assemble and test some of our components and products. From time to time, we are negatively impacted by supply chai</w:t>
      </w:r>
      <w:r>
        <w:rPr>
          <w:rFonts w:ascii="Arial" w:eastAsia="宋体" w:hAnsi="Arial" w:cs="Arial"/>
          <w:color w:val="262626"/>
          <w:sz w:val="18"/>
          <w:szCs w:val="18"/>
        </w:rPr>
        <w:t>n issues, including:</w:t>
      </w:r>
    </w:p>
    <w:p w14:paraId="5A1B07A6"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suppliers extending lead times, experiencing capacity constraints, limiting or canceling supply, allocating supply to other customers including competitors, delaying or canceling deliveries, or increasing prices;</w:t>
      </w:r>
    </w:p>
    <w:p w14:paraId="5A1B07A7"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supplier </w:t>
      </w:r>
      <w:r>
        <w:rPr>
          <w:rFonts w:ascii="Arial" w:eastAsia="宋体" w:hAnsi="Arial" w:cs="Arial"/>
          <w:color w:val="262626"/>
          <w:sz w:val="18"/>
          <w:szCs w:val="18"/>
        </w:rPr>
        <w:t>quality issues;</w:t>
      </w:r>
    </w:p>
    <w:p w14:paraId="5A1B07A8"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cybersecurity events, IP or other litigation, manmade or natural disasters, operational failures, or other events that disrupt suppliers;</w:t>
      </w:r>
    </w:p>
    <w:p w14:paraId="5A1B07A9"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long lead times to qualify alternate or additional suppliers, or the unavailability of qualified alt</w:t>
      </w:r>
      <w:r>
        <w:rPr>
          <w:rFonts w:ascii="Arial" w:eastAsia="宋体" w:hAnsi="Arial" w:cs="Arial"/>
          <w:color w:val="262626"/>
          <w:sz w:val="18"/>
          <w:szCs w:val="18"/>
        </w:rPr>
        <w:t>ernate suppliers; and</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7B3" w14:textId="77777777">
        <w:tc>
          <w:tcPr>
            <w:tcW w:w="50" w:type="pct"/>
            <w:shd w:val="clear" w:color="auto" w:fill="auto"/>
            <w:vAlign w:val="bottom"/>
          </w:tcPr>
          <w:p w14:paraId="5A1B07AA" w14:textId="77777777" w:rsidR="00960BB8" w:rsidRDefault="00960BB8">
            <w:pPr>
              <w:rPr>
                <w:rFonts w:ascii="宋体"/>
              </w:rPr>
            </w:pPr>
          </w:p>
        </w:tc>
        <w:tc>
          <w:tcPr>
            <w:tcW w:w="283" w:type="pct"/>
            <w:shd w:val="clear" w:color="auto" w:fill="auto"/>
            <w:vAlign w:val="bottom"/>
          </w:tcPr>
          <w:p w14:paraId="5A1B07AB" w14:textId="77777777" w:rsidR="00960BB8" w:rsidRDefault="00960BB8">
            <w:pPr>
              <w:rPr>
                <w:rFonts w:ascii="宋体"/>
              </w:rPr>
            </w:pPr>
          </w:p>
        </w:tc>
        <w:tc>
          <w:tcPr>
            <w:tcW w:w="5" w:type="pct"/>
            <w:shd w:val="clear" w:color="auto" w:fill="auto"/>
            <w:vAlign w:val="bottom"/>
          </w:tcPr>
          <w:p w14:paraId="5A1B07AC" w14:textId="77777777" w:rsidR="00960BB8" w:rsidRDefault="00960BB8">
            <w:pPr>
              <w:rPr>
                <w:rFonts w:ascii="宋体"/>
              </w:rPr>
            </w:pPr>
          </w:p>
        </w:tc>
        <w:tc>
          <w:tcPr>
            <w:tcW w:w="50" w:type="pct"/>
            <w:shd w:val="clear" w:color="auto" w:fill="auto"/>
            <w:vAlign w:val="bottom"/>
          </w:tcPr>
          <w:p w14:paraId="5A1B07AD" w14:textId="77777777" w:rsidR="00960BB8" w:rsidRDefault="00960BB8">
            <w:pPr>
              <w:rPr>
                <w:rFonts w:ascii="宋体"/>
              </w:rPr>
            </w:pPr>
          </w:p>
        </w:tc>
        <w:tc>
          <w:tcPr>
            <w:tcW w:w="2656" w:type="pct"/>
            <w:shd w:val="clear" w:color="auto" w:fill="auto"/>
            <w:vAlign w:val="bottom"/>
          </w:tcPr>
          <w:p w14:paraId="5A1B07AE" w14:textId="77777777" w:rsidR="00960BB8" w:rsidRDefault="00960BB8">
            <w:pPr>
              <w:rPr>
                <w:rFonts w:ascii="宋体"/>
              </w:rPr>
            </w:pPr>
          </w:p>
        </w:tc>
        <w:tc>
          <w:tcPr>
            <w:tcW w:w="5" w:type="pct"/>
            <w:shd w:val="clear" w:color="auto" w:fill="auto"/>
            <w:vAlign w:val="bottom"/>
          </w:tcPr>
          <w:p w14:paraId="5A1B07AF" w14:textId="77777777" w:rsidR="00960BB8" w:rsidRDefault="00960BB8">
            <w:pPr>
              <w:rPr>
                <w:rFonts w:ascii="宋体"/>
              </w:rPr>
            </w:pPr>
          </w:p>
        </w:tc>
        <w:tc>
          <w:tcPr>
            <w:tcW w:w="50" w:type="pct"/>
            <w:shd w:val="clear" w:color="auto" w:fill="auto"/>
            <w:vAlign w:val="bottom"/>
          </w:tcPr>
          <w:p w14:paraId="5A1B07B0" w14:textId="77777777" w:rsidR="00960BB8" w:rsidRDefault="00960BB8">
            <w:pPr>
              <w:rPr>
                <w:rFonts w:ascii="宋体"/>
              </w:rPr>
            </w:pPr>
          </w:p>
        </w:tc>
        <w:tc>
          <w:tcPr>
            <w:tcW w:w="1894" w:type="pct"/>
            <w:shd w:val="clear" w:color="auto" w:fill="auto"/>
            <w:vAlign w:val="bottom"/>
          </w:tcPr>
          <w:p w14:paraId="5A1B07B1" w14:textId="77777777" w:rsidR="00960BB8" w:rsidRDefault="00960BB8">
            <w:pPr>
              <w:rPr>
                <w:rFonts w:ascii="宋体"/>
              </w:rPr>
            </w:pPr>
          </w:p>
        </w:tc>
        <w:tc>
          <w:tcPr>
            <w:tcW w:w="5" w:type="pct"/>
            <w:shd w:val="clear" w:color="auto" w:fill="auto"/>
            <w:vAlign w:val="bottom"/>
          </w:tcPr>
          <w:p w14:paraId="5A1B07B2" w14:textId="77777777" w:rsidR="00960BB8" w:rsidRDefault="00960BB8">
            <w:pPr>
              <w:rPr>
                <w:rFonts w:ascii="宋体"/>
              </w:rPr>
            </w:pPr>
          </w:p>
        </w:tc>
      </w:tr>
      <w:tr w:rsidR="00960BB8" w14:paraId="5A1B07B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7B4"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28" wp14:editId="5A1B4429">
                  <wp:extent cx="304800" cy="304800"/>
                  <wp:effectExtent l="0" t="0" r="0" b="0"/>
                  <wp:docPr id="8" name="图片 20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0"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B5"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B6" w14:textId="77777777" w:rsidR="00960BB8" w:rsidRDefault="00C06650">
            <w:pPr>
              <w:jc w:val="right"/>
              <w:textAlignment w:val="center"/>
            </w:pPr>
            <w:r>
              <w:rPr>
                <w:rFonts w:ascii="Arial" w:eastAsia="宋体" w:hAnsi="Arial" w:cs="Arial"/>
                <w:color w:val="262626"/>
                <w:sz w:val="16"/>
                <w:szCs w:val="16"/>
              </w:rPr>
              <w:t>56</w:t>
            </w:r>
          </w:p>
        </w:tc>
      </w:tr>
    </w:tbl>
    <w:p w14:paraId="5A1B07B8" w14:textId="77777777" w:rsidR="00960BB8" w:rsidRDefault="00C06650">
      <w:r>
        <w:pict w14:anchorId="5A1B442A">
          <v:rect id="_x0000_i1082" style="width:415.3pt;height:1.5pt" o:hralign="center" o:hrstd="t" o:hr="t" fillcolor="#a0a0a0" stroked="f"/>
        </w:pict>
      </w:r>
    </w:p>
    <w:p w14:paraId="5A1B07B9" w14:textId="77777777" w:rsidR="00960BB8" w:rsidRDefault="00C06650">
      <w:pPr>
        <w:jc w:val="right"/>
      </w:pPr>
      <w:hyperlink r:id="rId75" w:anchor="i8aaa7b4dbd2e419ca0f5c30af85a11aa_16" w:history="1">
        <w:r>
          <w:rPr>
            <w:rStyle w:val="a5"/>
            <w:rFonts w:ascii="Arial" w:eastAsia="宋体" w:hAnsi="Arial" w:cs="Arial"/>
            <w:b/>
            <w:bCs/>
            <w:sz w:val="16"/>
            <w:szCs w:val="16"/>
          </w:rPr>
          <w:t>Table of Contents</w:t>
        </w:r>
      </w:hyperlink>
    </w:p>
    <w:p w14:paraId="5A1B07BA" w14:textId="77777777" w:rsidR="00960BB8" w:rsidRDefault="00960BB8">
      <w:pPr>
        <w:jc w:val="right"/>
      </w:pPr>
    </w:p>
    <w:p w14:paraId="5A1B07BB"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increased legislation, regulation, or stakeholder expectations regarding responsib</w:t>
      </w:r>
      <w:r>
        <w:rPr>
          <w:rFonts w:ascii="Arial" w:eastAsia="宋体" w:hAnsi="Arial" w:cs="Arial"/>
          <w:color w:val="262626"/>
          <w:sz w:val="18"/>
          <w:szCs w:val="18"/>
        </w:rPr>
        <w:t>le sourcing practices, such as heightened reporting and other obligations with regard to environmental impacts, the risk of forced labor, or supplier conduct that does not meet such standards, which can result in supply chain disruptions, the loss of a sup</w:t>
      </w:r>
      <w:r>
        <w:rPr>
          <w:rFonts w:ascii="Arial" w:eastAsia="宋体" w:hAnsi="Arial" w:cs="Arial"/>
          <w:color w:val="262626"/>
          <w:sz w:val="18"/>
          <w:szCs w:val="18"/>
        </w:rPr>
        <w:t>plier, and the government seizure of goods, as well as cause our compliance costs to increase or result in publicity that negatively affects our reputation.</w:t>
      </w:r>
    </w:p>
    <w:p w14:paraId="5A1B07BC" w14:textId="77777777" w:rsidR="00960BB8" w:rsidRDefault="00C06650">
      <w:pPr>
        <w:spacing w:after="180"/>
      </w:pPr>
      <w:r>
        <w:rPr>
          <w:rFonts w:ascii="Arial" w:eastAsia="宋体" w:hAnsi="Arial" w:cs="Arial"/>
          <w:color w:val="262626"/>
          <w:sz w:val="18"/>
          <w:szCs w:val="18"/>
        </w:rPr>
        <w:t>These and other supply chain issues can increase our costs, disrupt or reduce our production, delay</w:t>
      </w:r>
      <w:r>
        <w:rPr>
          <w:rFonts w:ascii="Arial" w:eastAsia="宋体" w:hAnsi="Arial" w:cs="Arial"/>
          <w:color w:val="262626"/>
          <w:sz w:val="18"/>
          <w:szCs w:val="18"/>
        </w:rPr>
        <w:t xml:space="preserve"> our product shipments, prevent us from meeting customer demand, and damage our customer relationships. They may keep us from successfully implementing our business strategy and can materially harm our business, competitive position, results of operation, </w:t>
      </w:r>
      <w:r>
        <w:rPr>
          <w:rFonts w:ascii="Arial" w:eastAsia="宋体" w:hAnsi="Arial" w:cs="Arial"/>
          <w:color w:val="262626"/>
          <w:sz w:val="18"/>
          <w:szCs w:val="18"/>
        </w:rPr>
        <w:t xml:space="preserve">and financial condition. From time to time, our customers experience disruptions or shortages in their own supply chains that constrain their demand for our products. During 2022, macroeconomic and geopolitical conditions, as well as outbreaks of COVID-19 </w:t>
      </w:r>
      <w:r>
        <w:rPr>
          <w:rFonts w:ascii="Arial" w:eastAsia="宋体" w:hAnsi="Arial" w:cs="Arial"/>
          <w:color w:val="262626"/>
          <w:sz w:val="18"/>
          <w:szCs w:val="18"/>
        </w:rPr>
        <w:t>in certain regions of the world, caused supply chain disruptions and delays in obtaining tools and other components, while in 2021, the semiconductor industry experienced widespread shortages of substrates and other components and available foundry manufac</w:t>
      </w:r>
      <w:r>
        <w:rPr>
          <w:rFonts w:ascii="Arial" w:eastAsia="宋体" w:hAnsi="Arial" w:cs="Arial"/>
          <w:color w:val="262626"/>
          <w:sz w:val="18"/>
          <w:szCs w:val="18"/>
        </w:rPr>
        <w:t>turing capacity. These shortages have previously limited our ability to supply customer demand in certain of our businesses, such as for our FPGA products, and have adversely affected customer demand for our products, including in our CCG and DCAI business</w:t>
      </w:r>
      <w:r>
        <w:rPr>
          <w:rFonts w:ascii="Arial" w:eastAsia="宋体" w:hAnsi="Arial" w:cs="Arial"/>
          <w:color w:val="262626"/>
          <w:sz w:val="18"/>
          <w:szCs w:val="18"/>
        </w:rPr>
        <w:t>es, as some customers have been unable to procure sufficient quantities of third-party components used together with our products to produce finished systems. It is difficult to predict the future impact of these shortages when they occur.</w:t>
      </w:r>
    </w:p>
    <w:p w14:paraId="5A1B07BD" w14:textId="77777777" w:rsidR="00960BB8" w:rsidRDefault="00C06650">
      <w:pPr>
        <w:spacing w:after="180"/>
      </w:pPr>
      <w:r>
        <w:rPr>
          <w:rFonts w:ascii="Arial" w:eastAsia="宋体" w:hAnsi="Arial" w:cs="Arial"/>
          <w:color w:val="262626"/>
          <w:sz w:val="18"/>
          <w:szCs w:val="18"/>
        </w:rPr>
        <w:t>To obtain future</w:t>
      </w:r>
      <w:r>
        <w:rPr>
          <w:rFonts w:ascii="Arial" w:eastAsia="宋体" w:hAnsi="Arial" w:cs="Arial"/>
          <w:color w:val="262626"/>
          <w:sz w:val="18"/>
          <w:szCs w:val="18"/>
        </w:rPr>
        <w:t xml:space="preserve"> supply of certain materials and components, particularly substrates, and third-party foundry manufacturing capacity, we have entered into arrangements with some of our suppliers that involve long-term purchase commitments and/or large prepayments. These a</w:t>
      </w:r>
      <w:r>
        <w:rPr>
          <w:rFonts w:ascii="Arial" w:eastAsia="宋体" w:hAnsi="Arial" w:cs="Arial"/>
          <w:color w:val="262626"/>
          <w:sz w:val="18"/>
          <w:szCs w:val="18"/>
        </w:rPr>
        <w:t>rrangements may not be adequate to meet our requirements, or our suppliers may fail to deliver committed volumes on time or at all, or their financial condition may deteriorate. If future customer demand over the horizon of such arrangements falls below ou</w:t>
      </w:r>
      <w:r>
        <w:rPr>
          <w:rFonts w:ascii="Arial" w:eastAsia="宋体" w:hAnsi="Arial" w:cs="Arial"/>
          <w:color w:val="262626"/>
          <w:sz w:val="18"/>
          <w:szCs w:val="18"/>
        </w:rPr>
        <w:t xml:space="preserve">r expectations, we could have excess or obsolete inventory, unneeded capacity, and increased costs, and our prepayments may not be fully utilized, and in some cases may not be fully recoverable. </w:t>
      </w:r>
    </w:p>
    <w:p w14:paraId="5A1B07BE" w14:textId="77777777" w:rsidR="00960BB8" w:rsidRDefault="00C06650">
      <w:pPr>
        <w:spacing w:after="180"/>
      </w:pPr>
      <w:r>
        <w:rPr>
          <w:rFonts w:ascii="Arial" w:eastAsia="宋体" w:hAnsi="Arial" w:cs="Arial"/>
          <w:color w:val="262626"/>
          <w:sz w:val="18"/>
          <w:szCs w:val="18"/>
        </w:rPr>
        <w:t xml:space="preserve">We utilize third-party foundries and component suppliers to </w:t>
      </w:r>
      <w:r>
        <w:rPr>
          <w:rFonts w:ascii="Arial" w:eastAsia="宋体" w:hAnsi="Arial" w:cs="Arial"/>
          <w:color w:val="262626"/>
          <w:sz w:val="18"/>
          <w:szCs w:val="18"/>
        </w:rPr>
        <w:t xml:space="preserve">manufacture or supply certain components and products for areas such as networking, communications, graphics, programmable semiconductor solutions, and memory. As part of our IDM 2.0 strategy, we expect </w:t>
      </w:r>
      <w:r>
        <w:rPr>
          <w:rFonts w:ascii="Arial" w:eastAsia="宋体" w:hAnsi="Arial" w:cs="Arial"/>
          <w:color w:val="333333"/>
          <w:sz w:val="18"/>
          <w:szCs w:val="18"/>
        </w:rPr>
        <w:t>to increase our use of third-party foundries for manu</w:t>
      </w:r>
      <w:r>
        <w:rPr>
          <w:rFonts w:ascii="Arial" w:eastAsia="宋体" w:hAnsi="Arial" w:cs="Arial"/>
          <w:color w:val="333333"/>
          <w:sz w:val="18"/>
          <w:szCs w:val="18"/>
        </w:rPr>
        <w:t>facturing, which will include modular tiles manufactured on advanced foundry process technologies for use in our core computing offerings. Delays in the development of foundries’ future manufacturing processes could delay the introduction of products or co</w:t>
      </w:r>
      <w:r>
        <w:rPr>
          <w:rFonts w:ascii="Arial" w:eastAsia="宋体" w:hAnsi="Arial" w:cs="Arial"/>
          <w:color w:val="333333"/>
          <w:sz w:val="18"/>
          <w:szCs w:val="18"/>
        </w:rPr>
        <w:t xml:space="preserve">mponents we design for such processes, and insufficient foundry capacity could prevent us from meeting customer demand. </w:t>
      </w:r>
      <w:r>
        <w:rPr>
          <w:rFonts w:ascii="Arial" w:eastAsia="宋体" w:hAnsi="Arial" w:cs="Arial"/>
          <w:color w:val="262626"/>
          <w:sz w:val="18"/>
          <w:szCs w:val="18"/>
        </w:rPr>
        <w:t>We typically have less control over delivery schedules, design and manufacturing co-optimization, manufacturing yields, quality, product</w:t>
      </w:r>
      <w:r>
        <w:rPr>
          <w:rFonts w:ascii="Arial" w:eastAsia="宋体" w:hAnsi="Arial" w:cs="Arial"/>
          <w:color w:val="262626"/>
          <w:sz w:val="18"/>
          <w:szCs w:val="18"/>
        </w:rPr>
        <w:t xml:space="preserve"> quantities, and costs for components and products that are manufactured by third parties.</w:t>
      </w:r>
      <w:r>
        <w:rPr>
          <w:rFonts w:ascii="Arial" w:eastAsia="宋体" w:hAnsi="Arial" w:cs="Arial"/>
          <w:color w:val="333333"/>
          <w:sz w:val="18"/>
          <w:szCs w:val="18"/>
        </w:rPr>
        <w:t xml:space="preserve"> </w:t>
      </w:r>
    </w:p>
    <w:p w14:paraId="5A1B07BF" w14:textId="77777777" w:rsidR="00960BB8" w:rsidRDefault="00C06650">
      <w:pPr>
        <w:spacing w:after="180"/>
      </w:pPr>
      <w:r>
        <w:rPr>
          <w:rFonts w:ascii="Arial" w:eastAsia="宋体" w:hAnsi="Arial" w:cs="Arial"/>
          <w:color w:val="262626"/>
          <w:sz w:val="18"/>
          <w:szCs w:val="18"/>
        </w:rPr>
        <w:t>Where possible, we seek to have several sources of supply. However, for certain components, services, materials, and equipment, we rely on a single or a limited num</w:t>
      </w:r>
      <w:r>
        <w:rPr>
          <w:rFonts w:ascii="Arial" w:eastAsia="宋体" w:hAnsi="Arial" w:cs="Arial"/>
          <w:color w:val="262626"/>
          <w:sz w:val="18"/>
          <w:szCs w:val="18"/>
        </w:rPr>
        <w:t>ber of suppliers, or upon suppliers in a single location. For example, ASML is currently the sole supplier of EUV photolithography tools that we will be deploying in our Intel 4 and other future manufacturing process nodes. These tools are highly complex t</w:t>
      </w:r>
      <w:r>
        <w:rPr>
          <w:rFonts w:ascii="Arial" w:eastAsia="宋体" w:hAnsi="Arial" w:cs="Arial"/>
          <w:color w:val="262626"/>
          <w:sz w:val="18"/>
          <w:szCs w:val="18"/>
        </w:rPr>
        <w:t xml:space="preserve">o develop and produce, and increasingly costly, and from time to time there are increases in lead times or delays in their development and availability, which could delay the development or ramp of our future process nodes. As a further example, a limited </w:t>
      </w:r>
      <w:r>
        <w:rPr>
          <w:rFonts w:ascii="Arial" w:eastAsia="宋体" w:hAnsi="Arial" w:cs="Arial"/>
          <w:color w:val="262626"/>
          <w:sz w:val="18"/>
          <w:szCs w:val="18"/>
        </w:rPr>
        <w:t>number of third-party foundries offer leading-edge manufacturing processes, and these providers are geographically concentrated in Asia. Supplier consolidation or business failures can also reduce the pool of qualified suppliers. Sole- or limited-source su</w:t>
      </w:r>
      <w:r>
        <w:rPr>
          <w:rFonts w:ascii="Arial" w:eastAsia="宋体" w:hAnsi="Arial" w:cs="Arial"/>
          <w:color w:val="262626"/>
          <w:sz w:val="18"/>
          <w:szCs w:val="18"/>
        </w:rPr>
        <w:t>ppliers can impact the nature, quality, availability, and pricing of the products and services available to us and intensify the other risks described in this risk factor.</w:t>
      </w:r>
    </w:p>
    <w:p w14:paraId="5A1B07C0" w14:textId="77777777" w:rsidR="00960BB8" w:rsidRDefault="00C06650">
      <w:pPr>
        <w:spacing w:after="180"/>
      </w:pPr>
      <w:r>
        <w:rPr>
          <w:rFonts w:ascii="Arial" w:eastAsia="宋体" w:hAnsi="Arial" w:cs="Arial"/>
          <w:color w:val="0068B5"/>
          <w:sz w:val="18"/>
          <w:szCs w:val="18"/>
        </w:rPr>
        <w:t xml:space="preserve">Our disaggregated design strategy introduces additional production risks. </w:t>
      </w:r>
      <w:r>
        <w:rPr>
          <w:rFonts w:ascii="Arial" w:eastAsia="宋体" w:hAnsi="Arial" w:cs="Arial"/>
          <w:color w:val="262626"/>
          <w:sz w:val="18"/>
          <w:szCs w:val="18"/>
        </w:rPr>
        <w:t>Our disagg</w:t>
      </w:r>
      <w:r>
        <w:rPr>
          <w:rFonts w:ascii="Arial" w:eastAsia="宋体" w:hAnsi="Arial" w:cs="Arial"/>
          <w:color w:val="262626"/>
          <w:sz w:val="18"/>
          <w:szCs w:val="18"/>
        </w:rPr>
        <w:t>regated design strategy poses increased logistical risks and challenges, particularly where we decide to manufacture different product components on different process technologies, including third-party foundries' process technologies. To combine component</w:t>
      </w:r>
      <w:r>
        <w:rPr>
          <w:rFonts w:ascii="Arial" w:eastAsia="宋体" w:hAnsi="Arial" w:cs="Arial"/>
          <w:color w:val="262626"/>
          <w:sz w:val="18"/>
          <w:szCs w:val="18"/>
        </w:rPr>
        <w:t xml:space="preserve">s in a single package, they need to be manufactured on a timely basis and in sufficient quantities, while the manufacturing processes we utilize may have differing yields, throughput times, and capacity constraints. We may be required to safely store some </w:t>
      </w:r>
      <w:r>
        <w:rPr>
          <w:rFonts w:ascii="Arial" w:eastAsia="宋体" w:hAnsi="Arial" w:cs="Arial"/>
          <w:color w:val="262626"/>
          <w:sz w:val="18"/>
          <w:szCs w:val="18"/>
        </w:rPr>
        <w:t>components pending the manufacture of others. Delays or quality issues with one component could limit our ability to manufacture the entire completed product. In addition, the packaging technologies used to combine these components can increase our costs a</w:t>
      </w:r>
      <w:r>
        <w:rPr>
          <w:rFonts w:ascii="Arial" w:eastAsia="宋体" w:hAnsi="Arial" w:cs="Arial"/>
          <w:color w:val="262626"/>
          <w:sz w:val="18"/>
          <w:szCs w:val="18"/>
        </w:rPr>
        <w:t>nd may introduce additional complexity and quality issues. To the extent we are unable to manage these risks, our ability to timely supply competitive products can be harmed and our costs could increase.</w:t>
      </w:r>
    </w:p>
    <w:p w14:paraId="5A1B07C1" w14:textId="77777777" w:rsidR="00960BB8" w:rsidRDefault="00C06650">
      <w:pPr>
        <w:spacing w:after="180"/>
      </w:pPr>
      <w:r>
        <w:rPr>
          <w:rFonts w:ascii="Arial" w:eastAsia="宋体" w:hAnsi="Arial" w:cs="Arial"/>
          <w:color w:val="0068B5"/>
          <w:sz w:val="18"/>
          <w:szCs w:val="18"/>
        </w:rPr>
        <w:t xml:space="preserve">We are subject to the risks of product </w:t>
      </w:r>
      <w:r>
        <w:rPr>
          <w:rFonts w:ascii="Arial" w:eastAsia="宋体" w:hAnsi="Arial" w:cs="Arial"/>
          <w:color w:val="0068B5"/>
          <w:sz w:val="18"/>
          <w:szCs w:val="18"/>
        </w:rPr>
        <w:t>defects, errata, or other product issues.</w:t>
      </w:r>
      <w:r>
        <w:rPr>
          <w:rFonts w:ascii="Arial" w:eastAsia="宋体" w:hAnsi="Arial" w:cs="Arial"/>
          <w:color w:val="026DCE"/>
          <w:sz w:val="18"/>
          <w:szCs w:val="18"/>
        </w:rPr>
        <w:t xml:space="preserve"> </w:t>
      </w:r>
      <w:r>
        <w:rPr>
          <w:rFonts w:ascii="Arial" w:eastAsia="宋体" w:hAnsi="Arial" w:cs="Arial"/>
          <w:color w:val="262626"/>
          <w:sz w:val="18"/>
          <w:szCs w:val="18"/>
        </w:rPr>
        <w:t>From time to time, we identify product defects, errata (deviations from published specifications), and other product issues, which can result from problems in our product design or our manufacturing and assembly an</w:t>
      </w:r>
      <w:r>
        <w:rPr>
          <w:rFonts w:ascii="Arial" w:eastAsia="宋体" w:hAnsi="Arial" w:cs="Arial"/>
          <w:color w:val="262626"/>
          <w:sz w:val="18"/>
          <w:szCs w:val="18"/>
        </w:rPr>
        <w:t>d test processes. Components and products we purchase or license from third-party suppliers, or gain through acquisitions, can also contain defects. Product issues also sometimes result from the interaction between our products and third-party products and</w:t>
      </w:r>
      <w:r>
        <w:rPr>
          <w:rFonts w:ascii="Arial" w:eastAsia="宋体" w:hAnsi="Arial" w:cs="Arial"/>
          <w:color w:val="262626"/>
          <w:sz w:val="18"/>
          <w:szCs w:val="18"/>
        </w:rPr>
        <w:t xml:space="preserve"> software. We face risks if products that we design, manufacture, or sell, or that include our technology, cause personal injury or property damage, even where the cause is unrelated to product defects or errata. These risks may increase as our products ar</w:t>
      </w:r>
      <w:r>
        <w:rPr>
          <w:rFonts w:ascii="Arial" w:eastAsia="宋体" w:hAnsi="Arial" w:cs="Arial"/>
          <w:color w:val="262626"/>
          <w:sz w:val="18"/>
          <w:szCs w:val="18"/>
        </w:rPr>
        <w:t xml:space="preserve">e introduced into new devices, market segments, technologies, or applications, including transportation, autonomous driving, healthcare, communications, financial services, and other industrial, critical infrastructure, and consumer uses. </w:t>
      </w:r>
    </w:p>
    <w:p w14:paraId="5A1B07C2" w14:textId="77777777" w:rsidR="00960BB8" w:rsidRDefault="00C06650">
      <w:pPr>
        <w:spacing w:after="120"/>
      </w:pPr>
      <w:r>
        <w:rPr>
          <w:rFonts w:ascii="Arial" w:eastAsia="宋体" w:hAnsi="Arial" w:cs="Arial"/>
          <w:color w:val="262626"/>
          <w:sz w:val="18"/>
          <w:szCs w:val="18"/>
        </w:rPr>
        <w:t>Costs from defec</w:t>
      </w:r>
      <w:r>
        <w:rPr>
          <w:rFonts w:ascii="Arial" w:eastAsia="宋体" w:hAnsi="Arial" w:cs="Arial"/>
          <w:color w:val="262626"/>
          <w:sz w:val="18"/>
          <w:szCs w:val="18"/>
        </w:rPr>
        <w:t>ts, errata, or other product issues could include:</w:t>
      </w:r>
    </w:p>
    <w:p w14:paraId="5A1B07C3"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writing off some or all of the value of inventory;</w:t>
      </w:r>
    </w:p>
    <w:p w14:paraId="5A1B07C4"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recalling products that have been shipped;</w:t>
      </w:r>
    </w:p>
    <w:p w14:paraId="5A1B07C5"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providing product replacements or modifications;</w:t>
      </w:r>
    </w:p>
    <w:p w14:paraId="5A1B07C6"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providing consideration to customers, including </w:t>
      </w:r>
      <w:r>
        <w:rPr>
          <w:rFonts w:ascii="Arial" w:eastAsia="宋体" w:hAnsi="Arial" w:cs="Arial"/>
          <w:color w:val="262626"/>
          <w:sz w:val="18"/>
          <w:szCs w:val="18"/>
        </w:rPr>
        <w:t>reimbursement for certain costs they incur;</w:t>
      </w:r>
    </w:p>
    <w:p w14:paraId="5A1B07C7"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defending against litigation and/or paying resulting damages; and</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7D1" w14:textId="77777777">
        <w:tc>
          <w:tcPr>
            <w:tcW w:w="50" w:type="pct"/>
            <w:shd w:val="clear" w:color="auto" w:fill="auto"/>
            <w:vAlign w:val="bottom"/>
          </w:tcPr>
          <w:p w14:paraId="5A1B07C8" w14:textId="77777777" w:rsidR="00960BB8" w:rsidRDefault="00960BB8">
            <w:pPr>
              <w:rPr>
                <w:rFonts w:ascii="宋体"/>
              </w:rPr>
            </w:pPr>
          </w:p>
        </w:tc>
        <w:tc>
          <w:tcPr>
            <w:tcW w:w="283" w:type="pct"/>
            <w:shd w:val="clear" w:color="auto" w:fill="auto"/>
            <w:vAlign w:val="bottom"/>
          </w:tcPr>
          <w:p w14:paraId="5A1B07C9" w14:textId="77777777" w:rsidR="00960BB8" w:rsidRDefault="00960BB8">
            <w:pPr>
              <w:rPr>
                <w:rFonts w:ascii="宋体"/>
              </w:rPr>
            </w:pPr>
          </w:p>
        </w:tc>
        <w:tc>
          <w:tcPr>
            <w:tcW w:w="5" w:type="pct"/>
            <w:shd w:val="clear" w:color="auto" w:fill="auto"/>
            <w:vAlign w:val="bottom"/>
          </w:tcPr>
          <w:p w14:paraId="5A1B07CA" w14:textId="77777777" w:rsidR="00960BB8" w:rsidRDefault="00960BB8">
            <w:pPr>
              <w:rPr>
                <w:rFonts w:ascii="宋体"/>
              </w:rPr>
            </w:pPr>
          </w:p>
        </w:tc>
        <w:tc>
          <w:tcPr>
            <w:tcW w:w="50" w:type="pct"/>
            <w:shd w:val="clear" w:color="auto" w:fill="auto"/>
            <w:vAlign w:val="bottom"/>
          </w:tcPr>
          <w:p w14:paraId="5A1B07CB" w14:textId="77777777" w:rsidR="00960BB8" w:rsidRDefault="00960BB8">
            <w:pPr>
              <w:rPr>
                <w:rFonts w:ascii="宋体"/>
              </w:rPr>
            </w:pPr>
          </w:p>
        </w:tc>
        <w:tc>
          <w:tcPr>
            <w:tcW w:w="2656" w:type="pct"/>
            <w:shd w:val="clear" w:color="auto" w:fill="auto"/>
            <w:vAlign w:val="bottom"/>
          </w:tcPr>
          <w:p w14:paraId="5A1B07CC" w14:textId="77777777" w:rsidR="00960BB8" w:rsidRDefault="00960BB8">
            <w:pPr>
              <w:rPr>
                <w:rFonts w:ascii="宋体"/>
              </w:rPr>
            </w:pPr>
          </w:p>
        </w:tc>
        <w:tc>
          <w:tcPr>
            <w:tcW w:w="5" w:type="pct"/>
            <w:shd w:val="clear" w:color="auto" w:fill="auto"/>
            <w:vAlign w:val="bottom"/>
          </w:tcPr>
          <w:p w14:paraId="5A1B07CD" w14:textId="77777777" w:rsidR="00960BB8" w:rsidRDefault="00960BB8">
            <w:pPr>
              <w:rPr>
                <w:rFonts w:ascii="宋体"/>
              </w:rPr>
            </w:pPr>
          </w:p>
        </w:tc>
        <w:tc>
          <w:tcPr>
            <w:tcW w:w="50" w:type="pct"/>
            <w:shd w:val="clear" w:color="auto" w:fill="auto"/>
            <w:vAlign w:val="bottom"/>
          </w:tcPr>
          <w:p w14:paraId="5A1B07CE" w14:textId="77777777" w:rsidR="00960BB8" w:rsidRDefault="00960BB8">
            <w:pPr>
              <w:rPr>
                <w:rFonts w:ascii="宋体"/>
              </w:rPr>
            </w:pPr>
          </w:p>
        </w:tc>
        <w:tc>
          <w:tcPr>
            <w:tcW w:w="1894" w:type="pct"/>
            <w:shd w:val="clear" w:color="auto" w:fill="auto"/>
            <w:vAlign w:val="bottom"/>
          </w:tcPr>
          <w:p w14:paraId="5A1B07CF" w14:textId="77777777" w:rsidR="00960BB8" w:rsidRDefault="00960BB8">
            <w:pPr>
              <w:rPr>
                <w:rFonts w:ascii="宋体"/>
              </w:rPr>
            </w:pPr>
          </w:p>
        </w:tc>
        <w:tc>
          <w:tcPr>
            <w:tcW w:w="5" w:type="pct"/>
            <w:shd w:val="clear" w:color="auto" w:fill="auto"/>
            <w:vAlign w:val="bottom"/>
          </w:tcPr>
          <w:p w14:paraId="5A1B07D0" w14:textId="77777777" w:rsidR="00960BB8" w:rsidRDefault="00960BB8">
            <w:pPr>
              <w:rPr>
                <w:rFonts w:ascii="宋体"/>
              </w:rPr>
            </w:pPr>
          </w:p>
        </w:tc>
      </w:tr>
      <w:tr w:rsidR="00960BB8" w14:paraId="5A1B07D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7D2"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2B" wp14:editId="5A1B442C">
                  <wp:extent cx="304800" cy="304800"/>
                  <wp:effectExtent l="0" t="0" r="0" b="0"/>
                  <wp:docPr id="1" name="图片 202"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2"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D3"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D4" w14:textId="77777777" w:rsidR="00960BB8" w:rsidRDefault="00C06650">
            <w:pPr>
              <w:jc w:val="right"/>
              <w:textAlignment w:val="center"/>
            </w:pPr>
            <w:r>
              <w:rPr>
                <w:rFonts w:ascii="Arial" w:eastAsia="宋体" w:hAnsi="Arial" w:cs="Arial"/>
                <w:color w:val="262626"/>
                <w:sz w:val="16"/>
                <w:szCs w:val="16"/>
              </w:rPr>
              <w:t>57</w:t>
            </w:r>
          </w:p>
        </w:tc>
      </w:tr>
    </w:tbl>
    <w:p w14:paraId="5A1B07D6" w14:textId="77777777" w:rsidR="00960BB8" w:rsidRDefault="00C06650">
      <w:r>
        <w:pict w14:anchorId="5A1B442D">
          <v:rect id="_x0000_i1083" style="width:415.3pt;height:1.5pt" o:hralign="center" o:hrstd="t" o:hr="t" fillcolor="#a0a0a0" stroked="f"/>
        </w:pict>
      </w:r>
    </w:p>
    <w:p w14:paraId="5A1B07D7" w14:textId="77777777" w:rsidR="00960BB8" w:rsidRDefault="00C06650">
      <w:pPr>
        <w:jc w:val="right"/>
      </w:pPr>
      <w:hyperlink r:id="rId76" w:anchor="i8aaa7b4dbd2e419ca0f5c30af85a11aa_16" w:history="1">
        <w:r>
          <w:rPr>
            <w:rStyle w:val="a5"/>
            <w:rFonts w:ascii="Arial" w:eastAsia="宋体" w:hAnsi="Arial" w:cs="Arial"/>
            <w:b/>
            <w:bCs/>
            <w:sz w:val="16"/>
            <w:szCs w:val="16"/>
          </w:rPr>
          <w:t>Table of Contents</w:t>
        </w:r>
      </w:hyperlink>
    </w:p>
    <w:p w14:paraId="5A1B07D8" w14:textId="77777777" w:rsidR="00960BB8" w:rsidRDefault="00960BB8">
      <w:pPr>
        <w:jc w:val="right"/>
      </w:pPr>
    </w:p>
    <w:p w14:paraId="5A1B07D9"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paying fines imposed by regulatory agencies.</w:t>
      </w:r>
    </w:p>
    <w:p w14:paraId="5A1B07DA" w14:textId="77777777" w:rsidR="00960BB8" w:rsidRDefault="00C06650">
      <w:pPr>
        <w:spacing w:after="180"/>
      </w:pPr>
      <w:r>
        <w:rPr>
          <w:rFonts w:ascii="Arial" w:eastAsia="宋体" w:hAnsi="Arial" w:cs="Arial"/>
          <w:color w:val="262626"/>
          <w:sz w:val="18"/>
          <w:szCs w:val="18"/>
        </w:rPr>
        <w:t xml:space="preserve">These costs could be large and may </w:t>
      </w:r>
      <w:r>
        <w:rPr>
          <w:rFonts w:ascii="Arial" w:eastAsia="宋体" w:hAnsi="Arial" w:cs="Arial"/>
          <w:color w:val="262626"/>
          <w:sz w:val="18"/>
          <w:szCs w:val="18"/>
        </w:rPr>
        <w:t>increase expenses and lower gross margin, and/or result in delay or loss of revenue. Mitigation techniques designed to address product issues, including software and firmware updates, are not always available on a timely basis—or at all—and do not always o</w:t>
      </w:r>
      <w:r>
        <w:rPr>
          <w:rFonts w:ascii="Arial" w:eastAsia="宋体" w:hAnsi="Arial" w:cs="Arial"/>
          <w:color w:val="262626"/>
          <w:sz w:val="18"/>
          <w:szCs w:val="18"/>
        </w:rPr>
        <w:t xml:space="preserve">perate as intended or effectively resolve such issues for all applications. We and third parties, such as hardware and software vendors, make prioritization decisions about which product issues to address, which can delay, limit, or prevent development or </w:t>
      </w:r>
      <w:r>
        <w:rPr>
          <w:rFonts w:ascii="Arial" w:eastAsia="宋体" w:hAnsi="Arial" w:cs="Arial"/>
          <w:color w:val="262626"/>
          <w:sz w:val="18"/>
          <w:szCs w:val="18"/>
        </w:rPr>
        <w:t>deployment of a mitigation and harm our reputation and result in costs. Product defects, errata, or other product issues and/or mitigation techniques can result in product failures, adverse performance and power effects, reboots, system instability or unav</w:t>
      </w:r>
      <w:r>
        <w:rPr>
          <w:rFonts w:ascii="Arial" w:eastAsia="宋体" w:hAnsi="Arial" w:cs="Arial"/>
          <w:color w:val="262626"/>
          <w:sz w:val="18"/>
          <w:szCs w:val="18"/>
        </w:rPr>
        <w:t>ailability, loss of functionality, data loss or corruption, unpredictable system behavior, decisions by customers and end users to limit or change the applications in which they use our products or product features, and other issues. Product issues can dam</w:t>
      </w:r>
      <w:r>
        <w:rPr>
          <w:rFonts w:ascii="Arial" w:eastAsia="宋体" w:hAnsi="Arial" w:cs="Arial"/>
          <w:color w:val="262626"/>
          <w:sz w:val="18"/>
          <w:szCs w:val="18"/>
        </w:rPr>
        <w:t>age our reputation, negatively affect product demand, delay product releases or deployment, result in legal liability, or make our products less competitive, which could harm our business and financial results. Subsequent events or new information can deve</w:t>
      </w:r>
      <w:r>
        <w:rPr>
          <w:rFonts w:ascii="Arial" w:eastAsia="宋体" w:hAnsi="Arial" w:cs="Arial"/>
          <w:color w:val="262626"/>
          <w:sz w:val="18"/>
          <w:szCs w:val="18"/>
        </w:rPr>
        <w:t xml:space="preserve">lop that changes our assessment of the impact of a product issue. In addition, our liability insurance coverage has certain exclusions or may not adequately cover liabilities incurred. Our insurance providers may be unable or unwilling to pay a claim, and </w:t>
      </w:r>
      <w:r>
        <w:rPr>
          <w:rFonts w:ascii="Arial" w:eastAsia="宋体" w:hAnsi="Arial" w:cs="Arial"/>
          <w:color w:val="262626"/>
          <w:sz w:val="18"/>
          <w:szCs w:val="18"/>
        </w:rPr>
        <w:t>losses not covered by insurance could be large, which could harm our financial condition.</w:t>
      </w:r>
    </w:p>
    <w:p w14:paraId="5A1B07DB" w14:textId="77777777" w:rsidR="00960BB8" w:rsidRDefault="00C06650">
      <w:pPr>
        <w:spacing w:after="180"/>
      </w:pPr>
      <w:r>
        <w:rPr>
          <w:rFonts w:ascii="Arial" w:eastAsia="宋体" w:hAnsi="Arial" w:cs="Arial"/>
          <w:color w:val="0068B5"/>
          <w:sz w:val="18"/>
          <w:szCs w:val="18"/>
        </w:rPr>
        <w:t xml:space="preserve">We face risks related to security vulnerabilities in our products. </w:t>
      </w:r>
      <w:r>
        <w:rPr>
          <w:rFonts w:ascii="Arial" w:eastAsia="宋体" w:hAnsi="Arial" w:cs="Arial"/>
          <w:color w:val="262626"/>
          <w:sz w:val="18"/>
          <w:szCs w:val="18"/>
        </w:rPr>
        <w:t xml:space="preserve">We or third parties regularly identify security vulnerabilities with respect to our processors and </w:t>
      </w:r>
      <w:r>
        <w:rPr>
          <w:rFonts w:ascii="Arial" w:eastAsia="宋体" w:hAnsi="Arial" w:cs="Arial"/>
          <w:color w:val="262626"/>
          <w:sz w:val="18"/>
          <w:szCs w:val="18"/>
        </w:rPr>
        <w:t xml:space="preserve">other products, as well as the operating systems and workloads that run on them and the components that interact with them. Components and IP we purchase or license from third parties for use in our products, as well as industry-standard specifications we </w:t>
      </w:r>
      <w:r>
        <w:rPr>
          <w:rFonts w:ascii="Arial" w:eastAsia="宋体" w:hAnsi="Arial" w:cs="Arial"/>
          <w:color w:val="262626"/>
          <w:sz w:val="18"/>
          <w:szCs w:val="18"/>
        </w:rPr>
        <w:t>implement in our products, are also regularly subject to security vulnerabilities. Our processors and other products are being used in application areas that create new or increased cybersecurity and privacy risks, including applications that gather and pr</w:t>
      </w:r>
      <w:r>
        <w:rPr>
          <w:rFonts w:ascii="Arial" w:eastAsia="宋体" w:hAnsi="Arial" w:cs="Arial"/>
          <w:color w:val="262626"/>
          <w:sz w:val="18"/>
          <w:szCs w:val="18"/>
        </w:rPr>
        <w:t>ocess large amounts of data, such as the cloud or Internet of Things, and critical infrastructure and automotive applications. The security vulnerabilities identified in our processors include a category known as side-channel vulnerabilities, such as the v</w:t>
      </w:r>
      <w:r>
        <w:rPr>
          <w:rFonts w:ascii="Arial" w:eastAsia="宋体" w:hAnsi="Arial" w:cs="Arial"/>
          <w:color w:val="262626"/>
          <w:sz w:val="18"/>
          <w:szCs w:val="18"/>
        </w:rPr>
        <w:t>ariants referred to as "Spectre" and "Meltdown." Additional categories and variants have been identified and are expected to continue to be identified. Publicity about these and other security vulnerabilities has resulted in, and is expected to continue to</w:t>
      </w:r>
      <w:r>
        <w:rPr>
          <w:rFonts w:ascii="Arial" w:eastAsia="宋体" w:hAnsi="Arial" w:cs="Arial"/>
          <w:color w:val="262626"/>
          <w:sz w:val="18"/>
          <w:szCs w:val="18"/>
        </w:rPr>
        <w:t xml:space="preserve"> result in, increased attempts by third parties to identify additional vulnerabilities. Security and manageability features in our products cannot make our products absolutely secure, and these features themselves are subject to vulnerabilities and attempt</w:t>
      </w:r>
      <w:r>
        <w:rPr>
          <w:rFonts w:ascii="Arial" w:eastAsia="宋体" w:hAnsi="Arial" w:cs="Arial"/>
          <w:color w:val="262626"/>
          <w:sz w:val="18"/>
          <w:szCs w:val="18"/>
        </w:rPr>
        <w:t>s by third parties to identify additional vulnerabilities. Vulnerabilities are not always mitigated before they become known. We, our customers, and the users of our products do not always promptly learn of or have the ability to fully assess the magnitude</w:t>
      </w:r>
      <w:r>
        <w:rPr>
          <w:rFonts w:ascii="Arial" w:eastAsia="宋体" w:hAnsi="Arial" w:cs="Arial"/>
          <w:color w:val="262626"/>
          <w:sz w:val="18"/>
          <w:szCs w:val="18"/>
        </w:rPr>
        <w:t xml:space="preserve"> or effects of a vulnerability, including the extent, if any, to which a vulnerability has been exploited. Subsequent events or new information can develop that changes our assessment of the impact of a security vulnerability, including additional informat</w:t>
      </w:r>
      <w:r>
        <w:rPr>
          <w:rFonts w:ascii="Arial" w:eastAsia="宋体" w:hAnsi="Arial" w:cs="Arial"/>
          <w:color w:val="262626"/>
          <w:sz w:val="18"/>
          <w:szCs w:val="18"/>
        </w:rPr>
        <w:t>ion learned as we develop and deploy mitigations or updates, become aware of additional variants, evaluate the competitiveness of existing and new products, and address future warranty or other claims or customer satisfaction considerations, as well as dev</w:t>
      </w:r>
      <w:r>
        <w:rPr>
          <w:rFonts w:ascii="Arial" w:eastAsia="宋体" w:hAnsi="Arial" w:cs="Arial"/>
          <w:color w:val="262626"/>
          <w:sz w:val="18"/>
          <w:szCs w:val="18"/>
        </w:rPr>
        <w:t>elopments in the course of any litigation or regulatory inquiries or actions over these matters.</w:t>
      </w:r>
    </w:p>
    <w:p w14:paraId="5A1B07DC" w14:textId="77777777" w:rsidR="00960BB8" w:rsidRDefault="00C06650">
      <w:pPr>
        <w:spacing w:after="180"/>
      </w:pPr>
      <w:r>
        <w:rPr>
          <w:rFonts w:ascii="Arial" w:eastAsia="宋体" w:hAnsi="Arial" w:cs="Arial"/>
          <w:color w:val="262626"/>
          <w:sz w:val="18"/>
          <w:szCs w:val="18"/>
        </w:rPr>
        <w:t>Mitigation techniques designed to address security vulnerabilities, including software and firmware updates or other preventative measures, are not always avai</w:t>
      </w:r>
      <w:r>
        <w:rPr>
          <w:rFonts w:ascii="Arial" w:eastAsia="宋体" w:hAnsi="Arial" w:cs="Arial"/>
          <w:color w:val="262626"/>
          <w:sz w:val="18"/>
          <w:szCs w:val="18"/>
        </w:rPr>
        <w:t xml:space="preserve">lable on a timely basis—or at all—and at times do not operate as intended or effectively resolve vulnerabilities for all applications. In addition, we are often required to rely on third parties, including hardware, software, and services vendors, as well </w:t>
      </w:r>
      <w:r>
        <w:rPr>
          <w:rFonts w:ascii="Arial" w:eastAsia="宋体" w:hAnsi="Arial" w:cs="Arial"/>
          <w:color w:val="262626"/>
          <w:sz w:val="18"/>
          <w:szCs w:val="18"/>
        </w:rPr>
        <w:t xml:space="preserve">as our customers and end users, to develop and/or deploy mitigation techniques, and the availability, effectiveness, and performance impact of mitigation techniques can depend solely or in part on the actions of these third parties in determining whether, </w:t>
      </w:r>
      <w:r>
        <w:rPr>
          <w:rFonts w:ascii="Arial" w:eastAsia="宋体" w:hAnsi="Arial" w:cs="Arial"/>
          <w:color w:val="262626"/>
          <w:sz w:val="18"/>
          <w:szCs w:val="18"/>
        </w:rPr>
        <w:t>when, and how to develop and deploy mitigations. Export restrictions may impede our ability to provide updates or patches to customers in certain geographies or that appear on sanctions lists, potentially leaving systems unpatched and open to exploitation.</w:t>
      </w:r>
      <w:r>
        <w:rPr>
          <w:rFonts w:ascii="Arial" w:eastAsia="宋体" w:hAnsi="Arial" w:cs="Arial"/>
          <w:color w:val="262626"/>
          <w:sz w:val="18"/>
          <w:szCs w:val="18"/>
        </w:rPr>
        <w:t xml:space="preserve"> Further, sanctions lists may include third parties with whom we need to interact for coordinated vulnerability disclosure, which may impair our ability to receive information about vulnerabilities and to deliver mitigations for them. We and such third par</w:t>
      </w:r>
      <w:r>
        <w:rPr>
          <w:rFonts w:ascii="Arial" w:eastAsia="宋体" w:hAnsi="Arial" w:cs="Arial"/>
          <w:color w:val="262626"/>
          <w:sz w:val="18"/>
          <w:szCs w:val="18"/>
        </w:rPr>
        <w:t>ties make prioritization decisions about which vulnerabilities to address, which can delay, limit, or prevent development or deployment of a mitigation and harm our reputation. Security vulnerabilities and/or mitigation techniques can result in adverse per</w:t>
      </w:r>
      <w:r>
        <w:rPr>
          <w:rFonts w:ascii="Arial" w:eastAsia="宋体" w:hAnsi="Arial" w:cs="Arial"/>
          <w:color w:val="262626"/>
          <w:sz w:val="18"/>
          <w:szCs w:val="18"/>
        </w:rPr>
        <w:t>formance or power effects, reboots, system instability or unavailability, loss of functionality, data loss or corruption, unpredictable system behavior, decisions by customers and end users to limit or change the applications in which they use our products</w:t>
      </w:r>
      <w:r>
        <w:rPr>
          <w:rFonts w:ascii="Arial" w:eastAsia="宋体" w:hAnsi="Arial" w:cs="Arial"/>
          <w:color w:val="262626"/>
          <w:sz w:val="18"/>
          <w:szCs w:val="18"/>
        </w:rPr>
        <w:t xml:space="preserve"> or product features, and/or the misappropriation of data by third parties.</w:t>
      </w:r>
    </w:p>
    <w:p w14:paraId="5A1B07DD" w14:textId="77777777" w:rsidR="00960BB8" w:rsidRDefault="00C06650">
      <w:pPr>
        <w:spacing w:after="180"/>
      </w:pPr>
      <w:r>
        <w:rPr>
          <w:rFonts w:ascii="Arial" w:eastAsia="宋体" w:hAnsi="Arial" w:cs="Arial"/>
          <w:color w:val="262626"/>
          <w:sz w:val="18"/>
          <w:szCs w:val="18"/>
        </w:rPr>
        <w:t>Security vulnerabilities and any limitations or adverse effects of mitigation techniques can adversely affect our results of operations, financial condition, customer relationships</w:t>
      </w:r>
      <w:r>
        <w:rPr>
          <w:rFonts w:ascii="Arial" w:eastAsia="宋体" w:hAnsi="Arial" w:cs="Arial"/>
          <w:color w:val="262626"/>
          <w:sz w:val="18"/>
          <w:szCs w:val="18"/>
        </w:rPr>
        <w:t>, prospects, and reputation in a number of ways, any of which may be material. For example, whether or not vulnerabilities involve attempted or successful exploits, they may result in our incurring significant costs related to developing and deploying upda</w:t>
      </w:r>
      <w:r>
        <w:rPr>
          <w:rFonts w:ascii="Arial" w:eastAsia="宋体" w:hAnsi="Arial" w:cs="Arial"/>
          <w:color w:val="262626"/>
          <w:sz w:val="18"/>
          <w:szCs w:val="18"/>
        </w:rPr>
        <w:t>tes and mitigations, writing down inventory value, defending against product claims and litigation, responding to regulatory inquiries or actions, paying damages, addressing customer satisfaction considerations, providing product replacements or modificati</w:t>
      </w:r>
      <w:r>
        <w:rPr>
          <w:rFonts w:ascii="Arial" w:eastAsia="宋体" w:hAnsi="Arial" w:cs="Arial"/>
          <w:color w:val="262626"/>
          <w:sz w:val="18"/>
          <w:szCs w:val="18"/>
        </w:rPr>
        <w:t>ons, or taking other remedial steps with respect to third parties. Adverse publicity about security vulnerabilities or mitigations could damage our reputation with customers or users and reduce demand for our products and services. These effects may be gre</w:t>
      </w:r>
      <w:r>
        <w:rPr>
          <w:rFonts w:ascii="Arial" w:eastAsia="宋体" w:hAnsi="Arial" w:cs="Arial"/>
          <w:color w:val="262626"/>
          <w:sz w:val="18"/>
          <w:szCs w:val="18"/>
        </w:rPr>
        <w:t>ater to the extent that competing products are not susceptible to the same vulnerabilities or if vulnerabilities can be more effectively mitigated in competing products. Moreover, third parties can release information regarding potential vulnerabilities of</w:t>
      </w:r>
      <w:r>
        <w:rPr>
          <w:rFonts w:ascii="Arial" w:eastAsia="宋体" w:hAnsi="Arial" w:cs="Arial"/>
          <w:color w:val="262626"/>
          <w:sz w:val="18"/>
          <w:szCs w:val="18"/>
        </w:rPr>
        <w:t xml:space="preserve"> our products before mitigations are available, which, in turn, could lead to attempted or successful exploits, adversely affect our ability to introduce mitigations, or otherwise harm our business and reputation. </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7E7" w14:textId="77777777">
        <w:tc>
          <w:tcPr>
            <w:tcW w:w="50" w:type="pct"/>
            <w:shd w:val="clear" w:color="auto" w:fill="auto"/>
            <w:vAlign w:val="bottom"/>
          </w:tcPr>
          <w:p w14:paraId="5A1B07DE" w14:textId="77777777" w:rsidR="00960BB8" w:rsidRDefault="00960BB8">
            <w:pPr>
              <w:rPr>
                <w:rFonts w:ascii="宋体"/>
              </w:rPr>
            </w:pPr>
          </w:p>
        </w:tc>
        <w:tc>
          <w:tcPr>
            <w:tcW w:w="283" w:type="pct"/>
            <w:shd w:val="clear" w:color="auto" w:fill="auto"/>
            <w:vAlign w:val="bottom"/>
          </w:tcPr>
          <w:p w14:paraId="5A1B07DF" w14:textId="77777777" w:rsidR="00960BB8" w:rsidRDefault="00960BB8">
            <w:pPr>
              <w:rPr>
                <w:rFonts w:ascii="宋体"/>
              </w:rPr>
            </w:pPr>
          </w:p>
        </w:tc>
        <w:tc>
          <w:tcPr>
            <w:tcW w:w="5" w:type="pct"/>
            <w:shd w:val="clear" w:color="auto" w:fill="auto"/>
            <w:vAlign w:val="bottom"/>
          </w:tcPr>
          <w:p w14:paraId="5A1B07E0" w14:textId="77777777" w:rsidR="00960BB8" w:rsidRDefault="00960BB8">
            <w:pPr>
              <w:rPr>
                <w:rFonts w:ascii="宋体"/>
              </w:rPr>
            </w:pPr>
          </w:p>
        </w:tc>
        <w:tc>
          <w:tcPr>
            <w:tcW w:w="50" w:type="pct"/>
            <w:shd w:val="clear" w:color="auto" w:fill="auto"/>
            <w:vAlign w:val="bottom"/>
          </w:tcPr>
          <w:p w14:paraId="5A1B07E1" w14:textId="77777777" w:rsidR="00960BB8" w:rsidRDefault="00960BB8">
            <w:pPr>
              <w:rPr>
                <w:rFonts w:ascii="宋体"/>
              </w:rPr>
            </w:pPr>
          </w:p>
        </w:tc>
        <w:tc>
          <w:tcPr>
            <w:tcW w:w="2656" w:type="pct"/>
            <w:shd w:val="clear" w:color="auto" w:fill="auto"/>
            <w:vAlign w:val="bottom"/>
          </w:tcPr>
          <w:p w14:paraId="5A1B07E2" w14:textId="77777777" w:rsidR="00960BB8" w:rsidRDefault="00960BB8">
            <w:pPr>
              <w:rPr>
                <w:rFonts w:ascii="宋体"/>
              </w:rPr>
            </w:pPr>
          </w:p>
        </w:tc>
        <w:tc>
          <w:tcPr>
            <w:tcW w:w="5" w:type="pct"/>
            <w:shd w:val="clear" w:color="auto" w:fill="auto"/>
            <w:vAlign w:val="bottom"/>
          </w:tcPr>
          <w:p w14:paraId="5A1B07E3" w14:textId="77777777" w:rsidR="00960BB8" w:rsidRDefault="00960BB8">
            <w:pPr>
              <w:rPr>
                <w:rFonts w:ascii="宋体"/>
              </w:rPr>
            </w:pPr>
          </w:p>
        </w:tc>
        <w:tc>
          <w:tcPr>
            <w:tcW w:w="50" w:type="pct"/>
            <w:shd w:val="clear" w:color="auto" w:fill="auto"/>
            <w:vAlign w:val="bottom"/>
          </w:tcPr>
          <w:p w14:paraId="5A1B07E4" w14:textId="77777777" w:rsidR="00960BB8" w:rsidRDefault="00960BB8">
            <w:pPr>
              <w:rPr>
                <w:rFonts w:ascii="宋体"/>
              </w:rPr>
            </w:pPr>
          </w:p>
        </w:tc>
        <w:tc>
          <w:tcPr>
            <w:tcW w:w="1894" w:type="pct"/>
            <w:shd w:val="clear" w:color="auto" w:fill="auto"/>
            <w:vAlign w:val="bottom"/>
          </w:tcPr>
          <w:p w14:paraId="5A1B07E5" w14:textId="77777777" w:rsidR="00960BB8" w:rsidRDefault="00960BB8">
            <w:pPr>
              <w:rPr>
                <w:rFonts w:ascii="宋体"/>
              </w:rPr>
            </w:pPr>
          </w:p>
        </w:tc>
        <w:tc>
          <w:tcPr>
            <w:tcW w:w="5" w:type="pct"/>
            <w:shd w:val="clear" w:color="auto" w:fill="auto"/>
            <w:vAlign w:val="bottom"/>
          </w:tcPr>
          <w:p w14:paraId="5A1B07E6" w14:textId="77777777" w:rsidR="00960BB8" w:rsidRDefault="00960BB8">
            <w:pPr>
              <w:rPr>
                <w:rFonts w:ascii="宋体"/>
              </w:rPr>
            </w:pPr>
          </w:p>
        </w:tc>
      </w:tr>
      <w:tr w:rsidR="00960BB8" w14:paraId="5A1B07E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7E8"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2E" wp14:editId="5A1B442F">
                  <wp:extent cx="304800" cy="304800"/>
                  <wp:effectExtent l="0" t="0" r="0" b="0"/>
                  <wp:docPr id="4" name="图片 20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E9"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7EA" w14:textId="77777777" w:rsidR="00960BB8" w:rsidRDefault="00C06650">
            <w:pPr>
              <w:jc w:val="right"/>
              <w:textAlignment w:val="center"/>
            </w:pPr>
            <w:r>
              <w:rPr>
                <w:rFonts w:ascii="Arial" w:eastAsia="宋体" w:hAnsi="Arial" w:cs="Arial"/>
                <w:color w:val="262626"/>
                <w:sz w:val="16"/>
                <w:szCs w:val="16"/>
              </w:rPr>
              <w:t>58</w:t>
            </w:r>
          </w:p>
        </w:tc>
      </w:tr>
    </w:tbl>
    <w:p w14:paraId="5A1B07EC" w14:textId="77777777" w:rsidR="00960BB8" w:rsidRDefault="00C06650">
      <w:r>
        <w:pict w14:anchorId="5A1B4430">
          <v:rect id="_x0000_i1084" style="width:415.3pt;height:1.5pt" o:hralign="center" o:hrstd="t" o:hr="t" fillcolor="#a0a0a0" stroked="f"/>
        </w:pict>
      </w:r>
    </w:p>
    <w:p w14:paraId="5A1B07ED" w14:textId="77777777" w:rsidR="00960BB8" w:rsidRDefault="00C06650">
      <w:pPr>
        <w:jc w:val="right"/>
      </w:pPr>
      <w:hyperlink r:id="rId77" w:anchor="i8aaa7b4dbd2e419ca0f5c30af85a11aa_16" w:history="1">
        <w:r>
          <w:rPr>
            <w:rStyle w:val="a5"/>
            <w:rFonts w:ascii="Arial" w:eastAsia="宋体" w:hAnsi="Arial" w:cs="Arial"/>
            <w:b/>
            <w:bCs/>
            <w:sz w:val="16"/>
            <w:szCs w:val="16"/>
          </w:rPr>
          <w:t>Table of Contents</w:t>
        </w:r>
      </w:hyperlink>
    </w:p>
    <w:p w14:paraId="5A1B07EE" w14:textId="77777777" w:rsidR="00960BB8" w:rsidRDefault="00960BB8">
      <w:pPr>
        <w:jc w:val="right"/>
      </w:pPr>
    </w:p>
    <w:p w14:paraId="5A1B07EF" w14:textId="77777777" w:rsidR="00960BB8" w:rsidRDefault="00C06650">
      <w:pPr>
        <w:spacing w:after="180"/>
      </w:pPr>
      <w:r>
        <w:rPr>
          <w:rFonts w:ascii="Arial" w:eastAsia="宋体" w:hAnsi="Arial" w:cs="Arial"/>
          <w:color w:val="0068B5"/>
          <w:sz w:val="18"/>
          <w:szCs w:val="18"/>
        </w:rPr>
        <w:t>We are subject to risks associated with environmental, health, and safety and produ</w:t>
      </w:r>
      <w:r>
        <w:rPr>
          <w:rFonts w:ascii="Arial" w:eastAsia="宋体" w:hAnsi="Arial" w:cs="Arial"/>
          <w:color w:val="0068B5"/>
          <w:sz w:val="18"/>
          <w:szCs w:val="18"/>
        </w:rPr>
        <w:t>ct regulations.</w:t>
      </w:r>
      <w:r>
        <w:rPr>
          <w:rFonts w:ascii="Arial" w:eastAsia="宋体" w:hAnsi="Arial" w:cs="Arial"/>
          <w:color w:val="262626"/>
          <w:sz w:val="18"/>
          <w:szCs w:val="18"/>
        </w:rPr>
        <w:t xml:space="preserve"> The design, manufacturing, assembly and test of our products require the use and purchase of materials and chemicals that are subject to a broad array of environmental, health, and safety laws and regulations. Our operations and those of ou</w:t>
      </w:r>
      <w:r>
        <w:rPr>
          <w:rFonts w:ascii="Arial" w:eastAsia="宋体" w:hAnsi="Arial" w:cs="Arial"/>
          <w:color w:val="262626"/>
          <w:sz w:val="18"/>
          <w:szCs w:val="18"/>
        </w:rPr>
        <w:t>r suppliers are further governed by regulations prohibiting the use of forced labor (e.g., mining conflict minerals), and restrictions on other materials, as well as laws or regulations governing the operation of our facilities, sale and distribution of ou</w:t>
      </w:r>
      <w:r>
        <w:rPr>
          <w:rFonts w:ascii="Arial" w:eastAsia="宋体" w:hAnsi="Arial" w:cs="Arial"/>
          <w:color w:val="262626"/>
          <w:sz w:val="18"/>
          <w:szCs w:val="18"/>
        </w:rPr>
        <w:t>r products, and use of our real property. The scope and interpretation of such laws and regulations, including the materials they govern, are complex and continue to evolve. The procedures and processes in place under our compliance program may become oner</w:t>
      </w:r>
      <w:r>
        <w:rPr>
          <w:rFonts w:ascii="Arial" w:eastAsia="宋体" w:hAnsi="Arial" w:cs="Arial"/>
          <w:color w:val="262626"/>
          <w:sz w:val="18"/>
          <w:szCs w:val="18"/>
        </w:rPr>
        <w:t xml:space="preserve">ous or increasingly expensive to maintain and cannot guarantee compliance by employees or third parties to whom such laws apply. The amendment or expansion of these laws or regulations, as well as our failure or inability to comply with them (including as </w:t>
      </w:r>
      <w:r>
        <w:rPr>
          <w:rFonts w:ascii="Arial" w:eastAsia="宋体" w:hAnsi="Arial" w:cs="Arial"/>
          <w:color w:val="262626"/>
          <w:sz w:val="18"/>
          <w:szCs w:val="18"/>
        </w:rPr>
        <w:t>a result of acquired entities) can result in regulatory penalties, fines, and legal liabilities; increased costs; additional remediation obligations; suspension of production; alteration, suspension, or termination of our manufacturing and assembly and tes</w:t>
      </w:r>
      <w:r>
        <w:rPr>
          <w:rFonts w:ascii="Arial" w:eastAsia="宋体" w:hAnsi="Arial" w:cs="Arial"/>
          <w:color w:val="262626"/>
          <w:sz w:val="18"/>
          <w:szCs w:val="18"/>
        </w:rPr>
        <w:t>t processes, including due to an inability to find, afford, or attain adequate substitute materials, equipment, or processes; damage to our reputation; and restrictions on our operations or sales. In addition, the failure or inability to comply by our supp</w:t>
      </w:r>
      <w:r>
        <w:rPr>
          <w:rFonts w:ascii="Arial" w:eastAsia="宋体" w:hAnsi="Arial" w:cs="Arial"/>
          <w:color w:val="262626"/>
          <w:sz w:val="18"/>
          <w:szCs w:val="18"/>
        </w:rPr>
        <w:t>liers of these materials can require us to suspend or alter our production processes and sources, and result in increased risks and costs.</w:t>
      </w:r>
    </w:p>
    <w:p w14:paraId="5A1B07F0" w14:textId="77777777" w:rsidR="00960BB8" w:rsidRDefault="00C06650">
      <w:pPr>
        <w:spacing w:after="180"/>
      </w:pPr>
      <w:r>
        <w:rPr>
          <w:rFonts w:ascii="Arial" w:eastAsia="宋体" w:hAnsi="Arial" w:cs="Arial"/>
          <w:color w:val="262626"/>
          <w:sz w:val="18"/>
          <w:szCs w:val="18"/>
        </w:rPr>
        <w:t>The failure or inability by us or our customers and suppliers to manage the use, transportation, emissions, discharge</w:t>
      </w:r>
      <w:r>
        <w:rPr>
          <w:rFonts w:ascii="Arial" w:eastAsia="宋体" w:hAnsi="Arial" w:cs="Arial"/>
          <w:color w:val="262626"/>
          <w:sz w:val="18"/>
          <w:szCs w:val="18"/>
        </w:rPr>
        <w:t xml:space="preserve">, storage, recycling, or disposal of hazardous materials can lead to increased costs or future liabilities. Environmental regulations, such as air quality and wastewater requirements, may impede our ability to expand or modify our manufacturing capability </w:t>
      </w:r>
      <w:r>
        <w:rPr>
          <w:rFonts w:ascii="Arial" w:eastAsia="宋体" w:hAnsi="Arial" w:cs="Arial"/>
          <w:color w:val="262626"/>
          <w:sz w:val="18"/>
          <w:szCs w:val="18"/>
        </w:rPr>
        <w:t xml:space="preserve">in the future. Environmental laws and regulations sometimes require us to acquire additional pollution abatement or remediation equipment, modify product designs, cease the use of a particular material or process, remove or remediate hazardous substances, </w:t>
      </w:r>
      <w:r>
        <w:rPr>
          <w:rFonts w:ascii="Arial" w:eastAsia="宋体" w:hAnsi="Arial" w:cs="Arial"/>
          <w:color w:val="262626"/>
          <w:sz w:val="18"/>
          <w:szCs w:val="18"/>
        </w:rPr>
        <w:t>or incur other expenses or liabilities. Regulations in response to climate change could result in increased manufacturing costs associated with air pollution requirements. For example, semiconductor manufacturing uses perfluorocarbons, which have historica</w:t>
      </w:r>
      <w:r>
        <w:rPr>
          <w:rFonts w:ascii="Arial" w:eastAsia="宋体" w:hAnsi="Arial" w:cs="Arial"/>
          <w:color w:val="262626"/>
          <w:sz w:val="18"/>
          <w:szCs w:val="18"/>
        </w:rPr>
        <w:t>lly made up a large portion of our direct greenhouse gas emissions. New or increased regulations limiting the use of such compounds, or other greenhouse gas emissions, could require us to install additional abatement equipment, purchase carbon offsets, and</w:t>
      </w:r>
      <w:r>
        <w:rPr>
          <w:rFonts w:ascii="Arial" w:eastAsia="宋体" w:hAnsi="Arial" w:cs="Arial"/>
          <w:color w:val="262626"/>
          <w:sz w:val="18"/>
          <w:szCs w:val="18"/>
        </w:rPr>
        <w:t>/or alter, where feasible, our production processes and sources. In addition, new or increased climate change regulation could increase our energy costs, for example as a result of carbon pricing impacts on electrical utilities. As we expand our manufactur</w:t>
      </w:r>
      <w:r>
        <w:rPr>
          <w:rFonts w:ascii="Arial" w:eastAsia="宋体" w:hAnsi="Arial" w:cs="Arial"/>
          <w:color w:val="262626"/>
          <w:sz w:val="18"/>
          <w:szCs w:val="18"/>
        </w:rPr>
        <w:t>ing capacity as part of our IDM 2.0 strategy, the impacts of future regulation could be magnified. Many new materials that we are evaluating for use in our operations are subject to regulation under environmental laws and regulations. These restrictions co</w:t>
      </w:r>
      <w:r>
        <w:rPr>
          <w:rFonts w:ascii="Arial" w:eastAsia="宋体" w:hAnsi="Arial" w:cs="Arial"/>
          <w:color w:val="262626"/>
          <w:sz w:val="18"/>
          <w:szCs w:val="18"/>
        </w:rPr>
        <w:t>uld harm our business and results of operations by increasing our expenses or requiring us to alter manufacturing and assembly and test processes.</w:t>
      </w:r>
    </w:p>
    <w:p w14:paraId="5A1B07F1" w14:textId="77777777" w:rsidR="00960BB8" w:rsidRDefault="00C06650">
      <w:pPr>
        <w:spacing w:after="180"/>
      </w:pPr>
      <w:r>
        <w:rPr>
          <w:rFonts w:ascii="Arial" w:eastAsia="宋体" w:hAnsi="Arial" w:cs="Arial"/>
          <w:color w:val="0068B5"/>
          <w:sz w:val="18"/>
          <w:szCs w:val="18"/>
        </w:rPr>
        <w:t>We have established and report on our initiatives, aspirations, and goals related to corporate responsibility</w:t>
      </w:r>
      <w:r>
        <w:rPr>
          <w:rFonts w:ascii="Arial" w:eastAsia="宋体" w:hAnsi="Arial" w:cs="Arial"/>
          <w:color w:val="0068B5"/>
          <w:sz w:val="18"/>
          <w:szCs w:val="18"/>
        </w:rPr>
        <w:t xml:space="preserve"> matters, which exposes us to numerous risks</w:t>
      </w:r>
      <w:r>
        <w:rPr>
          <w:rFonts w:ascii="Arial" w:eastAsia="宋体" w:hAnsi="Arial" w:cs="Arial"/>
          <w:color w:val="0094FF"/>
          <w:sz w:val="18"/>
          <w:szCs w:val="18"/>
        </w:rPr>
        <w:t xml:space="preserve">. </w:t>
      </w:r>
      <w:r>
        <w:rPr>
          <w:rFonts w:ascii="Arial" w:eastAsia="宋体" w:hAnsi="Arial" w:cs="Arial"/>
          <w:color w:val="000000"/>
          <w:sz w:val="18"/>
          <w:szCs w:val="18"/>
        </w:rPr>
        <w:t>A wide range of stakeholders, including governments, customers, employees, and investors, are increasingly focused on and developing expectations regarding corporate responsibility matters such as sustainabilit</w:t>
      </w:r>
      <w:r>
        <w:rPr>
          <w:rFonts w:ascii="Arial" w:eastAsia="宋体" w:hAnsi="Arial" w:cs="Arial"/>
          <w:color w:val="000000"/>
          <w:sz w:val="18"/>
          <w:szCs w:val="18"/>
        </w:rPr>
        <w:t>y, human capital management, data privacy and cyber security, and human rights. This attention has resulted in a variety of required and voluntary reporting regimes that are not harmonized and continue to change. For example, governments around the world h</w:t>
      </w:r>
      <w:r>
        <w:rPr>
          <w:rFonts w:ascii="Arial" w:eastAsia="宋体" w:hAnsi="Arial" w:cs="Arial"/>
          <w:color w:val="000000"/>
          <w:sz w:val="18"/>
          <w:szCs w:val="18"/>
        </w:rPr>
        <w:t>ave enacted or are contemplating legislation and regulation that may impact how we conduct and/or report on our business by requiring the disclosure and tracking of certain greenhouse emissions and other climate and biodiversity information, and/or cyber s</w:t>
      </w:r>
      <w:r>
        <w:rPr>
          <w:rFonts w:ascii="Arial" w:eastAsia="宋体" w:hAnsi="Arial" w:cs="Arial"/>
          <w:color w:val="000000"/>
          <w:sz w:val="18"/>
          <w:szCs w:val="18"/>
        </w:rPr>
        <w:t>ecurity or human capital matters related to our business. Third-party groups and non-profit organizations, among others, have also established standards for rating, or frameworks for reporting, on corporate responsibility initiatives. In response to the ev</w:t>
      </w:r>
      <w:r>
        <w:rPr>
          <w:rFonts w:ascii="Arial" w:eastAsia="宋体" w:hAnsi="Arial" w:cs="Arial"/>
          <w:color w:val="000000"/>
          <w:sz w:val="18"/>
          <w:szCs w:val="18"/>
        </w:rPr>
        <w:t xml:space="preserve">olving stakeholder expectations and new or proposed standards, customers and investors have formalized and expanded their own corporate responsibility goals and expectations that may influence how they assess, invest in, or utilize other businesses. If we </w:t>
      </w:r>
      <w:r>
        <w:rPr>
          <w:rFonts w:ascii="Arial" w:eastAsia="宋体" w:hAnsi="Arial" w:cs="Arial"/>
          <w:color w:val="000000"/>
          <w:sz w:val="18"/>
          <w:szCs w:val="18"/>
        </w:rPr>
        <w:t>fail to set or achieve corporate responsibility initiatives that meet our stakeholders' expectations, that could negatively impact us. Our corporate responsibility initiatives, including our 2030 RISE strategy and related goals, could also expose us to hei</w:t>
      </w:r>
      <w:r>
        <w:rPr>
          <w:rFonts w:ascii="Arial" w:eastAsia="宋体" w:hAnsi="Arial" w:cs="Arial"/>
          <w:color w:val="000000"/>
          <w:sz w:val="18"/>
          <w:szCs w:val="18"/>
        </w:rPr>
        <w:t xml:space="preserve">ghtened scrutiny and numerous financial, legal, reputational, operational, compliance and other risks, including lost customer opportunities, that could negatively impact us. </w:t>
      </w:r>
    </w:p>
    <w:p w14:paraId="5A1B07F2" w14:textId="77777777" w:rsidR="00960BB8" w:rsidRDefault="00C06650">
      <w:pPr>
        <w:spacing w:after="180"/>
      </w:pPr>
      <w:r>
        <w:rPr>
          <w:rFonts w:ascii="Arial" w:eastAsia="宋体" w:hAnsi="Arial" w:cs="Arial"/>
          <w:color w:val="000000"/>
          <w:sz w:val="18"/>
          <w:szCs w:val="18"/>
        </w:rPr>
        <w:t>Our achievement of initiatives, aspirations, and goals related to corporate resp</w:t>
      </w:r>
      <w:r>
        <w:rPr>
          <w:rFonts w:ascii="Arial" w:eastAsia="宋体" w:hAnsi="Arial" w:cs="Arial"/>
          <w:color w:val="000000"/>
          <w:sz w:val="18"/>
          <w:szCs w:val="18"/>
        </w:rPr>
        <w:t>onsibility matters, including those related to sustainability, is not guaranteed and is subject to numerous conditions, risks, and expectations; standards, processes, and methodologies that are early in their advancement and continue to evolve; and science</w:t>
      </w:r>
      <w:r>
        <w:rPr>
          <w:rFonts w:ascii="Arial" w:eastAsia="宋体" w:hAnsi="Arial" w:cs="Arial"/>
          <w:color w:val="000000"/>
          <w:sz w:val="18"/>
          <w:szCs w:val="18"/>
        </w:rPr>
        <w:t xml:space="preserve"> for which development is ongoing. Our RISE strategy and related goals, and expectations about costs to achieve those goals, are based on current iterations of varied process and reporting frameworks, as well as management's current expectations regarding </w:t>
      </w:r>
      <w:r>
        <w:rPr>
          <w:rFonts w:ascii="Arial" w:eastAsia="宋体" w:hAnsi="Arial" w:cs="Arial"/>
          <w:color w:val="000000"/>
          <w:sz w:val="18"/>
          <w:szCs w:val="18"/>
        </w:rPr>
        <w:t>the availability, efficiency, development, and cost of particular technologies, consumer trends, and other assumptions, and changes in those items could negatively impact our ability to achieve those goals, or the cost of achieving them. From time to time,</w:t>
      </w:r>
      <w:r>
        <w:rPr>
          <w:rFonts w:ascii="Arial" w:eastAsia="宋体" w:hAnsi="Arial" w:cs="Arial"/>
          <w:color w:val="000000"/>
          <w:sz w:val="18"/>
          <w:szCs w:val="18"/>
        </w:rPr>
        <w:t xml:space="preserve"> we may change, expand, or reduce the standards to which we report or goals that we seek to meet. Our failure or inability to achieve such goals—or the perception by stakeholders of such failure or inability—may negatively affect our reputation or results </w:t>
      </w:r>
      <w:r>
        <w:rPr>
          <w:rFonts w:ascii="Arial" w:eastAsia="宋体" w:hAnsi="Arial" w:cs="Arial"/>
          <w:color w:val="000000"/>
          <w:sz w:val="18"/>
          <w:szCs w:val="18"/>
        </w:rPr>
        <w:t>of operations. Even if achieved, these matters may not result in some or all of the benefits anticipated at the time they were established.</w:t>
      </w:r>
    </w:p>
    <w:p w14:paraId="5A1B07F3" w14:textId="77777777" w:rsidR="00960BB8" w:rsidRDefault="00C06650">
      <w:pPr>
        <w:spacing w:after="180"/>
      </w:pPr>
      <w:r>
        <w:rPr>
          <w:rFonts w:ascii="Arial" w:eastAsia="宋体" w:hAnsi="Arial" w:cs="Arial"/>
          <w:color w:val="0068B5"/>
        </w:rPr>
        <w:t xml:space="preserve">The COVID-19 pandemic could materially adversely affect our financial condition and results of operations. </w:t>
      </w:r>
    </w:p>
    <w:p w14:paraId="5A1B07F4" w14:textId="77777777" w:rsidR="00960BB8" w:rsidRDefault="00C06650">
      <w:pPr>
        <w:spacing w:after="180"/>
      </w:pPr>
      <w:r>
        <w:rPr>
          <w:rFonts w:ascii="Arial" w:eastAsia="宋体" w:hAnsi="Arial" w:cs="Arial"/>
          <w:color w:val="262626"/>
          <w:sz w:val="18"/>
          <w:szCs w:val="18"/>
        </w:rPr>
        <w:t xml:space="preserve">The </w:t>
      </w:r>
      <w:r>
        <w:rPr>
          <w:rFonts w:ascii="Arial" w:eastAsia="宋体" w:hAnsi="Arial" w:cs="Arial"/>
          <w:color w:val="262626"/>
          <w:sz w:val="18"/>
          <w:szCs w:val="18"/>
        </w:rPr>
        <w:t>COVID-19 pandemic has previously adversely affected significant portions of our business and could have a material adverse effect on our financial condition and results of operations. Authorities in jurisdictions where we operate, or in which our suppliers</w:t>
      </w:r>
      <w:r>
        <w:rPr>
          <w:rFonts w:ascii="Arial" w:eastAsia="宋体" w:hAnsi="Arial" w:cs="Arial"/>
          <w:color w:val="262626"/>
          <w:sz w:val="18"/>
          <w:szCs w:val="18"/>
        </w:rPr>
        <w:t>, customers, or others operate, have imposed, and businesses and individuals have implemented</w:t>
      </w:r>
      <w:r>
        <w:rPr>
          <w:rFonts w:ascii="sans-serif" w:eastAsia="宋体" w:hAnsi="sans-serif" w:cs="sans-serif"/>
          <w:color w:val="262626"/>
          <w:sz w:val="18"/>
          <w:szCs w:val="18"/>
        </w:rPr>
        <w:t>,</w:t>
      </w:r>
      <w:r>
        <w:rPr>
          <w:rFonts w:ascii="Arial" w:eastAsia="宋体" w:hAnsi="Arial" w:cs="Arial"/>
          <w:color w:val="262626"/>
          <w:sz w:val="18"/>
          <w:szCs w:val="18"/>
        </w:rPr>
        <w:t xml:space="preserve"> varied measures to try to manage or contain the virus or treat its impact, such as travel bans and restrictions, quarantines, shelter</w:t>
      </w:r>
      <w:r>
        <w:rPr>
          <w:rFonts w:ascii="sans-serif" w:eastAsia="宋体" w:hAnsi="sans-serif" w:cs="sans-serif"/>
          <w:color w:val="262626"/>
          <w:sz w:val="18"/>
          <w:szCs w:val="18"/>
        </w:rPr>
        <w:t>-</w:t>
      </w:r>
      <w:r>
        <w:rPr>
          <w:rFonts w:ascii="Arial" w:eastAsia="宋体" w:hAnsi="Arial" w:cs="Arial"/>
          <w:color w:val="262626"/>
          <w:sz w:val="18"/>
          <w:szCs w:val="18"/>
        </w:rPr>
        <w:t>in</w:t>
      </w:r>
      <w:r>
        <w:rPr>
          <w:rFonts w:ascii="sans-serif" w:eastAsia="宋体" w:hAnsi="sans-serif" w:cs="sans-serif"/>
          <w:color w:val="262626"/>
          <w:sz w:val="18"/>
          <w:szCs w:val="18"/>
        </w:rPr>
        <w:t>-</w:t>
      </w:r>
      <w:r>
        <w:rPr>
          <w:rFonts w:ascii="Arial" w:eastAsia="宋体" w:hAnsi="Arial" w:cs="Arial"/>
          <w:color w:val="262626"/>
          <w:sz w:val="18"/>
          <w:szCs w:val="18"/>
        </w:rPr>
        <w:t>place/stay-at-home and s</w:t>
      </w:r>
      <w:r>
        <w:rPr>
          <w:rFonts w:ascii="Arial" w:eastAsia="宋体" w:hAnsi="Arial" w:cs="Arial"/>
          <w:color w:val="262626"/>
          <w:sz w:val="18"/>
          <w:szCs w:val="18"/>
        </w:rPr>
        <w:t>ocial distancing orders, shutdowns, and vaccine requirements. These measures have impacted and may further impact our workforce and operations, the operations and demands of our customers, and those of our respective suppliers and partners. We have experie</w:t>
      </w:r>
      <w:r>
        <w:rPr>
          <w:rFonts w:ascii="Arial" w:eastAsia="宋体" w:hAnsi="Arial" w:cs="Arial"/>
          <w:color w:val="262626"/>
          <w:sz w:val="18"/>
          <w:szCs w:val="18"/>
        </w:rPr>
        <w:t>nced, and could in the future experience, reduced workforce availability at some of our sites, construction delays, and reduced capacity at some of our suppliers. We have significant manufacturing operations in the US, Ireland, Israel, China, Malaysia, and</w:t>
      </w:r>
      <w:r>
        <w:rPr>
          <w:rFonts w:ascii="Arial" w:eastAsia="宋体" w:hAnsi="Arial" w:cs="Arial"/>
          <w:color w:val="262626"/>
          <w:sz w:val="18"/>
          <w:szCs w:val="18"/>
        </w:rPr>
        <w:t xml:space="preserve"> Vietnam, and some of these countries </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7FE" w14:textId="77777777">
        <w:tc>
          <w:tcPr>
            <w:tcW w:w="50" w:type="pct"/>
            <w:shd w:val="clear" w:color="auto" w:fill="auto"/>
            <w:vAlign w:val="bottom"/>
          </w:tcPr>
          <w:p w14:paraId="5A1B07F5" w14:textId="77777777" w:rsidR="00960BB8" w:rsidRDefault="00960BB8">
            <w:pPr>
              <w:rPr>
                <w:rFonts w:ascii="宋体"/>
              </w:rPr>
            </w:pPr>
          </w:p>
        </w:tc>
        <w:tc>
          <w:tcPr>
            <w:tcW w:w="283" w:type="pct"/>
            <w:shd w:val="clear" w:color="auto" w:fill="auto"/>
            <w:vAlign w:val="bottom"/>
          </w:tcPr>
          <w:p w14:paraId="5A1B07F6" w14:textId="77777777" w:rsidR="00960BB8" w:rsidRDefault="00960BB8">
            <w:pPr>
              <w:rPr>
                <w:rFonts w:ascii="宋体"/>
              </w:rPr>
            </w:pPr>
          </w:p>
        </w:tc>
        <w:tc>
          <w:tcPr>
            <w:tcW w:w="5" w:type="pct"/>
            <w:shd w:val="clear" w:color="auto" w:fill="auto"/>
            <w:vAlign w:val="bottom"/>
          </w:tcPr>
          <w:p w14:paraId="5A1B07F7" w14:textId="77777777" w:rsidR="00960BB8" w:rsidRDefault="00960BB8">
            <w:pPr>
              <w:rPr>
                <w:rFonts w:ascii="宋体"/>
              </w:rPr>
            </w:pPr>
          </w:p>
        </w:tc>
        <w:tc>
          <w:tcPr>
            <w:tcW w:w="50" w:type="pct"/>
            <w:shd w:val="clear" w:color="auto" w:fill="auto"/>
            <w:vAlign w:val="bottom"/>
          </w:tcPr>
          <w:p w14:paraId="5A1B07F8" w14:textId="77777777" w:rsidR="00960BB8" w:rsidRDefault="00960BB8">
            <w:pPr>
              <w:rPr>
                <w:rFonts w:ascii="宋体"/>
              </w:rPr>
            </w:pPr>
          </w:p>
        </w:tc>
        <w:tc>
          <w:tcPr>
            <w:tcW w:w="2656" w:type="pct"/>
            <w:shd w:val="clear" w:color="auto" w:fill="auto"/>
            <w:vAlign w:val="bottom"/>
          </w:tcPr>
          <w:p w14:paraId="5A1B07F9" w14:textId="77777777" w:rsidR="00960BB8" w:rsidRDefault="00960BB8">
            <w:pPr>
              <w:rPr>
                <w:rFonts w:ascii="宋体"/>
              </w:rPr>
            </w:pPr>
          </w:p>
        </w:tc>
        <w:tc>
          <w:tcPr>
            <w:tcW w:w="5" w:type="pct"/>
            <w:shd w:val="clear" w:color="auto" w:fill="auto"/>
            <w:vAlign w:val="bottom"/>
          </w:tcPr>
          <w:p w14:paraId="5A1B07FA" w14:textId="77777777" w:rsidR="00960BB8" w:rsidRDefault="00960BB8">
            <w:pPr>
              <w:rPr>
                <w:rFonts w:ascii="宋体"/>
              </w:rPr>
            </w:pPr>
          </w:p>
        </w:tc>
        <w:tc>
          <w:tcPr>
            <w:tcW w:w="50" w:type="pct"/>
            <w:shd w:val="clear" w:color="auto" w:fill="auto"/>
            <w:vAlign w:val="bottom"/>
          </w:tcPr>
          <w:p w14:paraId="5A1B07FB" w14:textId="77777777" w:rsidR="00960BB8" w:rsidRDefault="00960BB8">
            <w:pPr>
              <w:rPr>
                <w:rFonts w:ascii="宋体"/>
              </w:rPr>
            </w:pPr>
          </w:p>
        </w:tc>
        <w:tc>
          <w:tcPr>
            <w:tcW w:w="1894" w:type="pct"/>
            <w:shd w:val="clear" w:color="auto" w:fill="auto"/>
            <w:vAlign w:val="bottom"/>
          </w:tcPr>
          <w:p w14:paraId="5A1B07FC" w14:textId="77777777" w:rsidR="00960BB8" w:rsidRDefault="00960BB8">
            <w:pPr>
              <w:rPr>
                <w:rFonts w:ascii="宋体"/>
              </w:rPr>
            </w:pPr>
          </w:p>
        </w:tc>
        <w:tc>
          <w:tcPr>
            <w:tcW w:w="5" w:type="pct"/>
            <w:shd w:val="clear" w:color="auto" w:fill="auto"/>
            <w:vAlign w:val="bottom"/>
          </w:tcPr>
          <w:p w14:paraId="5A1B07FD" w14:textId="77777777" w:rsidR="00960BB8" w:rsidRDefault="00960BB8">
            <w:pPr>
              <w:rPr>
                <w:rFonts w:ascii="宋体"/>
              </w:rPr>
            </w:pPr>
          </w:p>
        </w:tc>
      </w:tr>
      <w:tr w:rsidR="00960BB8" w14:paraId="5A1B080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7FF"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31" wp14:editId="5A1B4432">
                  <wp:extent cx="304800" cy="304800"/>
                  <wp:effectExtent l="0" t="0" r="0" b="0"/>
                  <wp:docPr id="7" name="图片 20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00"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01" w14:textId="77777777" w:rsidR="00960BB8" w:rsidRDefault="00C06650">
            <w:pPr>
              <w:jc w:val="right"/>
              <w:textAlignment w:val="center"/>
            </w:pPr>
            <w:r>
              <w:rPr>
                <w:rFonts w:ascii="Arial" w:eastAsia="宋体" w:hAnsi="Arial" w:cs="Arial"/>
                <w:color w:val="262626"/>
                <w:sz w:val="16"/>
                <w:szCs w:val="16"/>
              </w:rPr>
              <w:t>59</w:t>
            </w:r>
          </w:p>
        </w:tc>
      </w:tr>
    </w:tbl>
    <w:p w14:paraId="5A1B0803" w14:textId="77777777" w:rsidR="00960BB8" w:rsidRDefault="00C06650">
      <w:r>
        <w:pict w14:anchorId="5A1B4433">
          <v:rect id="_x0000_i1085" style="width:415.3pt;height:1.5pt" o:hralign="center" o:hrstd="t" o:hr="t" fillcolor="#a0a0a0" stroked="f"/>
        </w:pict>
      </w:r>
    </w:p>
    <w:p w14:paraId="5A1B0804" w14:textId="77777777" w:rsidR="00960BB8" w:rsidRDefault="00C06650">
      <w:pPr>
        <w:jc w:val="right"/>
      </w:pPr>
      <w:hyperlink r:id="rId78" w:anchor="i8aaa7b4dbd2e419ca0f5c30af85a11aa_16" w:history="1">
        <w:r>
          <w:rPr>
            <w:rStyle w:val="a5"/>
            <w:rFonts w:ascii="Arial" w:eastAsia="宋体" w:hAnsi="Arial" w:cs="Arial"/>
            <w:b/>
            <w:bCs/>
            <w:sz w:val="16"/>
            <w:szCs w:val="16"/>
          </w:rPr>
          <w:t>Table of Contents</w:t>
        </w:r>
      </w:hyperlink>
    </w:p>
    <w:p w14:paraId="5A1B0805" w14:textId="77777777" w:rsidR="00960BB8" w:rsidRDefault="00960BB8">
      <w:pPr>
        <w:jc w:val="right"/>
      </w:pPr>
    </w:p>
    <w:p w14:paraId="5A1B0806" w14:textId="77777777" w:rsidR="00960BB8" w:rsidRDefault="00C06650">
      <w:pPr>
        <w:spacing w:after="180"/>
      </w:pPr>
      <w:r>
        <w:rPr>
          <w:rFonts w:ascii="Arial" w:eastAsia="宋体" w:hAnsi="Arial" w:cs="Arial"/>
          <w:color w:val="262626"/>
          <w:sz w:val="18"/>
          <w:szCs w:val="18"/>
        </w:rPr>
        <w:t>continue to take measures in response to the pandemic. Restrictions on our manufacturing or support operations or workforce, similar limitations for our suppliers, and transportation restrictions or disruptions can limit our ability to meet customer demand</w:t>
      </w:r>
      <w:r>
        <w:rPr>
          <w:rFonts w:ascii="Arial" w:eastAsia="宋体" w:hAnsi="Arial" w:cs="Arial"/>
          <w:color w:val="262626"/>
          <w:sz w:val="18"/>
          <w:szCs w:val="18"/>
        </w:rPr>
        <w:t xml:space="preserve"> and could have a material adverse effect on our financial condition and results of operations. Our customers have experienced, and may in the future experience, disruptions in their operations and supply chains, which can result in delayed, reduced, or ca</w:t>
      </w:r>
      <w:r>
        <w:rPr>
          <w:rFonts w:ascii="Arial" w:eastAsia="宋体" w:hAnsi="Arial" w:cs="Arial"/>
          <w:color w:val="262626"/>
          <w:sz w:val="18"/>
          <w:szCs w:val="18"/>
        </w:rPr>
        <w:t xml:space="preserve">ncelled orders, or collection risks, and which may adversely affect our results of operations. </w:t>
      </w:r>
    </w:p>
    <w:p w14:paraId="5A1B0807" w14:textId="77777777" w:rsidR="00960BB8" w:rsidRDefault="00C06650">
      <w:pPr>
        <w:spacing w:after="180"/>
      </w:pPr>
      <w:r>
        <w:rPr>
          <w:rFonts w:ascii="Arial" w:eastAsia="宋体" w:hAnsi="Arial" w:cs="Arial"/>
          <w:color w:val="262626"/>
          <w:sz w:val="18"/>
          <w:szCs w:val="18"/>
        </w:rPr>
        <w:t>The pandemic has caused us to modify our business practices, including with respect to flexible work and social distancing measures. These and other measures in</w:t>
      </w:r>
      <w:r>
        <w:rPr>
          <w:rFonts w:ascii="Arial" w:eastAsia="宋体" w:hAnsi="Arial" w:cs="Arial"/>
          <w:color w:val="262626"/>
          <w:sz w:val="18"/>
          <w:szCs w:val="18"/>
        </w:rPr>
        <w:t>troduce additional operational risks, including cybersecurity risks, and have affected the way we conduct our product development, validation, and qualification; customer support; and other activities, which could have a material adverse effect on our oper</w:t>
      </w:r>
      <w:r>
        <w:rPr>
          <w:rFonts w:ascii="Arial" w:eastAsia="宋体" w:hAnsi="Arial" w:cs="Arial"/>
          <w:color w:val="262626"/>
          <w:sz w:val="18"/>
          <w:szCs w:val="18"/>
        </w:rPr>
        <w:t xml:space="preserve">ations. The pandemic has also previously resulted in substantial economic uncertainty and volatility and disrupted historical patterns related to demand for our products and services that may impact our ability to accurately predict future demand, trends, </w:t>
      </w:r>
      <w:r>
        <w:rPr>
          <w:rFonts w:ascii="Arial" w:eastAsia="宋体" w:hAnsi="Arial" w:cs="Arial"/>
          <w:color w:val="262626"/>
          <w:sz w:val="18"/>
          <w:szCs w:val="18"/>
        </w:rPr>
        <w:t>or other matters that may impact our financial performance. The degree to which COVID-19 impacts our results will depend on future developments, and there is no certainty that measures we have taken or will take will be sufficient to mitigate the risks pos</w:t>
      </w:r>
      <w:r>
        <w:rPr>
          <w:rFonts w:ascii="Arial" w:eastAsia="宋体" w:hAnsi="Arial" w:cs="Arial"/>
          <w:color w:val="262626"/>
          <w:sz w:val="18"/>
          <w:szCs w:val="18"/>
        </w:rPr>
        <w:t>ed by the virus. Additional impacts and risks may arise that we or our customers, suppliers, and other partners are not aware of or able to respond to effectively, and which may adversely affect us. The impact of COVID-19 can also exacerbate other risks di</w:t>
      </w:r>
      <w:r>
        <w:rPr>
          <w:rFonts w:ascii="Arial" w:eastAsia="宋体" w:hAnsi="Arial" w:cs="Arial"/>
          <w:color w:val="262626"/>
          <w:sz w:val="18"/>
          <w:szCs w:val="18"/>
        </w:rPr>
        <w:t>scussed in these risk factors and throughout this report.</w:t>
      </w:r>
    </w:p>
    <w:p w14:paraId="5A1B0808" w14:textId="77777777" w:rsidR="00960BB8" w:rsidRDefault="00C06650">
      <w:pPr>
        <w:spacing w:after="180"/>
      </w:pPr>
      <w:r>
        <w:rPr>
          <w:rFonts w:ascii="Arial" w:eastAsia="宋体" w:hAnsi="Arial" w:cs="Arial"/>
          <w:color w:val="0068B5"/>
        </w:rPr>
        <w:t>We operate globally and are subject to significant risks in many jurisdictions.</w:t>
      </w:r>
    </w:p>
    <w:p w14:paraId="5A1B0809" w14:textId="77777777" w:rsidR="00960BB8" w:rsidRDefault="00C06650">
      <w:pPr>
        <w:spacing w:after="180"/>
      </w:pPr>
      <w:r>
        <w:rPr>
          <w:rFonts w:ascii="Arial" w:eastAsia="宋体" w:hAnsi="Arial" w:cs="Arial"/>
          <w:color w:val="0068B5"/>
          <w:sz w:val="18"/>
          <w:szCs w:val="18"/>
        </w:rPr>
        <w:t>Global or regional conditions can harm our financial results.</w:t>
      </w:r>
      <w:r>
        <w:rPr>
          <w:rFonts w:ascii="Arial" w:eastAsia="宋体" w:hAnsi="Arial" w:cs="Arial"/>
          <w:color w:val="0071C5"/>
          <w:sz w:val="18"/>
          <w:szCs w:val="18"/>
        </w:rPr>
        <w:t xml:space="preserve"> </w:t>
      </w:r>
      <w:r>
        <w:rPr>
          <w:rFonts w:ascii="Arial" w:eastAsia="宋体" w:hAnsi="Arial" w:cs="Arial"/>
          <w:color w:val="262626"/>
          <w:sz w:val="18"/>
          <w:szCs w:val="18"/>
        </w:rPr>
        <w:t>We have manufacturing, assembly and test, R&amp;D, sales, an</w:t>
      </w:r>
      <w:r>
        <w:rPr>
          <w:rFonts w:ascii="Arial" w:eastAsia="宋体" w:hAnsi="Arial" w:cs="Arial"/>
          <w:color w:val="262626"/>
          <w:sz w:val="18"/>
          <w:szCs w:val="18"/>
        </w:rPr>
        <w:t>d other operations in many countries, and some of our business activities are concentrated in one or more geographic areas. Moreover, sales outside the US accounted for 74% of our revenue for the fiscal year ended December 31, 2022, with revenue from billi</w:t>
      </w:r>
      <w:r>
        <w:rPr>
          <w:rFonts w:ascii="Arial" w:eastAsia="宋体" w:hAnsi="Arial" w:cs="Arial"/>
          <w:color w:val="262626"/>
          <w:sz w:val="18"/>
          <w:szCs w:val="18"/>
        </w:rPr>
        <w:t>ngs to China contributing 27% of our total revenue. As a result, our operations and our financial results, including our ability to execute our business strategy, manufacture, assemble and test, design, develop, or sell products, and the demand for our pro</w:t>
      </w:r>
      <w:r>
        <w:rPr>
          <w:rFonts w:ascii="Arial" w:eastAsia="宋体" w:hAnsi="Arial" w:cs="Arial"/>
          <w:color w:val="262626"/>
          <w:sz w:val="18"/>
          <w:szCs w:val="18"/>
        </w:rPr>
        <w:t>ducts, are at times adversely affected by a number of global and regional factors outside of our control.</w:t>
      </w:r>
    </w:p>
    <w:p w14:paraId="5A1B080A" w14:textId="77777777" w:rsidR="00960BB8" w:rsidRDefault="00C06650">
      <w:pPr>
        <w:spacing w:after="180"/>
      </w:pPr>
      <w:r>
        <w:rPr>
          <w:rFonts w:ascii="Arial" w:eastAsia="宋体" w:hAnsi="Arial" w:cs="Arial"/>
          <w:color w:val="262626"/>
          <w:sz w:val="18"/>
          <w:szCs w:val="18"/>
        </w:rPr>
        <w:t>Adverse changes in global or regional economic conditions periodically occur, including recession or slowing growth; changes or uncertainty in fiscal,</w:t>
      </w:r>
      <w:r>
        <w:rPr>
          <w:rFonts w:ascii="Arial" w:eastAsia="宋体" w:hAnsi="Arial" w:cs="Arial"/>
          <w:color w:val="262626"/>
          <w:sz w:val="18"/>
          <w:szCs w:val="18"/>
        </w:rPr>
        <w:t xml:space="preserve"> monetary, or trade policy; higher interest rates; tighter credit; inflation; lower capital expenditures by businesses, including on IT infrastructure; increases in unemployment; and lower consumer confidence and spending. Adverse changes in economic condi</w:t>
      </w:r>
      <w:r>
        <w:rPr>
          <w:rFonts w:ascii="Arial" w:eastAsia="宋体" w:hAnsi="Arial" w:cs="Arial"/>
          <w:color w:val="262626"/>
          <w:sz w:val="18"/>
          <w:szCs w:val="18"/>
        </w:rPr>
        <w:t>tions can significantly harm demand for our products and make it more challenging to forecast our operating results and make business decisions, including regarding prioritization of investments in our business. An economic downturn or increased uncertaint</w:t>
      </w:r>
      <w:r>
        <w:rPr>
          <w:rFonts w:ascii="Arial" w:eastAsia="宋体" w:hAnsi="Arial" w:cs="Arial"/>
          <w:color w:val="262626"/>
          <w:sz w:val="18"/>
          <w:szCs w:val="18"/>
        </w:rPr>
        <w:t>y may also lead to increased credit and collectability risks, higher borrowing costs or reduced availability of capital and credit markets, reduced liquidity, adverse impacts on our suppliers, failures of counterparties including financial institutions and</w:t>
      </w:r>
      <w:r>
        <w:rPr>
          <w:rFonts w:ascii="Arial" w:eastAsia="宋体" w:hAnsi="Arial" w:cs="Arial"/>
          <w:color w:val="262626"/>
          <w:sz w:val="18"/>
          <w:szCs w:val="18"/>
        </w:rPr>
        <w:t xml:space="preserve"> insurers, asset impairments, and declines in the value of our financial instruments. </w:t>
      </w:r>
    </w:p>
    <w:p w14:paraId="5A1B080B" w14:textId="77777777" w:rsidR="00960BB8" w:rsidRDefault="00C06650">
      <w:pPr>
        <w:spacing w:after="180"/>
      </w:pPr>
      <w:r>
        <w:rPr>
          <w:rFonts w:ascii="Arial" w:eastAsia="宋体" w:hAnsi="Arial" w:cs="Arial"/>
          <w:color w:val="262626"/>
          <w:sz w:val="18"/>
          <w:szCs w:val="18"/>
        </w:rPr>
        <w:t>We can be adversely affected by other global and regional factors that periodically occur, including:</w:t>
      </w:r>
    </w:p>
    <w:p w14:paraId="5A1B080C"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geopolitical and security issues, such as armed conflict and civil</w:t>
      </w:r>
      <w:r>
        <w:rPr>
          <w:rFonts w:ascii="Arial" w:eastAsia="宋体" w:hAnsi="Arial" w:cs="Arial"/>
          <w:color w:val="262626"/>
          <w:sz w:val="18"/>
          <w:szCs w:val="18"/>
        </w:rPr>
        <w:t xml:space="preserve"> or military unrest, political instability, human rights concerns, and terrorist activity, including, for example, geopolitical tensions and conflict affecting Israel, where our Mobileye business headquarters and certain of our fabrication facilities are l</w:t>
      </w:r>
      <w:r>
        <w:rPr>
          <w:rFonts w:ascii="Arial" w:eastAsia="宋体" w:hAnsi="Arial" w:cs="Arial"/>
          <w:color w:val="262626"/>
          <w:sz w:val="18"/>
          <w:szCs w:val="18"/>
        </w:rPr>
        <w:t>ocated;</w:t>
      </w:r>
    </w:p>
    <w:p w14:paraId="5A1B080D"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natural disasters, public health issues (including pandemics), and other catastrophic events;</w:t>
      </w:r>
    </w:p>
    <w:p w14:paraId="5A1B080E"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inefficient infrastructure and other disruptions, such as supply chain interruptions, materials shortages or delays, and large-scale outages or </w:t>
      </w:r>
      <w:r>
        <w:rPr>
          <w:rFonts w:ascii="Arial" w:eastAsia="宋体" w:hAnsi="Arial" w:cs="Arial"/>
          <w:color w:val="262626"/>
          <w:sz w:val="18"/>
          <w:szCs w:val="18"/>
        </w:rPr>
        <w:t>unreliable provision of services from utilities, transportation, data hosting, or telecommunications providers;</w:t>
      </w:r>
    </w:p>
    <w:p w14:paraId="5A1B080F"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formal or informal imposition of new or revised export, import, or doing-business regulations, including trade sanctions, tariffs, and changes </w:t>
      </w:r>
      <w:r>
        <w:rPr>
          <w:rFonts w:ascii="Arial" w:eastAsia="宋体" w:hAnsi="Arial" w:cs="Arial"/>
          <w:color w:val="262626"/>
          <w:sz w:val="18"/>
          <w:szCs w:val="18"/>
        </w:rPr>
        <w:t>in the ability to obtain export licenses, which could be changed without notice;</w:t>
      </w:r>
    </w:p>
    <w:p w14:paraId="5A1B0810"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government restrictions on, or nationalization of, our operations in any country, or restrictions on our ability to repatriate earnings from or distribute compensation or oth</w:t>
      </w:r>
      <w:r>
        <w:rPr>
          <w:rFonts w:ascii="Arial" w:eastAsia="宋体" w:hAnsi="Arial" w:cs="Arial"/>
          <w:color w:val="262626"/>
          <w:sz w:val="18"/>
          <w:szCs w:val="18"/>
        </w:rPr>
        <w:t>er funds in a particular country;</w:t>
      </w:r>
    </w:p>
    <w:p w14:paraId="5A1B0811"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adverse changes relating to government grants, tax credits, or other government incentives, including more favorable incentives provided to competitors;</w:t>
      </w:r>
    </w:p>
    <w:p w14:paraId="5A1B0812"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differing employment practices and labor issues, including restrict</w:t>
      </w:r>
      <w:r>
        <w:rPr>
          <w:rFonts w:ascii="Arial" w:eastAsia="宋体" w:hAnsi="Arial" w:cs="Arial"/>
          <w:color w:val="262626"/>
          <w:sz w:val="18"/>
          <w:szCs w:val="18"/>
        </w:rPr>
        <w:t>ed access to talent;</w:t>
      </w:r>
    </w:p>
    <w:p w14:paraId="5A1B0813"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ineffective legal protection of our IP rights in certain countries;</w:t>
      </w:r>
    </w:p>
    <w:p w14:paraId="5A1B0814"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local business and cultural factors that differ from our current standards and practices;</w:t>
      </w:r>
    </w:p>
    <w:p w14:paraId="5A1B0815"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continuing uncertainty regarding social, political, </w:t>
      </w:r>
      <w:r>
        <w:rPr>
          <w:rFonts w:ascii="Arial" w:eastAsia="宋体" w:hAnsi="Arial" w:cs="Arial"/>
          <w:color w:val="262626"/>
          <w:sz w:val="18"/>
          <w:szCs w:val="18"/>
        </w:rPr>
        <w:t>immigration, and tax and trade policies in the US and abroad; and</w:t>
      </w:r>
    </w:p>
    <w:p w14:paraId="5A1B0816"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fluctuations in the market values of our domestic and international investments, and in the capital and credit markets, which can be negatively affected by liquidity, credit deterioration o</w:t>
      </w:r>
      <w:r>
        <w:rPr>
          <w:rFonts w:ascii="Arial" w:eastAsia="宋体" w:hAnsi="Arial" w:cs="Arial"/>
          <w:color w:val="262626"/>
          <w:sz w:val="18"/>
          <w:szCs w:val="18"/>
        </w:rPr>
        <w:t>r losses, interest rate changes, financial results, political risk, sovereign risk, or other factors.</w:t>
      </w:r>
    </w:p>
    <w:p w14:paraId="5A1B0817" w14:textId="77777777" w:rsidR="00960BB8" w:rsidRDefault="00C06650">
      <w:pPr>
        <w:spacing w:after="180"/>
      </w:pPr>
      <w:r>
        <w:rPr>
          <w:rFonts w:ascii="Arial" w:eastAsia="宋体" w:hAnsi="Arial" w:cs="Arial"/>
          <w:color w:val="262626"/>
          <w:sz w:val="18"/>
          <w:szCs w:val="18"/>
        </w:rPr>
        <w:t>For example, in 2022, in response to Russia’s war with Ukraine, numerous countries and organizations have imposed financial and other sanctions and export</w:t>
      </w:r>
      <w:r>
        <w:rPr>
          <w:rFonts w:ascii="Arial" w:eastAsia="宋体" w:hAnsi="Arial" w:cs="Arial"/>
          <w:color w:val="262626"/>
          <w:sz w:val="18"/>
          <w:szCs w:val="18"/>
        </w:rPr>
        <w:t xml:space="preserve"> controls against Russia and Belarus, while businesses, including Intel, have limited or suspended Russian operations. Russia has likewise imposed currency restrictions and regulations and may further take retaliatory trade or other actions, including the </w:t>
      </w:r>
      <w:r>
        <w:rPr>
          <w:rFonts w:ascii="Arial" w:eastAsia="宋体" w:hAnsi="Arial" w:cs="Arial"/>
          <w:color w:val="262626"/>
          <w:sz w:val="18"/>
          <w:szCs w:val="18"/>
        </w:rPr>
        <w:t>nationalization of foreign businesses. These and other actions have exposed the company to the risks described herein and to additional uncertainty and risks regarding increases to supply, commodity, and other costs, damage to our reputation, and cyberatta</w:t>
      </w:r>
      <w:r>
        <w:rPr>
          <w:rFonts w:ascii="Arial" w:eastAsia="宋体" w:hAnsi="Arial" w:cs="Arial"/>
          <w:color w:val="262626"/>
          <w:sz w:val="18"/>
          <w:szCs w:val="18"/>
        </w:rPr>
        <w:t>cks; and may increase the likelihood, or amplify the impacts, of other risks, including those highlighted in these risk factors and throughout this report.</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821" w14:textId="77777777">
        <w:tc>
          <w:tcPr>
            <w:tcW w:w="50" w:type="pct"/>
            <w:shd w:val="clear" w:color="auto" w:fill="auto"/>
            <w:vAlign w:val="bottom"/>
          </w:tcPr>
          <w:p w14:paraId="5A1B0818" w14:textId="77777777" w:rsidR="00960BB8" w:rsidRDefault="00960BB8">
            <w:pPr>
              <w:rPr>
                <w:rFonts w:ascii="宋体"/>
              </w:rPr>
            </w:pPr>
          </w:p>
        </w:tc>
        <w:tc>
          <w:tcPr>
            <w:tcW w:w="283" w:type="pct"/>
            <w:shd w:val="clear" w:color="auto" w:fill="auto"/>
            <w:vAlign w:val="bottom"/>
          </w:tcPr>
          <w:p w14:paraId="5A1B0819" w14:textId="77777777" w:rsidR="00960BB8" w:rsidRDefault="00960BB8">
            <w:pPr>
              <w:rPr>
                <w:rFonts w:ascii="宋体"/>
              </w:rPr>
            </w:pPr>
          </w:p>
        </w:tc>
        <w:tc>
          <w:tcPr>
            <w:tcW w:w="5" w:type="pct"/>
            <w:shd w:val="clear" w:color="auto" w:fill="auto"/>
            <w:vAlign w:val="bottom"/>
          </w:tcPr>
          <w:p w14:paraId="5A1B081A" w14:textId="77777777" w:rsidR="00960BB8" w:rsidRDefault="00960BB8">
            <w:pPr>
              <w:rPr>
                <w:rFonts w:ascii="宋体"/>
              </w:rPr>
            </w:pPr>
          </w:p>
        </w:tc>
        <w:tc>
          <w:tcPr>
            <w:tcW w:w="50" w:type="pct"/>
            <w:shd w:val="clear" w:color="auto" w:fill="auto"/>
            <w:vAlign w:val="bottom"/>
          </w:tcPr>
          <w:p w14:paraId="5A1B081B" w14:textId="77777777" w:rsidR="00960BB8" w:rsidRDefault="00960BB8">
            <w:pPr>
              <w:rPr>
                <w:rFonts w:ascii="宋体"/>
              </w:rPr>
            </w:pPr>
          </w:p>
        </w:tc>
        <w:tc>
          <w:tcPr>
            <w:tcW w:w="2656" w:type="pct"/>
            <w:shd w:val="clear" w:color="auto" w:fill="auto"/>
            <w:vAlign w:val="bottom"/>
          </w:tcPr>
          <w:p w14:paraId="5A1B081C" w14:textId="77777777" w:rsidR="00960BB8" w:rsidRDefault="00960BB8">
            <w:pPr>
              <w:rPr>
                <w:rFonts w:ascii="宋体"/>
              </w:rPr>
            </w:pPr>
          </w:p>
        </w:tc>
        <w:tc>
          <w:tcPr>
            <w:tcW w:w="5" w:type="pct"/>
            <w:shd w:val="clear" w:color="auto" w:fill="auto"/>
            <w:vAlign w:val="bottom"/>
          </w:tcPr>
          <w:p w14:paraId="5A1B081D" w14:textId="77777777" w:rsidR="00960BB8" w:rsidRDefault="00960BB8">
            <w:pPr>
              <w:rPr>
                <w:rFonts w:ascii="宋体"/>
              </w:rPr>
            </w:pPr>
          </w:p>
        </w:tc>
        <w:tc>
          <w:tcPr>
            <w:tcW w:w="50" w:type="pct"/>
            <w:shd w:val="clear" w:color="auto" w:fill="auto"/>
            <w:vAlign w:val="bottom"/>
          </w:tcPr>
          <w:p w14:paraId="5A1B081E" w14:textId="77777777" w:rsidR="00960BB8" w:rsidRDefault="00960BB8">
            <w:pPr>
              <w:rPr>
                <w:rFonts w:ascii="宋体"/>
              </w:rPr>
            </w:pPr>
          </w:p>
        </w:tc>
        <w:tc>
          <w:tcPr>
            <w:tcW w:w="1894" w:type="pct"/>
            <w:shd w:val="clear" w:color="auto" w:fill="auto"/>
            <w:vAlign w:val="bottom"/>
          </w:tcPr>
          <w:p w14:paraId="5A1B081F" w14:textId="77777777" w:rsidR="00960BB8" w:rsidRDefault="00960BB8">
            <w:pPr>
              <w:rPr>
                <w:rFonts w:ascii="宋体"/>
              </w:rPr>
            </w:pPr>
          </w:p>
        </w:tc>
        <w:tc>
          <w:tcPr>
            <w:tcW w:w="5" w:type="pct"/>
            <w:shd w:val="clear" w:color="auto" w:fill="auto"/>
            <w:vAlign w:val="bottom"/>
          </w:tcPr>
          <w:p w14:paraId="5A1B0820" w14:textId="77777777" w:rsidR="00960BB8" w:rsidRDefault="00960BB8">
            <w:pPr>
              <w:rPr>
                <w:rFonts w:ascii="宋体"/>
              </w:rPr>
            </w:pPr>
          </w:p>
        </w:tc>
      </w:tr>
      <w:tr w:rsidR="00960BB8" w14:paraId="5A1B082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822"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34" wp14:editId="5A1B4435">
                  <wp:extent cx="304800" cy="304800"/>
                  <wp:effectExtent l="0" t="0" r="0" b="0"/>
                  <wp:docPr id="3" name="图片 20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8"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23"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24" w14:textId="77777777" w:rsidR="00960BB8" w:rsidRDefault="00C06650">
            <w:pPr>
              <w:jc w:val="right"/>
              <w:textAlignment w:val="center"/>
            </w:pPr>
            <w:r>
              <w:rPr>
                <w:rFonts w:ascii="Arial" w:eastAsia="宋体" w:hAnsi="Arial" w:cs="Arial"/>
                <w:color w:val="262626"/>
                <w:sz w:val="16"/>
                <w:szCs w:val="16"/>
              </w:rPr>
              <w:t>60</w:t>
            </w:r>
          </w:p>
        </w:tc>
      </w:tr>
    </w:tbl>
    <w:p w14:paraId="5A1B0826" w14:textId="77777777" w:rsidR="00960BB8" w:rsidRDefault="00C06650">
      <w:r>
        <w:pict w14:anchorId="5A1B4436">
          <v:rect id="_x0000_i1086" style="width:415.3pt;height:1.5pt" o:hralign="center" o:hrstd="t" o:hr="t" fillcolor="#a0a0a0" stroked="f"/>
        </w:pict>
      </w:r>
    </w:p>
    <w:p w14:paraId="5A1B0827" w14:textId="77777777" w:rsidR="00960BB8" w:rsidRDefault="00C06650">
      <w:pPr>
        <w:jc w:val="right"/>
      </w:pPr>
      <w:hyperlink r:id="rId79" w:anchor="i8aaa7b4dbd2e419ca0f5c30af85a11aa_16" w:history="1">
        <w:r>
          <w:rPr>
            <w:rStyle w:val="a5"/>
            <w:rFonts w:ascii="Arial" w:eastAsia="宋体" w:hAnsi="Arial" w:cs="Arial"/>
            <w:b/>
            <w:bCs/>
            <w:sz w:val="16"/>
            <w:szCs w:val="16"/>
          </w:rPr>
          <w:t>Table of Contents</w:t>
        </w:r>
      </w:hyperlink>
    </w:p>
    <w:p w14:paraId="5A1B0828" w14:textId="77777777" w:rsidR="00960BB8" w:rsidRDefault="00960BB8">
      <w:pPr>
        <w:jc w:val="right"/>
      </w:pPr>
    </w:p>
    <w:p w14:paraId="5A1B0829" w14:textId="77777777" w:rsidR="00960BB8" w:rsidRDefault="00C06650">
      <w:pPr>
        <w:spacing w:after="180"/>
      </w:pPr>
      <w:r>
        <w:rPr>
          <w:rFonts w:ascii="Arial" w:eastAsia="宋体" w:hAnsi="Arial" w:cs="Arial"/>
          <w:color w:val="262626"/>
          <w:sz w:val="18"/>
          <w:szCs w:val="18"/>
        </w:rPr>
        <w:t xml:space="preserve">We are also subject to risks related to the cessation of US dollar LIBOR. </w:t>
      </w:r>
      <w:r>
        <w:rPr>
          <w:rFonts w:ascii="Arial" w:eastAsia="宋体" w:hAnsi="Arial" w:cs="Arial"/>
          <w:color w:val="262626"/>
          <w:sz w:val="18"/>
          <w:szCs w:val="18"/>
        </w:rPr>
        <w:t>Certain of our derivatives and floating-rate investments reference US dollar LIBOR, and a portion of our indebtedness bears interest at variable interest rates, primarily based on US dollar LIBOR. No new US dollar LIBOR-based activity can be conducted afte</w:t>
      </w:r>
      <w:r>
        <w:rPr>
          <w:rFonts w:ascii="Arial" w:eastAsia="宋体" w:hAnsi="Arial" w:cs="Arial"/>
          <w:color w:val="262626"/>
          <w:sz w:val="18"/>
          <w:szCs w:val="18"/>
        </w:rPr>
        <w:t>r 2021, and US dollar LIBOR will be unavailable for use in our existing contracts and financial instruments beyond June 30, 2023. While reasonable alternatives to LIBOR have been introduced into markets, our transition from LIBOR to alternative reference r</w:t>
      </w:r>
      <w:r>
        <w:rPr>
          <w:rFonts w:ascii="Arial" w:eastAsia="宋体" w:hAnsi="Arial" w:cs="Arial"/>
          <w:color w:val="262626"/>
          <w:sz w:val="18"/>
          <w:szCs w:val="18"/>
        </w:rPr>
        <w:t>ates could result in an increase in our interest expense and/or a reduction in our interest income.</w:t>
      </w:r>
    </w:p>
    <w:p w14:paraId="5A1B082A" w14:textId="77777777" w:rsidR="00960BB8" w:rsidRDefault="00C06650">
      <w:pPr>
        <w:spacing w:after="180"/>
      </w:pPr>
      <w:r>
        <w:rPr>
          <w:rFonts w:ascii="Arial" w:eastAsia="宋体" w:hAnsi="Arial" w:cs="Arial"/>
          <w:color w:val="0068B5"/>
          <w:sz w:val="18"/>
          <w:szCs w:val="18"/>
        </w:rPr>
        <w:t xml:space="preserve">We are subject to risks related to trade policies and regulations. </w:t>
      </w:r>
      <w:r>
        <w:rPr>
          <w:rFonts w:ascii="Arial" w:eastAsia="宋体" w:hAnsi="Arial" w:cs="Arial"/>
          <w:color w:val="262626"/>
          <w:sz w:val="18"/>
          <w:szCs w:val="18"/>
        </w:rPr>
        <w:t>Trade policies and disputes at times result in increased tariffs, trade barriers, and oth</w:t>
      </w:r>
      <w:r>
        <w:rPr>
          <w:rFonts w:ascii="Arial" w:eastAsia="宋体" w:hAnsi="Arial" w:cs="Arial"/>
          <w:color w:val="262626"/>
          <w:sz w:val="18"/>
          <w:szCs w:val="18"/>
        </w:rPr>
        <w:t>er protectionist measures, which can increase our manufacturing costs, make our products less competitive, reduce demand for our products, limit our ability to sell to certain customers, limit our ability to procure components or raw materials, or impede o</w:t>
      </w:r>
      <w:r>
        <w:rPr>
          <w:rFonts w:ascii="Arial" w:eastAsia="宋体" w:hAnsi="Arial" w:cs="Arial"/>
          <w:color w:val="262626"/>
          <w:sz w:val="18"/>
          <w:szCs w:val="18"/>
        </w:rPr>
        <w:t>r slow the movement of our goods across borders. Increasing protectionism and economic nationalism may lead to further changes in trade policies and regulations, domestic sourcing initiatives, or other formal and informal measures that could make it more d</w:t>
      </w:r>
      <w:r>
        <w:rPr>
          <w:rFonts w:ascii="Arial" w:eastAsia="宋体" w:hAnsi="Arial" w:cs="Arial"/>
          <w:color w:val="262626"/>
          <w:sz w:val="18"/>
          <w:szCs w:val="18"/>
        </w:rPr>
        <w:t xml:space="preserve">ifficult to sell our products in, or restrict our access to, some markets. </w:t>
      </w:r>
    </w:p>
    <w:p w14:paraId="5A1B082B" w14:textId="77777777" w:rsidR="00960BB8" w:rsidRDefault="00C06650">
      <w:pPr>
        <w:spacing w:after="180"/>
      </w:pPr>
      <w:r>
        <w:rPr>
          <w:rFonts w:ascii="Arial" w:eastAsia="宋体" w:hAnsi="Arial" w:cs="Arial"/>
          <w:color w:val="262626"/>
          <w:sz w:val="18"/>
          <w:szCs w:val="18"/>
        </w:rPr>
        <w:t>In particular, trade tensions between the US and China have led to increased tariffs and trade restrictions, including tariffs applicable to some of our products, and have affected</w:t>
      </w:r>
      <w:r>
        <w:rPr>
          <w:rFonts w:ascii="Arial" w:eastAsia="宋体" w:hAnsi="Arial" w:cs="Arial"/>
          <w:color w:val="262626"/>
          <w:sz w:val="18"/>
          <w:szCs w:val="18"/>
        </w:rPr>
        <w:t xml:space="preserve"> customer ordering patterns. The US has imposed restrictions on the export of US-regulated products and technology to certain Chinese technology companies, including certain of our customers. These restrictions have reduced our sales and continuing or futu</w:t>
      </w:r>
      <w:r>
        <w:rPr>
          <w:rFonts w:ascii="Arial" w:eastAsia="宋体" w:hAnsi="Arial" w:cs="Arial"/>
          <w:color w:val="262626"/>
          <w:sz w:val="18"/>
          <w:szCs w:val="18"/>
        </w:rPr>
        <w:t>re restrictions could adversely affect our financial performance, result in reputational harm to us, or lead such companies to develop or adopt technologies that compete with our products. It is difficult to predict what further trade-related actions gover</w:t>
      </w:r>
      <w:r>
        <w:rPr>
          <w:rFonts w:ascii="Arial" w:eastAsia="宋体" w:hAnsi="Arial" w:cs="Arial"/>
          <w:color w:val="262626"/>
          <w:sz w:val="18"/>
          <w:szCs w:val="18"/>
        </w:rPr>
        <w:t xml:space="preserve">nments may take, which may include trade restrictions and additional or increased tariffs and export controls imposed on short notice, and we may be unable to quickly and effectively react to or mitigate such actions. </w:t>
      </w:r>
    </w:p>
    <w:p w14:paraId="5A1B082C" w14:textId="77777777" w:rsidR="00960BB8" w:rsidRDefault="00C06650">
      <w:pPr>
        <w:spacing w:after="180"/>
      </w:pPr>
      <w:r>
        <w:rPr>
          <w:rFonts w:ascii="Arial" w:eastAsia="宋体" w:hAnsi="Arial" w:cs="Arial"/>
          <w:color w:val="262626"/>
          <w:sz w:val="18"/>
          <w:szCs w:val="18"/>
        </w:rPr>
        <w:t>Trade disputes and protectionist meas</w:t>
      </w:r>
      <w:r>
        <w:rPr>
          <w:rFonts w:ascii="Arial" w:eastAsia="宋体" w:hAnsi="Arial" w:cs="Arial"/>
          <w:color w:val="262626"/>
          <w:sz w:val="18"/>
          <w:szCs w:val="18"/>
        </w:rPr>
        <w:t>ures, or continued uncertainty about such matters, could result in declining consumer confidence and slowing economic growth or recession, and could cause our customers to reduce, cancel, or alter the timing of their purchases with us. Sustained geopolitic</w:t>
      </w:r>
      <w:r>
        <w:rPr>
          <w:rFonts w:ascii="Arial" w:eastAsia="宋体" w:hAnsi="Arial" w:cs="Arial"/>
          <w:color w:val="262626"/>
          <w:sz w:val="18"/>
          <w:szCs w:val="18"/>
        </w:rPr>
        <w:t>al tensions could lead to long-term changes in global trade and technology supply chains, and decoupling of global trade networks, which could have a material adverse effect on our business and growth prospects.</w:t>
      </w:r>
    </w:p>
    <w:p w14:paraId="5A1B082D" w14:textId="77777777" w:rsidR="00960BB8" w:rsidRDefault="00C06650">
      <w:pPr>
        <w:spacing w:after="180"/>
      </w:pPr>
      <w:r>
        <w:rPr>
          <w:rFonts w:ascii="Arial" w:eastAsia="宋体" w:hAnsi="Arial" w:cs="Arial"/>
          <w:color w:val="0068B5"/>
          <w:sz w:val="18"/>
          <w:szCs w:val="18"/>
        </w:rPr>
        <w:t>Laws and regulations can have a negative imp</w:t>
      </w:r>
      <w:r>
        <w:rPr>
          <w:rFonts w:ascii="Arial" w:eastAsia="宋体" w:hAnsi="Arial" w:cs="Arial"/>
          <w:color w:val="0068B5"/>
          <w:sz w:val="18"/>
          <w:szCs w:val="18"/>
        </w:rPr>
        <w:t>act on our business.</w:t>
      </w:r>
      <w:r>
        <w:rPr>
          <w:rFonts w:ascii="Arial" w:eastAsia="宋体" w:hAnsi="Arial" w:cs="Arial"/>
          <w:color w:val="262626"/>
          <w:sz w:val="18"/>
          <w:szCs w:val="18"/>
        </w:rPr>
        <w:t xml:space="preserve"> We are subject to laws and regulations worldwide that differ among jurisdictions, affecting our operations in areas including, but not limited to: IP ownership and infringement; tax; import and export requirements; anti-corruption; for</w:t>
      </w:r>
      <w:r>
        <w:rPr>
          <w:rFonts w:ascii="Arial" w:eastAsia="宋体" w:hAnsi="Arial" w:cs="Arial"/>
          <w:color w:val="262626"/>
          <w:sz w:val="18"/>
          <w:szCs w:val="18"/>
        </w:rPr>
        <w:t>eign exchange controls and cash repatriation restrictions; data privacy and localization requirements; competition; advertising; employment and labor; product regulations; environment, health, and safety requirements; and consumer laws. Compliance with suc</w:t>
      </w:r>
      <w:r>
        <w:rPr>
          <w:rFonts w:ascii="Arial" w:eastAsia="宋体" w:hAnsi="Arial" w:cs="Arial"/>
          <w:color w:val="262626"/>
          <w:sz w:val="18"/>
          <w:szCs w:val="18"/>
        </w:rPr>
        <w:t>h requirements can be onerous and expensive and may otherwise impact our business operations negatively. For example, unfavorable developments with evolving laws and regulations worldwide related to 5G or autonomous driving technology and MaaS may limit gl</w:t>
      </w:r>
      <w:r>
        <w:rPr>
          <w:rFonts w:ascii="Arial" w:eastAsia="宋体" w:hAnsi="Arial" w:cs="Arial"/>
          <w:color w:val="262626"/>
          <w:sz w:val="18"/>
          <w:szCs w:val="18"/>
        </w:rPr>
        <w:t xml:space="preserve">obal adoption, impede our strategy, or negatively impact our long-term expectations for our investments in these areas. Expanding privacy legislation and compliance costs of privacy-related and data-protection measures could adversely affect our customers </w:t>
      </w:r>
      <w:r>
        <w:rPr>
          <w:rFonts w:ascii="Arial" w:eastAsia="宋体" w:hAnsi="Arial" w:cs="Arial"/>
          <w:color w:val="262626"/>
          <w:sz w:val="18"/>
          <w:szCs w:val="18"/>
        </w:rPr>
        <w:t>and their products and services, particularly in cloud, Internet of Things, and AI applications, which could in turn reduce demand for our products used for those workloads.</w:t>
      </w:r>
    </w:p>
    <w:p w14:paraId="5A1B082E" w14:textId="77777777" w:rsidR="00960BB8" w:rsidRDefault="00C06650">
      <w:pPr>
        <w:spacing w:after="180"/>
      </w:pPr>
      <w:r>
        <w:rPr>
          <w:rFonts w:ascii="Arial" w:eastAsia="宋体" w:hAnsi="Arial" w:cs="Arial"/>
          <w:color w:val="262626"/>
          <w:sz w:val="18"/>
          <w:szCs w:val="18"/>
        </w:rPr>
        <w:t>Our policies, controls, and procedures designed to help provide for compliance wit</w:t>
      </w:r>
      <w:r>
        <w:rPr>
          <w:rFonts w:ascii="Arial" w:eastAsia="宋体" w:hAnsi="Arial" w:cs="Arial"/>
          <w:color w:val="262626"/>
          <w:sz w:val="18"/>
          <w:szCs w:val="18"/>
        </w:rPr>
        <w:t>h applicable laws cannot provide assurance that our employees, contractors, suppliers, or agents will not violate such laws or our policies. Violations of these laws and regulations can result in fines; criminal sanctions against us, our officers, or our e</w:t>
      </w:r>
      <w:r>
        <w:rPr>
          <w:rFonts w:ascii="Arial" w:eastAsia="宋体" w:hAnsi="Arial" w:cs="Arial"/>
          <w:color w:val="262626"/>
          <w:sz w:val="18"/>
          <w:szCs w:val="18"/>
        </w:rPr>
        <w:t>mployees; prohibitions on the conduct of our business; and damage to our reputation. The technology industry is subject to intense media, political, and regulatory scrutiny, which can increase our exposure to government investigations, legal actions, and p</w:t>
      </w:r>
      <w:r>
        <w:rPr>
          <w:rFonts w:ascii="Arial" w:eastAsia="宋体" w:hAnsi="Arial" w:cs="Arial"/>
          <w:color w:val="262626"/>
          <w:sz w:val="18"/>
          <w:szCs w:val="18"/>
        </w:rPr>
        <w:t>enalties.</w:t>
      </w:r>
    </w:p>
    <w:p w14:paraId="5A1B082F" w14:textId="77777777" w:rsidR="00960BB8" w:rsidRDefault="00C06650">
      <w:pPr>
        <w:spacing w:after="180"/>
      </w:pPr>
      <w:r>
        <w:rPr>
          <w:rFonts w:ascii="Arial" w:eastAsia="宋体" w:hAnsi="Arial" w:cs="Arial"/>
          <w:color w:val="0068B5"/>
          <w:sz w:val="18"/>
          <w:szCs w:val="18"/>
        </w:rPr>
        <w:t>We are affected by fluctuations in currency exchange rates.</w:t>
      </w:r>
      <w:r>
        <w:rPr>
          <w:rFonts w:ascii="Arial" w:eastAsia="宋体" w:hAnsi="Arial" w:cs="Arial"/>
          <w:b/>
          <w:bCs/>
          <w:color w:val="262626"/>
          <w:sz w:val="18"/>
          <w:szCs w:val="18"/>
        </w:rPr>
        <w:t xml:space="preserve"> </w:t>
      </w:r>
      <w:r>
        <w:rPr>
          <w:rFonts w:ascii="Arial" w:eastAsia="宋体" w:hAnsi="Arial" w:cs="Arial"/>
          <w:color w:val="262626"/>
          <w:sz w:val="18"/>
          <w:szCs w:val="18"/>
        </w:rPr>
        <w:t>We are exposed to adverse as well as beneficial movements in currency exchange rates. Although most of our sales occur in US dollars, expenses may be paid in local currencies. An increas</w:t>
      </w:r>
      <w:r>
        <w:rPr>
          <w:rFonts w:ascii="Arial" w:eastAsia="宋体" w:hAnsi="Arial" w:cs="Arial"/>
          <w:color w:val="262626"/>
          <w:sz w:val="18"/>
          <w:szCs w:val="18"/>
        </w:rPr>
        <w:t>e in the value of the dollar can increase the real cost to our customers of our products in those markets outside the US where we sell in dollars, and a weakened dollar can increase the cost of expenses such as payroll, utilities, tax, and marketing expens</w:t>
      </w:r>
      <w:r>
        <w:rPr>
          <w:rFonts w:ascii="Arial" w:eastAsia="宋体" w:hAnsi="Arial" w:cs="Arial"/>
          <w:color w:val="262626"/>
          <w:sz w:val="18"/>
          <w:szCs w:val="18"/>
        </w:rPr>
        <w:t>es, as well as overseas capital expenditures. We also conduct certain investing and financing activities in local currencies. Our hedging programs may not be effective to offset any, or more than a portion, of the adverse impact of currency exchange rate m</w:t>
      </w:r>
      <w:r>
        <w:rPr>
          <w:rFonts w:ascii="Arial" w:eastAsia="宋体" w:hAnsi="Arial" w:cs="Arial"/>
          <w:color w:val="262626"/>
          <w:sz w:val="18"/>
          <w:szCs w:val="18"/>
        </w:rPr>
        <w:t xml:space="preserve">ovements; therefore, changes in exchange rates can harm our results of operations and financial condition. </w:t>
      </w:r>
    </w:p>
    <w:p w14:paraId="5A1B0830" w14:textId="77777777" w:rsidR="00960BB8" w:rsidRDefault="00C06650">
      <w:r>
        <w:rPr>
          <w:rFonts w:ascii="Arial" w:eastAsia="宋体" w:hAnsi="Arial" w:cs="Arial"/>
          <w:color w:val="0068B5"/>
          <w:sz w:val="18"/>
          <w:szCs w:val="18"/>
        </w:rPr>
        <w:t xml:space="preserve">Changes in our effective tax rate may impact our net income. </w:t>
      </w:r>
      <w:r>
        <w:rPr>
          <w:rFonts w:ascii="Arial" w:eastAsia="宋体" w:hAnsi="Arial" w:cs="Arial"/>
          <w:color w:val="262626"/>
          <w:sz w:val="18"/>
          <w:szCs w:val="18"/>
        </w:rPr>
        <w:t>A number of factors can impact our effective tax rate, which could reduce or increase o</w:t>
      </w:r>
      <w:r>
        <w:rPr>
          <w:rFonts w:ascii="Arial" w:eastAsia="宋体" w:hAnsi="Arial" w:cs="Arial"/>
          <w:color w:val="262626"/>
          <w:sz w:val="18"/>
          <w:szCs w:val="18"/>
        </w:rPr>
        <w:t>ur net income, including:    </w:t>
      </w:r>
    </w:p>
    <w:p w14:paraId="5A1B0831" w14:textId="77777777" w:rsidR="00960BB8" w:rsidRDefault="00960BB8"/>
    <w:p w14:paraId="5A1B0832" w14:textId="77777777" w:rsidR="00960BB8" w:rsidRDefault="00C06650">
      <w:pPr>
        <w:spacing w:after="60"/>
        <w:ind w:hanging="360"/>
      </w:pPr>
      <w:r>
        <w:rPr>
          <w:rFonts w:ascii="Arial" w:eastAsia="宋体" w:hAnsi="Arial" w:cs="Arial"/>
          <w:color w:val="262626"/>
          <w:sz w:val="18"/>
          <w:szCs w:val="18"/>
        </w:rPr>
        <w:t>•changes in the volume and mix of profits earned and location of assets across jurisdictions with varying tax rates;</w:t>
      </w:r>
    </w:p>
    <w:p w14:paraId="5A1B0833" w14:textId="77777777" w:rsidR="00960BB8" w:rsidRDefault="00C06650">
      <w:pPr>
        <w:spacing w:after="60"/>
        <w:ind w:hanging="360"/>
      </w:pPr>
      <w:r>
        <w:rPr>
          <w:rFonts w:ascii="Arial" w:eastAsia="宋体" w:hAnsi="Arial" w:cs="Arial"/>
          <w:color w:val="262626"/>
          <w:sz w:val="18"/>
          <w:szCs w:val="18"/>
        </w:rPr>
        <w:t>•the resolution of issues arising from tax audits, including payment of interest and penalties;</w:t>
      </w:r>
    </w:p>
    <w:p w14:paraId="5A1B0834" w14:textId="77777777" w:rsidR="00960BB8" w:rsidRDefault="00C06650">
      <w:pPr>
        <w:spacing w:after="60"/>
        <w:ind w:hanging="360"/>
      </w:pPr>
      <w:r>
        <w:rPr>
          <w:rFonts w:ascii="Arial" w:eastAsia="宋体" w:hAnsi="Arial" w:cs="Arial"/>
          <w:color w:val="262626"/>
          <w:sz w:val="18"/>
          <w:szCs w:val="18"/>
        </w:rPr>
        <w:t xml:space="preserve">•changes in </w:t>
      </w:r>
      <w:r>
        <w:rPr>
          <w:rFonts w:ascii="Arial" w:eastAsia="宋体" w:hAnsi="Arial" w:cs="Arial"/>
          <w:color w:val="262626"/>
          <w:sz w:val="18"/>
          <w:szCs w:val="18"/>
        </w:rPr>
        <w:t>the valuation of our deferred tax assets and liabilities, and in deferred tax valuation allowances;</w:t>
      </w:r>
    </w:p>
    <w:p w14:paraId="5A1B0835" w14:textId="77777777" w:rsidR="00960BB8" w:rsidRDefault="00C06650">
      <w:pPr>
        <w:spacing w:after="60"/>
        <w:ind w:hanging="360"/>
      </w:pPr>
      <w:r>
        <w:rPr>
          <w:rFonts w:ascii="Arial" w:eastAsia="宋体" w:hAnsi="Arial" w:cs="Arial"/>
          <w:color w:val="262626"/>
          <w:sz w:val="18"/>
          <w:szCs w:val="18"/>
        </w:rPr>
        <w:t>•adjustments to income taxes upon finalization of tax returns;</w:t>
      </w:r>
    </w:p>
    <w:p w14:paraId="5A1B0836" w14:textId="77777777" w:rsidR="00960BB8" w:rsidRDefault="00C06650">
      <w:pPr>
        <w:spacing w:after="60"/>
        <w:ind w:hanging="360"/>
      </w:pPr>
      <w:r>
        <w:rPr>
          <w:rFonts w:ascii="Arial" w:eastAsia="宋体" w:hAnsi="Arial" w:cs="Arial"/>
          <w:color w:val="262626"/>
          <w:sz w:val="18"/>
          <w:szCs w:val="18"/>
        </w:rPr>
        <w:t xml:space="preserve">•increases in expenses not deductible for tax purposes, including impairments of </w:t>
      </w:r>
      <w:r>
        <w:rPr>
          <w:rFonts w:ascii="Arial" w:eastAsia="宋体" w:hAnsi="Arial" w:cs="Arial"/>
          <w:color w:val="262626"/>
          <w:sz w:val="18"/>
          <w:szCs w:val="18"/>
        </w:rPr>
        <w:t>goodwill;</w:t>
      </w:r>
    </w:p>
    <w:p w14:paraId="5A1B0837" w14:textId="77777777" w:rsidR="00960BB8" w:rsidRDefault="00C06650">
      <w:pPr>
        <w:spacing w:after="60"/>
        <w:ind w:hanging="360"/>
      </w:pPr>
      <w:r>
        <w:rPr>
          <w:rFonts w:ascii="Arial" w:eastAsia="宋体" w:hAnsi="Arial" w:cs="Arial"/>
          <w:color w:val="262626"/>
          <w:sz w:val="18"/>
          <w:szCs w:val="18"/>
        </w:rPr>
        <w:t>•changes in available tax credits;</w:t>
      </w:r>
    </w:p>
    <w:p w14:paraId="5A1B0838" w14:textId="77777777" w:rsidR="00960BB8" w:rsidRDefault="00C06650">
      <w:pPr>
        <w:spacing w:after="60"/>
        <w:ind w:hanging="360"/>
      </w:pPr>
      <w:r>
        <w:rPr>
          <w:rFonts w:ascii="Arial" w:eastAsia="宋体" w:hAnsi="Arial" w:cs="Arial"/>
          <w:color w:val="262626"/>
          <w:sz w:val="18"/>
          <w:szCs w:val="18"/>
        </w:rPr>
        <w:t>•changes in our ability to secure new, or renew existing, tax holidays and incentives;</w:t>
      </w:r>
    </w:p>
    <w:p w14:paraId="5A1B0839" w14:textId="77777777" w:rsidR="00960BB8" w:rsidRDefault="00C06650">
      <w:pPr>
        <w:spacing w:after="60"/>
        <w:ind w:hanging="360"/>
      </w:pPr>
      <w:r>
        <w:rPr>
          <w:rFonts w:ascii="Arial" w:eastAsia="宋体" w:hAnsi="Arial" w:cs="Arial"/>
          <w:color w:val="262626"/>
          <w:sz w:val="18"/>
          <w:szCs w:val="18"/>
        </w:rPr>
        <w:t>•changes in US federal, state, or foreign tax laws or their interpretation, including changes in the US to the taxation of m</w:t>
      </w:r>
      <w:r>
        <w:rPr>
          <w:rFonts w:ascii="Arial" w:eastAsia="宋体" w:hAnsi="Arial" w:cs="Arial"/>
          <w:color w:val="262626"/>
          <w:sz w:val="18"/>
          <w:szCs w:val="18"/>
        </w:rPr>
        <w:t>anufacturing enterprises and of non-US income and expenses, and changes resulting from the adoption by countries of the Organization for Economic Co-operation and Development recommendations or other legislative actions;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843" w14:textId="77777777">
        <w:tc>
          <w:tcPr>
            <w:tcW w:w="50" w:type="pct"/>
            <w:shd w:val="clear" w:color="auto" w:fill="auto"/>
            <w:vAlign w:val="bottom"/>
          </w:tcPr>
          <w:p w14:paraId="5A1B083A" w14:textId="77777777" w:rsidR="00960BB8" w:rsidRDefault="00960BB8">
            <w:pPr>
              <w:rPr>
                <w:rFonts w:ascii="宋体"/>
              </w:rPr>
            </w:pPr>
          </w:p>
        </w:tc>
        <w:tc>
          <w:tcPr>
            <w:tcW w:w="283" w:type="pct"/>
            <w:shd w:val="clear" w:color="auto" w:fill="auto"/>
            <w:vAlign w:val="bottom"/>
          </w:tcPr>
          <w:p w14:paraId="5A1B083B" w14:textId="77777777" w:rsidR="00960BB8" w:rsidRDefault="00960BB8">
            <w:pPr>
              <w:rPr>
                <w:rFonts w:ascii="宋体"/>
              </w:rPr>
            </w:pPr>
          </w:p>
        </w:tc>
        <w:tc>
          <w:tcPr>
            <w:tcW w:w="5" w:type="pct"/>
            <w:shd w:val="clear" w:color="auto" w:fill="auto"/>
            <w:vAlign w:val="bottom"/>
          </w:tcPr>
          <w:p w14:paraId="5A1B083C" w14:textId="77777777" w:rsidR="00960BB8" w:rsidRDefault="00960BB8">
            <w:pPr>
              <w:rPr>
                <w:rFonts w:ascii="宋体"/>
              </w:rPr>
            </w:pPr>
          </w:p>
        </w:tc>
        <w:tc>
          <w:tcPr>
            <w:tcW w:w="50" w:type="pct"/>
            <w:shd w:val="clear" w:color="auto" w:fill="auto"/>
            <w:vAlign w:val="bottom"/>
          </w:tcPr>
          <w:p w14:paraId="5A1B083D" w14:textId="77777777" w:rsidR="00960BB8" w:rsidRDefault="00960BB8">
            <w:pPr>
              <w:rPr>
                <w:rFonts w:ascii="宋体"/>
              </w:rPr>
            </w:pPr>
          </w:p>
        </w:tc>
        <w:tc>
          <w:tcPr>
            <w:tcW w:w="2656" w:type="pct"/>
            <w:shd w:val="clear" w:color="auto" w:fill="auto"/>
            <w:vAlign w:val="bottom"/>
          </w:tcPr>
          <w:p w14:paraId="5A1B083E" w14:textId="77777777" w:rsidR="00960BB8" w:rsidRDefault="00960BB8">
            <w:pPr>
              <w:rPr>
                <w:rFonts w:ascii="宋体"/>
              </w:rPr>
            </w:pPr>
          </w:p>
        </w:tc>
        <w:tc>
          <w:tcPr>
            <w:tcW w:w="5" w:type="pct"/>
            <w:shd w:val="clear" w:color="auto" w:fill="auto"/>
            <w:vAlign w:val="bottom"/>
          </w:tcPr>
          <w:p w14:paraId="5A1B083F" w14:textId="77777777" w:rsidR="00960BB8" w:rsidRDefault="00960BB8">
            <w:pPr>
              <w:rPr>
                <w:rFonts w:ascii="宋体"/>
              </w:rPr>
            </w:pPr>
          </w:p>
        </w:tc>
        <w:tc>
          <w:tcPr>
            <w:tcW w:w="50" w:type="pct"/>
            <w:shd w:val="clear" w:color="auto" w:fill="auto"/>
            <w:vAlign w:val="bottom"/>
          </w:tcPr>
          <w:p w14:paraId="5A1B0840" w14:textId="77777777" w:rsidR="00960BB8" w:rsidRDefault="00960BB8">
            <w:pPr>
              <w:rPr>
                <w:rFonts w:ascii="宋体"/>
              </w:rPr>
            </w:pPr>
          </w:p>
        </w:tc>
        <w:tc>
          <w:tcPr>
            <w:tcW w:w="1894" w:type="pct"/>
            <w:shd w:val="clear" w:color="auto" w:fill="auto"/>
            <w:vAlign w:val="bottom"/>
          </w:tcPr>
          <w:p w14:paraId="5A1B0841" w14:textId="77777777" w:rsidR="00960BB8" w:rsidRDefault="00960BB8">
            <w:pPr>
              <w:rPr>
                <w:rFonts w:ascii="宋体"/>
              </w:rPr>
            </w:pPr>
          </w:p>
        </w:tc>
        <w:tc>
          <w:tcPr>
            <w:tcW w:w="5" w:type="pct"/>
            <w:shd w:val="clear" w:color="auto" w:fill="auto"/>
            <w:vAlign w:val="bottom"/>
          </w:tcPr>
          <w:p w14:paraId="5A1B0842" w14:textId="77777777" w:rsidR="00960BB8" w:rsidRDefault="00960BB8">
            <w:pPr>
              <w:rPr>
                <w:rFonts w:ascii="宋体"/>
              </w:rPr>
            </w:pPr>
          </w:p>
        </w:tc>
      </w:tr>
      <w:tr w:rsidR="00960BB8" w14:paraId="5A1B084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844"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37" wp14:editId="5A1B4438">
                  <wp:extent cx="304800" cy="304800"/>
                  <wp:effectExtent l="0" t="0" r="0" b="0"/>
                  <wp:docPr id="10" name="图片 21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0"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45"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46" w14:textId="77777777" w:rsidR="00960BB8" w:rsidRDefault="00C06650">
            <w:pPr>
              <w:jc w:val="right"/>
              <w:textAlignment w:val="center"/>
            </w:pPr>
            <w:r>
              <w:rPr>
                <w:rFonts w:ascii="Arial" w:eastAsia="宋体" w:hAnsi="Arial" w:cs="Arial"/>
                <w:color w:val="262626"/>
                <w:sz w:val="16"/>
                <w:szCs w:val="16"/>
              </w:rPr>
              <w:t>61</w:t>
            </w:r>
          </w:p>
        </w:tc>
      </w:tr>
    </w:tbl>
    <w:p w14:paraId="5A1B0848" w14:textId="77777777" w:rsidR="00960BB8" w:rsidRDefault="00C06650">
      <w:r>
        <w:pict w14:anchorId="5A1B4439">
          <v:rect id="_x0000_i1087" style="width:415.3pt;height:1.5pt" o:hralign="center" o:hrstd="t" o:hr="t" fillcolor="#a0a0a0" stroked="f"/>
        </w:pict>
      </w:r>
    </w:p>
    <w:p w14:paraId="5A1B0849" w14:textId="77777777" w:rsidR="00960BB8" w:rsidRDefault="00C06650">
      <w:pPr>
        <w:jc w:val="right"/>
      </w:pPr>
      <w:hyperlink r:id="rId80" w:anchor="i8aaa7b4dbd2e419ca0f5c30af85a11aa_16" w:history="1">
        <w:r>
          <w:rPr>
            <w:rStyle w:val="a5"/>
            <w:rFonts w:ascii="Arial" w:eastAsia="宋体" w:hAnsi="Arial" w:cs="Arial"/>
            <w:b/>
            <w:bCs/>
            <w:sz w:val="16"/>
            <w:szCs w:val="16"/>
          </w:rPr>
          <w:t>Table of Contents</w:t>
        </w:r>
      </w:hyperlink>
    </w:p>
    <w:p w14:paraId="5A1B084A" w14:textId="77777777" w:rsidR="00960BB8" w:rsidRDefault="00960BB8">
      <w:pPr>
        <w:jc w:val="right"/>
      </w:pPr>
    </w:p>
    <w:p w14:paraId="5A1B084B"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accounting standards; and</w:t>
      </w:r>
    </w:p>
    <w:p w14:paraId="5A1B084C"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our decision to repatriate non-US earnings f</w:t>
      </w:r>
      <w:r>
        <w:rPr>
          <w:rFonts w:ascii="Arial" w:eastAsia="宋体" w:hAnsi="Arial" w:cs="Arial"/>
          <w:color w:val="262626"/>
          <w:sz w:val="18"/>
          <w:szCs w:val="18"/>
        </w:rPr>
        <w:t>or which we have not previously provided for local country withholding taxes incurred upon repatriation.</w:t>
      </w:r>
    </w:p>
    <w:p w14:paraId="5A1B084D" w14:textId="77777777" w:rsidR="00960BB8" w:rsidRDefault="00C06650">
      <w:pPr>
        <w:spacing w:after="180"/>
      </w:pPr>
      <w:r>
        <w:rPr>
          <w:rFonts w:ascii="Arial" w:eastAsia="宋体" w:hAnsi="Arial" w:cs="Arial"/>
          <w:color w:val="0068B5"/>
          <w:sz w:val="18"/>
          <w:szCs w:val="18"/>
        </w:rPr>
        <w:t>Catastrophic events can have a material adverse effect on our operations and financial results.</w:t>
      </w:r>
      <w:r>
        <w:rPr>
          <w:rFonts w:ascii="Arial" w:eastAsia="宋体" w:hAnsi="Arial" w:cs="Arial"/>
          <w:b/>
          <w:bCs/>
          <w:color w:val="262626"/>
          <w:sz w:val="18"/>
          <w:szCs w:val="18"/>
        </w:rPr>
        <w:t xml:space="preserve"> </w:t>
      </w:r>
      <w:r>
        <w:rPr>
          <w:rFonts w:ascii="Arial" w:eastAsia="宋体" w:hAnsi="Arial" w:cs="Arial"/>
          <w:color w:val="262626"/>
          <w:sz w:val="18"/>
          <w:szCs w:val="18"/>
        </w:rPr>
        <w:t>Our operations and business, and those of our customers</w:t>
      </w:r>
      <w:r>
        <w:rPr>
          <w:rFonts w:ascii="Arial" w:eastAsia="宋体" w:hAnsi="Arial" w:cs="Arial"/>
          <w:color w:val="262626"/>
          <w:sz w:val="18"/>
          <w:szCs w:val="18"/>
        </w:rPr>
        <w:t xml:space="preserve"> and suppliers, can be disrupted by natural disasters; industrial accidents; public health issues; cybersecurity incidents; interruptions of service from utilities, transportation, telecommunications, or IT systems providers; manufacturing equipment failur</w:t>
      </w:r>
      <w:r>
        <w:rPr>
          <w:rFonts w:ascii="Arial" w:eastAsia="宋体" w:hAnsi="Arial" w:cs="Arial"/>
          <w:color w:val="262626"/>
          <w:sz w:val="18"/>
          <w:szCs w:val="18"/>
        </w:rPr>
        <w:t>es; or other catastrophic events. For example, we have at times experienced disruptions in our manufacturing processes as a result of power outages, improperly functioning equipment, and disruptions in supply of raw materials or components, including due t</w:t>
      </w:r>
      <w:r>
        <w:rPr>
          <w:rFonts w:ascii="Arial" w:eastAsia="宋体" w:hAnsi="Arial" w:cs="Arial"/>
          <w:color w:val="262626"/>
          <w:sz w:val="18"/>
          <w:szCs w:val="18"/>
        </w:rPr>
        <w:t>o cybersecurity incidents affecting our suppliers. Our headquarters and many of our operations and facilities are in locations that are prone to earthquakes and other natural disasters. Global climate change can result in certain natural disasters occurrin</w:t>
      </w:r>
      <w:r>
        <w:rPr>
          <w:rFonts w:ascii="Arial" w:eastAsia="宋体" w:hAnsi="Arial" w:cs="Arial"/>
          <w:color w:val="262626"/>
          <w:sz w:val="18"/>
          <w:szCs w:val="18"/>
        </w:rPr>
        <w:t>g more frequently or with greater intensity, such as drought, wildfires, storms, sea-level rise, and flooding, and could disrupt the availability of water necessary for the operation of our fabrication facilities, including our facilities located in water-</w:t>
      </w:r>
      <w:r>
        <w:rPr>
          <w:rFonts w:ascii="Arial" w:eastAsia="宋体" w:hAnsi="Arial" w:cs="Arial"/>
          <w:color w:val="262626"/>
          <w:sz w:val="18"/>
          <w:szCs w:val="18"/>
        </w:rPr>
        <w:t>sensitive regions such as Arizona and Israel. In addition, to the extent we are unable to successfully manage and conserve water resources, our reputation could be harmed. In recent years, the west coast of the US has experienced significant wildfires, inc</w:t>
      </w:r>
      <w:r>
        <w:rPr>
          <w:rFonts w:ascii="Arial" w:eastAsia="宋体" w:hAnsi="Arial" w:cs="Arial"/>
          <w:color w:val="262626"/>
          <w:sz w:val="18"/>
          <w:szCs w:val="18"/>
        </w:rPr>
        <w:t xml:space="preserve">luding in Oregon, where we have major manufacturing facilities, and in California, where we are headquartered. The long-term effects of climate change on the global economy and the technology industry in particular are unclear but could be severe. </w:t>
      </w:r>
    </w:p>
    <w:p w14:paraId="5A1B084E" w14:textId="77777777" w:rsidR="00960BB8" w:rsidRDefault="00C06650">
      <w:pPr>
        <w:spacing w:after="180"/>
      </w:pPr>
      <w:r>
        <w:rPr>
          <w:rFonts w:ascii="Arial" w:eastAsia="宋体" w:hAnsi="Arial" w:cs="Arial"/>
          <w:color w:val="262626"/>
          <w:sz w:val="18"/>
          <w:szCs w:val="18"/>
        </w:rPr>
        <w:t>Catastr</w:t>
      </w:r>
      <w:r>
        <w:rPr>
          <w:rFonts w:ascii="Arial" w:eastAsia="宋体" w:hAnsi="Arial" w:cs="Arial"/>
          <w:color w:val="262626"/>
          <w:sz w:val="18"/>
          <w:szCs w:val="18"/>
        </w:rPr>
        <w:t>ophic events could make it difficult or impossible to manufacture or deliver products to our customers, receive production materials from our suppliers, or perform critical functions, which could adversely affect our revenue and require significant recover</w:t>
      </w:r>
      <w:r>
        <w:rPr>
          <w:rFonts w:ascii="Arial" w:eastAsia="宋体" w:hAnsi="Arial" w:cs="Arial"/>
          <w:color w:val="262626"/>
          <w:sz w:val="18"/>
          <w:szCs w:val="18"/>
        </w:rPr>
        <w:t>y time and expenditures to resume operations. While we maintain business recovery plans, some of our systems are not fully redundant and we cannot be sure that our plans will fully protect us from such disruptions. Furthermore, even if our operations are u</w:t>
      </w:r>
      <w:r>
        <w:rPr>
          <w:rFonts w:ascii="Arial" w:eastAsia="宋体" w:hAnsi="Arial" w:cs="Arial"/>
          <w:color w:val="262626"/>
          <w:sz w:val="18"/>
          <w:szCs w:val="18"/>
        </w:rPr>
        <w:t>naffected or recover quickly, if our customers or suppliers cannot timely resume their own operations due to a catastrophic event, we may experience reduced or cancelled orders or disruptions to our supply chain that may adversely affect our results of ope</w:t>
      </w:r>
      <w:r>
        <w:rPr>
          <w:rFonts w:ascii="Arial" w:eastAsia="宋体" w:hAnsi="Arial" w:cs="Arial"/>
          <w:color w:val="262626"/>
          <w:sz w:val="18"/>
          <w:szCs w:val="18"/>
        </w:rPr>
        <w:t>rations.</w:t>
      </w:r>
    </w:p>
    <w:p w14:paraId="5A1B084F" w14:textId="77777777" w:rsidR="00960BB8" w:rsidRDefault="00C06650">
      <w:pPr>
        <w:spacing w:after="180"/>
      </w:pPr>
      <w:r>
        <w:rPr>
          <w:rFonts w:ascii="Arial" w:eastAsia="宋体" w:hAnsi="Arial" w:cs="Arial"/>
          <w:color w:val="262626"/>
          <w:sz w:val="18"/>
          <w:szCs w:val="18"/>
        </w:rPr>
        <w:t>We maintain a program of insurance coverage for a variety of property, casualty, and other risks. The types and amounts of insurance we obtain vary depending on availability, cost, and decisions with respect to risk retention. Some of our policies</w:t>
      </w:r>
      <w:r>
        <w:rPr>
          <w:rFonts w:ascii="Arial" w:eastAsia="宋体" w:hAnsi="Arial" w:cs="Arial"/>
          <w:color w:val="262626"/>
          <w:sz w:val="18"/>
          <w:szCs w:val="18"/>
        </w:rPr>
        <w:t xml:space="preserve"> have large deductibles and broad exclusions. In addition, one or more of our insurance providers may be unable or unwilling to pay a claim. Losses not covered by insurance may be large, which could harm our results of operations and financial condition.</w:t>
      </w:r>
    </w:p>
    <w:p w14:paraId="5A1B0850" w14:textId="77777777" w:rsidR="00960BB8" w:rsidRDefault="00C06650">
      <w:pPr>
        <w:spacing w:after="180"/>
      </w:pPr>
      <w:r>
        <w:rPr>
          <w:rFonts w:ascii="Arial" w:eastAsia="宋体" w:hAnsi="Arial" w:cs="Arial"/>
          <w:color w:val="0068B5"/>
          <w:sz w:val="18"/>
          <w:szCs w:val="18"/>
        </w:rPr>
        <w:t>D</w:t>
      </w:r>
      <w:r>
        <w:rPr>
          <w:rFonts w:ascii="Arial" w:eastAsia="宋体" w:hAnsi="Arial" w:cs="Arial"/>
          <w:color w:val="0068B5"/>
          <w:sz w:val="18"/>
          <w:szCs w:val="18"/>
        </w:rPr>
        <w:t>amage to our reputation can damage our business.</w:t>
      </w:r>
      <w:r>
        <w:rPr>
          <w:rFonts w:ascii="Arial" w:eastAsia="宋体" w:hAnsi="Arial" w:cs="Arial"/>
          <w:color w:val="262626"/>
          <w:sz w:val="18"/>
          <w:szCs w:val="18"/>
        </w:rPr>
        <w:t xml:space="preserve"> Our reputation is a critical factor in our relationships with customers, employees, governments, suppliers, and other stakeholders. Our failure to address, or the appearance of our failure to address, issues</w:t>
      </w:r>
      <w:r>
        <w:rPr>
          <w:rFonts w:ascii="Arial" w:eastAsia="宋体" w:hAnsi="Arial" w:cs="Arial"/>
          <w:color w:val="262626"/>
          <w:sz w:val="18"/>
          <w:szCs w:val="18"/>
        </w:rPr>
        <w:t xml:space="preserve"> that give rise to reputational risk, including those described throughout these risk factors, could significantly harm our reputation and our brands. Our reputation can be impacted by catastrophic events; incidents involving unethical behavior or miscondu</w:t>
      </w:r>
      <w:r>
        <w:rPr>
          <w:rFonts w:ascii="Arial" w:eastAsia="宋体" w:hAnsi="Arial" w:cs="Arial"/>
          <w:color w:val="262626"/>
          <w:sz w:val="18"/>
          <w:szCs w:val="18"/>
        </w:rPr>
        <w:t>ct; product quality, security, or safety issues; allegations of legal noncompliance; internal control failures; corporate responsibility and governance issues; data breaches; workplace safety incidents; environmental incidents; our response to climate chan</w:t>
      </w:r>
      <w:r>
        <w:rPr>
          <w:rFonts w:ascii="Arial" w:eastAsia="宋体" w:hAnsi="Arial" w:cs="Arial"/>
          <w:color w:val="262626"/>
          <w:sz w:val="18"/>
          <w:szCs w:val="18"/>
        </w:rPr>
        <w:t>ge, including our greenhouse gas emission levels; the use of our products for illegal or objectionable applications, including AI and machine learning applications that present ethical, regulatory, or other issues; marketing practices; media statements; th</w:t>
      </w:r>
      <w:r>
        <w:rPr>
          <w:rFonts w:ascii="Arial" w:eastAsia="宋体" w:hAnsi="Arial" w:cs="Arial"/>
          <w:color w:val="262626"/>
          <w:sz w:val="18"/>
          <w:szCs w:val="18"/>
        </w:rPr>
        <w:t>e conduct of our suppliers or representatives; and other issues, incidents, or statements that, whether actual or perceived, result in adverse publicity. To the extent we fail to respond quickly and effectively to address corporate crises, the ensuing nega</w:t>
      </w:r>
      <w:r>
        <w:rPr>
          <w:rFonts w:ascii="Arial" w:eastAsia="宋体" w:hAnsi="Arial" w:cs="Arial"/>
          <w:color w:val="262626"/>
          <w:sz w:val="18"/>
          <w:szCs w:val="18"/>
        </w:rPr>
        <w:t xml:space="preserve">tive public reaction could significantly harm our reputation and our brands and could lead to increases in litigation claims and asserted damages or subject us to regulatory actions or restrictions. </w:t>
      </w:r>
    </w:p>
    <w:p w14:paraId="5A1B0851" w14:textId="77777777" w:rsidR="00960BB8" w:rsidRDefault="00C06650">
      <w:pPr>
        <w:spacing w:after="180"/>
      </w:pPr>
      <w:r>
        <w:rPr>
          <w:rFonts w:ascii="Arial" w:eastAsia="宋体" w:hAnsi="Arial" w:cs="Arial"/>
          <w:color w:val="262626"/>
          <w:sz w:val="18"/>
          <w:szCs w:val="18"/>
        </w:rPr>
        <w:t xml:space="preserve">Damage to our reputation could reduce demand for our </w:t>
      </w:r>
      <w:r>
        <w:rPr>
          <w:rFonts w:ascii="Arial" w:eastAsia="宋体" w:hAnsi="Arial" w:cs="Arial"/>
          <w:color w:val="262626"/>
          <w:sz w:val="18"/>
          <w:szCs w:val="18"/>
        </w:rPr>
        <w:t>products and adversely affect our business and operating environment. It could reduce investor confidence in us, adversely affecting our stock price. It may also limit our ability to be seen as an employer of choice when competing for highly skilled employ</w:t>
      </w:r>
      <w:r>
        <w:rPr>
          <w:rFonts w:ascii="Arial" w:eastAsia="宋体" w:hAnsi="Arial" w:cs="Arial"/>
          <w:color w:val="262626"/>
          <w:sz w:val="18"/>
          <w:szCs w:val="18"/>
        </w:rPr>
        <w:t>ees. Moreover, repairing our reputation and brands may be difficult, time-consuming, and expensive.</w:t>
      </w:r>
    </w:p>
    <w:p w14:paraId="5A1B0852" w14:textId="77777777" w:rsidR="00960BB8" w:rsidRDefault="00C06650">
      <w:pPr>
        <w:spacing w:after="120"/>
      </w:pPr>
      <w:r>
        <w:rPr>
          <w:rFonts w:ascii="Arial" w:eastAsia="宋体" w:hAnsi="Arial" w:cs="Arial"/>
          <w:color w:val="0068B5"/>
        </w:rPr>
        <w:t>We are subject to cybersecurity and privacy risks.</w:t>
      </w:r>
    </w:p>
    <w:p w14:paraId="5A1B0853" w14:textId="77777777" w:rsidR="00960BB8" w:rsidRDefault="00C06650">
      <w:pPr>
        <w:spacing w:after="180"/>
      </w:pPr>
      <w:r>
        <w:rPr>
          <w:rFonts w:ascii="Arial" w:eastAsia="宋体" w:hAnsi="Arial" w:cs="Arial"/>
          <w:color w:val="0068B5"/>
          <w:sz w:val="18"/>
          <w:szCs w:val="18"/>
        </w:rPr>
        <w:t>We face risks related to cybersecurity threats and incidents.</w:t>
      </w:r>
      <w:r>
        <w:rPr>
          <w:rFonts w:ascii="Arial" w:eastAsia="宋体" w:hAnsi="Arial" w:cs="Arial"/>
          <w:color w:val="262626"/>
          <w:sz w:val="18"/>
          <w:szCs w:val="18"/>
        </w:rPr>
        <w:t> We regularly face attempts by others to gai</w:t>
      </w:r>
      <w:r>
        <w:rPr>
          <w:rFonts w:ascii="Arial" w:eastAsia="宋体" w:hAnsi="Arial" w:cs="Arial"/>
          <w:color w:val="262626"/>
          <w:sz w:val="18"/>
          <w:szCs w:val="18"/>
        </w:rPr>
        <w:t>n unauthorized access through the Internet, or to introduce malicious software, to our IT systems. Individuals or organizations, including malicious hackers, state-sponsored organizations, insider threats including employees and third-party service provide</w:t>
      </w:r>
      <w:r>
        <w:rPr>
          <w:rFonts w:ascii="Arial" w:eastAsia="宋体" w:hAnsi="Arial" w:cs="Arial"/>
          <w:color w:val="262626"/>
          <w:sz w:val="18"/>
          <w:szCs w:val="18"/>
        </w:rPr>
        <w:t>rs, or intruders into our physical facilities, at times attempt to gain unauthorized access and/or corrupt the processes used to design and manufacture our hardware products and our associated software and services. Due to the widespread use of our product</w:t>
      </w:r>
      <w:r>
        <w:rPr>
          <w:rFonts w:ascii="Arial" w:eastAsia="宋体" w:hAnsi="Arial" w:cs="Arial"/>
          <w:color w:val="262626"/>
          <w:sz w:val="18"/>
          <w:szCs w:val="18"/>
        </w:rPr>
        <w:t>s, we are a frequent target of computer hackers and organizations that intend to sabotage, compromise, take control of, or otherwise corrupt our manufacturing or other processes, products, and services. We are also a target of malicious attackers who attem</w:t>
      </w:r>
      <w:r>
        <w:rPr>
          <w:rFonts w:ascii="Arial" w:eastAsia="宋体" w:hAnsi="Arial" w:cs="Arial"/>
          <w:color w:val="262626"/>
          <w:sz w:val="18"/>
          <w:szCs w:val="18"/>
        </w:rPr>
        <w:t>pt to gain access to our network or data centers or those of our suppliers, customers, partners, or end users; steal proprietary information related to our business, products, employees, suppliers, and customers; interrupt our systems and services or those</w:t>
      </w:r>
      <w:r>
        <w:rPr>
          <w:rFonts w:ascii="Arial" w:eastAsia="宋体" w:hAnsi="Arial" w:cs="Arial"/>
          <w:color w:val="262626"/>
          <w:sz w:val="18"/>
          <w:szCs w:val="18"/>
        </w:rPr>
        <w:t xml:space="preserve"> of our suppliers, customers, or others; or demand ransom to return control of such systems and services. Such attempts are increasing in number and in technical sophistication, and if successful, expose us and the affected parties to risk of loss or misus</w:t>
      </w:r>
      <w:r>
        <w:rPr>
          <w:rFonts w:ascii="Arial" w:eastAsia="宋体" w:hAnsi="Arial" w:cs="Arial"/>
          <w:color w:val="262626"/>
          <w:sz w:val="18"/>
          <w:szCs w:val="18"/>
        </w:rPr>
        <w:t>e of proprietary or confidential information or disruptions of our business operations, including our manufacturing operations. Our IT infrastructure also includes products and services provided by third parties, and these providers can experience breaches</w:t>
      </w:r>
      <w:r>
        <w:rPr>
          <w:rFonts w:ascii="Arial" w:eastAsia="宋体" w:hAnsi="Arial" w:cs="Arial"/>
          <w:color w:val="262626"/>
          <w:sz w:val="18"/>
          <w:szCs w:val="18"/>
        </w:rPr>
        <w:t xml:space="preserve"> of their systems and products, or provide inadequate updates or support, which can impact the security of our systems and our proprietary or confidential information. In addition, we are a global company with operations and employees around the world. We </w:t>
      </w:r>
      <w:r>
        <w:rPr>
          <w:rFonts w:ascii="Arial" w:eastAsia="宋体" w:hAnsi="Arial" w:cs="Arial"/>
          <w:color w:val="262626"/>
          <w:sz w:val="18"/>
          <w:szCs w:val="18"/>
        </w:rPr>
        <w:t>face risks related to the use or misuse, inadvertent or otherwise, of our IT systems by employees, vendors, and other individuals with access to our systems.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85D" w14:textId="77777777">
        <w:tc>
          <w:tcPr>
            <w:tcW w:w="50" w:type="pct"/>
            <w:shd w:val="clear" w:color="auto" w:fill="auto"/>
            <w:vAlign w:val="bottom"/>
          </w:tcPr>
          <w:p w14:paraId="5A1B0854" w14:textId="77777777" w:rsidR="00960BB8" w:rsidRDefault="00960BB8">
            <w:pPr>
              <w:rPr>
                <w:rFonts w:ascii="宋体"/>
              </w:rPr>
            </w:pPr>
          </w:p>
        </w:tc>
        <w:tc>
          <w:tcPr>
            <w:tcW w:w="283" w:type="pct"/>
            <w:shd w:val="clear" w:color="auto" w:fill="auto"/>
            <w:vAlign w:val="bottom"/>
          </w:tcPr>
          <w:p w14:paraId="5A1B0855" w14:textId="77777777" w:rsidR="00960BB8" w:rsidRDefault="00960BB8">
            <w:pPr>
              <w:rPr>
                <w:rFonts w:ascii="宋体"/>
              </w:rPr>
            </w:pPr>
          </w:p>
        </w:tc>
        <w:tc>
          <w:tcPr>
            <w:tcW w:w="5" w:type="pct"/>
            <w:shd w:val="clear" w:color="auto" w:fill="auto"/>
            <w:vAlign w:val="bottom"/>
          </w:tcPr>
          <w:p w14:paraId="5A1B0856" w14:textId="77777777" w:rsidR="00960BB8" w:rsidRDefault="00960BB8">
            <w:pPr>
              <w:rPr>
                <w:rFonts w:ascii="宋体"/>
              </w:rPr>
            </w:pPr>
          </w:p>
        </w:tc>
        <w:tc>
          <w:tcPr>
            <w:tcW w:w="50" w:type="pct"/>
            <w:shd w:val="clear" w:color="auto" w:fill="auto"/>
            <w:vAlign w:val="bottom"/>
          </w:tcPr>
          <w:p w14:paraId="5A1B0857" w14:textId="77777777" w:rsidR="00960BB8" w:rsidRDefault="00960BB8">
            <w:pPr>
              <w:rPr>
                <w:rFonts w:ascii="宋体"/>
              </w:rPr>
            </w:pPr>
          </w:p>
        </w:tc>
        <w:tc>
          <w:tcPr>
            <w:tcW w:w="2656" w:type="pct"/>
            <w:shd w:val="clear" w:color="auto" w:fill="auto"/>
            <w:vAlign w:val="bottom"/>
          </w:tcPr>
          <w:p w14:paraId="5A1B0858" w14:textId="77777777" w:rsidR="00960BB8" w:rsidRDefault="00960BB8">
            <w:pPr>
              <w:rPr>
                <w:rFonts w:ascii="宋体"/>
              </w:rPr>
            </w:pPr>
          </w:p>
        </w:tc>
        <w:tc>
          <w:tcPr>
            <w:tcW w:w="5" w:type="pct"/>
            <w:shd w:val="clear" w:color="auto" w:fill="auto"/>
            <w:vAlign w:val="bottom"/>
          </w:tcPr>
          <w:p w14:paraId="5A1B0859" w14:textId="77777777" w:rsidR="00960BB8" w:rsidRDefault="00960BB8">
            <w:pPr>
              <w:rPr>
                <w:rFonts w:ascii="宋体"/>
              </w:rPr>
            </w:pPr>
          </w:p>
        </w:tc>
        <w:tc>
          <w:tcPr>
            <w:tcW w:w="50" w:type="pct"/>
            <w:shd w:val="clear" w:color="auto" w:fill="auto"/>
            <w:vAlign w:val="bottom"/>
          </w:tcPr>
          <w:p w14:paraId="5A1B085A" w14:textId="77777777" w:rsidR="00960BB8" w:rsidRDefault="00960BB8">
            <w:pPr>
              <w:rPr>
                <w:rFonts w:ascii="宋体"/>
              </w:rPr>
            </w:pPr>
          </w:p>
        </w:tc>
        <w:tc>
          <w:tcPr>
            <w:tcW w:w="1894" w:type="pct"/>
            <w:shd w:val="clear" w:color="auto" w:fill="auto"/>
            <w:vAlign w:val="bottom"/>
          </w:tcPr>
          <w:p w14:paraId="5A1B085B" w14:textId="77777777" w:rsidR="00960BB8" w:rsidRDefault="00960BB8">
            <w:pPr>
              <w:rPr>
                <w:rFonts w:ascii="宋体"/>
              </w:rPr>
            </w:pPr>
          </w:p>
        </w:tc>
        <w:tc>
          <w:tcPr>
            <w:tcW w:w="5" w:type="pct"/>
            <w:shd w:val="clear" w:color="auto" w:fill="auto"/>
            <w:vAlign w:val="bottom"/>
          </w:tcPr>
          <w:p w14:paraId="5A1B085C" w14:textId="77777777" w:rsidR="00960BB8" w:rsidRDefault="00960BB8">
            <w:pPr>
              <w:rPr>
                <w:rFonts w:ascii="宋体"/>
              </w:rPr>
            </w:pPr>
          </w:p>
        </w:tc>
      </w:tr>
      <w:tr w:rsidR="00960BB8" w14:paraId="5A1B086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85E"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3A" wp14:editId="5A1B443B">
                  <wp:extent cx="304800" cy="304800"/>
                  <wp:effectExtent l="0" t="0" r="0" b="0"/>
                  <wp:docPr id="113" name="图片 212"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12"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5F"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60" w14:textId="77777777" w:rsidR="00960BB8" w:rsidRDefault="00C06650">
            <w:pPr>
              <w:jc w:val="right"/>
              <w:textAlignment w:val="center"/>
            </w:pPr>
            <w:r>
              <w:rPr>
                <w:rFonts w:ascii="Arial" w:eastAsia="宋体" w:hAnsi="Arial" w:cs="Arial"/>
                <w:color w:val="262626"/>
                <w:sz w:val="16"/>
                <w:szCs w:val="16"/>
              </w:rPr>
              <w:t>62</w:t>
            </w:r>
          </w:p>
        </w:tc>
      </w:tr>
    </w:tbl>
    <w:p w14:paraId="5A1B0862" w14:textId="77777777" w:rsidR="00960BB8" w:rsidRDefault="00C06650">
      <w:r>
        <w:pict w14:anchorId="5A1B443C">
          <v:rect id="_x0000_i1088" style="width:415.3pt;height:1.5pt" o:hralign="center" o:hrstd="t" o:hr="t" fillcolor="#a0a0a0" stroked="f"/>
        </w:pict>
      </w:r>
    </w:p>
    <w:p w14:paraId="5A1B0863" w14:textId="77777777" w:rsidR="00960BB8" w:rsidRDefault="00C06650">
      <w:pPr>
        <w:jc w:val="right"/>
      </w:pPr>
      <w:hyperlink r:id="rId81" w:anchor="i8aaa7b4dbd2e419ca0f5c30af85a11aa_16" w:history="1">
        <w:r>
          <w:rPr>
            <w:rStyle w:val="a5"/>
            <w:rFonts w:ascii="Arial" w:eastAsia="宋体" w:hAnsi="Arial" w:cs="Arial"/>
            <w:b/>
            <w:bCs/>
            <w:sz w:val="16"/>
            <w:szCs w:val="16"/>
          </w:rPr>
          <w:t>Table of Contents</w:t>
        </w:r>
      </w:hyperlink>
    </w:p>
    <w:p w14:paraId="5A1B0864" w14:textId="77777777" w:rsidR="00960BB8" w:rsidRDefault="00960BB8">
      <w:pPr>
        <w:jc w:val="right"/>
      </w:pPr>
    </w:p>
    <w:p w14:paraId="5A1B0865" w14:textId="77777777" w:rsidR="00960BB8" w:rsidRDefault="00C06650">
      <w:pPr>
        <w:spacing w:after="180"/>
      </w:pPr>
      <w:r>
        <w:rPr>
          <w:rFonts w:ascii="Arial" w:eastAsia="宋体" w:hAnsi="Arial" w:cs="Arial"/>
          <w:color w:val="262626"/>
          <w:sz w:val="18"/>
          <w:szCs w:val="18"/>
        </w:rPr>
        <w:t xml:space="preserve">From time to time, we encounter intrusions or unauthorized access to our </w:t>
      </w:r>
      <w:r>
        <w:rPr>
          <w:rFonts w:ascii="Arial" w:eastAsia="宋体" w:hAnsi="Arial" w:cs="Arial"/>
          <w:color w:val="262626"/>
          <w:sz w:val="18"/>
          <w:szCs w:val="18"/>
        </w:rPr>
        <w:t xml:space="preserve">network, products, services, or infrastructure, as well as those of third parties who provide products and services to us. For example, in the fourth quarter of 2020, our Habana Labs subsidiary’s network was breached, resulting in unauthorized third-party </w:t>
      </w:r>
      <w:r>
        <w:rPr>
          <w:rFonts w:ascii="Arial" w:eastAsia="宋体" w:hAnsi="Arial" w:cs="Arial"/>
          <w:color w:val="262626"/>
          <w:sz w:val="18"/>
          <w:szCs w:val="18"/>
        </w:rPr>
        <w:t>access of certain confidential information, in connection with a suspected unsuccessful ransomware attack. The breach was confined to our subsidiary's network and has not had a material impact on Habana Labs’ business. We are also subject to risks associat</w:t>
      </w:r>
      <w:r>
        <w:rPr>
          <w:rFonts w:ascii="Arial" w:eastAsia="宋体" w:hAnsi="Arial" w:cs="Arial"/>
          <w:color w:val="262626"/>
          <w:sz w:val="18"/>
          <w:szCs w:val="18"/>
        </w:rPr>
        <w:t>ed with attacks involving our supply chain, such as the compromise of IT infrastructure management software provided by SolarWinds Corporation, reported in the fourth quarter of 2020. During 2021, we have observed an increase in ransomware attacks in our s</w:t>
      </w:r>
      <w:r>
        <w:rPr>
          <w:rFonts w:ascii="Arial" w:eastAsia="宋体" w:hAnsi="Arial" w:cs="Arial"/>
          <w:color w:val="262626"/>
          <w:sz w:val="18"/>
          <w:szCs w:val="18"/>
        </w:rPr>
        <w:t>upply chain. In December 2021, a vulnerability named “Log4Shell” was reported for the widely used Java logging library, Apache Log4j 2. We reviewed the use of this library within our software product portfolio and in our IT environment, but the steps we ha</w:t>
      </w:r>
      <w:r>
        <w:rPr>
          <w:rFonts w:ascii="Arial" w:eastAsia="宋体" w:hAnsi="Arial" w:cs="Arial"/>
          <w:color w:val="262626"/>
          <w:sz w:val="18"/>
          <w:szCs w:val="18"/>
        </w:rPr>
        <w:t xml:space="preserve">ve taken to mitigate the vulnerability may not be sufficient to mitigate all related risks. To date, cybersecurity incidents have not resulted in a material adverse impact to our business or operations, but there can be no guarantee we will not experience </w:t>
      </w:r>
      <w:r>
        <w:rPr>
          <w:rFonts w:ascii="Arial" w:eastAsia="宋体" w:hAnsi="Arial" w:cs="Arial"/>
          <w:color w:val="262626"/>
          <w:sz w:val="18"/>
          <w:szCs w:val="18"/>
        </w:rPr>
        <w:t>such an impact. Such incidents, whether or not successful, could result in our incurring significant costs related to, for example, rebuilding internal systems, writing down inventory value, implementing additional threat protection measures, providing mod</w:t>
      </w:r>
      <w:r>
        <w:rPr>
          <w:rFonts w:ascii="Arial" w:eastAsia="宋体" w:hAnsi="Arial" w:cs="Arial"/>
          <w:color w:val="262626"/>
          <w:sz w:val="18"/>
          <w:szCs w:val="18"/>
        </w:rPr>
        <w:t xml:space="preserve">ifications to our products and services, defending against litigation, responding to regulatory inquiries or actions, paying damages, providing customers with incentives to maintain the business relationship, or taking other remedial steps with respect to </w:t>
      </w:r>
      <w:r>
        <w:rPr>
          <w:rFonts w:ascii="Arial" w:eastAsia="宋体" w:hAnsi="Arial" w:cs="Arial"/>
          <w:color w:val="262626"/>
          <w:sz w:val="18"/>
          <w:szCs w:val="18"/>
        </w:rPr>
        <w:t xml:space="preserve">third parties, as well as reputational harm. In addition, these threats are constantly evolving, thereby increasing the difficulty of successfully defending against them or implementing adequate preventative measures. As a result of the COVID-19 pandemic, </w:t>
      </w:r>
      <w:r>
        <w:rPr>
          <w:rFonts w:ascii="Arial" w:eastAsia="宋体" w:hAnsi="Arial" w:cs="Arial"/>
          <w:color w:val="262626"/>
          <w:sz w:val="18"/>
          <w:szCs w:val="18"/>
        </w:rPr>
        <w:t>remote work and remote access to our systems has increased significantly, which also increases our cybersecurity attack surface. We have also seen an increase in cyberattack volume, frequency, and sophistication driven by the global enablement of remote wo</w:t>
      </w:r>
      <w:r>
        <w:rPr>
          <w:rFonts w:ascii="Arial" w:eastAsia="宋体" w:hAnsi="Arial" w:cs="Arial"/>
          <w:color w:val="262626"/>
          <w:sz w:val="18"/>
          <w:szCs w:val="18"/>
        </w:rPr>
        <w:t>rkforces. We seek to detect and investigate unauthorized attempts and attacks against our network, products, and services, and to prevent their recurrence where practicable through changes or updates to our internal processes and tools and changes or updat</w:t>
      </w:r>
      <w:r>
        <w:rPr>
          <w:rFonts w:ascii="Arial" w:eastAsia="宋体" w:hAnsi="Arial" w:cs="Arial"/>
          <w:color w:val="262626"/>
          <w:sz w:val="18"/>
          <w:szCs w:val="18"/>
        </w:rPr>
        <w:t>es to our products and services; however, we remain potentially vulnerable to additional known or unknown threats. In some instances, we, our suppliers, our customers, and the users of our products and services can be unaware of an incident or its magnitud</w:t>
      </w:r>
      <w:r>
        <w:rPr>
          <w:rFonts w:ascii="Arial" w:eastAsia="宋体" w:hAnsi="Arial" w:cs="Arial"/>
          <w:color w:val="262626"/>
          <w:sz w:val="18"/>
          <w:szCs w:val="18"/>
        </w:rPr>
        <w:t>e and effects. There is increasing regulation regarding responses to cybersecurity incidents, including reporting to regulators, which could subject us to additional liability and reputational harm.</w:t>
      </w:r>
    </w:p>
    <w:p w14:paraId="5A1B0866" w14:textId="77777777" w:rsidR="00960BB8" w:rsidRDefault="00C06650">
      <w:pPr>
        <w:spacing w:after="180"/>
      </w:pPr>
      <w:r>
        <w:rPr>
          <w:rFonts w:ascii="Arial" w:eastAsia="宋体" w:hAnsi="Arial" w:cs="Arial"/>
          <w:color w:val="0068B5"/>
          <w:sz w:val="18"/>
          <w:szCs w:val="18"/>
        </w:rPr>
        <w:t>Theft, loss, or misuse of personal data about our employe</w:t>
      </w:r>
      <w:r>
        <w:rPr>
          <w:rFonts w:ascii="Arial" w:eastAsia="宋体" w:hAnsi="Arial" w:cs="Arial"/>
          <w:color w:val="0068B5"/>
          <w:sz w:val="18"/>
          <w:szCs w:val="18"/>
        </w:rPr>
        <w:t>es, customers, or other third parties could increase our expenses, damage our reputation, or result in legal or regulatory proceedings.</w:t>
      </w:r>
      <w:r>
        <w:rPr>
          <w:rFonts w:ascii="Arial" w:eastAsia="宋体" w:hAnsi="Arial" w:cs="Arial"/>
          <w:color w:val="262626"/>
          <w:sz w:val="18"/>
          <w:szCs w:val="18"/>
        </w:rPr>
        <w:t xml:space="preserve"> The theft, loss, or misuse of personal data collected, used, stored, or transferred by us to run our business, including</w:t>
      </w:r>
      <w:r>
        <w:rPr>
          <w:rFonts w:ascii="Arial" w:eastAsia="宋体" w:hAnsi="Arial" w:cs="Arial"/>
          <w:color w:val="262626"/>
          <w:sz w:val="18"/>
          <w:szCs w:val="18"/>
        </w:rPr>
        <w:t xml:space="preserve"> data stored with vendors or other third parties, could result in significantly increased business and security costs or costs related to defending legal claims. We anticipate that our collection of such personal data will increase as we enter into the Maa</w:t>
      </w:r>
      <w:r>
        <w:rPr>
          <w:rFonts w:ascii="Arial" w:eastAsia="宋体" w:hAnsi="Arial" w:cs="Arial"/>
          <w:color w:val="262626"/>
          <w:sz w:val="18"/>
          <w:szCs w:val="18"/>
        </w:rPr>
        <w:t>S market in our Mobileye business, and it may increase as we enter into other new or adjacent businesses. Global privacy legislation, enforcement, and policy activity in this area are rapidly expanding and creating a complex regulatory compliance environme</w:t>
      </w:r>
      <w:r>
        <w:rPr>
          <w:rFonts w:ascii="Arial" w:eastAsia="宋体" w:hAnsi="Arial" w:cs="Arial"/>
          <w:color w:val="262626"/>
          <w:sz w:val="18"/>
          <w:szCs w:val="18"/>
        </w:rPr>
        <w:t>nt. Costs to comply with and implement these privacy-related and data-protection measures could be significant, and noncompliance could expose us to significant monetary penalties, damage to our reputation, suspension of online services or sites in certain</w:t>
      </w:r>
      <w:r>
        <w:rPr>
          <w:rFonts w:ascii="Arial" w:eastAsia="宋体" w:hAnsi="Arial" w:cs="Arial"/>
          <w:color w:val="262626"/>
          <w:sz w:val="18"/>
          <w:szCs w:val="18"/>
        </w:rPr>
        <w:t xml:space="preserve"> countries, and even criminal sanctions. Even our inadvertent failure to comply with federal, state, or international privacy-related or data-protection laws and regulations could result in audits, regulatory inquiries, or proceedings against us by governm</w:t>
      </w:r>
      <w:r>
        <w:rPr>
          <w:rFonts w:ascii="Arial" w:eastAsia="宋体" w:hAnsi="Arial" w:cs="Arial"/>
          <w:color w:val="262626"/>
          <w:sz w:val="18"/>
          <w:szCs w:val="18"/>
        </w:rPr>
        <w:t>ental entities or other third parties.</w:t>
      </w:r>
    </w:p>
    <w:p w14:paraId="5A1B0867" w14:textId="77777777" w:rsidR="00960BB8" w:rsidRDefault="00C06650">
      <w:pPr>
        <w:spacing w:after="120"/>
      </w:pPr>
      <w:r>
        <w:rPr>
          <w:rFonts w:ascii="Arial" w:eastAsia="宋体" w:hAnsi="Arial" w:cs="Arial"/>
          <w:color w:val="0068B5"/>
        </w:rPr>
        <w:t xml:space="preserve">We are subject to IP risks and risks associated with litigation and regulatory proceedings. </w:t>
      </w:r>
    </w:p>
    <w:p w14:paraId="5A1B0868" w14:textId="77777777" w:rsidR="00960BB8" w:rsidRDefault="00C06650">
      <w:pPr>
        <w:spacing w:after="180"/>
      </w:pPr>
      <w:r>
        <w:rPr>
          <w:rFonts w:ascii="Arial" w:eastAsia="宋体" w:hAnsi="Arial" w:cs="Arial"/>
          <w:color w:val="0068B5"/>
          <w:sz w:val="18"/>
          <w:szCs w:val="18"/>
        </w:rPr>
        <w:t>We cannot always protect our IP or enforce our IP rights.</w:t>
      </w:r>
      <w:r>
        <w:rPr>
          <w:rFonts w:ascii="Arial" w:eastAsia="宋体" w:hAnsi="Arial" w:cs="Arial"/>
          <w:color w:val="026DCE"/>
          <w:sz w:val="18"/>
          <w:szCs w:val="18"/>
        </w:rPr>
        <w:t xml:space="preserve"> </w:t>
      </w:r>
      <w:r>
        <w:rPr>
          <w:rFonts w:ascii="Arial" w:eastAsia="宋体" w:hAnsi="Arial" w:cs="Arial"/>
          <w:color w:val="262626"/>
          <w:sz w:val="18"/>
          <w:szCs w:val="18"/>
        </w:rPr>
        <w:t>We regard our patents, copyrights, trade secrets, and other IP rig</w:t>
      </w:r>
      <w:r>
        <w:rPr>
          <w:rFonts w:ascii="Arial" w:eastAsia="宋体" w:hAnsi="Arial" w:cs="Arial"/>
          <w:color w:val="262626"/>
          <w:sz w:val="18"/>
          <w:szCs w:val="18"/>
        </w:rPr>
        <w:t xml:space="preserve">hts as important to the success of our business. We rely on IP law—as well as confidentiality and licensing agreements with our customers, employees, technology development partners, and others—to protect our IP and IP rights. Our ability to enforce these </w:t>
      </w:r>
      <w:r>
        <w:rPr>
          <w:rFonts w:ascii="Arial" w:eastAsia="宋体" w:hAnsi="Arial" w:cs="Arial"/>
          <w:color w:val="262626"/>
          <w:sz w:val="18"/>
          <w:szCs w:val="18"/>
        </w:rPr>
        <w:t>rights is subject to general litigation risks, as well as uncertainty as to the enforceability of our IP rights in various countries. We are not always able to obtain protection for our IP or enforce or protect our IP rights. Enforcement is costly and time</w:t>
      </w:r>
      <w:r>
        <w:rPr>
          <w:rFonts w:ascii="Arial" w:eastAsia="宋体" w:hAnsi="Arial" w:cs="Arial"/>
          <w:color w:val="262626"/>
          <w:sz w:val="18"/>
          <w:szCs w:val="18"/>
        </w:rPr>
        <w:t>-consuming and can divert management attention. When we seek to enforce our rights, we may be subject to claims that our IP rights are invalid, not enforceable, or licensed to an opposing party. Our assertion of IP rights may result in another party seekin</w:t>
      </w:r>
      <w:r>
        <w:rPr>
          <w:rFonts w:ascii="Arial" w:eastAsia="宋体" w:hAnsi="Arial" w:cs="Arial"/>
          <w:color w:val="262626"/>
          <w:sz w:val="18"/>
          <w:szCs w:val="18"/>
        </w:rPr>
        <w:t>g to assert claims against us, which could harm our business. From time to time, governments adopt regulations—and governments or courts render decisions—requiring compulsory licensing of IP rights, or governments require products to meet standards that fa</w:t>
      </w:r>
      <w:r>
        <w:rPr>
          <w:rFonts w:ascii="Arial" w:eastAsia="宋体" w:hAnsi="Arial" w:cs="Arial"/>
          <w:color w:val="262626"/>
          <w:sz w:val="18"/>
          <w:szCs w:val="18"/>
        </w:rPr>
        <w:t xml:space="preserve">vor local companies. Our inability to enforce our IP rights under any of these circumstances can harm our competitive position and business. </w:t>
      </w:r>
      <w:r>
        <w:rPr>
          <w:rFonts w:ascii="Arial" w:eastAsia="宋体" w:hAnsi="Arial" w:cs="Arial"/>
          <w:color w:val="333333"/>
          <w:sz w:val="18"/>
          <w:szCs w:val="18"/>
        </w:rPr>
        <w:t xml:space="preserve">In some cases, our IP rights can offer inadequate protection for our innovations. </w:t>
      </w:r>
      <w:r>
        <w:rPr>
          <w:rFonts w:ascii="Arial" w:eastAsia="宋体" w:hAnsi="Arial" w:cs="Arial"/>
          <w:color w:val="262626"/>
          <w:sz w:val="18"/>
          <w:szCs w:val="18"/>
        </w:rPr>
        <w:t>In addition, the theft or unautho</w:t>
      </w:r>
      <w:r>
        <w:rPr>
          <w:rFonts w:ascii="Arial" w:eastAsia="宋体" w:hAnsi="Arial" w:cs="Arial"/>
          <w:color w:val="262626"/>
          <w:sz w:val="18"/>
          <w:szCs w:val="18"/>
        </w:rPr>
        <w:t>rized use or publication of our trade secrets and other confidential business information could harm our competitive position and reduce acceptance of our products; as a result, the value of our investment in R&amp;D, product development, and marketing could b</w:t>
      </w:r>
      <w:r>
        <w:rPr>
          <w:rFonts w:ascii="Arial" w:eastAsia="宋体" w:hAnsi="Arial" w:cs="Arial"/>
          <w:color w:val="262626"/>
          <w:sz w:val="18"/>
          <w:szCs w:val="18"/>
        </w:rPr>
        <w:t>e reduced. This risk is heightened as competitors for technical talent increasingly seek to hire our employees</w:t>
      </w:r>
      <w:r>
        <w:rPr>
          <w:rFonts w:ascii="Times New Roman" w:eastAsia="宋体" w:hAnsi="Times New Roman"/>
          <w:color w:val="262626"/>
          <w:sz w:val="18"/>
          <w:szCs w:val="18"/>
        </w:rPr>
        <w:t>.</w:t>
      </w:r>
    </w:p>
    <w:p w14:paraId="5A1B0869" w14:textId="77777777" w:rsidR="00960BB8" w:rsidRDefault="00C06650">
      <w:pPr>
        <w:spacing w:after="180"/>
      </w:pPr>
      <w:r>
        <w:rPr>
          <w:rFonts w:ascii="Arial" w:eastAsia="宋体" w:hAnsi="Arial" w:cs="Arial"/>
          <w:color w:val="0068B5"/>
          <w:sz w:val="18"/>
          <w:szCs w:val="18"/>
        </w:rPr>
        <w:t xml:space="preserve">Our licenses with other companies and participation in industry initiatives at times allow competitors to use some of our patent rights. </w:t>
      </w:r>
      <w:r>
        <w:rPr>
          <w:rFonts w:ascii="Arial" w:eastAsia="宋体" w:hAnsi="Arial" w:cs="Arial"/>
          <w:color w:val="262626"/>
          <w:sz w:val="18"/>
          <w:szCs w:val="18"/>
        </w:rPr>
        <w:t>Technol</w:t>
      </w:r>
      <w:r>
        <w:rPr>
          <w:rFonts w:ascii="Arial" w:eastAsia="宋体" w:hAnsi="Arial" w:cs="Arial"/>
          <w:color w:val="262626"/>
          <w:sz w:val="18"/>
          <w:szCs w:val="18"/>
        </w:rPr>
        <w:t xml:space="preserve">ogy companies often bilaterally license patents between each other to settle disputes or as part of business agreements. Some of our competitors have in the past had, and may in the future have, licenses to some of our patents, and under current case law, </w:t>
      </w:r>
      <w:r>
        <w:rPr>
          <w:rFonts w:ascii="Arial" w:eastAsia="宋体" w:hAnsi="Arial" w:cs="Arial"/>
          <w:color w:val="262626"/>
          <w:sz w:val="18"/>
          <w:szCs w:val="18"/>
        </w:rPr>
        <w:t>some of the licenses can exhaust our patent rights as to licensed product sales under some circumstances. Our participation in industry standards organizations or with other industry initiatives at times requires us to offer to license our patents to compa</w:t>
      </w:r>
      <w:r>
        <w:rPr>
          <w:rFonts w:ascii="Arial" w:eastAsia="宋体" w:hAnsi="Arial" w:cs="Arial"/>
          <w:color w:val="262626"/>
          <w:sz w:val="18"/>
          <w:szCs w:val="18"/>
        </w:rPr>
        <w:t>nies that adopt industry-standard specifications. Depending on the rules of the organization, government regulations, or court decisions, we sometimes have to grant licenses to some of our patents for little or no cost, and as a result, we may be unable to</w:t>
      </w:r>
      <w:r>
        <w:rPr>
          <w:rFonts w:ascii="Arial" w:eastAsia="宋体" w:hAnsi="Arial" w:cs="Arial"/>
          <w:color w:val="262626"/>
          <w:sz w:val="18"/>
          <w:szCs w:val="18"/>
        </w:rPr>
        <w:t xml:space="preserve"> enforce certain patents against others, and the value of our IP rights may be impaired.</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873" w14:textId="77777777">
        <w:tc>
          <w:tcPr>
            <w:tcW w:w="50" w:type="pct"/>
            <w:shd w:val="clear" w:color="auto" w:fill="auto"/>
            <w:vAlign w:val="bottom"/>
          </w:tcPr>
          <w:p w14:paraId="5A1B086A" w14:textId="77777777" w:rsidR="00960BB8" w:rsidRDefault="00960BB8">
            <w:pPr>
              <w:rPr>
                <w:rFonts w:ascii="宋体"/>
              </w:rPr>
            </w:pPr>
          </w:p>
        </w:tc>
        <w:tc>
          <w:tcPr>
            <w:tcW w:w="283" w:type="pct"/>
            <w:shd w:val="clear" w:color="auto" w:fill="auto"/>
            <w:vAlign w:val="bottom"/>
          </w:tcPr>
          <w:p w14:paraId="5A1B086B" w14:textId="77777777" w:rsidR="00960BB8" w:rsidRDefault="00960BB8">
            <w:pPr>
              <w:rPr>
                <w:rFonts w:ascii="宋体"/>
              </w:rPr>
            </w:pPr>
          </w:p>
        </w:tc>
        <w:tc>
          <w:tcPr>
            <w:tcW w:w="5" w:type="pct"/>
            <w:shd w:val="clear" w:color="auto" w:fill="auto"/>
            <w:vAlign w:val="bottom"/>
          </w:tcPr>
          <w:p w14:paraId="5A1B086C" w14:textId="77777777" w:rsidR="00960BB8" w:rsidRDefault="00960BB8">
            <w:pPr>
              <w:rPr>
                <w:rFonts w:ascii="宋体"/>
              </w:rPr>
            </w:pPr>
          </w:p>
        </w:tc>
        <w:tc>
          <w:tcPr>
            <w:tcW w:w="50" w:type="pct"/>
            <w:shd w:val="clear" w:color="auto" w:fill="auto"/>
            <w:vAlign w:val="bottom"/>
          </w:tcPr>
          <w:p w14:paraId="5A1B086D" w14:textId="77777777" w:rsidR="00960BB8" w:rsidRDefault="00960BB8">
            <w:pPr>
              <w:rPr>
                <w:rFonts w:ascii="宋体"/>
              </w:rPr>
            </w:pPr>
          </w:p>
        </w:tc>
        <w:tc>
          <w:tcPr>
            <w:tcW w:w="2656" w:type="pct"/>
            <w:shd w:val="clear" w:color="auto" w:fill="auto"/>
            <w:vAlign w:val="bottom"/>
          </w:tcPr>
          <w:p w14:paraId="5A1B086E" w14:textId="77777777" w:rsidR="00960BB8" w:rsidRDefault="00960BB8">
            <w:pPr>
              <w:rPr>
                <w:rFonts w:ascii="宋体"/>
              </w:rPr>
            </w:pPr>
          </w:p>
        </w:tc>
        <w:tc>
          <w:tcPr>
            <w:tcW w:w="5" w:type="pct"/>
            <w:shd w:val="clear" w:color="auto" w:fill="auto"/>
            <w:vAlign w:val="bottom"/>
          </w:tcPr>
          <w:p w14:paraId="5A1B086F" w14:textId="77777777" w:rsidR="00960BB8" w:rsidRDefault="00960BB8">
            <w:pPr>
              <w:rPr>
                <w:rFonts w:ascii="宋体"/>
              </w:rPr>
            </w:pPr>
          </w:p>
        </w:tc>
        <w:tc>
          <w:tcPr>
            <w:tcW w:w="50" w:type="pct"/>
            <w:shd w:val="clear" w:color="auto" w:fill="auto"/>
            <w:vAlign w:val="bottom"/>
          </w:tcPr>
          <w:p w14:paraId="5A1B0870" w14:textId="77777777" w:rsidR="00960BB8" w:rsidRDefault="00960BB8">
            <w:pPr>
              <w:rPr>
                <w:rFonts w:ascii="宋体"/>
              </w:rPr>
            </w:pPr>
          </w:p>
        </w:tc>
        <w:tc>
          <w:tcPr>
            <w:tcW w:w="1894" w:type="pct"/>
            <w:shd w:val="clear" w:color="auto" w:fill="auto"/>
            <w:vAlign w:val="bottom"/>
          </w:tcPr>
          <w:p w14:paraId="5A1B0871" w14:textId="77777777" w:rsidR="00960BB8" w:rsidRDefault="00960BB8">
            <w:pPr>
              <w:rPr>
                <w:rFonts w:ascii="宋体"/>
              </w:rPr>
            </w:pPr>
          </w:p>
        </w:tc>
        <w:tc>
          <w:tcPr>
            <w:tcW w:w="5" w:type="pct"/>
            <w:shd w:val="clear" w:color="auto" w:fill="auto"/>
            <w:vAlign w:val="bottom"/>
          </w:tcPr>
          <w:p w14:paraId="5A1B0872" w14:textId="77777777" w:rsidR="00960BB8" w:rsidRDefault="00960BB8">
            <w:pPr>
              <w:rPr>
                <w:rFonts w:ascii="宋体"/>
              </w:rPr>
            </w:pPr>
          </w:p>
        </w:tc>
      </w:tr>
      <w:tr w:rsidR="00960BB8" w14:paraId="5A1B087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874"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3D" wp14:editId="5A1B443E">
                  <wp:extent cx="304800" cy="304800"/>
                  <wp:effectExtent l="0" t="0" r="0" b="0"/>
                  <wp:docPr id="59" name="图片 214"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14"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75"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76" w14:textId="77777777" w:rsidR="00960BB8" w:rsidRDefault="00C06650">
            <w:pPr>
              <w:jc w:val="right"/>
              <w:textAlignment w:val="center"/>
            </w:pPr>
            <w:r>
              <w:rPr>
                <w:rFonts w:ascii="Arial" w:eastAsia="宋体" w:hAnsi="Arial" w:cs="Arial"/>
                <w:color w:val="262626"/>
                <w:sz w:val="16"/>
                <w:szCs w:val="16"/>
              </w:rPr>
              <w:t>63</w:t>
            </w:r>
          </w:p>
        </w:tc>
      </w:tr>
    </w:tbl>
    <w:p w14:paraId="5A1B0878" w14:textId="77777777" w:rsidR="00960BB8" w:rsidRDefault="00C06650">
      <w:r>
        <w:pict w14:anchorId="5A1B443F">
          <v:rect id="_x0000_i1089" style="width:415.3pt;height:1.5pt" o:hralign="center" o:hrstd="t" o:hr="t" fillcolor="#a0a0a0" stroked="f"/>
        </w:pict>
      </w:r>
    </w:p>
    <w:p w14:paraId="5A1B0879" w14:textId="77777777" w:rsidR="00960BB8" w:rsidRDefault="00C06650">
      <w:pPr>
        <w:jc w:val="right"/>
      </w:pPr>
      <w:hyperlink r:id="rId82" w:anchor="i8aaa7b4dbd2e419ca0f5c30af85a11aa_16" w:history="1">
        <w:r>
          <w:rPr>
            <w:rStyle w:val="a5"/>
            <w:rFonts w:ascii="Arial" w:eastAsia="宋体" w:hAnsi="Arial" w:cs="Arial"/>
            <w:b/>
            <w:bCs/>
            <w:sz w:val="16"/>
            <w:szCs w:val="16"/>
          </w:rPr>
          <w:t>Table of Contents</w:t>
        </w:r>
      </w:hyperlink>
    </w:p>
    <w:p w14:paraId="5A1B087A" w14:textId="77777777" w:rsidR="00960BB8" w:rsidRDefault="00960BB8">
      <w:pPr>
        <w:jc w:val="right"/>
      </w:pPr>
    </w:p>
    <w:p w14:paraId="5A1B087B" w14:textId="77777777" w:rsidR="00960BB8" w:rsidRDefault="00C06650">
      <w:pPr>
        <w:spacing w:after="180"/>
      </w:pPr>
      <w:r>
        <w:rPr>
          <w:rFonts w:ascii="Arial" w:eastAsia="宋体" w:hAnsi="Arial" w:cs="Arial"/>
          <w:color w:val="0068B5"/>
          <w:sz w:val="18"/>
          <w:szCs w:val="18"/>
        </w:rPr>
        <w:t>Third parties assert claims based on IP rights against us and our products, which c</w:t>
      </w:r>
      <w:r>
        <w:rPr>
          <w:rFonts w:ascii="Arial" w:eastAsia="宋体" w:hAnsi="Arial" w:cs="Arial"/>
          <w:color w:val="0068B5"/>
          <w:sz w:val="18"/>
          <w:szCs w:val="18"/>
        </w:rPr>
        <w:t>ould harm our business.</w:t>
      </w:r>
      <w:r>
        <w:rPr>
          <w:rFonts w:ascii="Arial" w:eastAsia="宋体" w:hAnsi="Arial" w:cs="Arial"/>
          <w:i/>
          <w:iCs/>
          <w:color w:val="026DCE"/>
          <w:sz w:val="18"/>
          <w:szCs w:val="18"/>
        </w:rPr>
        <w:t xml:space="preserve"> </w:t>
      </w:r>
      <w:r>
        <w:rPr>
          <w:rFonts w:ascii="Arial" w:eastAsia="宋体" w:hAnsi="Arial" w:cs="Arial"/>
          <w:color w:val="262626"/>
          <w:sz w:val="18"/>
          <w:szCs w:val="18"/>
        </w:rPr>
        <w:t>We face claims based on IP rights from individuals, companies, non-practicing entities, academic and research institutions, and other parties, including claims from those who have aggregated patents acquired from multiple sources to</w:t>
      </w:r>
      <w:r>
        <w:rPr>
          <w:rFonts w:ascii="Arial" w:eastAsia="宋体" w:hAnsi="Arial" w:cs="Arial"/>
          <w:color w:val="262626"/>
          <w:sz w:val="18"/>
          <w:szCs w:val="18"/>
        </w:rPr>
        <w:t xml:space="preserve"> form a new, larger portfolio to assert claims against us and other companies. Additionally, large patent portfolio owners sometimes divest portions of their portfolios to more than one individual or company, increasing the number of parties who own IP rig</w:t>
      </w:r>
      <w:r>
        <w:rPr>
          <w:rFonts w:ascii="Arial" w:eastAsia="宋体" w:hAnsi="Arial" w:cs="Arial"/>
          <w:color w:val="262626"/>
          <w:sz w:val="18"/>
          <w:szCs w:val="18"/>
        </w:rPr>
        <w:t>hts that were previously all held by a single party. We have seen an increase in patent assertions and lawsuits initiated by well-funded non-practicing entities, including entities funded by investment firms and other third parties. In some instances, thes</w:t>
      </w:r>
      <w:r>
        <w:rPr>
          <w:rFonts w:ascii="Arial" w:eastAsia="宋体" w:hAnsi="Arial" w:cs="Arial"/>
          <w:color w:val="262626"/>
          <w:sz w:val="18"/>
          <w:szCs w:val="18"/>
        </w:rPr>
        <w:t>e entities have filed multi-jurisdiction litigation seeking large monetary damages and/or injunctions against us. These lawsuits can increase our cost of doing business, impact our reputation or relationship with customers, and could disrupt our operations</w:t>
      </w:r>
      <w:r>
        <w:rPr>
          <w:rFonts w:ascii="Arial" w:eastAsia="宋体" w:hAnsi="Arial" w:cs="Arial"/>
          <w:color w:val="262626"/>
          <w:sz w:val="18"/>
          <w:szCs w:val="18"/>
        </w:rPr>
        <w:t xml:space="preserve"> if they succeed in blocking the trade of our products. For example, in the multi-jurisdiction litigation brought against us by VLSI, juries in certain of the US federal court cases returned unfavorable verdicts against us of $945 million in damages in Nov</w:t>
      </w:r>
      <w:r>
        <w:rPr>
          <w:rFonts w:ascii="Arial" w:eastAsia="宋体" w:hAnsi="Arial" w:cs="Arial"/>
          <w:color w:val="262626"/>
          <w:sz w:val="18"/>
          <w:szCs w:val="18"/>
        </w:rPr>
        <w:t xml:space="preserve">ember 2022 and approximately $2.2 billion in damages in February 2021, both of which we expect to appeal or have appealed as discussed in "Note 19: Commitments and Contingencies" within the Notes to Consolidated Financial Statements. The patent litigation </w:t>
      </w:r>
      <w:r>
        <w:rPr>
          <w:rFonts w:ascii="Arial" w:eastAsia="宋体" w:hAnsi="Arial" w:cs="Arial"/>
          <w:color w:val="262626"/>
          <w:sz w:val="18"/>
          <w:szCs w:val="18"/>
        </w:rPr>
        <w:t>environment has also become more challenging due to the emergence of venues adopting procedural and substantive rules that make them more favorable for patent asserters, including the availability of injunctive relief for non-practicing entities, and the U</w:t>
      </w:r>
      <w:r>
        <w:rPr>
          <w:rFonts w:ascii="Arial" w:eastAsia="宋体" w:hAnsi="Arial" w:cs="Arial"/>
          <w:color w:val="262626"/>
          <w:sz w:val="18"/>
          <w:szCs w:val="18"/>
        </w:rPr>
        <w:t>S Patent and Trademark Office’s reduction of inter partes patent review under the America Invents Act. As a result, we believe we are facing a more hostile IP litigation environment.</w:t>
      </w:r>
    </w:p>
    <w:p w14:paraId="5A1B087C" w14:textId="77777777" w:rsidR="00960BB8" w:rsidRDefault="00C06650">
      <w:pPr>
        <w:spacing w:after="180"/>
      </w:pPr>
      <w:r>
        <w:rPr>
          <w:rFonts w:ascii="Arial" w:eastAsia="宋体" w:hAnsi="Arial" w:cs="Arial"/>
          <w:color w:val="262626"/>
          <w:sz w:val="18"/>
          <w:szCs w:val="18"/>
        </w:rPr>
        <w:t>We are typically engaged in a number of disputes involving IP rights. Cla</w:t>
      </w:r>
      <w:r>
        <w:rPr>
          <w:rFonts w:ascii="Arial" w:eastAsia="宋体" w:hAnsi="Arial" w:cs="Arial"/>
          <w:color w:val="262626"/>
          <w:sz w:val="18"/>
          <w:szCs w:val="18"/>
        </w:rPr>
        <w:t>ims that our products, technologies, or processes infringe the IP rights of others, regardless of their merits, cause us to incur large costs to respond to, defend, and resolve the claims, and they divert the efforts and attention of our management and tec</w:t>
      </w:r>
      <w:r>
        <w:rPr>
          <w:rFonts w:ascii="Arial" w:eastAsia="宋体" w:hAnsi="Arial" w:cs="Arial"/>
          <w:color w:val="262626"/>
          <w:sz w:val="18"/>
          <w:szCs w:val="18"/>
        </w:rPr>
        <w:t>hnical personnel from our business and operations. In addition, we may face claims based on the alleged theft or unauthorized use or disclosure of third-party trade secrets, confidential information, or end-user data that we obtain in conducting our busine</w:t>
      </w:r>
      <w:r>
        <w:rPr>
          <w:rFonts w:ascii="Arial" w:eastAsia="宋体" w:hAnsi="Arial" w:cs="Arial"/>
          <w:color w:val="262626"/>
          <w:sz w:val="18"/>
          <w:szCs w:val="18"/>
        </w:rPr>
        <w:t>ss. Any such incidents and claims could severely disrupt our business, and we could suffer losses, including the cost of product recalls and returns, and reputational harm. Furthermore, we have agreed to indemnify customers for certain IP rights claims aga</w:t>
      </w:r>
      <w:r>
        <w:rPr>
          <w:rFonts w:ascii="Arial" w:eastAsia="宋体" w:hAnsi="Arial" w:cs="Arial"/>
          <w:color w:val="262626"/>
          <w:sz w:val="18"/>
          <w:szCs w:val="18"/>
        </w:rPr>
        <w:t>inst them. IP rights claims against our customers could also limit demand for our products or disrupt our customers' businesses, which could in turn adversely affect our results of operations.</w:t>
      </w:r>
    </w:p>
    <w:p w14:paraId="5A1B087D" w14:textId="77777777" w:rsidR="00960BB8" w:rsidRDefault="00C06650">
      <w:pPr>
        <w:spacing w:after="120"/>
      </w:pPr>
      <w:r>
        <w:rPr>
          <w:rFonts w:ascii="Arial" w:eastAsia="宋体" w:hAnsi="Arial" w:cs="Arial"/>
          <w:color w:val="262626"/>
          <w:sz w:val="18"/>
          <w:szCs w:val="18"/>
        </w:rPr>
        <w:t>As a result of IP rights claims, we could:</w:t>
      </w:r>
    </w:p>
    <w:p w14:paraId="5A1B087E"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pay monetary damage</w:t>
      </w:r>
      <w:r>
        <w:rPr>
          <w:rFonts w:ascii="Arial" w:eastAsia="宋体" w:hAnsi="Arial" w:cs="Arial"/>
          <w:color w:val="262626"/>
          <w:sz w:val="18"/>
          <w:szCs w:val="18"/>
        </w:rPr>
        <w:t>s, payments to satisfy indemnification obligations, royalties, fines, or penalties;</w:t>
      </w:r>
    </w:p>
    <w:p w14:paraId="5A1B087F"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stop manufacturing, using, selling, offering to sell, or importing products or technology subject to claims;    </w:t>
      </w:r>
    </w:p>
    <w:p w14:paraId="5A1B0880"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need to develop other products or technology not </w:t>
      </w:r>
      <w:r>
        <w:rPr>
          <w:rFonts w:ascii="Arial" w:eastAsia="宋体" w:hAnsi="Arial" w:cs="Arial"/>
          <w:color w:val="262626"/>
          <w:sz w:val="18"/>
          <w:szCs w:val="18"/>
        </w:rPr>
        <w:t>subject to claims, which could be time-consuming or costly; and/or</w:t>
      </w:r>
    </w:p>
    <w:p w14:paraId="5A1B0881"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enter into settlement or license agreements, which may not be available on commercially reasonable terms and may be costly.</w:t>
      </w:r>
    </w:p>
    <w:p w14:paraId="5A1B0882" w14:textId="77777777" w:rsidR="00960BB8" w:rsidRDefault="00C06650">
      <w:pPr>
        <w:spacing w:after="180"/>
      </w:pPr>
      <w:r>
        <w:rPr>
          <w:rFonts w:ascii="Arial" w:eastAsia="宋体" w:hAnsi="Arial" w:cs="Arial"/>
          <w:color w:val="262626"/>
          <w:sz w:val="18"/>
          <w:szCs w:val="18"/>
        </w:rPr>
        <w:t xml:space="preserve">These IP rights claims could harm our competitive </w:t>
      </w:r>
      <w:r>
        <w:rPr>
          <w:rFonts w:ascii="Arial" w:eastAsia="宋体" w:hAnsi="Arial" w:cs="Arial"/>
          <w:color w:val="262626"/>
          <w:sz w:val="18"/>
          <w:szCs w:val="18"/>
        </w:rPr>
        <w:t>position, result in expenses, or require us to impair our assets. If we alter or stop production of affected items, our revenue could be harmed.</w:t>
      </w:r>
    </w:p>
    <w:p w14:paraId="5A1B0883" w14:textId="77777777" w:rsidR="00960BB8" w:rsidRDefault="00C06650">
      <w:pPr>
        <w:spacing w:after="180"/>
      </w:pPr>
      <w:r>
        <w:rPr>
          <w:rFonts w:ascii="Arial" w:eastAsia="宋体" w:hAnsi="Arial" w:cs="Arial"/>
          <w:color w:val="0068B5"/>
          <w:sz w:val="18"/>
          <w:szCs w:val="18"/>
        </w:rPr>
        <w:t>We rely on access to third-party IP, which may not be available to us on commercially reasonable terms or at al</w:t>
      </w:r>
      <w:r>
        <w:rPr>
          <w:rFonts w:ascii="Arial" w:eastAsia="宋体" w:hAnsi="Arial" w:cs="Arial"/>
          <w:color w:val="0068B5"/>
          <w:sz w:val="18"/>
          <w:szCs w:val="18"/>
        </w:rPr>
        <w:t>l.</w:t>
      </w:r>
      <w:r>
        <w:rPr>
          <w:rFonts w:ascii="Arial" w:eastAsia="宋体" w:hAnsi="Arial" w:cs="Arial"/>
          <w:b/>
          <w:bCs/>
          <w:color w:val="333333"/>
          <w:sz w:val="18"/>
          <w:szCs w:val="18"/>
        </w:rPr>
        <w:t xml:space="preserve"> </w:t>
      </w:r>
      <w:r>
        <w:rPr>
          <w:rFonts w:ascii="Arial" w:eastAsia="宋体" w:hAnsi="Arial" w:cs="Arial"/>
          <w:color w:val="262626"/>
          <w:sz w:val="18"/>
          <w:szCs w:val="18"/>
        </w:rPr>
        <w:t>Many of our products are designed to include third-party technology or implement industry standards, which may require licenses from third parties. In addition, from time to time, third parties notify us that they believe we are using their IP. There is</w:t>
      </w:r>
      <w:r>
        <w:rPr>
          <w:rFonts w:ascii="Arial" w:eastAsia="宋体" w:hAnsi="Arial" w:cs="Arial"/>
          <w:color w:val="262626"/>
          <w:sz w:val="18"/>
          <w:szCs w:val="18"/>
        </w:rPr>
        <w:t xml:space="preserve"> no assurance that necessary licenses to such third-party IP can be obtained on commercially reasonable terms or at all, or that our existing licenses to third-party IP will continue to be available on commercially reasonable terms or at all. Failure to ob</w:t>
      </w:r>
      <w:r>
        <w:rPr>
          <w:rFonts w:ascii="Arial" w:eastAsia="宋体" w:hAnsi="Arial" w:cs="Arial"/>
          <w:color w:val="262626"/>
          <w:sz w:val="18"/>
          <w:szCs w:val="18"/>
        </w:rPr>
        <w:t>tain the right to use third-party technology, or to license IP on commercially reasonable terms, could preclude us from selling certain products or otherwise have a material adverse impact on our financial condition and operating results. To the extent our</w:t>
      </w:r>
      <w:r>
        <w:rPr>
          <w:rFonts w:ascii="Arial" w:eastAsia="宋体" w:hAnsi="Arial" w:cs="Arial"/>
          <w:color w:val="262626"/>
          <w:sz w:val="18"/>
          <w:szCs w:val="18"/>
        </w:rPr>
        <w:t xml:space="preserve"> products include software that contains or is derived from open-source software, we may be required to make the software's source code publicly available and/or license the software under open-source licensing terms.</w:t>
      </w:r>
    </w:p>
    <w:p w14:paraId="5A1B0884" w14:textId="77777777" w:rsidR="00960BB8" w:rsidRDefault="00C06650">
      <w:pPr>
        <w:spacing w:after="180"/>
      </w:pPr>
      <w:r>
        <w:rPr>
          <w:rFonts w:ascii="Arial" w:eastAsia="宋体" w:hAnsi="Arial" w:cs="Arial"/>
          <w:color w:val="0068B5"/>
          <w:sz w:val="18"/>
          <w:szCs w:val="18"/>
        </w:rPr>
        <w:t>We are subject to risks associated wit</w:t>
      </w:r>
      <w:r>
        <w:rPr>
          <w:rFonts w:ascii="Arial" w:eastAsia="宋体" w:hAnsi="Arial" w:cs="Arial"/>
          <w:color w:val="0068B5"/>
          <w:sz w:val="18"/>
          <w:szCs w:val="18"/>
        </w:rPr>
        <w:t xml:space="preserve">h litigation and regulatory matters. </w:t>
      </w:r>
      <w:r>
        <w:rPr>
          <w:rFonts w:ascii="Arial" w:eastAsia="宋体" w:hAnsi="Arial" w:cs="Arial"/>
          <w:color w:val="262626"/>
          <w:sz w:val="18"/>
          <w:szCs w:val="18"/>
        </w:rPr>
        <w:t>From time to time,</w:t>
      </w:r>
      <w:r>
        <w:rPr>
          <w:rFonts w:ascii="Arial" w:eastAsia="宋体" w:hAnsi="Arial" w:cs="Arial"/>
          <w:b/>
          <w:bCs/>
          <w:i/>
          <w:iCs/>
          <w:color w:val="262626"/>
          <w:sz w:val="18"/>
          <w:szCs w:val="18"/>
        </w:rPr>
        <w:t xml:space="preserve"> </w:t>
      </w:r>
      <w:r>
        <w:rPr>
          <w:rFonts w:ascii="Arial" w:eastAsia="宋体" w:hAnsi="Arial" w:cs="Arial"/>
          <w:color w:val="262626"/>
          <w:sz w:val="18"/>
          <w:szCs w:val="18"/>
        </w:rPr>
        <w:t>we face legal claims or regulatory matters involving stockholder, consumer, competition, commercial, IP, labor and employment, compliance, and other issues on a global basis. As described in "</w:t>
      </w:r>
      <w:r>
        <w:rPr>
          <w:rFonts w:ascii="Arial" w:eastAsia="宋体" w:hAnsi="Arial" w:cs="Arial"/>
          <w:color w:val="000000"/>
          <w:sz w:val="18"/>
          <w:szCs w:val="18"/>
        </w:rPr>
        <w:t>Note 19:</w:t>
      </w:r>
      <w:r>
        <w:rPr>
          <w:rFonts w:ascii="Arial" w:eastAsia="宋体" w:hAnsi="Arial" w:cs="Arial"/>
          <w:color w:val="000000"/>
          <w:sz w:val="18"/>
          <w:szCs w:val="18"/>
        </w:rPr>
        <w:t xml:space="preserve"> Commitments and Contingencies</w:t>
      </w:r>
      <w:r>
        <w:rPr>
          <w:rFonts w:ascii="Arial" w:eastAsia="宋体" w:hAnsi="Arial" w:cs="Arial"/>
          <w:color w:val="262626"/>
          <w:sz w:val="18"/>
          <w:szCs w:val="18"/>
        </w:rPr>
        <w:t>" within the Notes to Consolidated Financial Statements, we are engaged in a number of litigation and regulatory matters. Litigation and regulatory proceedings are inherently uncertain, and adverse rulings, excessive verdicts,</w:t>
      </w:r>
      <w:r>
        <w:rPr>
          <w:rFonts w:ascii="Arial" w:eastAsia="宋体" w:hAnsi="Arial" w:cs="Arial"/>
          <w:color w:val="262626"/>
          <w:sz w:val="18"/>
          <w:szCs w:val="18"/>
        </w:rPr>
        <w:t xml:space="preserve"> or other events could occur, including monetary damages, fines, penalties, or injunctions stopping us from manufacturing or selling certain products, engaging in certain business practices, or requiring other remedies, such as compulsory licensing of pate</w:t>
      </w:r>
      <w:r>
        <w:rPr>
          <w:rFonts w:ascii="Arial" w:eastAsia="宋体" w:hAnsi="Arial" w:cs="Arial"/>
          <w:color w:val="262626"/>
          <w:sz w:val="18"/>
          <w:szCs w:val="18"/>
        </w:rPr>
        <w:t>nts. An unfavorable outcome can result in a material adverse impact on our business, financial condition, and results of operations. Regardless of the outcome, litigation and regulatory proceedings can be costly, time-consuming, disruptive to our operation</w:t>
      </w:r>
      <w:r>
        <w:rPr>
          <w:rFonts w:ascii="Arial" w:eastAsia="宋体" w:hAnsi="Arial" w:cs="Arial"/>
          <w:color w:val="262626"/>
          <w:sz w:val="18"/>
          <w:szCs w:val="18"/>
        </w:rPr>
        <w:t>s, harmful to our reputation, and distracting to management.</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88E" w14:textId="77777777">
        <w:tc>
          <w:tcPr>
            <w:tcW w:w="50" w:type="pct"/>
            <w:shd w:val="clear" w:color="auto" w:fill="auto"/>
            <w:vAlign w:val="bottom"/>
          </w:tcPr>
          <w:p w14:paraId="5A1B0885" w14:textId="77777777" w:rsidR="00960BB8" w:rsidRDefault="00960BB8">
            <w:pPr>
              <w:rPr>
                <w:rFonts w:ascii="宋体"/>
              </w:rPr>
            </w:pPr>
          </w:p>
        </w:tc>
        <w:tc>
          <w:tcPr>
            <w:tcW w:w="283" w:type="pct"/>
            <w:shd w:val="clear" w:color="auto" w:fill="auto"/>
            <w:vAlign w:val="bottom"/>
          </w:tcPr>
          <w:p w14:paraId="5A1B0886" w14:textId="77777777" w:rsidR="00960BB8" w:rsidRDefault="00960BB8">
            <w:pPr>
              <w:rPr>
                <w:rFonts w:ascii="宋体"/>
              </w:rPr>
            </w:pPr>
          </w:p>
        </w:tc>
        <w:tc>
          <w:tcPr>
            <w:tcW w:w="5" w:type="pct"/>
            <w:shd w:val="clear" w:color="auto" w:fill="auto"/>
            <w:vAlign w:val="bottom"/>
          </w:tcPr>
          <w:p w14:paraId="5A1B0887" w14:textId="77777777" w:rsidR="00960BB8" w:rsidRDefault="00960BB8">
            <w:pPr>
              <w:rPr>
                <w:rFonts w:ascii="宋体"/>
              </w:rPr>
            </w:pPr>
          </w:p>
        </w:tc>
        <w:tc>
          <w:tcPr>
            <w:tcW w:w="50" w:type="pct"/>
            <w:shd w:val="clear" w:color="auto" w:fill="auto"/>
            <w:vAlign w:val="bottom"/>
          </w:tcPr>
          <w:p w14:paraId="5A1B0888" w14:textId="77777777" w:rsidR="00960BB8" w:rsidRDefault="00960BB8">
            <w:pPr>
              <w:rPr>
                <w:rFonts w:ascii="宋体"/>
              </w:rPr>
            </w:pPr>
          </w:p>
        </w:tc>
        <w:tc>
          <w:tcPr>
            <w:tcW w:w="2656" w:type="pct"/>
            <w:shd w:val="clear" w:color="auto" w:fill="auto"/>
            <w:vAlign w:val="bottom"/>
          </w:tcPr>
          <w:p w14:paraId="5A1B0889" w14:textId="77777777" w:rsidR="00960BB8" w:rsidRDefault="00960BB8">
            <w:pPr>
              <w:rPr>
                <w:rFonts w:ascii="宋体"/>
              </w:rPr>
            </w:pPr>
          </w:p>
        </w:tc>
        <w:tc>
          <w:tcPr>
            <w:tcW w:w="5" w:type="pct"/>
            <w:shd w:val="clear" w:color="auto" w:fill="auto"/>
            <w:vAlign w:val="bottom"/>
          </w:tcPr>
          <w:p w14:paraId="5A1B088A" w14:textId="77777777" w:rsidR="00960BB8" w:rsidRDefault="00960BB8">
            <w:pPr>
              <w:rPr>
                <w:rFonts w:ascii="宋体"/>
              </w:rPr>
            </w:pPr>
          </w:p>
        </w:tc>
        <w:tc>
          <w:tcPr>
            <w:tcW w:w="50" w:type="pct"/>
            <w:shd w:val="clear" w:color="auto" w:fill="auto"/>
            <w:vAlign w:val="bottom"/>
          </w:tcPr>
          <w:p w14:paraId="5A1B088B" w14:textId="77777777" w:rsidR="00960BB8" w:rsidRDefault="00960BB8">
            <w:pPr>
              <w:rPr>
                <w:rFonts w:ascii="宋体"/>
              </w:rPr>
            </w:pPr>
          </w:p>
        </w:tc>
        <w:tc>
          <w:tcPr>
            <w:tcW w:w="1894" w:type="pct"/>
            <w:shd w:val="clear" w:color="auto" w:fill="auto"/>
            <w:vAlign w:val="bottom"/>
          </w:tcPr>
          <w:p w14:paraId="5A1B088C" w14:textId="77777777" w:rsidR="00960BB8" w:rsidRDefault="00960BB8">
            <w:pPr>
              <w:rPr>
                <w:rFonts w:ascii="宋体"/>
              </w:rPr>
            </w:pPr>
          </w:p>
        </w:tc>
        <w:tc>
          <w:tcPr>
            <w:tcW w:w="5" w:type="pct"/>
            <w:shd w:val="clear" w:color="auto" w:fill="auto"/>
            <w:vAlign w:val="bottom"/>
          </w:tcPr>
          <w:p w14:paraId="5A1B088D" w14:textId="77777777" w:rsidR="00960BB8" w:rsidRDefault="00960BB8">
            <w:pPr>
              <w:rPr>
                <w:rFonts w:ascii="宋体"/>
              </w:rPr>
            </w:pPr>
          </w:p>
        </w:tc>
      </w:tr>
      <w:tr w:rsidR="00960BB8" w14:paraId="5A1B089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88F"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40" wp14:editId="5A1B4441">
                  <wp:extent cx="304800" cy="304800"/>
                  <wp:effectExtent l="0" t="0" r="0" b="0"/>
                  <wp:docPr id="47" name="图片 21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6"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90"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91" w14:textId="77777777" w:rsidR="00960BB8" w:rsidRDefault="00C06650">
            <w:pPr>
              <w:jc w:val="right"/>
              <w:textAlignment w:val="center"/>
            </w:pPr>
            <w:r>
              <w:rPr>
                <w:rFonts w:ascii="Arial" w:eastAsia="宋体" w:hAnsi="Arial" w:cs="Arial"/>
                <w:color w:val="262626"/>
                <w:sz w:val="16"/>
                <w:szCs w:val="16"/>
              </w:rPr>
              <w:t>64</w:t>
            </w:r>
          </w:p>
        </w:tc>
      </w:tr>
    </w:tbl>
    <w:p w14:paraId="5A1B0893" w14:textId="77777777" w:rsidR="00960BB8" w:rsidRDefault="00C06650">
      <w:r>
        <w:pict w14:anchorId="5A1B4442">
          <v:rect id="_x0000_i1090" style="width:415.3pt;height:1.5pt" o:hralign="center" o:hrstd="t" o:hr="t" fillcolor="#a0a0a0" stroked="f"/>
        </w:pict>
      </w:r>
    </w:p>
    <w:p w14:paraId="5A1B0894" w14:textId="77777777" w:rsidR="00960BB8" w:rsidRDefault="00C06650">
      <w:pPr>
        <w:jc w:val="right"/>
      </w:pPr>
      <w:hyperlink r:id="rId83" w:anchor="i8aaa7b4dbd2e419ca0f5c30af85a11aa_16" w:history="1">
        <w:r>
          <w:rPr>
            <w:rStyle w:val="a5"/>
            <w:rFonts w:ascii="Arial" w:eastAsia="宋体" w:hAnsi="Arial" w:cs="Arial"/>
            <w:b/>
            <w:bCs/>
            <w:sz w:val="16"/>
            <w:szCs w:val="16"/>
          </w:rPr>
          <w:t>Table of Contents</w:t>
        </w:r>
      </w:hyperlink>
    </w:p>
    <w:p w14:paraId="5A1B0895" w14:textId="77777777" w:rsidR="00960BB8" w:rsidRDefault="00960BB8">
      <w:pPr>
        <w:jc w:val="right"/>
      </w:pPr>
    </w:p>
    <w:p w14:paraId="5A1B0896" w14:textId="77777777" w:rsidR="00960BB8" w:rsidRDefault="00C06650">
      <w:pPr>
        <w:spacing w:before="180" w:after="120"/>
      </w:pPr>
      <w:r>
        <w:rPr>
          <w:rFonts w:ascii="Arial" w:eastAsia="宋体" w:hAnsi="Arial" w:cs="Arial"/>
          <w:color w:val="0068B5"/>
        </w:rPr>
        <w:t xml:space="preserve">We must attract, retain, and motivate key employees. </w:t>
      </w:r>
    </w:p>
    <w:p w14:paraId="5A1B0897" w14:textId="77777777" w:rsidR="00960BB8" w:rsidRDefault="00C06650">
      <w:pPr>
        <w:spacing w:after="180"/>
      </w:pPr>
      <w:r>
        <w:rPr>
          <w:rFonts w:ascii="Arial" w:eastAsia="宋体" w:hAnsi="Arial" w:cs="Arial"/>
          <w:color w:val="262626"/>
          <w:sz w:val="18"/>
          <w:szCs w:val="18"/>
        </w:rPr>
        <w:t>We believe that hiring and re</w:t>
      </w:r>
      <w:r>
        <w:rPr>
          <w:rFonts w:ascii="Arial" w:eastAsia="宋体" w:hAnsi="Arial" w:cs="Arial"/>
          <w:color w:val="262626"/>
          <w:sz w:val="18"/>
          <w:szCs w:val="18"/>
        </w:rPr>
        <w:t>taining qualified executives, scientists, engineers, technical staff, and sales representatives are critical to our business. The competition for highly skilled employees in our industry is intense. Competitors for technical talent increasingly seek to hir</w:t>
      </w:r>
      <w:r>
        <w:rPr>
          <w:rFonts w:ascii="Arial" w:eastAsia="宋体" w:hAnsi="Arial" w:cs="Arial"/>
          <w:color w:val="262626"/>
          <w:sz w:val="18"/>
          <w:szCs w:val="18"/>
        </w:rPr>
        <w:t>e our employees, and the increased availability of flexible, hybrid, or work-from-home arrangements has both intensified and expanded competition. In addition, changes in immigration policies may further limit the pool of available talent and impair our ab</w:t>
      </w:r>
      <w:r>
        <w:rPr>
          <w:rFonts w:ascii="Arial" w:eastAsia="宋体" w:hAnsi="Arial" w:cs="Arial"/>
          <w:color w:val="262626"/>
          <w:sz w:val="18"/>
          <w:szCs w:val="18"/>
        </w:rPr>
        <w:t>ility to recruit and hire technical and professional talent. From time to time, we have intensified our efforts to recruit and retain talent, such as during 2021 and the first half of 2022, and these efforts have increased our expenses. Further, we may not</w:t>
      </w:r>
      <w:r>
        <w:rPr>
          <w:rFonts w:ascii="Arial" w:eastAsia="宋体" w:hAnsi="Arial" w:cs="Arial"/>
          <w:color w:val="262626"/>
          <w:sz w:val="18"/>
          <w:szCs w:val="18"/>
        </w:rPr>
        <w:t xml:space="preserve"> be successful in attracting, retaining, and motivating the workforce necessary to deliver on our strategy, and we have been required to curtail our planned hiring or reduce our workforce to respond to business conditions that differ from our expectations,</w:t>
      </w:r>
      <w:r>
        <w:rPr>
          <w:rFonts w:ascii="Arial" w:eastAsia="宋体" w:hAnsi="Arial" w:cs="Arial"/>
          <w:color w:val="262626"/>
          <w:sz w:val="18"/>
          <w:szCs w:val="18"/>
        </w:rPr>
        <w:t xml:space="preserve"> which can be disruptive, compromise our ability to deliver on our strategy and workforce goals, and impact our ability to recruit in the future. Changes in employment-related laws applicable to our workforce practices may also result in increased expenses</w:t>
      </w:r>
      <w:r>
        <w:rPr>
          <w:rFonts w:ascii="Arial" w:eastAsia="宋体" w:hAnsi="Arial" w:cs="Arial"/>
          <w:color w:val="262626"/>
          <w:sz w:val="18"/>
          <w:szCs w:val="18"/>
        </w:rPr>
        <w:t xml:space="preserve"> and less flexibility in how we meet our changing workforce needs. To help attract, retain, and motivate qualified employees, we use share-based awards, such as RSUs, and performance-based cash incentive awards. Sustained declines in our stock price, or lo</w:t>
      </w:r>
      <w:r>
        <w:rPr>
          <w:rFonts w:ascii="Arial" w:eastAsia="宋体" w:hAnsi="Arial" w:cs="Arial"/>
          <w:color w:val="262626"/>
          <w:sz w:val="18"/>
          <w:szCs w:val="18"/>
        </w:rPr>
        <w:t>wer stock price performance relative to competitors have been reducing the retention value of our share-based awards, which can impact the competitiveness of our compensation. Our employee hiring and retention also depend on our ability to build and mainta</w:t>
      </w:r>
      <w:r>
        <w:rPr>
          <w:rFonts w:ascii="Arial" w:eastAsia="宋体" w:hAnsi="Arial" w:cs="Arial"/>
          <w:color w:val="262626"/>
          <w:sz w:val="18"/>
          <w:szCs w:val="18"/>
        </w:rPr>
        <w:t>in a diverse and inclusive workplace culture and be viewed as an employer of choice. To the extent our compensation programs and workplace culture are not viewed as competitive, or changes in our workforce and related restructuring, reduction-in-force or o</w:t>
      </w:r>
      <w:r>
        <w:rPr>
          <w:rFonts w:ascii="Arial" w:eastAsia="宋体" w:hAnsi="Arial" w:cs="Arial"/>
          <w:color w:val="262626"/>
          <w:sz w:val="18"/>
          <w:szCs w:val="18"/>
        </w:rPr>
        <w:t xml:space="preserve">ther initiatives are not viewed favorably, our ability to attract, retain, and motivate employees can be weakened, which could harm our results of operations. In addition, significant or prolonged turnover may negatively impact our operations and culture, </w:t>
      </w:r>
      <w:r>
        <w:rPr>
          <w:rFonts w:ascii="Arial" w:eastAsia="宋体" w:hAnsi="Arial" w:cs="Arial"/>
          <w:color w:val="262626"/>
          <w:sz w:val="18"/>
          <w:szCs w:val="18"/>
        </w:rPr>
        <w:t>as well as our ability to successfully maintain our processes and procedures, including due to the loss of historical, technical, and other expertise.</w:t>
      </w:r>
    </w:p>
    <w:p w14:paraId="5A1B0898" w14:textId="77777777" w:rsidR="00960BB8" w:rsidRDefault="00C06650">
      <w:pPr>
        <w:spacing w:after="180"/>
      </w:pPr>
      <w:r>
        <w:rPr>
          <w:rFonts w:ascii="Arial" w:eastAsia="宋体" w:hAnsi="Arial" w:cs="Arial"/>
          <w:color w:val="262626"/>
          <w:sz w:val="18"/>
          <w:szCs w:val="18"/>
        </w:rPr>
        <w:t>Changes in our management team can also disrupt our business. For example, we appointed a new CFO in Janu</w:t>
      </w:r>
      <w:r>
        <w:rPr>
          <w:rFonts w:ascii="Arial" w:eastAsia="宋体" w:hAnsi="Arial" w:cs="Arial"/>
          <w:color w:val="262626"/>
          <w:sz w:val="18"/>
          <w:szCs w:val="18"/>
        </w:rPr>
        <w:t xml:space="preserve">ary 2022 and made several other changes to our senior leadership during the past year. The failure to successfully transition and assimilate key employees could adversely affect our results of operations. To the extent we do not effectively hire, onboard, </w:t>
      </w:r>
      <w:r>
        <w:rPr>
          <w:rFonts w:ascii="Arial" w:eastAsia="宋体" w:hAnsi="Arial" w:cs="Arial"/>
          <w:color w:val="262626"/>
          <w:sz w:val="18"/>
          <w:szCs w:val="18"/>
        </w:rPr>
        <w:t>retain, and motivate key employees, our business can be harmed.</w:t>
      </w:r>
    </w:p>
    <w:p w14:paraId="5A1B0899" w14:textId="77777777" w:rsidR="00960BB8" w:rsidRDefault="00C06650">
      <w:pPr>
        <w:spacing w:after="120"/>
      </w:pPr>
      <w:r>
        <w:rPr>
          <w:rFonts w:ascii="Arial" w:eastAsia="宋体" w:hAnsi="Arial" w:cs="Arial"/>
          <w:color w:val="0068B5"/>
        </w:rPr>
        <w:t>We are subject to risks associated with our strategic transactions.</w:t>
      </w:r>
    </w:p>
    <w:p w14:paraId="5A1B089A" w14:textId="77777777" w:rsidR="00960BB8" w:rsidRDefault="00C06650">
      <w:pPr>
        <w:spacing w:after="120"/>
      </w:pPr>
      <w:r>
        <w:rPr>
          <w:rFonts w:ascii="Arial" w:eastAsia="宋体" w:hAnsi="Arial" w:cs="Arial"/>
          <w:color w:val="0068B5"/>
          <w:sz w:val="18"/>
          <w:szCs w:val="18"/>
        </w:rPr>
        <w:t>Our acquisitions, divestitures, and other strategic transactions could fail to achieve our financial or strategic objectives</w:t>
      </w:r>
      <w:r>
        <w:rPr>
          <w:rFonts w:ascii="Arial" w:eastAsia="宋体" w:hAnsi="Arial" w:cs="Arial"/>
          <w:color w:val="0068B5"/>
          <w:sz w:val="18"/>
          <w:szCs w:val="18"/>
        </w:rPr>
        <w:t>, disrupt our ongoing business, and adversely impact our results of operations.</w:t>
      </w:r>
      <w:r>
        <w:rPr>
          <w:rFonts w:ascii="Arial" w:eastAsia="宋体" w:hAnsi="Arial" w:cs="Arial"/>
          <w:color w:val="262626"/>
          <w:sz w:val="18"/>
          <w:szCs w:val="18"/>
        </w:rPr>
        <w:t xml:space="preserve"> Strategic transactions are an important component of our financial capital allocation strategy. We routinely evaluate opportunities and enter into agreements for possible acqui</w:t>
      </w:r>
      <w:r>
        <w:rPr>
          <w:rFonts w:ascii="Arial" w:eastAsia="宋体" w:hAnsi="Arial" w:cs="Arial"/>
          <w:color w:val="262626"/>
          <w:sz w:val="18"/>
          <w:szCs w:val="18"/>
        </w:rPr>
        <w:t>sitions, divestitures, and other strategic transactions, including novel transactions such as our 2022 joint investment with Brookfield in the manufacturing expansion of our Ocotillo campus, and the divestiture of our NAND memory business. These transactio</w:t>
      </w:r>
      <w:r>
        <w:rPr>
          <w:rFonts w:ascii="Arial" w:eastAsia="宋体" w:hAnsi="Arial" w:cs="Arial"/>
          <w:color w:val="262626"/>
          <w:sz w:val="18"/>
          <w:szCs w:val="18"/>
        </w:rPr>
        <w:t>ns involve numerous risks, including:</w:t>
      </w:r>
    </w:p>
    <w:p w14:paraId="5A1B089B"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inability to identify opportunities in a timely manner or on terms acceptable to us;</w:t>
      </w:r>
    </w:p>
    <w:p w14:paraId="5A1B089C"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failure of the transaction to advance our business strategy and failure of its anticipated benefits to materialize;</w:t>
      </w:r>
    </w:p>
    <w:p w14:paraId="5A1B089D"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disruption of our ongoing operations and diversion of our management's attention;</w:t>
      </w:r>
    </w:p>
    <w:p w14:paraId="5A1B089E"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000000"/>
          <w:sz w:val="18"/>
          <w:szCs w:val="18"/>
        </w:rPr>
        <w:t>failure of partners to satisfy financial or other obligations on which we rely;</w:t>
      </w:r>
    </w:p>
    <w:p w14:paraId="5A1B089F"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000000"/>
          <w:sz w:val="18"/>
          <w:szCs w:val="18"/>
        </w:rPr>
        <w:t>our inability to exercise sole decision-making authority regarding a project, property, or e</w:t>
      </w:r>
      <w:r>
        <w:rPr>
          <w:rFonts w:ascii="Arial" w:eastAsia="宋体" w:hAnsi="Arial" w:cs="Arial"/>
          <w:color w:val="000000"/>
          <w:sz w:val="18"/>
          <w:szCs w:val="18"/>
        </w:rPr>
        <w:t>ntity;</w:t>
      </w:r>
    </w:p>
    <w:p w14:paraId="5A1B08A0"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failure to complete a transaction in a timely manner, if at all, due to our inability to obtain required government or other approvals at all or without materially burdensome conditions, mandated acquisitions, divestitures, or disposals, IP dispute</w:t>
      </w:r>
      <w:r>
        <w:rPr>
          <w:rFonts w:ascii="Arial" w:eastAsia="宋体" w:hAnsi="Arial" w:cs="Arial"/>
          <w:color w:val="262626"/>
          <w:sz w:val="18"/>
          <w:szCs w:val="18"/>
        </w:rPr>
        <w:t>s or other litigation, difficulty in obtaining financing on terms acceptable to us, or other unforeseen factors;</w:t>
      </w:r>
    </w:p>
    <w:p w14:paraId="5A1B08A1"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our failure to realize a satisfactory return on our investment, potentially resulting in an impairment of goodwill and other assets, and </w:t>
      </w:r>
      <w:r>
        <w:rPr>
          <w:rFonts w:ascii="Arial" w:eastAsia="宋体" w:hAnsi="Arial" w:cs="Arial"/>
          <w:color w:val="262626"/>
          <w:sz w:val="18"/>
          <w:szCs w:val="18"/>
        </w:rPr>
        <w:t>restructuring charges;</w:t>
      </w:r>
    </w:p>
    <w:p w14:paraId="5A1B08A2"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inability to effectively enter new market segments through our strategic transactions or retain customers and partners of acquired businesses;</w:t>
      </w:r>
    </w:p>
    <w:p w14:paraId="5A1B08A3"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inability to retain key personnel of acquired or majority-owned businesses or ou</w:t>
      </w:r>
      <w:r>
        <w:rPr>
          <w:rFonts w:ascii="Arial" w:eastAsia="宋体" w:hAnsi="Arial" w:cs="Arial"/>
          <w:color w:val="262626"/>
          <w:sz w:val="18"/>
          <w:szCs w:val="18"/>
        </w:rPr>
        <w:t>r difficulty in integrating employees, business systems, and technology or otherwise operating the acquired business;</w:t>
      </w:r>
    </w:p>
    <w:p w14:paraId="5A1B08A4"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controls, processes, and procedures of acquired or majority-owned businesses that do not adequately ensure compliance with laws and regul</w:t>
      </w:r>
      <w:r>
        <w:rPr>
          <w:rFonts w:ascii="Arial" w:eastAsia="宋体" w:hAnsi="Arial" w:cs="Arial"/>
          <w:color w:val="262626"/>
          <w:sz w:val="18"/>
          <w:szCs w:val="18"/>
        </w:rPr>
        <w:t>ations, and our failure to identify compliance issues or liabilities;</w:t>
      </w:r>
    </w:p>
    <w:p w14:paraId="5A1B08A5"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000000"/>
          <w:sz w:val="18"/>
          <w:szCs w:val="18"/>
        </w:rPr>
        <w:t>our inability to resolve impasses or disputes with partners, including as a result of differences in our interests or goals;</w:t>
      </w:r>
    </w:p>
    <w:p w14:paraId="5A1B08A6"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failure to identify, or our underestimation of, commitm</w:t>
      </w:r>
      <w:r>
        <w:rPr>
          <w:rFonts w:ascii="Arial" w:eastAsia="宋体" w:hAnsi="Arial" w:cs="Arial"/>
          <w:color w:val="262626"/>
          <w:sz w:val="18"/>
          <w:szCs w:val="18"/>
        </w:rPr>
        <w:t>ents, liabilities, and other risks associated with acquired businesses or assets, majority-owned businesses or novel transactions; and</w:t>
      </w:r>
    </w:p>
    <w:p w14:paraId="5A1B08A7"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the potential for our transactions to result in dilutive issuances of our equity securities or significant additional de</w:t>
      </w:r>
      <w:r>
        <w:rPr>
          <w:rFonts w:ascii="Arial" w:eastAsia="宋体" w:hAnsi="Arial" w:cs="Arial"/>
          <w:color w:val="262626"/>
          <w:sz w:val="18"/>
          <w:szCs w:val="18"/>
        </w:rPr>
        <w:t>bt.</w:t>
      </w:r>
    </w:p>
    <w:p w14:paraId="5A1B08A8" w14:textId="77777777" w:rsidR="00960BB8" w:rsidRDefault="00C06650">
      <w:pPr>
        <w:spacing w:after="180"/>
      </w:pPr>
      <w:r>
        <w:rPr>
          <w:rFonts w:ascii="Arial" w:eastAsia="宋体" w:hAnsi="Arial" w:cs="Arial"/>
          <w:color w:val="262626"/>
          <w:sz w:val="18"/>
          <w:szCs w:val="18"/>
        </w:rPr>
        <w:t>Any of these risks could have a material adverse effect on our business, results of operations, financial condition, or cash flows, particularly in the case of a large acquisition, divestiture or partial divestiture or several concurrent strategic tran</w:t>
      </w:r>
      <w:r>
        <w:rPr>
          <w:rFonts w:ascii="Arial" w:eastAsia="宋体" w:hAnsi="Arial" w:cs="Arial"/>
          <w:color w:val="262626"/>
          <w:sz w:val="18"/>
          <w:szCs w:val="18"/>
        </w:rPr>
        <w:t>sactions. Moreover, our resources are limited and our decision to pursue a transaction has opportunity costs; accordingly, if we pursue a particular transaction, we at times need to forgo the prospect of entering into other transactions or otherwise invest</w:t>
      </w:r>
      <w:r>
        <w:rPr>
          <w:rFonts w:ascii="Arial" w:eastAsia="宋体" w:hAnsi="Arial" w:cs="Arial"/>
          <w:color w:val="262626"/>
          <w:sz w:val="18"/>
          <w:szCs w:val="18"/>
        </w:rPr>
        <w:t xml:space="preserve">ing our resources in a manner that could help us achieve our financial or strategic objectives. </w:t>
      </w:r>
    </w:p>
    <w:p w14:paraId="5A1B08A9" w14:textId="77777777" w:rsidR="00960BB8" w:rsidRDefault="00C06650">
      <w:pPr>
        <w:spacing w:after="180"/>
      </w:pPr>
      <w:r>
        <w:rPr>
          <w:rFonts w:ascii="Arial" w:eastAsia="宋体" w:hAnsi="Arial" w:cs="Arial"/>
          <w:color w:val="262626"/>
          <w:sz w:val="18"/>
          <w:szCs w:val="18"/>
        </w:rPr>
        <w:t>Where an existing investment does not strategically align to our key priorities, we routinely evaluate opportunities for possible divestitures and other option</w:t>
      </w:r>
      <w:r>
        <w:rPr>
          <w:rFonts w:ascii="Arial" w:eastAsia="宋体" w:hAnsi="Arial" w:cs="Arial"/>
          <w:color w:val="262626"/>
          <w:sz w:val="18"/>
          <w:szCs w:val="18"/>
        </w:rPr>
        <w:t xml:space="preserve">s. We may not realize the anticipated benefits of divestitures due to risks that include unfavorable prices and terms; </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8B3" w14:textId="77777777">
        <w:tc>
          <w:tcPr>
            <w:tcW w:w="50" w:type="pct"/>
            <w:shd w:val="clear" w:color="auto" w:fill="auto"/>
            <w:vAlign w:val="bottom"/>
          </w:tcPr>
          <w:p w14:paraId="5A1B08AA" w14:textId="77777777" w:rsidR="00960BB8" w:rsidRDefault="00960BB8">
            <w:pPr>
              <w:rPr>
                <w:rFonts w:ascii="宋体"/>
              </w:rPr>
            </w:pPr>
          </w:p>
        </w:tc>
        <w:tc>
          <w:tcPr>
            <w:tcW w:w="283" w:type="pct"/>
            <w:shd w:val="clear" w:color="auto" w:fill="auto"/>
            <w:vAlign w:val="bottom"/>
          </w:tcPr>
          <w:p w14:paraId="5A1B08AB" w14:textId="77777777" w:rsidR="00960BB8" w:rsidRDefault="00960BB8">
            <w:pPr>
              <w:rPr>
                <w:rFonts w:ascii="宋体"/>
              </w:rPr>
            </w:pPr>
          </w:p>
        </w:tc>
        <w:tc>
          <w:tcPr>
            <w:tcW w:w="5" w:type="pct"/>
            <w:shd w:val="clear" w:color="auto" w:fill="auto"/>
            <w:vAlign w:val="bottom"/>
          </w:tcPr>
          <w:p w14:paraId="5A1B08AC" w14:textId="77777777" w:rsidR="00960BB8" w:rsidRDefault="00960BB8">
            <w:pPr>
              <w:rPr>
                <w:rFonts w:ascii="宋体"/>
              </w:rPr>
            </w:pPr>
          </w:p>
        </w:tc>
        <w:tc>
          <w:tcPr>
            <w:tcW w:w="50" w:type="pct"/>
            <w:shd w:val="clear" w:color="auto" w:fill="auto"/>
            <w:vAlign w:val="bottom"/>
          </w:tcPr>
          <w:p w14:paraId="5A1B08AD" w14:textId="77777777" w:rsidR="00960BB8" w:rsidRDefault="00960BB8">
            <w:pPr>
              <w:rPr>
                <w:rFonts w:ascii="宋体"/>
              </w:rPr>
            </w:pPr>
          </w:p>
        </w:tc>
        <w:tc>
          <w:tcPr>
            <w:tcW w:w="2656" w:type="pct"/>
            <w:shd w:val="clear" w:color="auto" w:fill="auto"/>
            <w:vAlign w:val="bottom"/>
          </w:tcPr>
          <w:p w14:paraId="5A1B08AE" w14:textId="77777777" w:rsidR="00960BB8" w:rsidRDefault="00960BB8">
            <w:pPr>
              <w:rPr>
                <w:rFonts w:ascii="宋体"/>
              </w:rPr>
            </w:pPr>
          </w:p>
        </w:tc>
        <w:tc>
          <w:tcPr>
            <w:tcW w:w="5" w:type="pct"/>
            <w:shd w:val="clear" w:color="auto" w:fill="auto"/>
            <w:vAlign w:val="bottom"/>
          </w:tcPr>
          <w:p w14:paraId="5A1B08AF" w14:textId="77777777" w:rsidR="00960BB8" w:rsidRDefault="00960BB8">
            <w:pPr>
              <w:rPr>
                <w:rFonts w:ascii="宋体"/>
              </w:rPr>
            </w:pPr>
          </w:p>
        </w:tc>
        <w:tc>
          <w:tcPr>
            <w:tcW w:w="50" w:type="pct"/>
            <w:shd w:val="clear" w:color="auto" w:fill="auto"/>
            <w:vAlign w:val="bottom"/>
          </w:tcPr>
          <w:p w14:paraId="5A1B08B0" w14:textId="77777777" w:rsidR="00960BB8" w:rsidRDefault="00960BB8">
            <w:pPr>
              <w:rPr>
                <w:rFonts w:ascii="宋体"/>
              </w:rPr>
            </w:pPr>
          </w:p>
        </w:tc>
        <w:tc>
          <w:tcPr>
            <w:tcW w:w="1894" w:type="pct"/>
            <w:shd w:val="clear" w:color="auto" w:fill="auto"/>
            <w:vAlign w:val="bottom"/>
          </w:tcPr>
          <w:p w14:paraId="5A1B08B1" w14:textId="77777777" w:rsidR="00960BB8" w:rsidRDefault="00960BB8">
            <w:pPr>
              <w:rPr>
                <w:rFonts w:ascii="宋体"/>
              </w:rPr>
            </w:pPr>
          </w:p>
        </w:tc>
        <w:tc>
          <w:tcPr>
            <w:tcW w:w="5" w:type="pct"/>
            <w:shd w:val="clear" w:color="auto" w:fill="auto"/>
            <w:vAlign w:val="bottom"/>
          </w:tcPr>
          <w:p w14:paraId="5A1B08B2" w14:textId="77777777" w:rsidR="00960BB8" w:rsidRDefault="00960BB8">
            <w:pPr>
              <w:rPr>
                <w:rFonts w:ascii="宋体"/>
              </w:rPr>
            </w:pPr>
          </w:p>
        </w:tc>
      </w:tr>
      <w:tr w:rsidR="00960BB8" w14:paraId="5A1B08B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8B4"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43" wp14:editId="5A1B4444">
                  <wp:extent cx="304800" cy="304800"/>
                  <wp:effectExtent l="0" t="0" r="0" b="0"/>
                  <wp:docPr id="74" name="图片 21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8"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B5"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B6" w14:textId="77777777" w:rsidR="00960BB8" w:rsidRDefault="00C06650">
            <w:pPr>
              <w:jc w:val="right"/>
              <w:textAlignment w:val="center"/>
            </w:pPr>
            <w:r>
              <w:rPr>
                <w:rFonts w:ascii="Arial" w:eastAsia="宋体" w:hAnsi="Arial" w:cs="Arial"/>
                <w:color w:val="262626"/>
                <w:sz w:val="16"/>
                <w:szCs w:val="16"/>
              </w:rPr>
              <w:t>65</w:t>
            </w:r>
          </w:p>
        </w:tc>
      </w:tr>
    </w:tbl>
    <w:p w14:paraId="5A1B08B8" w14:textId="77777777" w:rsidR="00960BB8" w:rsidRDefault="00C06650">
      <w:r>
        <w:pict w14:anchorId="5A1B4445">
          <v:rect id="_x0000_i1091" style="width:415.3pt;height:1.5pt" o:hralign="center" o:hrstd="t" o:hr="t" fillcolor="#a0a0a0" stroked="f"/>
        </w:pict>
      </w:r>
    </w:p>
    <w:p w14:paraId="5A1B08B9" w14:textId="77777777" w:rsidR="00960BB8" w:rsidRDefault="00C06650">
      <w:pPr>
        <w:jc w:val="right"/>
      </w:pPr>
      <w:hyperlink r:id="rId84" w:anchor="i8aaa7b4dbd2e419ca0f5c30af85a11aa_16" w:history="1">
        <w:r>
          <w:rPr>
            <w:rStyle w:val="a5"/>
            <w:rFonts w:ascii="Arial" w:eastAsia="宋体" w:hAnsi="Arial" w:cs="Arial"/>
            <w:b/>
            <w:bCs/>
            <w:sz w:val="16"/>
            <w:szCs w:val="16"/>
          </w:rPr>
          <w:t>Table of Contents</w:t>
        </w:r>
      </w:hyperlink>
    </w:p>
    <w:p w14:paraId="5A1B08BA" w14:textId="77777777" w:rsidR="00960BB8" w:rsidRDefault="00960BB8">
      <w:pPr>
        <w:jc w:val="right"/>
      </w:pPr>
    </w:p>
    <w:p w14:paraId="5A1B08BB" w14:textId="77777777" w:rsidR="00960BB8" w:rsidRDefault="00C06650">
      <w:pPr>
        <w:spacing w:after="180"/>
      </w:pPr>
      <w:r>
        <w:rPr>
          <w:rFonts w:ascii="Arial" w:eastAsia="宋体" w:hAnsi="Arial" w:cs="Arial"/>
          <w:color w:val="262626"/>
          <w:sz w:val="18"/>
          <w:szCs w:val="18"/>
        </w:rPr>
        <w:t>changes in market conditions or geopolitical conditions affecting the regions or in</w:t>
      </w:r>
      <w:r>
        <w:rPr>
          <w:rFonts w:ascii="Arial" w:eastAsia="宋体" w:hAnsi="Arial" w:cs="Arial"/>
          <w:color w:val="262626"/>
          <w:sz w:val="18"/>
          <w:szCs w:val="18"/>
        </w:rPr>
        <w:t>dustries in which we or counterparties operate; changes in applicable laws; failure to receive regulatory or governmental approvals; limitations or restrictions due to regulatory or governmental approvals, litigation, contractual terms, or other conditions</w:t>
      </w:r>
      <w:r>
        <w:rPr>
          <w:rFonts w:ascii="Arial" w:eastAsia="宋体" w:hAnsi="Arial" w:cs="Arial"/>
          <w:color w:val="262626"/>
          <w:sz w:val="18"/>
          <w:szCs w:val="18"/>
        </w:rPr>
        <w:t>; delays in closing; lack of support by third parties; actions by competitors; adverse effects on our business relationships, operating results, or business due to the announcement and pendency of such transactions; and continued financial obligations, una</w:t>
      </w:r>
      <w:r>
        <w:rPr>
          <w:rFonts w:ascii="Arial" w:eastAsia="宋体" w:hAnsi="Arial" w:cs="Arial"/>
          <w:color w:val="262626"/>
          <w:sz w:val="18"/>
          <w:szCs w:val="18"/>
        </w:rPr>
        <w:t>nticipated liabilities, or transition costs associated with such transactions</w:t>
      </w:r>
      <w:r>
        <w:rPr>
          <w:rFonts w:ascii="Times New Roman" w:eastAsia="宋体" w:hAnsi="Times New Roman"/>
          <w:color w:val="262626"/>
          <w:sz w:val="18"/>
          <w:szCs w:val="18"/>
        </w:rPr>
        <w:t xml:space="preserve">. </w:t>
      </w:r>
      <w:r>
        <w:rPr>
          <w:rFonts w:ascii="Arial" w:eastAsia="宋体" w:hAnsi="Arial" w:cs="Arial"/>
          <w:color w:val="262626"/>
          <w:sz w:val="18"/>
          <w:szCs w:val="18"/>
        </w:rPr>
        <w:t>In some cases, we are not able to divest investments on acceptable terms or at all</w:t>
      </w:r>
      <w:r>
        <w:rPr>
          <w:rFonts w:ascii="Times New Roman" w:eastAsia="宋体" w:hAnsi="Times New Roman"/>
          <w:color w:val="262626"/>
          <w:sz w:val="18"/>
          <w:szCs w:val="18"/>
        </w:rPr>
        <w:t>.</w:t>
      </w:r>
    </w:p>
    <w:p w14:paraId="5A1B08BC" w14:textId="77777777" w:rsidR="00960BB8" w:rsidRDefault="00C06650">
      <w:pPr>
        <w:spacing w:after="180"/>
      </w:pPr>
      <w:r>
        <w:rPr>
          <w:rFonts w:ascii="Arial" w:eastAsia="宋体" w:hAnsi="Arial" w:cs="Arial"/>
          <w:color w:val="0068B5"/>
          <w:sz w:val="18"/>
          <w:szCs w:val="18"/>
        </w:rPr>
        <w:t>We invest in public and private companies and do not always realize a return on our investmen</w:t>
      </w:r>
      <w:r>
        <w:rPr>
          <w:rFonts w:ascii="Arial" w:eastAsia="宋体" w:hAnsi="Arial" w:cs="Arial"/>
          <w:color w:val="0068B5"/>
          <w:sz w:val="18"/>
          <w:szCs w:val="18"/>
        </w:rPr>
        <w:t>ts.</w:t>
      </w:r>
      <w:r>
        <w:rPr>
          <w:rFonts w:ascii="Arial" w:eastAsia="宋体" w:hAnsi="Arial" w:cs="Arial"/>
          <w:b/>
          <w:bCs/>
          <w:color w:val="026DCE"/>
          <w:sz w:val="18"/>
          <w:szCs w:val="18"/>
        </w:rPr>
        <w:t xml:space="preserve"> </w:t>
      </w:r>
      <w:r>
        <w:rPr>
          <w:rFonts w:ascii="Arial" w:eastAsia="宋体" w:hAnsi="Arial" w:cs="Arial"/>
          <w:color w:val="262626"/>
          <w:sz w:val="18"/>
          <w:szCs w:val="18"/>
        </w:rPr>
        <w:t>We make investments in public and private companies to further our strategic and financial objectives and to support certain key business initiatives. These companies can include early-stage companies still defining their strategic direction. Many of t</w:t>
      </w:r>
      <w:r>
        <w:rPr>
          <w:rFonts w:ascii="Arial" w:eastAsia="宋体" w:hAnsi="Arial" w:cs="Arial"/>
          <w:color w:val="262626"/>
          <w:sz w:val="18"/>
          <w:szCs w:val="18"/>
        </w:rPr>
        <w:t xml:space="preserve">he instruments in which we invest are non-marketable and illiquid at the time of our initial investment, and we are not always able to achieve a return in a timely fashion, if at all. Our ability to realize a return on our investment in a private company, </w:t>
      </w:r>
      <w:r>
        <w:rPr>
          <w:rFonts w:ascii="Arial" w:eastAsia="宋体" w:hAnsi="Arial" w:cs="Arial"/>
          <w:color w:val="262626"/>
          <w:sz w:val="18"/>
          <w:szCs w:val="18"/>
        </w:rPr>
        <w:t xml:space="preserve">if any, is typically dependent on the company participating in a liquidity event, such as a public offering or acquisition. To the extent any of the companies in which we invest are not successful, which at times includes bankruptcy, we could recognize an </w:t>
      </w:r>
      <w:r>
        <w:rPr>
          <w:rFonts w:ascii="Arial" w:eastAsia="宋体" w:hAnsi="Arial" w:cs="Arial"/>
          <w:color w:val="262626"/>
          <w:sz w:val="18"/>
          <w:szCs w:val="18"/>
        </w:rPr>
        <w:t>impairment and/or lose all or part of our investment.</w:t>
      </w:r>
    </w:p>
    <w:p w14:paraId="5A1B08BD" w14:textId="77777777" w:rsidR="00960BB8" w:rsidRDefault="00C06650">
      <w:pPr>
        <w:spacing w:after="120"/>
      </w:pPr>
      <w:r>
        <w:rPr>
          <w:rFonts w:ascii="Arial" w:eastAsia="宋体" w:hAnsi="Arial" w:cs="Arial"/>
          <w:color w:val="0068B5"/>
        </w:rPr>
        <w:t>We face risks related to our debt obligations.</w:t>
      </w:r>
    </w:p>
    <w:p w14:paraId="5A1B08BE" w14:textId="77777777" w:rsidR="00960BB8" w:rsidRDefault="00C06650">
      <w:pPr>
        <w:spacing w:after="180"/>
      </w:pPr>
      <w:r>
        <w:rPr>
          <w:rFonts w:ascii="Arial" w:eastAsia="宋体" w:hAnsi="Arial" w:cs="Arial"/>
          <w:color w:val="000000"/>
          <w:sz w:val="18"/>
          <w:szCs w:val="18"/>
        </w:rPr>
        <w:t xml:space="preserve">Our debt obligations could adversely affect our business and financial condition, including our ability to implement our strategy. We currently have $39.3 </w:t>
      </w:r>
      <w:r>
        <w:rPr>
          <w:rFonts w:ascii="Arial" w:eastAsia="宋体" w:hAnsi="Arial" w:cs="Arial"/>
          <w:color w:val="000000"/>
          <w:sz w:val="18"/>
          <w:szCs w:val="18"/>
        </w:rPr>
        <w:t xml:space="preserve">billion in aggregate principal amount of senior unsecured notes outstanding. In addition, we have a commercial paper program of up to </w:t>
      </w:r>
      <w:r>
        <w:rPr>
          <w:rFonts w:ascii="Arial" w:eastAsia="宋体" w:hAnsi="Arial" w:cs="Arial"/>
          <w:color w:val="262626"/>
          <w:sz w:val="18"/>
          <w:szCs w:val="18"/>
        </w:rPr>
        <w:t>$10.0 billion</w:t>
      </w:r>
      <w:r>
        <w:rPr>
          <w:rFonts w:ascii="Arial" w:eastAsia="宋体" w:hAnsi="Arial" w:cs="Arial"/>
          <w:color w:val="000000"/>
          <w:sz w:val="18"/>
          <w:szCs w:val="18"/>
        </w:rPr>
        <w:t xml:space="preserve"> and credit facilities to backstop these programs and otherwise provide access to committed capital of up</w:t>
      </w:r>
      <w:r>
        <w:rPr>
          <w:rFonts w:ascii="Arial" w:eastAsia="宋体" w:hAnsi="Arial" w:cs="Arial"/>
          <w:color w:val="262626"/>
          <w:sz w:val="18"/>
          <w:szCs w:val="18"/>
        </w:rPr>
        <w:t xml:space="preserve"> to $10.0 billion.</w:t>
      </w:r>
      <w:r>
        <w:rPr>
          <w:rFonts w:ascii="Arial" w:eastAsia="宋体" w:hAnsi="Arial" w:cs="Arial"/>
          <w:color w:val="000000"/>
          <w:sz w:val="18"/>
          <w:szCs w:val="18"/>
        </w:rPr>
        <w:t xml:space="preserve"> From time to time, we may incur additional indebtedness, refinance our existing debt, and issue additional notes or other debt securities in the future at a variety of interest rates, maturities, and terms. The semiconductor industry is </w:t>
      </w:r>
      <w:r>
        <w:rPr>
          <w:rFonts w:ascii="Arial" w:eastAsia="宋体" w:hAnsi="Arial" w:cs="Arial"/>
          <w:color w:val="000000"/>
          <w:sz w:val="18"/>
          <w:szCs w:val="18"/>
        </w:rPr>
        <w:t>a cyclical business and our revenue, cash flows, and outlook often fluctuate in accordance with this cycle, as well as prevailing macroeconomic conditions, our business strategy, and other risks described in these risk factors. These fluctuations, together</w:t>
      </w:r>
      <w:r>
        <w:rPr>
          <w:rFonts w:ascii="Arial" w:eastAsia="宋体" w:hAnsi="Arial" w:cs="Arial"/>
          <w:color w:val="000000"/>
          <w:sz w:val="18"/>
          <w:szCs w:val="18"/>
        </w:rPr>
        <w:t xml:space="preserve"> with our debt level and related debt service obligations, could have the effect of, among other things, reducing our flexibility to respond to changing business and economic conditions and increasing the risk of a future downgrade in our credit ratings th</w:t>
      </w:r>
      <w:r>
        <w:rPr>
          <w:rFonts w:ascii="Arial" w:eastAsia="宋体" w:hAnsi="Arial" w:cs="Arial"/>
          <w:color w:val="000000"/>
          <w:sz w:val="18"/>
          <w:szCs w:val="18"/>
        </w:rPr>
        <w:t xml:space="preserve">at can potentially impact the value of our outstanding debt and increase our borrowing costs. We may also be required to raise additional financing for working capital, capital expenditures, debt service obligations, debt refinancing, future acquisitions, </w:t>
      </w:r>
      <w:r>
        <w:rPr>
          <w:rFonts w:ascii="Arial" w:eastAsia="宋体" w:hAnsi="Arial" w:cs="Arial"/>
          <w:color w:val="000000"/>
          <w:sz w:val="18"/>
          <w:szCs w:val="18"/>
        </w:rPr>
        <w:t>or other general corporate purposes, which will depend on, among other factors, our financial position and performance, as well as prevailing market conditions and other factors beyond our control. Consequently, we may not be able to obtain additional fina</w:t>
      </w:r>
      <w:r>
        <w:rPr>
          <w:rFonts w:ascii="Arial" w:eastAsia="宋体" w:hAnsi="Arial" w:cs="Arial"/>
          <w:color w:val="000000"/>
          <w:sz w:val="18"/>
          <w:szCs w:val="18"/>
        </w:rPr>
        <w:t xml:space="preserve">ncing or refinancing on terms acceptable to us, or at all, which could adversely impact our ability to service to repay, outstanding indebtedness as it becomes due and could adversely impact our business, financial condition, and the cost of borrowing. </w:t>
      </w:r>
    </w:p>
    <w:p w14:paraId="5A1B08BF" w14:textId="77777777" w:rsidR="00960BB8" w:rsidRDefault="00C06650">
      <w:pPr>
        <w:spacing w:after="120"/>
      </w:pPr>
      <w:r>
        <w:rPr>
          <w:rFonts w:ascii="Arial" w:eastAsia="宋体" w:hAnsi="Arial" w:cs="Arial"/>
          <w:color w:val="0068B5"/>
        </w:rPr>
        <w:t>We</w:t>
      </w:r>
      <w:r>
        <w:rPr>
          <w:rFonts w:ascii="Arial" w:eastAsia="宋体" w:hAnsi="Arial" w:cs="Arial"/>
          <w:color w:val="0068B5"/>
        </w:rPr>
        <w:t xml:space="preserve"> are subject to sales-related risks. </w:t>
      </w:r>
    </w:p>
    <w:p w14:paraId="5A1B08C0" w14:textId="77777777" w:rsidR="00960BB8" w:rsidRDefault="00C06650">
      <w:pPr>
        <w:spacing w:after="180"/>
      </w:pPr>
      <w:r>
        <w:rPr>
          <w:rFonts w:ascii="Arial" w:eastAsia="宋体" w:hAnsi="Arial" w:cs="Arial"/>
          <w:color w:val="0068B5"/>
          <w:sz w:val="18"/>
          <w:szCs w:val="18"/>
        </w:rPr>
        <w:t>We face risks related to sales through distributors and other third parties.</w:t>
      </w:r>
      <w:r>
        <w:rPr>
          <w:rFonts w:ascii="Arial" w:eastAsia="宋体" w:hAnsi="Arial" w:cs="Arial"/>
          <w:color w:val="262626"/>
          <w:sz w:val="18"/>
          <w:szCs w:val="18"/>
        </w:rPr>
        <w:t xml:space="preserve"> We sell a significant portion of our products through third parties, such as distributors, value-added resellers, and channel partners (colle</w:t>
      </w:r>
      <w:r>
        <w:rPr>
          <w:rFonts w:ascii="Arial" w:eastAsia="宋体" w:hAnsi="Arial" w:cs="Arial"/>
          <w:color w:val="262626"/>
          <w:sz w:val="18"/>
          <w:szCs w:val="18"/>
        </w:rPr>
        <w:t>ctively referred to as distributors), as well as OEMs and ODMs. We depend on many distributors to help us create end-customer demand, provide technical support and other value-added services to customers, fill customer orders, and stock our products. At ti</w:t>
      </w:r>
      <w:r>
        <w:rPr>
          <w:rFonts w:ascii="Arial" w:eastAsia="宋体" w:hAnsi="Arial" w:cs="Arial"/>
          <w:color w:val="262626"/>
          <w:sz w:val="18"/>
          <w:szCs w:val="18"/>
        </w:rPr>
        <w:t>mes, we rely on one or more key distributors for a product, and a material change in our relationship with one or more of these distributors or their failure to perform as expected could reduce our revenue. Our ability to add or replace distributors for so</w:t>
      </w:r>
      <w:r>
        <w:rPr>
          <w:rFonts w:ascii="Arial" w:eastAsia="宋体" w:hAnsi="Arial" w:cs="Arial"/>
          <w:color w:val="262626"/>
          <w:sz w:val="18"/>
          <w:szCs w:val="18"/>
        </w:rPr>
        <w:t>me of our products is limited. In addition, our distributors' expertise in the determination and stocking of acceptable inventory levels for some of our products is not always easily transferable to a new distributor; as a result, end customers may be hesi</w:t>
      </w:r>
      <w:r>
        <w:rPr>
          <w:rFonts w:ascii="Arial" w:eastAsia="宋体" w:hAnsi="Arial" w:cs="Arial"/>
          <w:color w:val="262626"/>
          <w:sz w:val="18"/>
          <w:szCs w:val="18"/>
        </w:rPr>
        <w:t>tant to accept the addition or replacement of a distributor. Using third parties for distribution exposes us to many risks, including competitive pressure and concentration, credit, and compliance risks. Distributors and other third parties sell products t</w:t>
      </w:r>
      <w:r>
        <w:rPr>
          <w:rFonts w:ascii="Arial" w:eastAsia="宋体" w:hAnsi="Arial" w:cs="Arial"/>
          <w:color w:val="262626"/>
          <w:sz w:val="18"/>
          <w:szCs w:val="18"/>
        </w:rPr>
        <w:t>hat compete with our products, and we sometimes need to provide financial and other incentives to focus them on the sale of our products. From time to time, they face financial difficulties, including bankruptcy, which could harm our collection of accounts</w:t>
      </w:r>
      <w:r>
        <w:rPr>
          <w:rFonts w:ascii="Arial" w:eastAsia="宋体" w:hAnsi="Arial" w:cs="Arial"/>
          <w:color w:val="262626"/>
          <w:sz w:val="18"/>
          <w:szCs w:val="18"/>
        </w:rPr>
        <w:t xml:space="preserve"> receivable and financial results. Violations of the Foreign Corrupt Practices Act or similar laws by distributors or other third-party intermediaries could have a material impact on our business. Failure to manage risks related to our use of distributors </w:t>
      </w:r>
      <w:r>
        <w:rPr>
          <w:rFonts w:ascii="Arial" w:eastAsia="宋体" w:hAnsi="Arial" w:cs="Arial"/>
          <w:color w:val="262626"/>
          <w:sz w:val="18"/>
          <w:szCs w:val="18"/>
        </w:rPr>
        <w:t>and other third parties may reduce sales, increase expenses, and weaken our competitive position.</w:t>
      </w:r>
    </w:p>
    <w:p w14:paraId="5A1B08C1" w14:textId="77777777" w:rsidR="00960BB8" w:rsidRDefault="00C06650">
      <w:pPr>
        <w:spacing w:after="180"/>
      </w:pPr>
      <w:r>
        <w:rPr>
          <w:rFonts w:ascii="Arial" w:eastAsia="宋体" w:hAnsi="Arial" w:cs="Arial"/>
          <w:color w:val="262626"/>
          <w:sz w:val="18"/>
          <w:szCs w:val="18"/>
        </w:rPr>
        <w:t>From time to time, our products are resold by third parties in an unauthorized "gray market." Our policies and procedures designed to keep our products away f</w:t>
      </w:r>
      <w:r>
        <w:rPr>
          <w:rFonts w:ascii="Arial" w:eastAsia="宋体" w:hAnsi="Arial" w:cs="Arial"/>
          <w:color w:val="262626"/>
          <w:sz w:val="18"/>
          <w:szCs w:val="18"/>
        </w:rPr>
        <w:t>rom the gray market may not be successful in achieving this objective. Gray market products can distort demand and pricing dynamics in our distribution channel and certain geographies, which at times adversely affects our revenue opportunities. Gray market</w:t>
      </w:r>
      <w:r>
        <w:rPr>
          <w:rFonts w:ascii="Arial" w:eastAsia="宋体" w:hAnsi="Arial" w:cs="Arial"/>
          <w:color w:val="262626"/>
          <w:sz w:val="18"/>
          <w:szCs w:val="18"/>
        </w:rPr>
        <w:t xml:space="preserve"> activity is difficult to monitor and can make forecasting demand more challenging. Gray market products also sometimes include parts that have been altered or damaged, and our reputation may be harmed when these products fail or are found to be substandar</w:t>
      </w:r>
      <w:r>
        <w:rPr>
          <w:rFonts w:ascii="Arial" w:eastAsia="宋体" w:hAnsi="Arial" w:cs="Arial"/>
          <w:color w:val="262626"/>
          <w:sz w:val="18"/>
          <w:szCs w:val="18"/>
        </w:rPr>
        <w:t xml:space="preserve">d. </w:t>
      </w:r>
    </w:p>
    <w:p w14:paraId="5A1B08C2" w14:textId="77777777" w:rsidR="00960BB8" w:rsidRDefault="00C06650">
      <w:pPr>
        <w:spacing w:after="180"/>
      </w:pPr>
      <w:r>
        <w:rPr>
          <w:rFonts w:ascii="Arial" w:eastAsia="宋体" w:hAnsi="Arial" w:cs="Arial"/>
          <w:color w:val="0068B5"/>
          <w:sz w:val="18"/>
          <w:szCs w:val="18"/>
        </w:rPr>
        <w:t>We receive a significant portion of our revenue from a limited number of customers.</w:t>
      </w:r>
      <w:r>
        <w:rPr>
          <w:rFonts w:ascii="Arial" w:eastAsia="宋体" w:hAnsi="Arial" w:cs="Arial"/>
          <w:color w:val="262626"/>
          <w:sz w:val="18"/>
          <w:szCs w:val="18"/>
        </w:rPr>
        <w:t xml:space="preserve"> Collectively, our three largest customers accounted for 42% of our net revenue in 2022, 43% of our net revenue in 2021 and 39% of our net revenue in 2020. We expect a s</w:t>
      </w:r>
      <w:r>
        <w:rPr>
          <w:rFonts w:ascii="Arial" w:eastAsia="宋体" w:hAnsi="Arial" w:cs="Arial"/>
          <w:color w:val="262626"/>
          <w:sz w:val="18"/>
          <w:szCs w:val="18"/>
        </w:rPr>
        <w:t>mall number of customers will continue to account for a significant portion of our revenue in the foreseeable future.</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8CC" w14:textId="77777777">
        <w:tc>
          <w:tcPr>
            <w:tcW w:w="50" w:type="pct"/>
            <w:shd w:val="clear" w:color="auto" w:fill="auto"/>
            <w:vAlign w:val="bottom"/>
          </w:tcPr>
          <w:p w14:paraId="5A1B08C3" w14:textId="77777777" w:rsidR="00960BB8" w:rsidRDefault="00960BB8">
            <w:pPr>
              <w:rPr>
                <w:rFonts w:ascii="宋体"/>
              </w:rPr>
            </w:pPr>
          </w:p>
        </w:tc>
        <w:tc>
          <w:tcPr>
            <w:tcW w:w="283" w:type="pct"/>
            <w:shd w:val="clear" w:color="auto" w:fill="auto"/>
            <w:vAlign w:val="bottom"/>
          </w:tcPr>
          <w:p w14:paraId="5A1B08C4" w14:textId="77777777" w:rsidR="00960BB8" w:rsidRDefault="00960BB8">
            <w:pPr>
              <w:rPr>
                <w:rFonts w:ascii="宋体"/>
              </w:rPr>
            </w:pPr>
          </w:p>
        </w:tc>
        <w:tc>
          <w:tcPr>
            <w:tcW w:w="5" w:type="pct"/>
            <w:shd w:val="clear" w:color="auto" w:fill="auto"/>
            <w:vAlign w:val="bottom"/>
          </w:tcPr>
          <w:p w14:paraId="5A1B08C5" w14:textId="77777777" w:rsidR="00960BB8" w:rsidRDefault="00960BB8">
            <w:pPr>
              <w:rPr>
                <w:rFonts w:ascii="宋体"/>
              </w:rPr>
            </w:pPr>
          </w:p>
        </w:tc>
        <w:tc>
          <w:tcPr>
            <w:tcW w:w="50" w:type="pct"/>
            <w:shd w:val="clear" w:color="auto" w:fill="auto"/>
            <w:vAlign w:val="bottom"/>
          </w:tcPr>
          <w:p w14:paraId="5A1B08C6" w14:textId="77777777" w:rsidR="00960BB8" w:rsidRDefault="00960BB8">
            <w:pPr>
              <w:rPr>
                <w:rFonts w:ascii="宋体"/>
              </w:rPr>
            </w:pPr>
          </w:p>
        </w:tc>
        <w:tc>
          <w:tcPr>
            <w:tcW w:w="2656" w:type="pct"/>
            <w:shd w:val="clear" w:color="auto" w:fill="auto"/>
            <w:vAlign w:val="bottom"/>
          </w:tcPr>
          <w:p w14:paraId="5A1B08C7" w14:textId="77777777" w:rsidR="00960BB8" w:rsidRDefault="00960BB8">
            <w:pPr>
              <w:rPr>
                <w:rFonts w:ascii="宋体"/>
              </w:rPr>
            </w:pPr>
          </w:p>
        </w:tc>
        <w:tc>
          <w:tcPr>
            <w:tcW w:w="5" w:type="pct"/>
            <w:shd w:val="clear" w:color="auto" w:fill="auto"/>
            <w:vAlign w:val="bottom"/>
          </w:tcPr>
          <w:p w14:paraId="5A1B08C8" w14:textId="77777777" w:rsidR="00960BB8" w:rsidRDefault="00960BB8">
            <w:pPr>
              <w:rPr>
                <w:rFonts w:ascii="宋体"/>
              </w:rPr>
            </w:pPr>
          </w:p>
        </w:tc>
        <w:tc>
          <w:tcPr>
            <w:tcW w:w="50" w:type="pct"/>
            <w:shd w:val="clear" w:color="auto" w:fill="auto"/>
            <w:vAlign w:val="bottom"/>
          </w:tcPr>
          <w:p w14:paraId="5A1B08C9" w14:textId="77777777" w:rsidR="00960BB8" w:rsidRDefault="00960BB8">
            <w:pPr>
              <w:rPr>
                <w:rFonts w:ascii="宋体"/>
              </w:rPr>
            </w:pPr>
          </w:p>
        </w:tc>
        <w:tc>
          <w:tcPr>
            <w:tcW w:w="1894" w:type="pct"/>
            <w:shd w:val="clear" w:color="auto" w:fill="auto"/>
            <w:vAlign w:val="bottom"/>
          </w:tcPr>
          <w:p w14:paraId="5A1B08CA" w14:textId="77777777" w:rsidR="00960BB8" w:rsidRDefault="00960BB8">
            <w:pPr>
              <w:rPr>
                <w:rFonts w:ascii="宋体"/>
              </w:rPr>
            </w:pPr>
          </w:p>
        </w:tc>
        <w:tc>
          <w:tcPr>
            <w:tcW w:w="5" w:type="pct"/>
            <w:shd w:val="clear" w:color="auto" w:fill="auto"/>
            <w:vAlign w:val="bottom"/>
          </w:tcPr>
          <w:p w14:paraId="5A1B08CB" w14:textId="77777777" w:rsidR="00960BB8" w:rsidRDefault="00960BB8">
            <w:pPr>
              <w:rPr>
                <w:rFonts w:ascii="宋体"/>
              </w:rPr>
            </w:pPr>
          </w:p>
        </w:tc>
      </w:tr>
      <w:tr w:rsidR="00960BB8" w14:paraId="5A1B08D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8CD"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46" wp14:editId="5A1B4447">
                  <wp:extent cx="304800" cy="304800"/>
                  <wp:effectExtent l="0" t="0" r="0" b="0"/>
                  <wp:docPr id="91" name="图片 22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20"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CE"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8CF" w14:textId="77777777" w:rsidR="00960BB8" w:rsidRDefault="00C06650">
            <w:pPr>
              <w:jc w:val="right"/>
              <w:textAlignment w:val="center"/>
            </w:pPr>
            <w:r>
              <w:rPr>
                <w:rFonts w:ascii="Arial" w:eastAsia="宋体" w:hAnsi="Arial" w:cs="Arial"/>
                <w:color w:val="262626"/>
                <w:sz w:val="16"/>
                <w:szCs w:val="16"/>
              </w:rPr>
              <w:t>66</w:t>
            </w:r>
          </w:p>
        </w:tc>
      </w:tr>
    </w:tbl>
    <w:p w14:paraId="5A1B08D1" w14:textId="77777777" w:rsidR="00960BB8" w:rsidRDefault="00C06650">
      <w:r>
        <w:pict w14:anchorId="5A1B4448">
          <v:rect id="_x0000_i1092" style="width:415.3pt;height:1.5pt" o:hralign="center" o:hrstd="t" o:hr="t" fillcolor="#a0a0a0" stroked="f"/>
        </w:pict>
      </w:r>
    </w:p>
    <w:p w14:paraId="5A1B08D2" w14:textId="77777777" w:rsidR="00960BB8" w:rsidRDefault="00C06650">
      <w:pPr>
        <w:jc w:val="right"/>
      </w:pPr>
      <w:hyperlink r:id="rId85" w:anchor="i8aaa7b4dbd2e419ca0f5c30af85a11aa_16" w:history="1">
        <w:r>
          <w:rPr>
            <w:rStyle w:val="a5"/>
            <w:rFonts w:ascii="Arial" w:eastAsia="宋体" w:hAnsi="Arial" w:cs="Arial"/>
            <w:b/>
            <w:bCs/>
            <w:sz w:val="16"/>
            <w:szCs w:val="16"/>
          </w:rPr>
          <w:t>Table of Contents</w:t>
        </w:r>
      </w:hyperlink>
    </w:p>
    <w:p w14:paraId="5A1B08D3" w14:textId="77777777" w:rsidR="00960BB8" w:rsidRDefault="00960BB8">
      <w:pPr>
        <w:jc w:val="right"/>
      </w:pPr>
    </w:p>
    <w:p w14:paraId="5A1B08D4" w14:textId="77777777" w:rsidR="00960BB8" w:rsidRDefault="00C06650">
      <w:pPr>
        <w:spacing w:after="180"/>
      </w:pPr>
      <w:r>
        <w:rPr>
          <w:rFonts w:ascii="Arial" w:eastAsia="宋体" w:hAnsi="Arial" w:cs="Arial"/>
          <w:color w:val="262626"/>
          <w:sz w:val="18"/>
          <w:szCs w:val="18"/>
        </w:rPr>
        <w:t xml:space="preserve">Industry trends, such as the increasing shift of data center workloads to the public cloud, have increased the significance and purchasing power of certain customers, particularly cloud service providers, in some of our data center-focused businesses. The </w:t>
      </w:r>
      <w:r>
        <w:rPr>
          <w:rFonts w:ascii="Arial" w:eastAsia="宋体" w:hAnsi="Arial" w:cs="Arial"/>
          <w:color w:val="262626"/>
          <w:sz w:val="18"/>
          <w:szCs w:val="18"/>
        </w:rPr>
        <w:t>cloud and cloud applications represent a new and increasingly demanding computing environment. The further consolidation of computing workloads in the cloud, and consolidation among cloud service providers, can heighten the competitive importance of factor</w:t>
      </w:r>
      <w:r>
        <w:rPr>
          <w:rFonts w:ascii="Arial" w:eastAsia="宋体" w:hAnsi="Arial" w:cs="Arial"/>
          <w:color w:val="262626"/>
          <w:sz w:val="18"/>
          <w:szCs w:val="18"/>
        </w:rPr>
        <w:t>s such as collaboration and customization with cloud service provider customers to optimize products for their environments; optimization for cloud services and applications; product performance; energy efficiency; feature differentiation; product quality,</w:t>
      </w:r>
      <w:r>
        <w:rPr>
          <w:rFonts w:ascii="Arial" w:eastAsia="宋体" w:hAnsi="Arial" w:cs="Arial"/>
          <w:color w:val="262626"/>
          <w:sz w:val="18"/>
          <w:szCs w:val="18"/>
        </w:rPr>
        <w:t xml:space="preserve"> reliability, and factors affecting server uptime; and product security and security features. Our competitive position can be eroded to the extent we do not execute effectively across these factors. We are operating in an increasingly competitive environm</w:t>
      </w:r>
      <w:r>
        <w:rPr>
          <w:rFonts w:ascii="Arial" w:eastAsia="宋体" w:hAnsi="Arial" w:cs="Arial"/>
          <w:color w:val="262626"/>
          <w:sz w:val="18"/>
          <w:szCs w:val="18"/>
        </w:rPr>
        <w:t xml:space="preserve">ent, including serving cloud service provider customers, and the competitive environment adversely affected our results in DCAI in 2022. </w:t>
      </w:r>
    </w:p>
    <w:p w14:paraId="5A1B08D5" w14:textId="77777777" w:rsidR="00960BB8" w:rsidRDefault="00C06650">
      <w:pPr>
        <w:spacing w:after="180"/>
      </w:pPr>
      <w:r>
        <w:rPr>
          <w:rFonts w:ascii="Arial" w:eastAsia="宋体" w:hAnsi="Arial" w:cs="Arial"/>
          <w:color w:val="262626"/>
          <w:sz w:val="18"/>
          <w:szCs w:val="18"/>
        </w:rPr>
        <w:t>Some cloud service provider customers have also internally developed, and may continue to develop, their own semicondu</w:t>
      </w:r>
      <w:r>
        <w:rPr>
          <w:rFonts w:ascii="Arial" w:eastAsia="宋体" w:hAnsi="Arial" w:cs="Arial"/>
          <w:color w:val="262626"/>
          <w:sz w:val="18"/>
          <w:szCs w:val="18"/>
        </w:rPr>
        <w:t>ctors, including designs customized for their specific computing workloads. In addition, cloud services can be marketed to end users based on service levels or features rather than hardware specifications, or they can abstract hardware under layers of soft</w:t>
      </w:r>
      <w:r>
        <w:rPr>
          <w:rFonts w:ascii="Arial" w:eastAsia="宋体" w:hAnsi="Arial" w:cs="Arial"/>
          <w:color w:val="262626"/>
          <w:sz w:val="18"/>
          <w:szCs w:val="18"/>
        </w:rPr>
        <w:t>ware, which can make it more difficult to differentiate our products to customers and end users. The shift of data center workloads to the cloud has also adversely affected, and may continue to affect, sales to enterprise and government market segment cust</w:t>
      </w:r>
      <w:r>
        <w:rPr>
          <w:rFonts w:ascii="Arial" w:eastAsia="宋体" w:hAnsi="Arial" w:cs="Arial"/>
          <w:color w:val="262626"/>
          <w:sz w:val="18"/>
          <w:szCs w:val="18"/>
        </w:rPr>
        <w:t xml:space="preserve">omers when end users have elected to migrate workloads. To the extent we differentiate our products through customization to meet cloud customer specifications, order changes, delays, or cancellations may result in non-recoverable costs. </w:t>
      </w:r>
    </w:p>
    <w:p w14:paraId="5A1B08D6" w14:textId="77777777" w:rsidR="00960BB8" w:rsidRDefault="00C06650">
      <w:pPr>
        <w:spacing w:after="180"/>
      </w:pPr>
      <w:r>
        <w:rPr>
          <w:rFonts w:ascii="Arial" w:eastAsia="宋体" w:hAnsi="Arial" w:cs="Arial"/>
          <w:color w:val="262626"/>
          <w:sz w:val="18"/>
          <w:szCs w:val="18"/>
        </w:rPr>
        <w:t>The loss of key c</w:t>
      </w:r>
      <w:r>
        <w:rPr>
          <w:rFonts w:ascii="Arial" w:eastAsia="宋体" w:hAnsi="Arial" w:cs="Arial"/>
          <w:color w:val="262626"/>
          <w:sz w:val="18"/>
          <w:szCs w:val="18"/>
        </w:rPr>
        <w:t>ustomers, a substantial reduction in sales to them, or changes in the timing of their orders can lead to a reduction in our revenue, increase the volatility of our results, and harm our results of operations and financial condition. For more information ab</w:t>
      </w:r>
      <w:r>
        <w:rPr>
          <w:rFonts w:ascii="Arial" w:eastAsia="宋体" w:hAnsi="Arial" w:cs="Arial"/>
          <w:color w:val="262626"/>
          <w:sz w:val="18"/>
          <w:szCs w:val="18"/>
        </w:rPr>
        <w:t>out our customers, including customers who accounted for greater than 10% of our net consolidated revenue, see "Note 3: Operating Segments" within the Notes to Consolidated Financial Statements.</w:t>
      </w:r>
    </w:p>
    <w:p w14:paraId="5A1B08D7" w14:textId="77777777" w:rsidR="00960BB8" w:rsidRDefault="00C06650">
      <w:pPr>
        <w:spacing w:after="180"/>
      </w:pPr>
      <w:r>
        <w:rPr>
          <w:rFonts w:ascii="Arial" w:eastAsia="宋体" w:hAnsi="Arial" w:cs="Arial"/>
          <w:color w:val="0068B5"/>
          <w:sz w:val="18"/>
          <w:szCs w:val="18"/>
        </w:rPr>
        <w:t>We face risks related to transactions with government entitie</w:t>
      </w:r>
      <w:r>
        <w:rPr>
          <w:rFonts w:ascii="Arial" w:eastAsia="宋体" w:hAnsi="Arial" w:cs="Arial"/>
          <w:color w:val="0068B5"/>
          <w:sz w:val="18"/>
          <w:szCs w:val="18"/>
        </w:rPr>
        <w:t xml:space="preserve">s. </w:t>
      </w:r>
      <w:r>
        <w:rPr>
          <w:rFonts w:ascii="Arial" w:eastAsia="宋体" w:hAnsi="Arial" w:cs="Arial"/>
          <w:color w:val="262626"/>
          <w:sz w:val="18"/>
          <w:szCs w:val="18"/>
        </w:rPr>
        <w:t>We receive proceeds from domestic and foreign, local, regional, and national governments associated with grants, incentives, and sales of our products and services. Government demand and payment are often affected by public sector budgetary cycles and f</w:t>
      </w:r>
      <w:r>
        <w:rPr>
          <w:rFonts w:ascii="Arial" w:eastAsia="宋体" w:hAnsi="Arial" w:cs="Arial"/>
          <w:color w:val="262626"/>
          <w:sz w:val="18"/>
          <w:szCs w:val="18"/>
        </w:rPr>
        <w:t>unding authorizations, including, with respect to US government contracts, congressional approval of appropriations. Government contracts are subject to procurement laws and regulations relating to the award, administration, and performance of those contra</w:t>
      </w:r>
      <w:r>
        <w:rPr>
          <w:rFonts w:ascii="Arial" w:eastAsia="宋体" w:hAnsi="Arial" w:cs="Arial"/>
          <w:color w:val="262626"/>
          <w:sz w:val="18"/>
          <w:szCs w:val="18"/>
        </w:rPr>
        <w:t>cts, as well as oversight and penalties for violations. For example, certain agreements with the US government are subject to special rules on accounting, IP rights, expenses, reviews, information handling, security, customers, and/or employees, and failur</w:t>
      </w:r>
      <w:r>
        <w:rPr>
          <w:rFonts w:ascii="Arial" w:eastAsia="宋体" w:hAnsi="Arial" w:cs="Arial"/>
          <w:color w:val="262626"/>
          <w:sz w:val="18"/>
          <w:szCs w:val="18"/>
        </w:rPr>
        <w:t>e or inability to comply with these rules could result in civil and criminal penalties and sanctions, including termination of contracts, fines, and suspension or debarment from future business with the US government.</w:t>
      </w:r>
    </w:p>
    <w:p w14:paraId="5A1B08D8" w14:textId="77777777" w:rsidR="00960BB8" w:rsidRDefault="00C06650">
      <w:pPr>
        <w:spacing w:after="120"/>
      </w:pPr>
      <w:r>
        <w:rPr>
          <w:rFonts w:ascii="Arial" w:eastAsia="宋体" w:hAnsi="Arial" w:cs="Arial"/>
          <w:color w:val="0068B5"/>
        </w:rPr>
        <w:t>We have fluctuations in our stock pric</w:t>
      </w:r>
      <w:r>
        <w:rPr>
          <w:rFonts w:ascii="Arial" w:eastAsia="宋体" w:hAnsi="Arial" w:cs="Arial"/>
          <w:color w:val="0068B5"/>
        </w:rPr>
        <w:t xml:space="preserve">e and the amount and frequency of our stock repurchases. </w:t>
      </w:r>
    </w:p>
    <w:p w14:paraId="5A1B08D9" w14:textId="77777777" w:rsidR="00960BB8" w:rsidRDefault="00C06650">
      <w:pPr>
        <w:spacing w:after="180"/>
      </w:pPr>
      <w:r>
        <w:rPr>
          <w:rFonts w:ascii="Arial" w:eastAsia="宋体" w:hAnsi="Arial" w:cs="Arial"/>
          <w:color w:val="262626"/>
          <w:sz w:val="18"/>
          <w:szCs w:val="18"/>
        </w:rPr>
        <w:t>Our stock price can experience periods of significant volatility. For example, in 2022, our stock price ranged from a closing high of $55.91 to a closing low of $25.04. Changes in stock price or vol</w:t>
      </w:r>
      <w:r>
        <w:rPr>
          <w:rFonts w:ascii="Arial" w:eastAsia="宋体" w:hAnsi="Arial" w:cs="Arial"/>
          <w:color w:val="262626"/>
          <w:sz w:val="18"/>
          <w:szCs w:val="18"/>
        </w:rPr>
        <w:t>ume can also occur for the semiconductor industry more broadly, and may occur without regard to underlying company performance. Changes in our stock price can be driven by a variety of factors within or outside of our control, including the risks described</w:t>
      </w:r>
      <w:r>
        <w:rPr>
          <w:rFonts w:ascii="Arial" w:eastAsia="宋体" w:hAnsi="Arial" w:cs="Arial"/>
          <w:color w:val="262626"/>
          <w:sz w:val="18"/>
          <w:szCs w:val="18"/>
        </w:rPr>
        <w:t xml:space="preserve"> above in these risk factors, as well as: fluctuations in national and global markets; fluctuations in our operating results and projections; announcements by us or our competitors; sentiment, speculation, valuation, analyses, or recommendations of stock a</w:t>
      </w:r>
      <w:r>
        <w:rPr>
          <w:rFonts w:ascii="Arial" w:eastAsia="宋体" w:hAnsi="Arial" w:cs="Arial"/>
          <w:color w:val="262626"/>
          <w:sz w:val="18"/>
          <w:szCs w:val="18"/>
        </w:rPr>
        <w:t>nalysts, social media, and the press; our credit rating; changes in holders of our stock; significant litigation or regulatory actions; and other periodic events.</w:t>
      </w:r>
    </w:p>
    <w:p w14:paraId="5A1B08DA" w14:textId="77777777" w:rsidR="00960BB8" w:rsidRDefault="00C06650">
      <w:pPr>
        <w:spacing w:after="180"/>
      </w:pPr>
      <w:r>
        <w:rPr>
          <w:rFonts w:ascii="Arial" w:eastAsia="宋体" w:hAnsi="Arial" w:cs="Arial"/>
          <w:color w:val="262626"/>
          <w:sz w:val="18"/>
          <w:szCs w:val="18"/>
        </w:rPr>
        <w:t>We are not obligated to make repurchases under our stock repurchase program. The amount, timi</w:t>
      </w:r>
      <w:r>
        <w:rPr>
          <w:rFonts w:ascii="Arial" w:eastAsia="宋体" w:hAnsi="Arial" w:cs="Arial"/>
          <w:color w:val="262626"/>
          <w:sz w:val="18"/>
          <w:szCs w:val="18"/>
        </w:rPr>
        <w:t>ng, and execution of any share repurchases fluctuate based on factors that include prioritizing cash for other purposes, such as investing in our business, including operational spending, capital spending, and acquisitions, returning cash to our stockholde</w:t>
      </w:r>
      <w:r>
        <w:rPr>
          <w:rFonts w:ascii="Arial" w:eastAsia="宋体" w:hAnsi="Arial" w:cs="Arial"/>
          <w:color w:val="262626"/>
          <w:sz w:val="18"/>
          <w:szCs w:val="18"/>
        </w:rPr>
        <w:t xml:space="preserve">rs as dividend payments, and any regulatory restrictions. </w:t>
      </w:r>
      <w:r>
        <w:rPr>
          <w:rFonts w:ascii="Arial" w:eastAsia="宋体" w:hAnsi="Arial" w:cs="Arial"/>
          <w:color w:val="333333"/>
          <w:sz w:val="18"/>
          <w:szCs w:val="18"/>
        </w:rPr>
        <w:t>Our stock repurchase program may be suspended or terminated at any time. Moreover, we cannot guarantee that repurchases will enhance long-term stockholder value. We expect our future stock repurchas</w:t>
      </w:r>
      <w:r>
        <w:rPr>
          <w:rFonts w:ascii="Arial" w:eastAsia="宋体" w:hAnsi="Arial" w:cs="Arial"/>
          <w:color w:val="333333"/>
          <w:sz w:val="18"/>
          <w:szCs w:val="18"/>
        </w:rPr>
        <w:t>es to be significantly below our levels from the last few years. For example, in 2022, we did not repurchase any shares under our authorized stock repurchase program.</w:t>
      </w:r>
    </w:p>
    <w:p w14:paraId="5A1B08DB" w14:textId="77777777" w:rsidR="00960BB8" w:rsidRDefault="00960BB8"/>
    <w:p w14:paraId="5A1B08DC" w14:textId="77777777" w:rsidR="00960BB8" w:rsidRDefault="00C06650">
      <w:pPr>
        <w:spacing w:before="180" w:after="180"/>
      </w:pPr>
      <w:r>
        <w:rPr>
          <w:rFonts w:ascii="Arial" w:eastAsia="宋体" w:hAnsi="Arial" w:cs="Arial"/>
          <w:color w:val="0068B5"/>
          <w:sz w:val="28"/>
          <w:szCs w:val="28"/>
        </w:rPr>
        <w:t>Properties</w:t>
      </w:r>
    </w:p>
    <w:p w14:paraId="5A1B08DD" w14:textId="77777777" w:rsidR="00960BB8" w:rsidRDefault="00C06650">
      <w:pPr>
        <w:spacing w:after="120"/>
      </w:pPr>
      <w:r>
        <w:rPr>
          <w:rFonts w:ascii="Arial" w:eastAsia="宋体" w:hAnsi="Arial" w:cs="Arial"/>
          <w:color w:val="262626"/>
          <w:sz w:val="18"/>
          <w:szCs w:val="18"/>
        </w:rPr>
        <w:t>As of December 31, 2022, our major facilities consisted of:</w:t>
      </w:r>
    </w:p>
    <w:tbl>
      <w:tblPr>
        <w:tblW w:w="5000" w:type="pct"/>
        <w:tblCellMar>
          <w:top w:w="15" w:type="dxa"/>
          <w:left w:w="15" w:type="dxa"/>
          <w:bottom w:w="15" w:type="dxa"/>
          <w:right w:w="15" w:type="dxa"/>
        </w:tblCellMar>
        <w:tblLook w:val="04A0" w:firstRow="1" w:lastRow="0" w:firstColumn="1" w:lastColumn="0" w:noHBand="0" w:noVBand="1"/>
      </w:tblPr>
      <w:tblGrid>
        <w:gridCol w:w="58"/>
        <w:gridCol w:w="5077"/>
        <w:gridCol w:w="36"/>
        <w:gridCol w:w="36"/>
        <w:gridCol w:w="36"/>
        <w:gridCol w:w="36"/>
        <w:gridCol w:w="51"/>
        <w:gridCol w:w="860"/>
        <w:gridCol w:w="36"/>
        <w:gridCol w:w="36"/>
        <w:gridCol w:w="36"/>
        <w:gridCol w:w="36"/>
        <w:gridCol w:w="75"/>
        <w:gridCol w:w="836"/>
        <w:gridCol w:w="36"/>
        <w:gridCol w:w="36"/>
        <w:gridCol w:w="36"/>
        <w:gridCol w:w="36"/>
        <w:gridCol w:w="40"/>
        <w:gridCol w:w="871"/>
        <w:gridCol w:w="36"/>
      </w:tblGrid>
      <w:tr w:rsidR="00960BB8" w14:paraId="5A1B08F3" w14:textId="77777777">
        <w:tc>
          <w:tcPr>
            <w:tcW w:w="50" w:type="pct"/>
            <w:shd w:val="clear" w:color="auto" w:fill="auto"/>
            <w:vAlign w:val="bottom"/>
          </w:tcPr>
          <w:p w14:paraId="5A1B08DE" w14:textId="77777777" w:rsidR="00960BB8" w:rsidRDefault="00960BB8">
            <w:pPr>
              <w:rPr>
                <w:rFonts w:ascii="宋体"/>
              </w:rPr>
            </w:pPr>
          </w:p>
        </w:tc>
        <w:tc>
          <w:tcPr>
            <w:tcW w:w="3059" w:type="pct"/>
            <w:shd w:val="clear" w:color="auto" w:fill="auto"/>
            <w:vAlign w:val="bottom"/>
          </w:tcPr>
          <w:p w14:paraId="5A1B08DF" w14:textId="77777777" w:rsidR="00960BB8" w:rsidRDefault="00960BB8">
            <w:pPr>
              <w:rPr>
                <w:rFonts w:ascii="宋体"/>
              </w:rPr>
            </w:pPr>
          </w:p>
        </w:tc>
        <w:tc>
          <w:tcPr>
            <w:tcW w:w="5" w:type="pct"/>
            <w:shd w:val="clear" w:color="auto" w:fill="auto"/>
            <w:vAlign w:val="bottom"/>
          </w:tcPr>
          <w:p w14:paraId="5A1B08E0" w14:textId="77777777" w:rsidR="00960BB8" w:rsidRDefault="00960BB8">
            <w:pPr>
              <w:rPr>
                <w:rFonts w:ascii="宋体"/>
              </w:rPr>
            </w:pPr>
          </w:p>
        </w:tc>
        <w:tc>
          <w:tcPr>
            <w:tcW w:w="5" w:type="pct"/>
            <w:shd w:val="clear" w:color="auto" w:fill="auto"/>
            <w:vAlign w:val="bottom"/>
          </w:tcPr>
          <w:p w14:paraId="5A1B08E1" w14:textId="77777777" w:rsidR="00960BB8" w:rsidRDefault="00960BB8">
            <w:pPr>
              <w:rPr>
                <w:rFonts w:ascii="宋体"/>
              </w:rPr>
            </w:pPr>
          </w:p>
        </w:tc>
        <w:tc>
          <w:tcPr>
            <w:tcW w:w="24" w:type="pct"/>
            <w:shd w:val="clear" w:color="auto" w:fill="auto"/>
            <w:vAlign w:val="bottom"/>
          </w:tcPr>
          <w:p w14:paraId="5A1B08E2" w14:textId="77777777" w:rsidR="00960BB8" w:rsidRDefault="00960BB8">
            <w:pPr>
              <w:rPr>
                <w:rFonts w:ascii="宋体"/>
              </w:rPr>
            </w:pPr>
          </w:p>
        </w:tc>
        <w:tc>
          <w:tcPr>
            <w:tcW w:w="5" w:type="pct"/>
            <w:shd w:val="clear" w:color="auto" w:fill="auto"/>
            <w:vAlign w:val="bottom"/>
          </w:tcPr>
          <w:p w14:paraId="5A1B08E3" w14:textId="77777777" w:rsidR="00960BB8" w:rsidRDefault="00960BB8">
            <w:pPr>
              <w:rPr>
                <w:rFonts w:ascii="宋体"/>
              </w:rPr>
            </w:pPr>
          </w:p>
        </w:tc>
        <w:tc>
          <w:tcPr>
            <w:tcW w:w="50" w:type="pct"/>
            <w:shd w:val="clear" w:color="auto" w:fill="auto"/>
            <w:vAlign w:val="bottom"/>
          </w:tcPr>
          <w:p w14:paraId="5A1B08E4" w14:textId="77777777" w:rsidR="00960BB8" w:rsidRDefault="00960BB8">
            <w:pPr>
              <w:rPr>
                <w:rFonts w:ascii="宋体"/>
              </w:rPr>
            </w:pPr>
          </w:p>
        </w:tc>
        <w:tc>
          <w:tcPr>
            <w:tcW w:w="539" w:type="pct"/>
            <w:shd w:val="clear" w:color="auto" w:fill="auto"/>
            <w:vAlign w:val="bottom"/>
          </w:tcPr>
          <w:p w14:paraId="5A1B08E5" w14:textId="77777777" w:rsidR="00960BB8" w:rsidRDefault="00960BB8">
            <w:pPr>
              <w:rPr>
                <w:rFonts w:ascii="宋体"/>
              </w:rPr>
            </w:pPr>
          </w:p>
        </w:tc>
        <w:tc>
          <w:tcPr>
            <w:tcW w:w="5" w:type="pct"/>
            <w:shd w:val="clear" w:color="auto" w:fill="auto"/>
            <w:vAlign w:val="bottom"/>
          </w:tcPr>
          <w:p w14:paraId="5A1B08E6" w14:textId="77777777" w:rsidR="00960BB8" w:rsidRDefault="00960BB8">
            <w:pPr>
              <w:rPr>
                <w:rFonts w:ascii="宋体"/>
              </w:rPr>
            </w:pPr>
          </w:p>
        </w:tc>
        <w:tc>
          <w:tcPr>
            <w:tcW w:w="5" w:type="pct"/>
            <w:shd w:val="clear" w:color="auto" w:fill="auto"/>
            <w:vAlign w:val="bottom"/>
          </w:tcPr>
          <w:p w14:paraId="5A1B08E7" w14:textId="77777777" w:rsidR="00960BB8" w:rsidRDefault="00960BB8">
            <w:pPr>
              <w:rPr>
                <w:rFonts w:ascii="宋体"/>
              </w:rPr>
            </w:pPr>
          </w:p>
        </w:tc>
        <w:tc>
          <w:tcPr>
            <w:tcW w:w="24" w:type="pct"/>
            <w:shd w:val="clear" w:color="auto" w:fill="auto"/>
            <w:vAlign w:val="bottom"/>
          </w:tcPr>
          <w:p w14:paraId="5A1B08E8" w14:textId="77777777" w:rsidR="00960BB8" w:rsidRDefault="00960BB8">
            <w:pPr>
              <w:rPr>
                <w:rFonts w:ascii="宋体"/>
              </w:rPr>
            </w:pPr>
          </w:p>
        </w:tc>
        <w:tc>
          <w:tcPr>
            <w:tcW w:w="5" w:type="pct"/>
            <w:shd w:val="clear" w:color="auto" w:fill="auto"/>
            <w:vAlign w:val="bottom"/>
          </w:tcPr>
          <w:p w14:paraId="5A1B08E9" w14:textId="77777777" w:rsidR="00960BB8" w:rsidRDefault="00960BB8">
            <w:pPr>
              <w:rPr>
                <w:rFonts w:ascii="宋体"/>
              </w:rPr>
            </w:pPr>
          </w:p>
        </w:tc>
        <w:tc>
          <w:tcPr>
            <w:tcW w:w="50" w:type="pct"/>
            <w:shd w:val="clear" w:color="auto" w:fill="auto"/>
            <w:vAlign w:val="bottom"/>
          </w:tcPr>
          <w:p w14:paraId="5A1B08EA" w14:textId="77777777" w:rsidR="00960BB8" w:rsidRDefault="00960BB8">
            <w:pPr>
              <w:rPr>
                <w:rFonts w:ascii="宋体"/>
              </w:rPr>
            </w:pPr>
          </w:p>
        </w:tc>
        <w:tc>
          <w:tcPr>
            <w:tcW w:w="539" w:type="pct"/>
            <w:shd w:val="clear" w:color="auto" w:fill="auto"/>
            <w:vAlign w:val="bottom"/>
          </w:tcPr>
          <w:p w14:paraId="5A1B08EB" w14:textId="77777777" w:rsidR="00960BB8" w:rsidRDefault="00960BB8">
            <w:pPr>
              <w:rPr>
                <w:rFonts w:ascii="宋体"/>
              </w:rPr>
            </w:pPr>
          </w:p>
        </w:tc>
        <w:tc>
          <w:tcPr>
            <w:tcW w:w="5" w:type="pct"/>
            <w:shd w:val="clear" w:color="auto" w:fill="auto"/>
            <w:vAlign w:val="bottom"/>
          </w:tcPr>
          <w:p w14:paraId="5A1B08EC" w14:textId="77777777" w:rsidR="00960BB8" w:rsidRDefault="00960BB8">
            <w:pPr>
              <w:rPr>
                <w:rFonts w:ascii="宋体"/>
              </w:rPr>
            </w:pPr>
          </w:p>
        </w:tc>
        <w:tc>
          <w:tcPr>
            <w:tcW w:w="5" w:type="pct"/>
            <w:shd w:val="clear" w:color="auto" w:fill="auto"/>
            <w:vAlign w:val="bottom"/>
          </w:tcPr>
          <w:p w14:paraId="5A1B08ED" w14:textId="77777777" w:rsidR="00960BB8" w:rsidRDefault="00960BB8">
            <w:pPr>
              <w:rPr>
                <w:rFonts w:ascii="宋体"/>
              </w:rPr>
            </w:pPr>
          </w:p>
        </w:tc>
        <w:tc>
          <w:tcPr>
            <w:tcW w:w="24" w:type="pct"/>
            <w:shd w:val="clear" w:color="auto" w:fill="auto"/>
            <w:vAlign w:val="bottom"/>
          </w:tcPr>
          <w:p w14:paraId="5A1B08EE" w14:textId="77777777" w:rsidR="00960BB8" w:rsidRDefault="00960BB8">
            <w:pPr>
              <w:rPr>
                <w:rFonts w:ascii="宋体"/>
              </w:rPr>
            </w:pPr>
          </w:p>
        </w:tc>
        <w:tc>
          <w:tcPr>
            <w:tcW w:w="5" w:type="pct"/>
            <w:shd w:val="clear" w:color="auto" w:fill="auto"/>
            <w:vAlign w:val="bottom"/>
          </w:tcPr>
          <w:p w14:paraId="5A1B08EF" w14:textId="77777777" w:rsidR="00960BB8" w:rsidRDefault="00960BB8">
            <w:pPr>
              <w:rPr>
                <w:rFonts w:ascii="宋体"/>
              </w:rPr>
            </w:pPr>
          </w:p>
        </w:tc>
        <w:tc>
          <w:tcPr>
            <w:tcW w:w="50" w:type="pct"/>
            <w:shd w:val="clear" w:color="auto" w:fill="auto"/>
            <w:vAlign w:val="bottom"/>
          </w:tcPr>
          <w:p w14:paraId="5A1B08F0" w14:textId="77777777" w:rsidR="00960BB8" w:rsidRDefault="00960BB8">
            <w:pPr>
              <w:rPr>
                <w:rFonts w:ascii="宋体"/>
              </w:rPr>
            </w:pPr>
          </w:p>
        </w:tc>
        <w:tc>
          <w:tcPr>
            <w:tcW w:w="539" w:type="pct"/>
            <w:shd w:val="clear" w:color="auto" w:fill="auto"/>
            <w:vAlign w:val="bottom"/>
          </w:tcPr>
          <w:p w14:paraId="5A1B08F1" w14:textId="77777777" w:rsidR="00960BB8" w:rsidRDefault="00960BB8">
            <w:pPr>
              <w:rPr>
                <w:rFonts w:ascii="宋体"/>
              </w:rPr>
            </w:pPr>
          </w:p>
        </w:tc>
        <w:tc>
          <w:tcPr>
            <w:tcW w:w="5" w:type="pct"/>
            <w:shd w:val="clear" w:color="auto" w:fill="auto"/>
            <w:vAlign w:val="bottom"/>
          </w:tcPr>
          <w:p w14:paraId="5A1B08F2" w14:textId="77777777" w:rsidR="00960BB8" w:rsidRDefault="00960BB8">
            <w:pPr>
              <w:rPr>
                <w:rFonts w:ascii="宋体"/>
              </w:rPr>
            </w:pPr>
          </w:p>
        </w:tc>
      </w:tr>
      <w:tr w:rsidR="00960BB8" w14:paraId="5A1B08FB" w14:textId="77777777">
        <w:tc>
          <w:tcPr>
            <w:tcW w:w="0" w:type="auto"/>
            <w:gridSpan w:val="3"/>
            <w:shd w:val="clear" w:color="auto" w:fill="auto"/>
            <w:tcMar>
              <w:top w:w="40" w:type="dxa"/>
              <w:left w:w="20" w:type="dxa"/>
              <w:bottom w:w="40" w:type="dxa"/>
              <w:right w:w="20" w:type="dxa"/>
            </w:tcMar>
            <w:vAlign w:val="bottom"/>
          </w:tcPr>
          <w:p w14:paraId="5A1B08F4" w14:textId="77777777" w:rsidR="00960BB8" w:rsidRDefault="00C06650">
            <w:pPr>
              <w:textAlignment w:val="bottom"/>
            </w:pPr>
            <w:r>
              <w:rPr>
                <w:rFonts w:ascii="Arial" w:eastAsia="宋体" w:hAnsi="Arial" w:cs="Arial"/>
                <w:b/>
                <w:bCs/>
                <w:color w:val="262626"/>
                <w:sz w:val="18"/>
                <w:szCs w:val="18"/>
              </w:rPr>
              <w:t>(Squa</w:t>
            </w:r>
            <w:r>
              <w:rPr>
                <w:rFonts w:ascii="Arial" w:eastAsia="宋体" w:hAnsi="Arial" w:cs="Arial"/>
                <w:b/>
                <w:bCs/>
                <w:color w:val="262626"/>
                <w:sz w:val="18"/>
                <w:szCs w:val="18"/>
              </w:rPr>
              <w:t>re Feet in Millions)</w:t>
            </w:r>
          </w:p>
        </w:tc>
        <w:tc>
          <w:tcPr>
            <w:tcW w:w="0" w:type="auto"/>
            <w:gridSpan w:val="3"/>
            <w:shd w:val="clear" w:color="auto" w:fill="auto"/>
            <w:tcMar>
              <w:top w:w="0" w:type="dxa"/>
              <w:left w:w="20" w:type="dxa"/>
              <w:bottom w:w="0" w:type="dxa"/>
              <w:right w:w="20" w:type="dxa"/>
            </w:tcMar>
            <w:vAlign w:val="bottom"/>
          </w:tcPr>
          <w:p w14:paraId="5A1B08F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8F6" w14:textId="77777777" w:rsidR="00960BB8" w:rsidRDefault="00C06650">
            <w:pPr>
              <w:jc w:val="center"/>
              <w:textAlignment w:val="bottom"/>
            </w:pPr>
            <w:r>
              <w:rPr>
                <w:rFonts w:ascii="Arial" w:eastAsia="宋体" w:hAnsi="Arial" w:cs="Arial"/>
                <w:b/>
                <w:bCs/>
                <w:color w:val="262626"/>
                <w:sz w:val="18"/>
                <w:szCs w:val="18"/>
              </w:rPr>
              <w:t>United</w:t>
            </w:r>
            <w:r>
              <w:rPr>
                <w:rFonts w:ascii="Arial" w:eastAsia="宋体" w:hAnsi="Arial" w:cs="Arial"/>
                <w:b/>
                <w:bCs/>
                <w:color w:val="262626"/>
                <w:sz w:val="18"/>
                <w:szCs w:val="18"/>
              </w:rPr>
              <w:br/>
              <w:t>States</w:t>
            </w:r>
          </w:p>
        </w:tc>
        <w:tc>
          <w:tcPr>
            <w:tcW w:w="0" w:type="auto"/>
            <w:gridSpan w:val="3"/>
            <w:shd w:val="clear" w:color="auto" w:fill="auto"/>
            <w:tcMar>
              <w:top w:w="0" w:type="dxa"/>
              <w:left w:w="20" w:type="dxa"/>
              <w:bottom w:w="0" w:type="dxa"/>
              <w:right w:w="20" w:type="dxa"/>
            </w:tcMar>
            <w:vAlign w:val="bottom"/>
          </w:tcPr>
          <w:p w14:paraId="5A1B08F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8F8" w14:textId="77777777" w:rsidR="00960BB8" w:rsidRDefault="00C06650">
            <w:pPr>
              <w:jc w:val="center"/>
              <w:textAlignment w:val="bottom"/>
            </w:pPr>
            <w:r>
              <w:rPr>
                <w:rFonts w:ascii="Arial" w:eastAsia="宋体" w:hAnsi="Arial" w:cs="Arial"/>
                <w:b/>
                <w:bCs/>
                <w:color w:val="262626"/>
                <w:sz w:val="18"/>
                <w:szCs w:val="18"/>
              </w:rPr>
              <w:t>Other</w:t>
            </w:r>
            <w:r>
              <w:rPr>
                <w:rFonts w:ascii="Arial" w:eastAsia="宋体" w:hAnsi="Arial" w:cs="Arial"/>
                <w:b/>
                <w:bCs/>
                <w:color w:val="262626"/>
                <w:sz w:val="18"/>
                <w:szCs w:val="18"/>
              </w:rPr>
              <w:br/>
              <w:t>Countries</w:t>
            </w:r>
          </w:p>
        </w:tc>
        <w:tc>
          <w:tcPr>
            <w:tcW w:w="0" w:type="auto"/>
            <w:gridSpan w:val="3"/>
            <w:shd w:val="clear" w:color="auto" w:fill="auto"/>
            <w:tcMar>
              <w:top w:w="0" w:type="dxa"/>
              <w:left w:w="20" w:type="dxa"/>
              <w:bottom w:w="0" w:type="dxa"/>
              <w:right w:w="20" w:type="dxa"/>
            </w:tcMar>
            <w:vAlign w:val="bottom"/>
          </w:tcPr>
          <w:p w14:paraId="5A1B08F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8FA" w14:textId="77777777" w:rsidR="00960BB8" w:rsidRDefault="00C06650">
            <w:pPr>
              <w:jc w:val="center"/>
              <w:textAlignment w:val="bottom"/>
            </w:pPr>
            <w:r>
              <w:rPr>
                <w:rFonts w:ascii="Arial" w:eastAsia="宋体" w:hAnsi="Arial" w:cs="Arial"/>
                <w:b/>
                <w:bCs/>
                <w:color w:val="262626"/>
                <w:sz w:val="18"/>
                <w:szCs w:val="18"/>
              </w:rPr>
              <w:t>Total</w:t>
            </w:r>
          </w:p>
        </w:tc>
      </w:tr>
      <w:tr w:rsidR="00960BB8" w14:paraId="5A1B090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8FC" w14:textId="77777777" w:rsidR="00960BB8" w:rsidRDefault="00C06650">
            <w:pPr>
              <w:textAlignment w:val="bottom"/>
            </w:pPr>
            <w:r>
              <w:rPr>
                <w:rFonts w:ascii="Arial" w:eastAsia="宋体" w:hAnsi="Arial" w:cs="Arial"/>
                <w:color w:val="262626"/>
                <w:sz w:val="18"/>
                <w:szCs w:val="18"/>
              </w:rPr>
              <w:t>Owned facilities</w:t>
            </w:r>
          </w:p>
        </w:tc>
        <w:tc>
          <w:tcPr>
            <w:tcW w:w="0" w:type="auto"/>
            <w:gridSpan w:val="3"/>
            <w:shd w:val="clear" w:color="auto" w:fill="auto"/>
            <w:tcMar>
              <w:top w:w="0" w:type="dxa"/>
              <w:left w:w="20" w:type="dxa"/>
              <w:bottom w:w="0" w:type="dxa"/>
              <w:right w:w="20" w:type="dxa"/>
            </w:tcMar>
            <w:vAlign w:val="bottom"/>
          </w:tcPr>
          <w:p w14:paraId="5A1B08FD"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B08FE" w14:textId="77777777" w:rsidR="00960BB8" w:rsidRDefault="00C06650">
            <w:pPr>
              <w:jc w:val="right"/>
              <w:textAlignment w:val="bottom"/>
            </w:pPr>
            <w:r>
              <w:rPr>
                <w:rFonts w:ascii="Arial" w:eastAsia="宋体" w:hAnsi="Arial" w:cs="Arial"/>
                <w:color w:val="0068B5"/>
                <w:sz w:val="18"/>
                <w:szCs w:val="18"/>
              </w:rPr>
              <w:t>34 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8F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00"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B0901" w14:textId="77777777" w:rsidR="00960BB8" w:rsidRDefault="00C06650">
            <w:pPr>
              <w:jc w:val="right"/>
              <w:textAlignment w:val="bottom"/>
            </w:pPr>
            <w:r>
              <w:rPr>
                <w:rFonts w:ascii="Arial" w:eastAsia="宋体" w:hAnsi="Arial" w:cs="Arial"/>
                <w:color w:val="0068B5"/>
                <w:sz w:val="18"/>
                <w:szCs w:val="18"/>
              </w:rPr>
              <w:t>25 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90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03"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B0904" w14:textId="77777777" w:rsidR="00960BB8" w:rsidRDefault="00C06650">
            <w:pPr>
              <w:jc w:val="right"/>
              <w:textAlignment w:val="bottom"/>
            </w:pPr>
            <w:r>
              <w:rPr>
                <w:rFonts w:ascii="Arial" w:eastAsia="宋体" w:hAnsi="Arial" w:cs="Arial"/>
                <w:color w:val="0068B5"/>
                <w:sz w:val="18"/>
                <w:szCs w:val="18"/>
              </w:rPr>
              <w:t>59 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905" w14:textId="77777777" w:rsidR="00960BB8" w:rsidRDefault="00960BB8">
            <w:pPr>
              <w:jc w:val="right"/>
              <w:rPr>
                <w:rFonts w:ascii="宋体"/>
              </w:rPr>
            </w:pPr>
          </w:p>
        </w:tc>
      </w:tr>
      <w:tr w:rsidR="00960BB8" w14:paraId="5A1B0911" w14:textId="77777777">
        <w:tc>
          <w:tcPr>
            <w:tcW w:w="0" w:type="auto"/>
            <w:gridSpan w:val="3"/>
            <w:shd w:val="clear" w:color="auto" w:fill="auto"/>
            <w:tcMar>
              <w:top w:w="40" w:type="dxa"/>
              <w:left w:w="20" w:type="dxa"/>
              <w:bottom w:w="40" w:type="dxa"/>
              <w:right w:w="20" w:type="dxa"/>
            </w:tcMar>
            <w:vAlign w:val="bottom"/>
          </w:tcPr>
          <w:p w14:paraId="5A1B0907" w14:textId="77777777" w:rsidR="00960BB8" w:rsidRDefault="00C06650">
            <w:pPr>
              <w:textAlignment w:val="bottom"/>
            </w:pPr>
            <w:r>
              <w:rPr>
                <w:rFonts w:ascii="Arial" w:eastAsia="宋体" w:hAnsi="Arial" w:cs="Arial"/>
                <w:color w:val="262626"/>
                <w:sz w:val="18"/>
                <w:szCs w:val="18"/>
              </w:rPr>
              <w:t>Leased facilities</w:t>
            </w:r>
          </w:p>
        </w:tc>
        <w:tc>
          <w:tcPr>
            <w:tcW w:w="0" w:type="auto"/>
            <w:gridSpan w:val="3"/>
            <w:shd w:val="clear" w:color="auto" w:fill="auto"/>
            <w:tcMar>
              <w:top w:w="0" w:type="dxa"/>
              <w:left w:w="20" w:type="dxa"/>
              <w:bottom w:w="0" w:type="dxa"/>
              <w:right w:w="20" w:type="dxa"/>
            </w:tcMar>
            <w:vAlign w:val="bottom"/>
          </w:tcPr>
          <w:p w14:paraId="5A1B090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909" w14:textId="77777777" w:rsidR="00960BB8" w:rsidRDefault="00C06650">
            <w:pPr>
              <w:jc w:val="right"/>
              <w:textAlignment w:val="bottom"/>
            </w:pPr>
            <w:r>
              <w:rPr>
                <w:rFonts w:ascii="Arial" w:eastAsia="宋体" w:hAnsi="Arial" w:cs="Arial"/>
                <w:color w:val="0068B5"/>
                <w:sz w:val="18"/>
                <w:szCs w:val="18"/>
              </w:rPr>
              <w:t>1 </w:t>
            </w:r>
          </w:p>
        </w:tc>
        <w:tc>
          <w:tcPr>
            <w:tcW w:w="0" w:type="auto"/>
            <w:shd w:val="clear" w:color="auto" w:fill="auto"/>
            <w:tcMar>
              <w:top w:w="40" w:type="dxa"/>
              <w:left w:w="0" w:type="dxa"/>
              <w:bottom w:w="40" w:type="dxa"/>
              <w:right w:w="20" w:type="dxa"/>
            </w:tcMar>
            <w:vAlign w:val="bottom"/>
          </w:tcPr>
          <w:p w14:paraId="5A1B090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0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90C" w14:textId="77777777" w:rsidR="00960BB8" w:rsidRDefault="00C06650">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5A1B090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0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90F" w14:textId="77777777" w:rsidR="00960BB8" w:rsidRDefault="00C06650">
            <w:pPr>
              <w:jc w:val="right"/>
              <w:textAlignment w:val="bottom"/>
            </w:pPr>
            <w:r>
              <w:rPr>
                <w:rFonts w:ascii="Arial" w:eastAsia="宋体" w:hAnsi="Arial" w:cs="Arial"/>
                <w:color w:val="0068B5"/>
                <w:sz w:val="18"/>
                <w:szCs w:val="18"/>
              </w:rPr>
              <w:t>6 </w:t>
            </w:r>
          </w:p>
        </w:tc>
        <w:tc>
          <w:tcPr>
            <w:tcW w:w="0" w:type="auto"/>
            <w:shd w:val="clear" w:color="auto" w:fill="auto"/>
            <w:tcMar>
              <w:top w:w="40" w:type="dxa"/>
              <w:left w:w="0" w:type="dxa"/>
              <w:bottom w:w="40" w:type="dxa"/>
              <w:right w:w="20" w:type="dxa"/>
            </w:tcMar>
            <w:vAlign w:val="bottom"/>
          </w:tcPr>
          <w:p w14:paraId="5A1B0910" w14:textId="77777777" w:rsidR="00960BB8" w:rsidRDefault="00960BB8">
            <w:pPr>
              <w:jc w:val="right"/>
              <w:rPr>
                <w:rFonts w:ascii="宋体"/>
              </w:rPr>
            </w:pPr>
          </w:p>
        </w:tc>
      </w:tr>
      <w:tr w:rsidR="00960BB8" w14:paraId="5A1B091C" w14:textId="77777777">
        <w:tc>
          <w:tcPr>
            <w:tcW w:w="0" w:type="auto"/>
            <w:gridSpan w:val="3"/>
            <w:shd w:val="clear" w:color="auto" w:fill="auto"/>
            <w:tcMar>
              <w:top w:w="40" w:type="dxa"/>
              <w:left w:w="20" w:type="dxa"/>
              <w:bottom w:w="40" w:type="dxa"/>
              <w:right w:w="20" w:type="dxa"/>
            </w:tcMar>
            <w:vAlign w:val="bottom"/>
          </w:tcPr>
          <w:p w14:paraId="5A1B0912" w14:textId="77777777" w:rsidR="00960BB8" w:rsidRDefault="00C06650">
            <w:pPr>
              <w:textAlignment w:val="bottom"/>
            </w:pPr>
            <w:r>
              <w:rPr>
                <w:rFonts w:ascii="Arial" w:eastAsia="宋体" w:hAnsi="Arial" w:cs="Arial"/>
                <w:b/>
                <w:bCs/>
                <w:color w:val="262626"/>
                <w:sz w:val="18"/>
                <w:szCs w:val="18"/>
              </w:rPr>
              <w:t>Total facilities</w:t>
            </w:r>
          </w:p>
        </w:tc>
        <w:tc>
          <w:tcPr>
            <w:tcW w:w="0" w:type="auto"/>
            <w:gridSpan w:val="3"/>
            <w:shd w:val="clear" w:color="auto" w:fill="auto"/>
            <w:tcMar>
              <w:top w:w="0" w:type="dxa"/>
              <w:left w:w="20" w:type="dxa"/>
              <w:bottom w:w="0" w:type="dxa"/>
              <w:right w:w="20" w:type="dxa"/>
            </w:tcMar>
            <w:vAlign w:val="bottom"/>
          </w:tcPr>
          <w:p w14:paraId="5A1B0913" w14:textId="77777777" w:rsidR="00960BB8" w:rsidRDefault="00960BB8">
            <w:pPr>
              <w:rPr>
                <w:rFonts w:ascii="宋体"/>
              </w:rPr>
            </w:pPr>
          </w:p>
        </w:tc>
        <w:tc>
          <w:tcPr>
            <w:tcW w:w="0" w:type="auto"/>
            <w:gridSpan w:val="2"/>
            <w:tcBorders>
              <w:top w:val="single" w:sz="4" w:space="0" w:color="333333"/>
              <w:bottom w:val="double" w:sz="6" w:space="0" w:color="333333"/>
            </w:tcBorders>
            <w:shd w:val="clear" w:color="auto" w:fill="auto"/>
            <w:tcMar>
              <w:top w:w="40" w:type="dxa"/>
              <w:left w:w="20" w:type="dxa"/>
              <w:bottom w:w="40" w:type="dxa"/>
              <w:right w:w="0" w:type="dxa"/>
            </w:tcMar>
            <w:vAlign w:val="bottom"/>
          </w:tcPr>
          <w:p w14:paraId="5A1B0914" w14:textId="77777777" w:rsidR="00960BB8" w:rsidRDefault="00C06650">
            <w:pPr>
              <w:jc w:val="right"/>
              <w:textAlignment w:val="bottom"/>
            </w:pPr>
            <w:r>
              <w:rPr>
                <w:rFonts w:ascii="Arial" w:eastAsia="宋体" w:hAnsi="Arial" w:cs="Arial"/>
                <w:b/>
                <w:bCs/>
                <w:color w:val="0068B5"/>
                <w:sz w:val="18"/>
                <w:szCs w:val="18"/>
              </w:rPr>
              <w:t>35</w:t>
            </w:r>
            <w:r>
              <w:rPr>
                <w:rFonts w:ascii="Arial" w:eastAsia="宋体" w:hAnsi="Arial" w:cs="Arial"/>
                <w:color w:val="0068B5"/>
                <w:sz w:val="18"/>
                <w:szCs w:val="18"/>
              </w:rPr>
              <w:t> </w:t>
            </w:r>
          </w:p>
        </w:tc>
        <w:tc>
          <w:tcPr>
            <w:tcW w:w="0" w:type="auto"/>
            <w:tcBorders>
              <w:top w:val="single" w:sz="4" w:space="0" w:color="333333"/>
              <w:bottom w:val="double" w:sz="6" w:space="0" w:color="333333"/>
            </w:tcBorders>
            <w:shd w:val="clear" w:color="auto" w:fill="auto"/>
            <w:tcMar>
              <w:top w:w="40" w:type="dxa"/>
              <w:left w:w="0" w:type="dxa"/>
              <w:bottom w:w="40" w:type="dxa"/>
              <w:right w:w="20" w:type="dxa"/>
            </w:tcMar>
            <w:vAlign w:val="bottom"/>
          </w:tcPr>
          <w:p w14:paraId="5A1B091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16" w14:textId="77777777" w:rsidR="00960BB8" w:rsidRDefault="00960BB8">
            <w:pPr>
              <w:rPr>
                <w:rFonts w:ascii="宋体"/>
              </w:rPr>
            </w:pPr>
          </w:p>
        </w:tc>
        <w:tc>
          <w:tcPr>
            <w:tcW w:w="0" w:type="auto"/>
            <w:gridSpan w:val="2"/>
            <w:tcBorders>
              <w:top w:val="single" w:sz="4" w:space="0" w:color="333333"/>
              <w:bottom w:val="double" w:sz="6" w:space="0" w:color="333333"/>
            </w:tcBorders>
            <w:shd w:val="clear" w:color="auto" w:fill="auto"/>
            <w:tcMar>
              <w:top w:w="40" w:type="dxa"/>
              <w:left w:w="20" w:type="dxa"/>
              <w:bottom w:w="40" w:type="dxa"/>
              <w:right w:w="0" w:type="dxa"/>
            </w:tcMar>
            <w:vAlign w:val="bottom"/>
          </w:tcPr>
          <w:p w14:paraId="5A1B0917" w14:textId="77777777" w:rsidR="00960BB8" w:rsidRDefault="00C06650">
            <w:pPr>
              <w:jc w:val="right"/>
              <w:textAlignment w:val="bottom"/>
            </w:pPr>
            <w:r>
              <w:rPr>
                <w:rFonts w:ascii="Arial" w:eastAsia="宋体" w:hAnsi="Arial" w:cs="Arial"/>
                <w:b/>
                <w:bCs/>
                <w:color w:val="0068B5"/>
                <w:sz w:val="18"/>
                <w:szCs w:val="18"/>
              </w:rPr>
              <w:t>30</w:t>
            </w:r>
            <w:r>
              <w:rPr>
                <w:rFonts w:ascii="Arial" w:eastAsia="宋体" w:hAnsi="Arial" w:cs="Arial"/>
                <w:color w:val="0068B5"/>
                <w:sz w:val="18"/>
                <w:szCs w:val="18"/>
              </w:rPr>
              <w:t> </w:t>
            </w:r>
          </w:p>
        </w:tc>
        <w:tc>
          <w:tcPr>
            <w:tcW w:w="0" w:type="auto"/>
            <w:tcBorders>
              <w:top w:val="single" w:sz="4" w:space="0" w:color="333333"/>
              <w:bottom w:val="double" w:sz="6" w:space="0" w:color="333333"/>
            </w:tcBorders>
            <w:shd w:val="clear" w:color="auto" w:fill="auto"/>
            <w:tcMar>
              <w:top w:w="40" w:type="dxa"/>
              <w:left w:w="0" w:type="dxa"/>
              <w:bottom w:w="40" w:type="dxa"/>
              <w:right w:w="20" w:type="dxa"/>
            </w:tcMar>
            <w:vAlign w:val="bottom"/>
          </w:tcPr>
          <w:p w14:paraId="5A1B091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19" w14:textId="77777777" w:rsidR="00960BB8" w:rsidRDefault="00960BB8">
            <w:pPr>
              <w:rPr>
                <w:rFonts w:ascii="宋体"/>
              </w:rPr>
            </w:pPr>
          </w:p>
        </w:tc>
        <w:tc>
          <w:tcPr>
            <w:tcW w:w="0" w:type="auto"/>
            <w:gridSpan w:val="2"/>
            <w:tcBorders>
              <w:top w:val="single" w:sz="4" w:space="0" w:color="333333"/>
              <w:bottom w:val="double" w:sz="6" w:space="0" w:color="333333"/>
            </w:tcBorders>
            <w:shd w:val="clear" w:color="auto" w:fill="auto"/>
            <w:tcMar>
              <w:top w:w="40" w:type="dxa"/>
              <w:left w:w="20" w:type="dxa"/>
              <w:bottom w:w="40" w:type="dxa"/>
              <w:right w:w="0" w:type="dxa"/>
            </w:tcMar>
            <w:vAlign w:val="bottom"/>
          </w:tcPr>
          <w:p w14:paraId="5A1B091A" w14:textId="77777777" w:rsidR="00960BB8" w:rsidRDefault="00C06650">
            <w:pPr>
              <w:jc w:val="right"/>
              <w:textAlignment w:val="bottom"/>
            </w:pPr>
            <w:r>
              <w:rPr>
                <w:rFonts w:ascii="Arial" w:eastAsia="宋体" w:hAnsi="Arial" w:cs="Arial"/>
                <w:b/>
                <w:bCs/>
                <w:color w:val="0068B5"/>
                <w:sz w:val="18"/>
                <w:szCs w:val="18"/>
              </w:rPr>
              <w:t>65</w:t>
            </w:r>
            <w:r>
              <w:rPr>
                <w:rFonts w:ascii="Arial" w:eastAsia="宋体" w:hAnsi="Arial" w:cs="Arial"/>
                <w:color w:val="0068B5"/>
                <w:sz w:val="18"/>
                <w:szCs w:val="18"/>
              </w:rPr>
              <w:t> </w:t>
            </w:r>
          </w:p>
        </w:tc>
        <w:tc>
          <w:tcPr>
            <w:tcW w:w="0" w:type="auto"/>
            <w:tcBorders>
              <w:top w:val="single" w:sz="4" w:space="0" w:color="333333"/>
              <w:bottom w:val="double" w:sz="6" w:space="0" w:color="333333"/>
            </w:tcBorders>
            <w:shd w:val="clear" w:color="auto" w:fill="auto"/>
            <w:tcMar>
              <w:top w:w="40" w:type="dxa"/>
              <w:left w:w="0" w:type="dxa"/>
              <w:bottom w:w="40" w:type="dxa"/>
              <w:right w:w="20" w:type="dxa"/>
            </w:tcMar>
            <w:vAlign w:val="bottom"/>
          </w:tcPr>
          <w:p w14:paraId="5A1B091B" w14:textId="77777777" w:rsidR="00960BB8" w:rsidRDefault="00960BB8">
            <w:pPr>
              <w:jc w:val="right"/>
              <w:rPr>
                <w:rFonts w:ascii="宋体"/>
              </w:rPr>
            </w:pPr>
          </w:p>
        </w:tc>
      </w:tr>
    </w:tbl>
    <w:p w14:paraId="5A1B091D" w14:textId="77777777" w:rsidR="00960BB8" w:rsidRDefault="00C06650">
      <w:pPr>
        <w:spacing w:after="180"/>
      </w:pPr>
      <w:r>
        <w:rPr>
          <w:rFonts w:ascii="Arial" w:eastAsia="宋体" w:hAnsi="Arial" w:cs="Arial"/>
          <w:color w:val="262626"/>
          <w:sz w:val="18"/>
          <w:szCs w:val="18"/>
        </w:rPr>
        <w:t>Our principal executive offices are located in the US. For more information on our wafer fabrication and our assembly and test facilities, see "Manufacturing Capital" within Fundamentals of Our Business.</w:t>
      </w:r>
    </w:p>
    <w:p w14:paraId="5A1B091E" w14:textId="77777777" w:rsidR="00960BB8" w:rsidRDefault="00C06650">
      <w:pPr>
        <w:spacing w:after="180"/>
      </w:pPr>
      <w:r>
        <w:rPr>
          <w:rFonts w:ascii="Arial" w:eastAsia="宋体" w:hAnsi="Arial" w:cs="Arial"/>
          <w:color w:val="262626"/>
          <w:sz w:val="18"/>
          <w:szCs w:val="18"/>
        </w:rPr>
        <w:t>The facilities described above a</w:t>
      </w:r>
      <w:r>
        <w:rPr>
          <w:rFonts w:ascii="Arial" w:eastAsia="宋体" w:hAnsi="Arial" w:cs="Arial"/>
          <w:color w:val="262626"/>
          <w:sz w:val="18"/>
          <w:szCs w:val="18"/>
        </w:rPr>
        <w:t>re suitable for our present purposes, and the productive capacity in our facilities is being utilized or being prepared for utilization as we continue to make investments to expand our manufacturing capacity in support of our IDM 2.0 strategy.</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928" w14:textId="77777777">
        <w:tc>
          <w:tcPr>
            <w:tcW w:w="50" w:type="pct"/>
            <w:shd w:val="clear" w:color="auto" w:fill="auto"/>
            <w:vAlign w:val="bottom"/>
          </w:tcPr>
          <w:p w14:paraId="5A1B091F" w14:textId="77777777" w:rsidR="00960BB8" w:rsidRDefault="00960BB8">
            <w:pPr>
              <w:rPr>
                <w:rFonts w:ascii="宋体"/>
              </w:rPr>
            </w:pPr>
          </w:p>
        </w:tc>
        <w:tc>
          <w:tcPr>
            <w:tcW w:w="283" w:type="pct"/>
            <w:shd w:val="clear" w:color="auto" w:fill="auto"/>
            <w:vAlign w:val="bottom"/>
          </w:tcPr>
          <w:p w14:paraId="5A1B0920" w14:textId="77777777" w:rsidR="00960BB8" w:rsidRDefault="00960BB8">
            <w:pPr>
              <w:rPr>
                <w:rFonts w:ascii="宋体"/>
              </w:rPr>
            </w:pPr>
          </w:p>
        </w:tc>
        <w:tc>
          <w:tcPr>
            <w:tcW w:w="5" w:type="pct"/>
            <w:shd w:val="clear" w:color="auto" w:fill="auto"/>
            <w:vAlign w:val="bottom"/>
          </w:tcPr>
          <w:p w14:paraId="5A1B0921" w14:textId="77777777" w:rsidR="00960BB8" w:rsidRDefault="00960BB8">
            <w:pPr>
              <w:rPr>
                <w:rFonts w:ascii="宋体"/>
              </w:rPr>
            </w:pPr>
          </w:p>
        </w:tc>
        <w:tc>
          <w:tcPr>
            <w:tcW w:w="50" w:type="pct"/>
            <w:shd w:val="clear" w:color="auto" w:fill="auto"/>
            <w:vAlign w:val="bottom"/>
          </w:tcPr>
          <w:p w14:paraId="5A1B0922" w14:textId="77777777" w:rsidR="00960BB8" w:rsidRDefault="00960BB8">
            <w:pPr>
              <w:rPr>
                <w:rFonts w:ascii="宋体"/>
              </w:rPr>
            </w:pPr>
          </w:p>
        </w:tc>
        <w:tc>
          <w:tcPr>
            <w:tcW w:w="2656" w:type="pct"/>
            <w:shd w:val="clear" w:color="auto" w:fill="auto"/>
            <w:vAlign w:val="bottom"/>
          </w:tcPr>
          <w:p w14:paraId="5A1B0923" w14:textId="77777777" w:rsidR="00960BB8" w:rsidRDefault="00960BB8">
            <w:pPr>
              <w:rPr>
                <w:rFonts w:ascii="宋体"/>
              </w:rPr>
            </w:pPr>
          </w:p>
        </w:tc>
        <w:tc>
          <w:tcPr>
            <w:tcW w:w="5" w:type="pct"/>
            <w:shd w:val="clear" w:color="auto" w:fill="auto"/>
            <w:vAlign w:val="bottom"/>
          </w:tcPr>
          <w:p w14:paraId="5A1B0924" w14:textId="77777777" w:rsidR="00960BB8" w:rsidRDefault="00960BB8">
            <w:pPr>
              <w:rPr>
                <w:rFonts w:ascii="宋体"/>
              </w:rPr>
            </w:pPr>
          </w:p>
        </w:tc>
        <w:tc>
          <w:tcPr>
            <w:tcW w:w="50" w:type="pct"/>
            <w:shd w:val="clear" w:color="auto" w:fill="auto"/>
            <w:vAlign w:val="bottom"/>
          </w:tcPr>
          <w:p w14:paraId="5A1B0925" w14:textId="77777777" w:rsidR="00960BB8" w:rsidRDefault="00960BB8">
            <w:pPr>
              <w:rPr>
                <w:rFonts w:ascii="宋体"/>
              </w:rPr>
            </w:pPr>
          </w:p>
        </w:tc>
        <w:tc>
          <w:tcPr>
            <w:tcW w:w="1894" w:type="pct"/>
            <w:shd w:val="clear" w:color="auto" w:fill="auto"/>
            <w:vAlign w:val="bottom"/>
          </w:tcPr>
          <w:p w14:paraId="5A1B0926" w14:textId="77777777" w:rsidR="00960BB8" w:rsidRDefault="00960BB8">
            <w:pPr>
              <w:rPr>
                <w:rFonts w:ascii="宋体"/>
              </w:rPr>
            </w:pPr>
          </w:p>
        </w:tc>
        <w:tc>
          <w:tcPr>
            <w:tcW w:w="5" w:type="pct"/>
            <w:shd w:val="clear" w:color="auto" w:fill="auto"/>
            <w:vAlign w:val="bottom"/>
          </w:tcPr>
          <w:p w14:paraId="5A1B0927" w14:textId="77777777" w:rsidR="00960BB8" w:rsidRDefault="00960BB8">
            <w:pPr>
              <w:rPr>
                <w:rFonts w:ascii="宋体"/>
              </w:rPr>
            </w:pPr>
          </w:p>
        </w:tc>
      </w:tr>
      <w:tr w:rsidR="00960BB8" w14:paraId="5A1B092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929"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49" wp14:editId="5A1B444A">
                  <wp:extent cx="304800" cy="304800"/>
                  <wp:effectExtent l="0" t="0" r="0" b="0"/>
                  <wp:docPr id="89" name="图片 222"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22"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92A"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92B" w14:textId="77777777" w:rsidR="00960BB8" w:rsidRDefault="00C06650">
            <w:pPr>
              <w:jc w:val="right"/>
              <w:textAlignment w:val="center"/>
            </w:pPr>
            <w:r>
              <w:rPr>
                <w:rFonts w:ascii="Arial" w:eastAsia="宋体" w:hAnsi="Arial" w:cs="Arial"/>
                <w:color w:val="262626"/>
                <w:sz w:val="16"/>
                <w:szCs w:val="16"/>
              </w:rPr>
              <w:t>67</w:t>
            </w:r>
          </w:p>
        </w:tc>
      </w:tr>
    </w:tbl>
    <w:p w14:paraId="5A1B092D" w14:textId="77777777" w:rsidR="00960BB8" w:rsidRDefault="00C06650">
      <w:r>
        <w:pict w14:anchorId="5A1B444B">
          <v:rect id="_x0000_i1093" style="width:415.3pt;height:1.5pt" o:hralign="center" o:hrstd="t" o:hr="t" fillcolor="#a0a0a0" stroked="f"/>
        </w:pict>
      </w:r>
    </w:p>
    <w:p w14:paraId="5A1B092E" w14:textId="77777777" w:rsidR="00960BB8" w:rsidRDefault="00C06650">
      <w:pPr>
        <w:jc w:val="right"/>
      </w:pPr>
      <w:hyperlink r:id="rId86" w:anchor="i8aaa7b4dbd2e419ca0f5c30af85a11aa_16" w:history="1">
        <w:r>
          <w:rPr>
            <w:rStyle w:val="a5"/>
            <w:rFonts w:ascii="Arial" w:eastAsia="宋体" w:hAnsi="Arial" w:cs="Arial"/>
            <w:b/>
            <w:bCs/>
            <w:sz w:val="16"/>
            <w:szCs w:val="16"/>
          </w:rPr>
          <w:t>Table of Contents</w:t>
        </w:r>
      </w:hyperlink>
    </w:p>
    <w:p w14:paraId="5A1B092F" w14:textId="77777777" w:rsidR="00960BB8" w:rsidRDefault="00960BB8">
      <w:pPr>
        <w:jc w:val="right"/>
      </w:pPr>
    </w:p>
    <w:p w14:paraId="5A1B0930" w14:textId="77777777" w:rsidR="00960BB8" w:rsidRDefault="00C06650">
      <w:pPr>
        <w:spacing w:after="180"/>
      </w:pPr>
      <w:r>
        <w:rPr>
          <w:rFonts w:ascii="Arial" w:eastAsia="宋体" w:hAnsi="Arial" w:cs="Arial"/>
          <w:color w:val="262626"/>
          <w:sz w:val="18"/>
          <w:szCs w:val="18"/>
        </w:rPr>
        <w:t>We do not identify or allocate assets by operating segment, as they are interchange</w:t>
      </w:r>
      <w:r>
        <w:rPr>
          <w:rFonts w:ascii="Arial" w:eastAsia="宋体" w:hAnsi="Arial" w:cs="Arial"/>
          <w:color w:val="262626"/>
          <w:sz w:val="18"/>
          <w:szCs w:val="18"/>
        </w:rPr>
        <w:t>able in nature and used by multiple operating segments. For information on net property, plant and equipment by country, see "Note 6: Other Financial Statement Details" within the Notes to Consolidated Financial Statements.</w:t>
      </w:r>
    </w:p>
    <w:p w14:paraId="5A1B0931" w14:textId="77777777" w:rsidR="00960BB8" w:rsidRDefault="00C06650">
      <w:pPr>
        <w:spacing w:before="180" w:after="180"/>
      </w:pPr>
      <w:r>
        <w:rPr>
          <w:rFonts w:ascii="Arial" w:eastAsia="宋体" w:hAnsi="Arial" w:cs="Arial"/>
          <w:color w:val="0068B5"/>
          <w:sz w:val="28"/>
          <w:szCs w:val="28"/>
        </w:rPr>
        <w:t>Market for Our Common Stock</w:t>
      </w:r>
    </w:p>
    <w:p w14:paraId="5A1B0932" w14:textId="77777777" w:rsidR="00960BB8" w:rsidRDefault="00C06650">
      <w:pPr>
        <w:spacing w:after="180"/>
      </w:pPr>
      <w:r>
        <w:rPr>
          <w:rFonts w:ascii="Arial" w:eastAsia="宋体" w:hAnsi="Arial" w:cs="Arial"/>
          <w:color w:val="262626"/>
          <w:sz w:val="18"/>
          <w:szCs w:val="18"/>
        </w:rPr>
        <w:t xml:space="preserve">The </w:t>
      </w:r>
      <w:r>
        <w:rPr>
          <w:rFonts w:ascii="Arial" w:eastAsia="宋体" w:hAnsi="Arial" w:cs="Arial"/>
          <w:color w:val="262626"/>
          <w:sz w:val="18"/>
          <w:szCs w:val="18"/>
        </w:rPr>
        <w:t xml:space="preserve">principal US market on which Intel's common stock (symbol INTC) is traded is the Nasdaq Global Select Market. </w:t>
      </w:r>
    </w:p>
    <w:p w14:paraId="5A1B0933" w14:textId="77777777" w:rsidR="00960BB8" w:rsidRDefault="00C06650">
      <w:pPr>
        <w:spacing w:after="180"/>
      </w:pPr>
      <w:r>
        <w:rPr>
          <w:rFonts w:ascii="Arial" w:eastAsia="宋体" w:hAnsi="Arial" w:cs="Arial"/>
          <w:color w:val="262626"/>
          <w:sz w:val="18"/>
          <w:szCs w:val="18"/>
        </w:rPr>
        <w:t xml:space="preserve">As of January 20, 2023, there were approximately 100,835 registered holders of record of Intel's common stock. A substantially greater number of </w:t>
      </w:r>
      <w:r>
        <w:rPr>
          <w:rFonts w:ascii="Arial" w:eastAsia="宋体" w:hAnsi="Arial" w:cs="Arial"/>
          <w:color w:val="262626"/>
          <w:sz w:val="18"/>
          <w:szCs w:val="18"/>
        </w:rPr>
        <w:t>holders of Intel common stock are "street name" or beneficial holders, whose shares of record are held by banks, brokers, and other financial institutions.</w:t>
      </w:r>
    </w:p>
    <w:p w14:paraId="5A1B0934" w14:textId="77777777" w:rsidR="00960BB8" w:rsidRDefault="00C06650">
      <w:pPr>
        <w:spacing w:before="300" w:after="180"/>
      </w:pPr>
      <w:r>
        <w:rPr>
          <w:rFonts w:ascii="Arial" w:eastAsia="宋体" w:hAnsi="Arial" w:cs="Arial"/>
          <w:color w:val="0068B5"/>
          <w:sz w:val="28"/>
          <w:szCs w:val="28"/>
        </w:rPr>
        <w:t>Stock Performance Graph</w:t>
      </w:r>
    </w:p>
    <w:p w14:paraId="5A1B0935" w14:textId="77777777" w:rsidR="00960BB8" w:rsidRDefault="00C06650">
      <w:pPr>
        <w:spacing w:after="180"/>
      </w:pPr>
      <w:r>
        <w:rPr>
          <w:rFonts w:ascii="Arial" w:eastAsia="宋体" w:hAnsi="Arial" w:cs="Arial"/>
          <w:color w:val="262626"/>
          <w:sz w:val="18"/>
          <w:szCs w:val="18"/>
        </w:rPr>
        <w:t>The graph and table that follow compare the cumulative TSR of Intel's common</w:t>
      </w:r>
      <w:r>
        <w:rPr>
          <w:rFonts w:ascii="Arial" w:eastAsia="宋体" w:hAnsi="Arial" w:cs="Arial"/>
          <w:color w:val="262626"/>
          <w:sz w:val="18"/>
          <w:szCs w:val="18"/>
        </w:rPr>
        <w:t xml:space="preserve"> stock with the cumulative total return of the S&amp;P 100 Index*, the S&amp;P 500 Index*, the S&amp;P 500 IT Index*, and the SOX Index*</w:t>
      </w:r>
      <w:r>
        <w:rPr>
          <w:rFonts w:ascii="Arial" w:eastAsia="宋体" w:hAnsi="Arial" w:cs="Arial"/>
          <w:color w:val="262626"/>
          <w:sz w:val="11"/>
          <w:szCs w:val="11"/>
        </w:rPr>
        <w:t>1</w:t>
      </w:r>
      <w:r>
        <w:rPr>
          <w:rFonts w:ascii="Arial" w:eastAsia="宋体" w:hAnsi="Arial" w:cs="Arial"/>
          <w:color w:val="262626"/>
          <w:sz w:val="18"/>
          <w:szCs w:val="18"/>
        </w:rPr>
        <w:t xml:space="preserve"> for the five years ended December 31, 2022. The cumulative returns shown on the graph are based on Intel's fiscal year. </w:t>
      </w:r>
    </w:p>
    <w:p w14:paraId="5A1B0936" w14:textId="77777777" w:rsidR="00960BB8" w:rsidRDefault="00C06650">
      <w:pPr>
        <w:jc w:val="center"/>
      </w:pPr>
      <w:r>
        <w:rPr>
          <w:rFonts w:ascii="Arial" w:eastAsia="宋体" w:hAnsi="Arial" w:cs="Arial"/>
          <w:color w:val="0068B5"/>
          <w:sz w:val="20"/>
          <w:szCs w:val="20"/>
        </w:rPr>
        <w:t>Compariso</w:t>
      </w:r>
      <w:r>
        <w:rPr>
          <w:rFonts w:ascii="Arial" w:eastAsia="宋体" w:hAnsi="Arial" w:cs="Arial"/>
          <w:color w:val="0068B5"/>
          <w:sz w:val="20"/>
          <w:szCs w:val="20"/>
        </w:rPr>
        <w:t>n of Five-Year Cumulative Return for</w:t>
      </w:r>
    </w:p>
    <w:p w14:paraId="5A1B0937" w14:textId="77777777" w:rsidR="00960BB8" w:rsidRDefault="00C06650">
      <w:pPr>
        <w:jc w:val="center"/>
      </w:pPr>
      <w:r>
        <w:rPr>
          <w:rFonts w:ascii="Arial" w:eastAsia="宋体" w:hAnsi="Arial" w:cs="Arial"/>
          <w:color w:val="0068B5"/>
          <w:sz w:val="20"/>
          <w:szCs w:val="20"/>
        </w:rPr>
        <w:t>Intel, S&amp;P 100 Index, S&amp;P 500 Index, S&amp;P 500 IT Index, and SOX Index</w:t>
      </w:r>
    </w:p>
    <w:p w14:paraId="5A1B0938" w14:textId="77777777" w:rsidR="00960BB8" w:rsidRDefault="00C06650">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Viewer_files/intc-20221231_g58.jpg"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4C" wp14:editId="5A1B444D">
            <wp:extent cx="304800" cy="304800"/>
            <wp:effectExtent l="0" t="0" r="0" b="0"/>
            <wp:docPr id="127" name="图片 224"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24" descr="IMG_3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86" w:type="pct"/>
        <w:tblCellMar>
          <w:top w:w="15" w:type="dxa"/>
          <w:left w:w="15" w:type="dxa"/>
          <w:bottom w:w="15" w:type="dxa"/>
          <w:right w:w="15" w:type="dxa"/>
        </w:tblCellMar>
        <w:tblLook w:val="04A0" w:firstRow="1" w:lastRow="0" w:firstColumn="1" w:lastColumn="0" w:noHBand="0" w:noVBand="1"/>
      </w:tblPr>
      <w:tblGrid>
        <w:gridCol w:w="38"/>
        <w:gridCol w:w="2351"/>
        <w:gridCol w:w="37"/>
        <w:gridCol w:w="36"/>
        <w:gridCol w:w="36"/>
        <w:gridCol w:w="36"/>
        <w:gridCol w:w="121"/>
        <w:gridCol w:w="716"/>
        <w:gridCol w:w="36"/>
        <w:gridCol w:w="36"/>
        <w:gridCol w:w="36"/>
        <w:gridCol w:w="36"/>
        <w:gridCol w:w="121"/>
        <w:gridCol w:w="716"/>
        <w:gridCol w:w="36"/>
        <w:gridCol w:w="36"/>
        <w:gridCol w:w="36"/>
        <w:gridCol w:w="36"/>
        <w:gridCol w:w="121"/>
        <w:gridCol w:w="716"/>
        <w:gridCol w:w="36"/>
        <w:gridCol w:w="36"/>
        <w:gridCol w:w="36"/>
        <w:gridCol w:w="36"/>
        <w:gridCol w:w="121"/>
        <w:gridCol w:w="716"/>
        <w:gridCol w:w="36"/>
        <w:gridCol w:w="36"/>
        <w:gridCol w:w="36"/>
        <w:gridCol w:w="36"/>
        <w:gridCol w:w="121"/>
        <w:gridCol w:w="716"/>
        <w:gridCol w:w="36"/>
        <w:gridCol w:w="36"/>
        <w:gridCol w:w="36"/>
        <w:gridCol w:w="36"/>
        <w:gridCol w:w="121"/>
        <w:gridCol w:w="717"/>
        <w:gridCol w:w="36"/>
      </w:tblGrid>
      <w:tr w:rsidR="00960BB8" w14:paraId="5A1B0960" w14:textId="77777777">
        <w:tc>
          <w:tcPr>
            <w:tcW w:w="50" w:type="pct"/>
            <w:shd w:val="clear" w:color="auto" w:fill="auto"/>
            <w:vAlign w:val="bottom"/>
          </w:tcPr>
          <w:p w14:paraId="5A1B0939" w14:textId="77777777" w:rsidR="00960BB8" w:rsidRDefault="00960BB8">
            <w:pPr>
              <w:rPr>
                <w:rFonts w:ascii="宋体"/>
              </w:rPr>
            </w:pPr>
          </w:p>
        </w:tc>
        <w:tc>
          <w:tcPr>
            <w:tcW w:w="1451" w:type="pct"/>
            <w:shd w:val="clear" w:color="auto" w:fill="auto"/>
            <w:vAlign w:val="bottom"/>
          </w:tcPr>
          <w:p w14:paraId="5A1B093A" w14:textId="77777777" w:rsidR="00960BB8" w:rsidRDefault="00960BB8">
            <w:pPr>
              <w:rPr>
                <w:rFonts w:ascii="宋体"/>
              </w:rPr>
            </w:pPr>
          </w:p>
        </w:tc>
        <w:tc>
          <w:tcPr>
            <w:tcW w:w="5" w:type="pct"/>
            <w:shd w:val="clear" w:color="auto" w:fill="auto"/>
            <w:vAlign w:val="bottom"/>
          </w:tcPr>
          <w:p w14:paraId="5A1B093B" w14:textId="77777777" w:rsidR="00960BB8" w:rsidRDefault="00960BB8">
            <w:pPr>
              <w:rPr>
                <w:rFonts w:ascii="宋体"/>
              </w:rPr>
            </w:pPr>
          </w:p>
        </w:tc>
        <w:tc>
          <w:tcPr>
            <w:tcW w:w="5" w:type="pct"/>
            <w:shd w:val="clear" w:color="auto" w:fill="auto"/>
            <w:vAlign w:val="bottom"/>
          </w:tcPr>
          <w:p w14:paraId="5A1B093C" w14:textId="77777777" w:rsidR="00960BB8" w:rsidRDefault="00960BB8">
            <w:pPr>
              <w:rPr>
                <w:rFonts w:ascii="宋体"/>
              </w:rPr>
            </w:pPr>
          </w:p>
        </w:tc>
        <w:tc>
          <w:tcPr>
            <w:tcW w:w="24" w:type="pct"/>
            <w:shd w:val="clear" w:color="auto" w:fill="auto"/>
            <w:vAlign w:val="bottom"/>
          </w:tcPr>
          <w:p w14:paraId="5A1B093D" w14:textId="77777777" w:rsidR="00960BB8" w:rsidRDefault="00960BB8">
            <w:pPr>
              <w:rPr>
                <w:rFonts w:ascii="宋体"/>
              </w:rPr>
            </w:pPr>
          </w:p>
        </w:tc>
        <w:tc>
          <w:tcPr>
            <w:tcW w:w="5" w:type="pct"/>
            <w:shd w:val="clear" w:color="auto" w:fill="auto"/>
            <w:vAlign w:val="bottom"/>
          </w:tcPr>
          <w:p w14:paraId="5A1B093E" w14:textId="77777777" w:rsidR="00960BB8" w:rsidRDefault="00960BB8">
            <w:pPr>
              <w:rPr>
                <w:rFonts w:ascii="宋体"/>
              </w:rPr>
            </w:pPr>
          </w:p>
        </w:tc>
        <w:tc>
          <w:tcPr>
            <w:tcW w:w="50" w:type="pct"/>
            <w:shd w:val="clear" w:color="auto" w:fill="auto"/>
            <w:vAlign w:val="bottom"/>
          </w:tcPr>
          <w:p w14:paraId="5A1B093F" w14:textId="77777777" w:rsidR="00960BB8" w:rsidRDefault="00960BB8">
            <w:pPr>
              <w:rPr>
                <w:rFonts w:ascii="宋体"/>
              </w:rPr>
            </w:pPr>
          </w:p>
        </w:tc>
        <w:tc>
          <w:tcPr>
            <w:tcW w:w="492" w:type="pct"/>
            <w:shd w:val="clear" w:color="auto" w:fill="auto"/>
            <w:vAlign w:val="bottom"/>
          </w:tcPr>
          <w:p w14:paraId="5A1B0940" w14:textId="77777777" w:rsidR="00960BB8" w:rsidRDefault="00960BB8">
            <w:pPr>
              <w:rPr>
                <w:rFonts w:ascii="宋体"/>
              </w:rPr>
            </w:pPr>
          </w:p>
        </w:tc>
        <w:tc>
          <w:tcPr>
            <w:tcW w:w="5" w:type="pct"/>
            <w:shd w:val="clear" w:color="auto" w:fill="auto"/>
            <w:vAlign w:val="bottom"/>
          </w:tcPr>
          <w:p w14:paraId="5A1B0941" w14:textId="77777777" w:rsidR="00960BB8" w:rsidRDefault="00960BB8">
            <w:pPr>
              <w:rPr>
                <w:rFonts w:ascii="宋体"/>
              </w:rPr>
            </w:pPr>
          </w:p>
        </w:tc>
        <w:tc>
          <w:tcPr>
            <w:tcW w:w="5" w:type="pct"/>
            <w:shd w:val="clear" w:color="auto" w:fill="auto"/>
            <w:vAlign w:val="bottom"/>
          </w:tcPr>
          <w:p w14:paraId="5A1B0942" w14:textId="77777777" w:rsidR="00960BB8" w:rsidRDefault="00960BB8">
            <w:pPr>
              <w:rPr>
                <w:rFonts w:ascii="宋体"/>
              </w:rPr>
            </w:pPr>
          </w:p>
        </w:tc>
        <w:tc>
          <w:tcPr>
            <w:tcW w:w="24" w:type="pct"/>
            <w:shd w:val="clear" w:color="auto" w:fill="auto"/>
            <w:vAlign w:val="bottom"/>
          </w:tcPr>
          <w:p w14:paraId="5A1B0943" w14:textId="77777777" w:rsidR="00960BB8" w:rsidRDefault="00960BB8">
            <w:pPr>
              <w:rPr>
                <w:rFonts w:ascii="宋体"/>
              </w:rPr>
            </w:pPr>
          </w:p>
        </w:tc>
        <w:tc>
          <w:tcPr>
            <w:tcW w:w="5" w:type="pct"/>
            <w:shd w:val="clear" w:color="auto" w:fill="auto"/>
            <w:vAlign w:val="bottom"/>
          </w:tcPr>
          <w:p w14:paraId="5A1B0944" w14:textId="77777777" w:rsidR="00960BB8" w:rsidRDefault="00960BB8">
            <w:pPr>
              <w:rPr>
                <w:rFonts w:ascii="宋体"/>
              </w:rPr>
            </w:pPr>
          </w:p>
        </w:tc>
        <w:tc>
          <w:tcPr>
            <w:tcW w:w="50" w:type="pct"/>
            <w:shd w:val="clear" w:color="auto" w:fill="auto"/>
            <w:vAlign w:val="bottom"/>
          </w:tcPr>
          <w:p w14:paraId="5A1B0945" w14:textId="77777777" w:rsidR="00960BB8" w:rsidRDefault="00960BB8">
            <w:pPr>
              <w:rPr>
                <w:rFonts w:ascii="宋体"/>
              </w:rPr>
            </w:pPr>
          </w:p>
        </w:tc>
        <w:tc>
          <w:tcPr>
            <w:tcW w:w="492" w:type="pct"/>
            <w:shd w:val="clear" w:color="auto" w:fill="auto"/>
            <w:vAlign w:val="bottom"/>
          </w:tcPr>
          <w:p w14:paraId="5A1B0946" w14:textId="77777777" w:rsidR="00960BB8" w:rsidRDefault="00960BB8">
            <w:pPr>
              <w:rPr>
                <w:rFonts w:ascii="宋体"/>
              </w:rPr>
            </w:pPr>
          </w:p>
        </w:tc>
        <w:tc>
          <w:tcPr>
            <w:tcW w:w="5" w:type="pct"/>
            <w:shd w:val="clear" w:color="auto" w:fill="auto"/>
            <w:vAlign w:val="bottom"/>
          </w:tcPr>
          <w:p w14:paraId="5A1B0947" w14:textId="77777777" w:rsidR="00960BB8" w:rsidRDefault="00960BB8">
            <w:pPr>
              <w:rPr>
                <w:rFonts w:ascii="宋体"/>
              </w:rPr>
            </w:pPr>
          </w:p>
        </w:tc>
        <w:tc>
          <w:tcPr>
            <w:tcW w:w="5" w:type="pct"/>
            <w:shd w:val="clear" w:color="auto" w:fill="auto"/>
            <w:vAlign w:val="bottom"/>
          </w:tcPr>
          <w:p w14:paraId="5A1B0948" w14:textId="77777777" w:rsidR="00960BB8" w:rsidRDefault="00960BB8">
            <w:pPr>
              <w:rPr>
                <w:rFonts w:ascii="宋体"/>
              </w:rPr>
            </w:pPr>
          </w:p>
        </w:tc>
        <w:tc>
          <w:tcPr>
            <w:tcW w:w="24" w:type="pct"/>
            <w:shd w:val="clear" w:color="auto" w:fill="auto"/>
            <w:vAlign w:val="bottom"/>
          </w:tcPr>
          <w:p w14:paraId="5A1B0949" w14:textId="77777777" w:rsidR="00960BB8" w:rsidRDefault="00960BB8">
            <w:pPr>
              <w:rPr>
                <w:rFonts w:ascii="宋体"/>
              </w:rPr>
            </w:pPr>
          </w:p>
        </w:tc>
        <w:tc>
          <w:tcPr>
            <w:tcW w:w="5" w:type="pct"/>
            <w:shd w:val="clear" w:color="auto" w:fill="auto"/>
            <w:vAlign w:val="bottom"/>
          </w:tcPr>
          <w:p w14:paraId="5A1B094A" w14:textId="77777777" w:rsidR="00960BB8" w:rsidRDefault="00960BB8">
            <w:pPr>
              <w:rPr>
                <w:rFonts w:ascii="宋体"/>
              </w:rPr>
            </w:pPr>
          </w:p>
        </w:tc>
        <w:tc>
          <w:tcPr>
            <w:tcW w:w="50" w:type="pct"/>
            <w:shd w:val="clear" w:color="auto" w:fill="auto"/>
            <w:vAlign w:val="bottom"/>
          </w:tcPr>
          <w:p w14:paraId="5A1B094B" w14:textId="77777777" w:rsidR="00960BB8" w:rsidRDefault="00960BB8">
            <w:pPr>
              <w:rPr>
                <w:rFonts w:ascii="宋体"/>
              </w:rPr>
            </w:pPr>
          </w:p>
        </w:tc>
        <w:tc>
          <w:tcPr>
            <w:tcW w:w="492" w:type="pct"/>
            <w:shd w:val="clear" w:color="auto" w:fill="auto"/>
            <w:vAlign w:val="bottom"/>
          </w:tcPr>
          <w:p w14:paraId="5A1B094C" w14:textId="77777777" w:rsidR="00960BB8" w:rsidRDefault="00960BB8">
            <w:pPr>
              <w:rPr>
                <w:rFonts w:ascii="宋体"/>
              </w:rPr>
            </w:pPr>
          </w:p>
        </w:tc>
        <w:tc>
          <w:tcPr>
            <w:tcW w:w="5" w:type="pct"/>
            <w:shd w:val="clear" w:color="auto" w:fill="auto"/>
            <w:vAlign w:val="bottom"/>
          </w:tcPr>
          <w:p w14:paraId="5A1B094D" w14:textId="77777777" w:rsidR="00960BB8" w:rsidRDefault="00960BB8">
            <w:pPr>
              <w:rPr>
                <w:rFonts w:ascii="宋体"/>
              </w:rPr>
            </w:pPr>
          </w:p>
        </w:tc>
        <w:tc>
          <w:tcPr>
            <w:tcW w:w="5" w:type="pct"/>
            <w:shd w:val="clear" w:color="auto" w:fill="auto"/>
            <w:vAlign w:val="bottom"/>
          </w:tcPr>
          <w:p w14:paraId="5A1B094E" w14:textId="77777777" w:rsidR="00960BB8" w:rsidRDefault="00960BB8">
            <w:pPr>
              <w:rPr>
                <w:rFonts w:ascii="宋体"/>
              </w:rPr>
            </w:pPr>
          </w:p>
        </w:tc>
        <w:tc>
          <w:tcPr>
            <w:tcW w:w="24" w:type="pct"/>
            <w:shd w:val="clear" w:color="auto" w:fill="auto"/>
            <w:vAlign w:val="bottom"/>
          </w:tcPr>
          <w:p w14:paraId="5A1B094F" w14:textId="77777777" w:rsidR="00960BB8" w:rsidRDefault="00960BB8">
            <w:pPr>
              <w:rPr>
                <w:rFonts w:ascii="宋体"/>
              </w:rPr>
            </w:pPr>
          </w:p>
        </w:tc>
        <w:tc>
          <w:tcPr>
            <w:tcW w:w="5" w:type="pct"/>
            <w:shd w:val="clear" w:color="auto" w:fill="auto"/>
            <w:vAlign w:val="bottom"/>
          </w:tcPr>
          <w:p w14:paraId="5A1B0950" w14:textId="77777777" w:rsidR="00960BB8" w:rsidRDefault="00960BB8">
            <w:pPr>
              <w:rPr>
                <w:rFonts w:ascii="宋体"/>
              </w:rPr>
            </w:pPr>
          </w:p>
        </w:tc>
        <w:tc>
          <w:tcPr>
            <w:tcW w:w="50" w:type="pct"/>
            <w:shd w:val="clear" w:color="auto" w:fill="auto"/>
            <w:vAlign w:val="bottom"/>
          </w:tcPr>
          <w:p w14:paraId="5A1B0951" w14:textId="77777777" w:rsidR="00960BB8" w:rsidRDefault="00960BB8">
            <w:pPr>
              <w:rPr>
                <w:rFonts w:ascii="宋体"/>
              </w:rPr>
            </w:pPr>
          </w:p>
        </w:tc>
        <w:tc>
          <w:tcPr>
            <w:tcW w:w="492" w:type="pct"/>
            <w:shd w:val="clear" w:color="auto" w:fill="auto"/>
            <w:vAlign w:val="bottom"/>
          </w:tcPr>
          <w:p w14:paraId="5A1B0952" w14:textId="77777777" w:rsidR="00960BB8" w:rsidRDefault="00960BB8">
            <w:pPr>
              <w:rPr>
                <w:rFonts w:ascii="宋体"/>
              </w:rPr>
            </w:pPr>
          </w:p>
        </w:tc>
        <w:tc>
          <w:tcPr>
            <w:tcW w:w="5" w:type="pct"/>
            <w:shd w:val="clear" w:color="auto" w:fill="auto"/>
            <w:vAlign w:val="bottom"/>
          </w:tcPr>
          <w:p w14:paraId="5A1B0953" w14:textId="77777777" w:rsidR="00960BB8" w:rsidRDefault="00960BB8">
            <w:pPr>
              <w:rPr>
                <w:rFonts w:ascii="宋体"/>
              </w:rPr>
            </w:pPr>
          </w:p>
        </w:tc>
        <w:tc>
          <w:tcPr>
            <w:tcW w:w="5" w:type="pct"/>
            <w:shd w:val="clear" w:color="auto" w:fill="auto"/>
            <w:vAlign w:val="bottom"/>
          </w:tcPr>
          <w:p w14:paraId="5A1B0954" w14:textId="77777777" w:rsidR="00960BB8" w:rsidRDefault="00960BB8">
            <w:pPr>
              <w:rPr>
                <w:rFonts w:ascii="宋体"/>
              </w:rPr>
            </w:pPr>
          </w:p>
        </w:tc>
        <w:tc>
          <w:tcPr>
            <w:tcW w:w="24" w:type="pct"/>
            <w:shd w:val="clear" w:color="auto" w:fill="auto"/>
            <w:vAlign w:val="bottom"/>
          </w:tcPr>
          <w:p w14:paraId="5A1B0955" w14:textId="77777777" w:rsidR="00960BB8" w:rsidRDefault="00960BB8">
            <w:pPr>
              <w:rPr>
                <w:rFonts w:ascii="宋体"/>
              </w:rPr>
            </w:pPr>
          </w:p>
        </w:tc>
        <w:tc>
          <w:tcPr>
            <w:tcW w:w="5" w:type="pct"/>
            <w:shd w:val="clear" w:color="auto" w:fill="auto"/>
            <w:vAlign w:val="bottom"/>
          </w:tcPr>
          <w:p w14:paraId="5A1B0956" w14:textId="77777777" w:rsidR="00960BB8" w:rsidRDefault="00960BB8">
            <w:pPr>
              <w:rPr>
                <w:rFonts w:ascii="宋体"/>
              </w:rPr>
            </w:pPr>
          </w:p>
        </w:tc>
        <w:tc>
          <w:tcPr>
            <w:tcW w:w="50" w:type="pct"/>
            <w:shd w:val="clear" w:color="auto" w:fill="auto"/>
            <w:vAlign w:val="bottom"/>
          </w:tcPr>
          <w:p w14:paraId="5A1B0957" w14:textId="77777777" w:rsidR="00960BB8" w:rsidRDefault="00960BB8">
            <w:pPr>
              <w:rPr>
                <w:rFonts w:ascii="宋体"/>
              </w:rPr>
            </w:pPr>
          </w:p>
        </w:tc>
        <w:tc>
          <w:tcPr>
            <w:tcW w:w="492" w:type="pct"/>
            <w:shd w:val="clear" w:color="auto" w:fill="auto"/>
            <w:vAlign w:val="bottom"/>
          </w:tcPr>
          <w:p w14:paraId="5A1B0958" w14:textId="77777777" w:rsidR="00960BB8" w:rsidRDefault="00960BB8">
            <w:pPr>
              <w:rPr>
                <w:rFonts w:ascii="宋体"/>
              </w:rPr>
            </w:pPr>
          </w:p>
        </w:tc>
        <w:tc>
          <w:tcPr>
            <w:tcW w:w="5" w:type="pct"/>
            <w:shd w:val="clear" w:color="auto" w:fill="auto"/>
            <w:vAlign w:val="bottom"/>
          </w:tcPr>
          <w:p w14:paraId="5A1B0959" w14:textId="77777777" w:rsidR="00960BB8" w:rsidRDefault="00960BB8">
            <w:pPr>
              <w:rPr>
                <w:rFonts w:ascii="宋体"/>
              </w:rPr>
            </w:pPr>
          </w:p>
        </w:tc>
        <w:tc>
          <w:tcPr>
            <w:tcW w:w="5" w:type="pct"/>
            <w:shd w:val="clear" w:color="auto" w:fill="auto"/>
            <w:vAlign w:val="bottom"/>
          </w:tcPr>
          <w:p w14:paraId="5A1B095A" w14:textId="77777777" w:rsidR="00960BB8" w:rsidRDefault="00960BB8">
            <w:pPr>
              <w:rPr>
                <w:rFonts w:ascii="宋体"/>
              </w:rPr>
            </w:pPr>
          </w:p>
        </w:tc>
        <w:tc>
          <w:tcPr>
            <w:tcW w:w="24" w:type="pct"/>
            <w:shd w:val="clear" w:color="auto" w:fill="auto"/>
            <w:vAlign w:val="bottom"/>
          </w:tcPr>
          <w:p w14:paraId="5A1B095B" w14:textId="77777777" w:rsidR="00960BB8" w:rsidRDefault="00960BB8">
            <w:pPr>
              <w:rPr>
                <w:rFonts w:ascii="宋体"/>
              </w:rPr>
            </w:pPr>
          </w:p>
        </w:tc>
        <w:tc>
          <w:tcPr>
            <w:tcW w:w="5" w:type="pct"/>
            <w:shd w:val="clear" w:color="auto" w:fill="auto"/>
            <w:vAlign w:val="bottom"/>
          </w:tcPr>
          <w:p w14:paraId="5A1B095C" w14:textId="77777777" w:rsidR="00960BB8" w:rsidRDefault="00960BB8">
            <w:pPr>
              <w:rPr>
                <w:rFonts w:ascii="宋体"/>
              </w:rPr>
            </w:pPr>
          </w:p>
        </w:tc>
        <w:tc>
          <w:tcPr>
            <w:tcW w:w="50" w:type="pct"/>
            <w:shd w:val="clear" w:color="auto" w:fill="auto"/>
            <w:vAlign w:val="bottom"/>
          </w:tcPr>
          <w:p w14:paraId="5A1B095D" w14:textId="77777777" w:rsidR="00960BB8" w:rsidRDefault="00960BB8">
            <w:pPr>
              <w:rPr>
                <w:rFonts w:ascii="宋体"/>
              </w:rPr>
            </w:pPr>
          </w:p>
        </w:tc>
        <w:tc>
          <w:tcPr>
            <w:tcW w:w="493" w:type="pct"/>
            <w:shd w:val="clear" w:color="auto" w:fill="auto"/>
            <w:vAlign w:val="bottom"/>
          </w:tcPr>
          <w:p w14:paraId="5A1B095E" w14:textId="77777777" w:rsidR="00960BB8" w:rsidRDefault="00960BB8">
            <w:pPr>
              <w:rPr>
                <w:rFonts w:ascii="宋体"/>
              </w:rPr>
            </w:pPr>
          </w:p>
        </w:tc>
        <w:tc>
          <w:tcPr>
            <w:tcW w:w="5" w:type="pct"/>
            <w:shd w:val="clear" w:color="auto" w:fill="auto"/>
            <w:vAlign w:val="bottom"/>
          </w:tcPr>
          <w:p w14:paraId="5A1B095F" w14:textId="77777777" w:rsidR="00960BB8" w:rsidRDefault="00960BB8">
            <w:pPr>
              <w:rPr>
                <w:rFonts w:ascii="宋体"/>
              </w:rPr>
            </w:pPr>
          </w:p>
        </w:tc>
      </w:tr>
      <w:tr w:rsidR="00960BB8" w14:paraId="5A1B096E" w14:textId="77777777">
        <w:tc>
          <w:tcPr>
            <w:tcW w:w="0" w:type="auto"/>
            <w:gridSpan w:val="3"/>
            <w:shd w:val="clear" w:color="auto" w:fill="auto"/>
            <w:tcMar>
              <w:top w:w="40" w:type="dxa"/>
              <w:left w:w="20" w:type="dxa"/>
              <w:bottom w:w="40" w:type="dxa"/>
              <w:right w:w="20" w:type="dxa"/>
            </w:tcMar>
            <w:vAlign w:val="bottom"/>
          </w:tcPr>
          <w:p w14:paraId="5A1B0961" w14:textId="77777777" w:rsidR="00960BB8" w:rsidRDefault="00C06650">
            <w:pPr>
              <w:textAlignment w:val="bottom"/>
            </w:pPr>
            <w:r>
              <w:rPr>
                <w:rFonts w:ascii="Arial" w:eastAsia="宋体" w:hAnsi="Arial" w:cs="Arial"/>
                <w:b/>
                <w:bCs/>
                <w:color w:val="262626"/>
                <w:sz w:val="18"/>
                <w:szCs w:val="18"/>
              </w:rPr>
              <w:t>Years Ended</w:t>
            </w:r>
          </w:p>
        </w:tc>
        <w:tc>
          <w:tcPr>
            <w:tcW w:w="0" w:type="auto"/>
            <w:gridSpan w:val="3"/>
            <w:shd w:val="clear" w:color="auto" w:fill="auto"/>
            <w:tcMar>
              <w:top w:w="0" w:type="dxa"/>
              <w:left w:w="20" w:type="dxa"/>
              <w:bottom w:w="0" w:type="dxa"/>
              <w:right w:w="20" w:type="dxa"/>
            </w:tcMar>
            <w:vAlign w:val="bottom"/>
          </w:tcPr>
          <w:p w14:paraId="5A1B096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963" w14:textId="77777777" w:rsidR="00960BB8" w:rsidRDefault="00C06650">
            <w:pPr>
              <w:jc w:val="center"/>
              <w:textAlignment w:val="bottom"/>
            </w:pPr>
            <w:r>
              <w:rPr>
                <w:rFonts w:ascii="Arial" w:eastAsia="宋体" w:hAnsi="Arial" w:cs="Arial"/>
                <w:b/>
                <w:bCs/>
                <w:color w:val="262626"/>
                <w:sz w:val="18"/>
                <w:szCs w:val="18"/>
              </w:rPr>
              <w:t>Dec 30, 2017</w:t>
            </w:r>
          </w:p>
        </w:tc>
        <w:tc>
          <w:tcPr>
            <w:tcW w:w="0" w:type="auto"/>
            <w:gridSpan w:val="3"/>
            <w:shd w:val="clear" w:color="auto" w:fill="auto"/>
            <w:tcMar>
              <w:top w:w="0" w:type="dxa"/>
              <w:left w:w="20" w:type="dxa"/>
              <w:bottom w:w="0" w:type="dxa"/>
              <w:right w:w="20" w:type="dxa"/>
            </w:tcMar>
            <w:vAlign w:val="bottom"/>
          </w:tcPr>
          <w:p w14:paraId="5A1B096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965" w14:textId="77777777" w:rsidR="00960BB8" w:rsidRDefault="00C06650">
            <w:pPr>
              <w:jc w:val="center"/>
              <w:textAlignment w:val="bottom"/>
            </w:pPr>
            <w:r>
              <w:rPr>
                <w:rFonts w:ascii="Arial" w:eastAsia="宋体" w:hAnsi="Arial" w:cs="Arial"/>
                <w:b/>
                <w:bCs/>
                <w:color w:val="262626"/>
                <w:sz w:val="18"/>
                <w:szCs w:val="18"/>
              </w:rPr>
              <w:t>Dec 29, 2018</w:t>
            </w:r>
          </w:p>
        </w:tc>
        <w:tc>
          <w:tcPr>
            <w:tcW w:w="0" w:type="auto"/>
            <w:gridSpan w:val="3"/>
            <w:shd w:val="clear" w:color="auto" w:fill="auto"/>
            <w:tcMar>
              <w:top w:w="0" w:type="dxa"/>
              <w:left w:w="20" w:type="dxa"/>
              <w:bottom w:w="0" w:type="dxa"/>
              <w:right w:w="20" w:type="dxa"/>
            </w:tcMar>
            <w:vAlign w:val="bottom"/>
          </w:tcPr>
          <w:p w14:paraId="5A1B096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967" w14:textId="77777777" w:rsidR="00960BB8" w:rsidRDefault="00C06650">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vAlign w:val="bottom"/>
          </w:tcPr>
          <w:p w14:paraId="5A1B096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969" w14:textId="77777777" w:rsidR="00960BB8" w:rsidRDefault="00C06650">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5A1B096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96B"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096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96D" w14:textId="77777777" w:rsidR="00960BB8" w:rsidRDefault="00C06650">
            <w:pPr>
              <w:jc w:val="center"/>
              <w:textAlignment w:val="bottom"/>
            </w:pPr>
            <w:r>
              <w:rPr>
                <w:rFonts w:ascii="Arial" w:eastAsia="宋体" w:hAnsi="Arial" w:cs="Arial"/>
                <w:b/>
                <w:bCs/>
                <w:color w:val="262626"/>
                <w:sz w:val="18"/>
                <w:szCs w:val="18"/>
              </w:rPr>
              <w:t>Dec 31, 2022</w:t>
            </w:r>
          </w:p>
        </w:tc>
      </w:tr>
      <w:tr w:rsidR="00960BB8" w14:paraId="5A1B0988"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96F" w14:textId="77777777" w:rsidR="00960BB8" w:rsidRDefault="00C06650">
            <w:pPr>
              <w:textAlignment w:val="bottom"/>
            </w:pPr>
            <w:r>
              <w:rPr>
                <w:rFonts w:ascii="Arial" w:eastAsia="宋体" w:hAnsi="Arial" w:cs="Arial"/>
                <w:color w:val="262626"/>
                <w:sz w:val="18"/>
                <w:szCs w:val="18"/>
              </w:rPr>
              <w:t>Intel Corporation</w:t>
            </w:r>
          </w:p>
        </w:tc>
        <w:tc>
          <w:tcPr>
            <w:tcW w:w="0" w:type="auto"/>
            <w:gridSpan w:val="3"/>
            <w:shd w:val="clear" w:color="auto" w:fill="auto"/>
            <w:tcMar>
              <w:top w:w="0" w:type="dxa"/>
              <w:left w:w="20" w:type="dxa"/>
              <w:bottom w:w="0" w:type="dxa"/>
              <w:right w:w="20" w:type="dxa"/>
            </w:tcMar>
            <w:vAlign w:val="bottom"/>
          </w:tcPr>
          <w:p w14:paraId="5A1B0970"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971"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972" w14:textId="77777777" w:rsidR="00960BB8" w:rsidRDefault="00C06650">
            <w:pPr>
              <w:jc w:val="right"/>
              <w:textAlignment w:val="bottom"/>
            </w:pPr>
            <w:r>
              <w:rPr>
                <w:rFonts w:ascii="Arial" w:eastAsia="宋体" w:hAnsi="Arial" w:cs="Arial"/>
                <w:color w:val="262626"/>
                <w:sz w:val="18"/>
                <w:szCs w:val="18"/>
              </w:rPr>
              <w:t>100 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97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74"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975"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976" w14:textId="77777777" w:rsidR="00960BB8" w:rsidRDefault="00C06650">
            <w:pPr>
              <w:jc w:val="right"/>
              <w:textAlignment w:val="bottom"/>
            </w:pPr>
            <w:r>
              <w:rPr>
                <w:rFonts w:ascii="Arial" w:eastAsia="宋体" w:hAnsi="Arial" w:cs="Arial"/>
                <w:color w:val="262626"/>
                <w:sz w:val="18"/>
                <w:szCs w:val="18"/>
              </w:rPr>
              <w:t>104 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97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78"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979"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97A" w14:textId="77777777" w:rsidR="00960BB8" w:rsidRDefault="00C06650">
            <w:pPr>
              <w:jc w:val="right"/>
              <w:textAlignment w:val="bottom"/>
            </w:pPr>
            <w:r>
              <w:rPr>
                <w:rFonts w:ascii="Arial" w:eastAsia="宋体" w:hAnsi="Arial" w:cs="Arial"/>
                <w:color w:val="262626"/>
                <w:sz w:val="18"/>
                <w:szCs w:val="18"/>
              </w:rPr>
              <w:t>137 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97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7C"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97D"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97E" w14:textId="77777777" w:rsidR="00960BB8" w:rsidRDefault="00C06650">
            <w:pPr>
              <w:jc w:val="right"/>
              <w:textAlignment w:val="bottom"/>
            </w:pPr>
            <w:r>
              <w:rPr>
                <w:rFonts w:ascii="Arial" w:eastAsia="宋体" w:hAnsi="Arial" w:cs="Arial"/>
                <w:color w:val="262626"/>
                <w:sz w:val="18"/>
                <w:szCs w:val="18"/>
              </w:rPr>
              <w:t>110 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97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80"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981"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982" w14:textId="77777777" w:rsidR="00960BB8" w:rsidRDefault="00C06650">
            <w:pPr>
              <w:jc w:val="right"/>
              <w:textAlignment w:val="bottom"/>
            </w:pPr>
            <w:r>
              <w:rPr>
                <w:rFonts w:ascii="Arial" w:eastAsia="宋体" w:hAnsi="Arial" w:cs="Arial"/>
                <w:color w:val="262626"/>
                <w:sz w:val="18"/>
                <w:szCs w:val="18"/>
              </w:rPr>
              <w:t>123 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98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84"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985"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986" w14:textId="77777777" w:rsidR="00960BB8" w:rsidRDefault="00C06650">
            <w:pPr>
              <w:jc w:val="right"/>
              <w:textAlignment w:val="bottom"/>
            </w:pPr>
            <w:r>
              <w:rPr>
                <w:rFonts w:ascii="Arial" w:eastAsia="宋体" w:hAnsi="Arial" w:cs="Arial"/>
                <w:color w:val="0068B5"/>
                <w:sz w:val="18"/>
                <w:szCs w:val="18"/>
              </w:rPr>
              <w:t>66 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987" w14:textId="77777777" w:rsidR="00960BB8" w:rsidRDefault="00960BB8">
            <w:pPr>
              <w:jc w:val="right"/>
              <w:rPr>
                <w:rFonts w:ascii="宋体"/>
              </w:rPr>
            </w:pPr>
          </w:p>
        </w:tc>
      </w:tr>
      <w:tr w:rsidR="00960BB8" w14:paraId="5A1B0996" w14:textId="77777777">
        <w:trPr>
          <w:hidden/>
        </w:trPr>
        <w:tc>
          <w:tcPr>
            <w:tcW w:w="0" w:type="auto"/>
            <w:gridSpan w:val="3"/>
            <w:shd w:val="clear" w:color="auto" w:fill="auto"/>
            <w:vAlign w:val="bottom"/>
          </w:tcPr>
          <w:p w14:paraId="5A1B0989" w14:textId="77777777" w:rsidR="00960BB8" w:rsidRDefault="00960BB8">
            <w:pPr>
              <w:rPr>
                <w:rFonts w:ascii="宋体"/>
                <w:vanish/>
              </w:rPr>
            </w:pPr>
          </w:p>
        </w:tc>
        <w:tc>
          <w:tcPr>
            <w:tcW w:w="0" w:type="auto"/>
            <w:gridSpan w:val="3"/>
            <w:shd w:val="clear" w:color="auto" w:fill="auto"/>
            <w:vAlign w:val="bottom"/>
          </w:tcPr>
          <w:p w14:paraId="5A1B098A" w14:textId="77777777" w:rsidR="00960BB8" w:rsidRDefault="00960BB8">
            <w:pPr>
              <w:rPr>
                <w:rFonts w:ascii="宋体"/>
                <w:vanish/>
              </w:rPr>
            </w:pPr>
          </w:p>
        </w:tc>
        <w:tc>
          <w:tcPr>
            <w:tcW w:w="0" w:type="auto"/>
            <w:gridSpan w:val="3"/>
            <w:shd w:val="clear" w:color="auto" w:fill="auto"/>
            <w:vAlign w:val="bottom"/>
          </w:tcPr>
          <w:p w14:paraId="5A1B098B" w14:textId="77777777" w:rsidR="00960BB8" w:rsidRDefault="00960BB8">
            <w:pPr>
              <w:rPr>
                <w:rFonts w:ascii="宋体"/>
                <w:vanish/>
              </w:rPr>
            </w:pPr>
          </w:p>
        </w:tc>
        <w:tc>
          <w:tcPr>
            <w:tcW w:w="0" w:type="auto"/>
            <w:gridSpan w:val="3"/>
            <w:shd w:val="clear" w:color="auto" w:fill="auto"/>
            <w:vAlign w:val="bottom"/>
          </w:tcPr>
          <w:p w14:paraId="5A1B098C" w14:textId="77777777" w:rsidR="00960BB8" w:rsidRDefault="00960BB8">
            <w:pPr>
              <w:rPr>
                <w:rFonts w:ascii="宋体"/>
                <w:vanish/>
              </w:rPr>
            </w:pPr>
          </w:p>
        </w:tc>
        <w:tc>
          <w:tcPr>
            <w:tcW w:w="0" w:type="auto"/>
            <w:gridSpan w:val="3"/>
            <w:shd w:val="clear" w:color="auto" w:fill="auto"/>
            <w:vAlign w:val="bottom"/>
          </w:tcPr>
          <w:p w14:paraId="5A1B098D" w14:textId="77777777" w:rsidR="00960BB8" w:rsidRDefault="00960BB8">
            <w:pPr>
              <w:rPr>
                <w:rFonts w:ascii="宋体"/>
                <w:vanish/>
              </w:rPr>
            </w:pPr>
          </w:p>
        </w:tc>
        <w:tc>
          <w:tcPr>
            <w:tcW w:w="0" w:type="auto"/>
            <w:gridSpan w:val="3"/>
            <w:shd w:val="clear" w:color="auto" w:fill="auto"/>
            <w:vAlign w:val="bottom"/>
          </w:tcPr>
          <w:p w14:paraId="5A1B098E" w14:textId="77777777" w:rsidR="00960BB8" w:rsidRDefault="00960BB8">
            <w:pPr>
              <w:rPr>
                <w:rFonts w:ascii="宋体"/>
                <w:vanish/>
              </w:rPr>
            </w:pPr>
          </w:p>
        </w:tc>
        <w:tc>
          <w:tcPr>
            <w:tcW w:w="0" w:type="auto"/>
            <w:gridSpan w:val="3"/>
            <w:shd w:val="clear" w:color="auto" w:fill="auto"/>
            <w:vAlign w:val="bottom"/>
          </w:tcPr>
          <w:p w14:paraId="5A1B098F" w14:textId="77777777" w:rsidR="00960BB8" w:rsidRDefault="00960BB8">
            <w:pPr>
              <w:rPr>
                <w:rFonts w:ascii="宋体"/>
                <w:vanish/>
              </w:rPr>
            </w:pPr>
          </w:p>
        </w:tc>
        <w:tc>
          <w:tcPr>
            <w:tcW w:w="0" w:type="auto"/>
            <w:gridSpan w:val="3"/>
            <w:shd w:val="clear" w:color="auto" w:fill="auto"/>
            <w:vAlign w:val="bottom"/>
          </w:tcPr>
          <w:p w14:paraId="5A1B0990" w14:textId="77777777" w:rsidR="00960BB8" w:rsidRDefault="00960BB8">
            <w:pPr>
              <w:rPr>
                <w:rFonts w:ascii="宋体"/>
                <w:vanish/>
              </w:rPr>
            </w:pPr>
          </w:p>
        </w:tc>
        <w:tc>
          <w:tcPr>
            <w:tcW w:w="0" w:type="auto"/>
            <w:gridSpan w:val="3"/>
            <w:shd w:val="clear" w:color="auto" w:fill="auto"/>
            <w:vAlign w:val="bottom"/>
          </w:tcPr>
          <w:p w14:paraId="5A1B0991" w14:textId="77777777" w:rsidR="00960BB8" w:rsidRDefault="00960BB8">
            <w:pPr>
              <w:rPr>
                <w:rFonts w:ascii="宋体"/>
                <w:vanish/>
              </w:rPr>
            </w:pPr>
          </w:p>
        </w:tc>
        <w:tc>
          <w:tcPr>
            <w:tcW w:w="0" w:type="auto"/>
            <w:gridSpan w:val="3"/>
            <w:shd w:val="clear" w:color="auto" w:fill="auto"/>
            <w:vAlign w:val="bottom"/>
          </w:tcPr>
          <w:p w14:paraId="5A1B0992" w14:textId="77777777" w:rsidR="00960BB8" w:rsidRDefault="00960BB8">
            <w:pPr>
              <w:rPr>
                <w:rFonts w:ascii="宋体"/>
                <w:vanish/>
              </w:rPr>
            </w:pPr>
          </w:p>
        </w:tc>
        <w:tc>
          <w:tcPr>
            <w:tcW w:w="0" w:type="auto"/>
            <w:gridSpan w:val="3"/>
            <w:shd w:val="clear" w:color="auto" w:fill="auto"/>
            <w:vAlign w:val="bottom"/>
          </w:tcPr>
          <w:p w14:paraId="5A1B0993" w14:textId="77777777" w:rsidR="00960BB8" w:rsidRDefault="00960BB8">
            <w:pPr>
              <w:rPr>
                <w:rFonts w:ascii="宋体"/>
                <w:vanish/>
              </w:rPr>
            </w:pPr>
          </w:p>
        </w:tc>
        <w:tc>
          <w:tcPr>
            <w:tcW w:w="0" w:type="auto"/>
            <w:gridSpan w:val="3"/>
            <w:shd w:val="clear" w:color="auto" w:fill="auto"/>
            <w:vAlign w:val="bottom"/>
          </w:tcPr>
          <w:p w14:paraId="5A1B0994" w14:textId="77777777" w:rsidR="00960BB8" w:rsidRDefault="00960BB8">
            <w:pPr>
              <w:rPr>
                <w:rFonts w:ascii="宋体"/>
                <w:vanish/>
              </w:rPr>
            </w:pPr>
          </w:p>
        </w:tc>
        <w:tc>
          <w:tcPr>
            <w:tcW w:w="0" w:type="auto"/>
            <w:gridSpan w:val="3"/>
            <w:shd w:val="clear" w:color="auto" w:fill="auto"/>
            <w:vAlign w:val="bottom"/>
          </w:tcPr>
          <w:p w14:paraId="5A1B0995" w14:textId="77777777" w:rsidR="00960BB8" w:rsidRDefault="00960BB8">
            <w:pPr>
              <w:rPr>
                <w:rFonts w:ascii="宋体"/>
                <w:vanish/>
              </w:rPr>
            </w:pPr>
          </w:p>
        </w:tc>
      </w:tr>
      <w:tr w:rsidR="00960BB8" w14:paraId="5A1B09B0" w14:textId="77777777">
        <w:tc>
          <w:tcPr>
            <w:tcW w:w="0" w:type="auto"/>
            <w:gridSpan w:val="3"/>
            <w:shd w:val="clear" w:color="auto" w:fill="auto"/>
            <w:tcMar>
              <w:top w:w="40" w:type="dxa"/>
              <w:left w:w="20" w:type="dxa"/>
              <w:bottom w:w="40" w:type="dxa"/>
              <w:right w:w="20" w:type="dxa"/>
            </w:tcMar>
            <w:vAlign w:val="bottom"/>
          </w:tcPr>
          <w:p w14:paraId="5A1B0997" w14:textId="77777777" w:rsidR="00960BB8" w:rsidRDefault="00C06650">
            <w:pPr>
              <w:textAlignment w:val="bottom"/>
            </w:pPr>
            <w:r>
              <w:rPr>
                <w:rFonts w:ascii="Arial" w:eastAsia="宋体" w:hAnsi="Arial" w:cs="Arial"/>
                <w:color w:val="262626"/>
                <w:sz w:val="18"/>
                <w:szCs w:val="18"/>
              </w:rPr>
              <w:t>S&amp;P 100 Index</w:t>
            </w:r>
          </w:p>
        </w:tc>
        <w:tc>
          <w:tcPr>
            <w:tcW w:w="0" w:type="auto"/>
            <w:gridSpan w:val="3"/>
            <w:shd w:val="clear" w:color="auto" w:fill="auto"/>
            <w:tcMar>
              <w:top w:w="0" w:type="dxa"/>
              <w:left w:w="20" w:type="dxa"/>
              <w:bottom w:w="0" w:type="dxa"/>
              <w:right w:w="20" w:type="dxa"/>
            </w:tcMar>
            <w:vAlign w:val="bottom"/>
          </w:tcPr>
          <w:p w14:paraId="5A1B0998"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99"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9A" w14:textId="77777777" w:rsidR="00960BB8" w:rsidRDefault="00C06650">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5A1B099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9C"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9D"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9E" w14:textId="77777777" w:rsidR="00960BB8" w:rsidRDefault="00C06650">
            <w:pPr>
              <w:jc w:val="right"/>
              <w:textAlignment w:val="bottom"/>
            </w:pPr>
            <w:r>
              <w:rPr>
                <w:rFonts w:ascii="Arial" w:eastAsia="宋体" w:hAnsi="Arial" w:cs="Arial"/>
                <w:color w:val="262626"/>
                <w:sz w:val="18"/>
                <w:szCs w:val="18"/>
              </w:rPr>
              <w:t>95 </w:t>
            </w:r>
          </w:p>
        </w:tc>
        <w:tc>
          <w:tcPr>
            <w:tcW w:w="0" w:type="auto"/>
            <w:shd w:val="clear" w:color="auto" w:fill="auto"/>
            <w:tcMar>
              <w:top w:w="40" w:type="dxa"/>
              <w:left w:w="0" w:type="dxa"/>
              <w:bottom w:w="40" w:type="dxa"/>
              <w:right w:w="20" w:type="dxa"/>
            </w:tcMar>
            <w:vAlign w:val="bottom"/>
          </w:tcPr>
          <w:p w14:paraId="5A1B099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A0"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A1"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A2" w14:textId="77777777" w:rsidR="00960BB8" w:rsidRDefault="00C06650">
            <w:pPr>
              <w:jc w:val="right"/>
              <w:textAlignment w:val="bottom"/>
            </w:pPr>
            <w:r>
              <w:rPr>
                <w:rFonts w:ascii="Arial" w:eastAsia="宋体" w:hAnsi="Arial" w:cs="Arial"/>
                <w:color w:val="262626"/>
                <w:sz w:val="18"/>
                <w:szCs w:val="18"/>
              </w:rPr>
              <w:t>128 </w:t>
            </w:r>
          </w:p>
        </w:tc>
        <w:tc>
          <w:tcPr>
            <w:tcW w:w="0" w:type="auto"/>
            <w:shd w:val="clear" w:color="auto" w:fill="auto"/>
            <w:tcMar>
              <w:top w:w="40" w:type="dxa"/>
              <w:left w:w="0" w:type="dxa"/>
              <w:bottom w:w="40" w:type="dxa"/>
              <w:right w:w="20" w:type="dxa"/>
            </w:tcMar>
            <w:vAlign w:val="bottom"/>
          </w:tcPr>
          <w:p w14:paraId="5A1B09A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A4"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A5"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A6" w14:textId="77777777" w:rsidR="00960BB8" w:rsidRDefault="00C06650">
            <w:pPr>
              <w:jc w:val="right"/>
              <w:textAlignment w:val="bottom"/>
            </w:pPr>
            <w:r>
              <w:rPr>
                <w:rFonts w:ascii="Arial" w:eastAsia="宋体" w:hAnsi="Arial" w:cs="Arial"/>
                <w:color w:val="262626"/>
                <w:sz w:val="18"/>
                <w:szCs w:val="18"/>
              </w:rPr>
              <w:t>152 </w:t>
            </w:r>
          </w:p>
        </w:tc>
        <w:tc>
          <w:tcPr>
            <w:tcW w:w="0" w:type="auto"/>
            <w:shd w:val="clear" w:color="auto" w:fill="auto"/>
            <w:tcMar>
              <w:top w:w="40" w:type="dxa"/>
              <w:left w:w="0" w:type="dxa"/>
              <w:bottom w:w="40" w:type="dxa"/>
              <w:right w:w="20" w:type="dxa"/>
            </w:tcMar>
            <w:vAlign w:val="bottom"/>
          </w:tcPr>
          <w:p w14:paraId="5A1B09A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A8"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A9"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AA" w14:textId="77777777" w:rsidR="00960BB8" w:rsidRDefault="00C06650">
            <w:pPr>
              <w:jc w:val="right"/>
              <w:textAlignment w:val="bottom"/>
            </w:pPr>
            <w:r>
              <w:rPr>
                <w:rFonts w:ascii="Arial" w:eastAsia="宋体" w:hAnsi="Arial" w:cs="Arial"/>
                <w:color w:val="262626"/>
                <w:sz w:val="18"/>
                <w:szCs w:val="18"/>
              </w:rPr>
              <w:t>199 </w:t>
            </w:r>
          </w:p>
        </w:tc>
        <w:tc>
          <w:tcPr>
            <w:tcW w:w="0" w:type="auto"/>
            <w:shd w:val="clear" w:color="auto" w:fill="auto"/>
            <w:tcMar>
              <w:top w:w="40" w:type="dxa"/>
              <w:left w:w="0" w:type="dxa"/>
              <w:bottom w:w="40" w:type="dxa"/>
              <w:right w:w="20" w:type="dxa"/>
            </w:tcMar>
            <w:vAlign w:val="bottom"/>
          </w:tcPr>
          <w:p w14:paraId="5A1B09A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AC"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AD"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09AE" w14:textId="77777777" w:rsidR="00960BB8" w:rsidRDefault="00C06650">
            <w:pPr>
              <w:jc w:val="right"/>
              <w:textAlignment w:val="bottom"/>
            </w:pPr>
            <w:r>
              <w:rPr>
                <w:rFonts w:ascii="Arial" w:eastAsia="宋体" w:hAnsi="Arial" w:cs="Arial"/>
                <w:color w:val="0068B5"/>
                <w:sz w:val="18"/>
                <w:szCs w:val="18"/>
              </w:rPr>
              <w:t>158 </w:t>
            </w:r>
          </w:p>
        </w:tc>
        <w:tc>
          <w:tcPr>
            <w:tcW w:w="0" w:type="auto"/>
            <w:shd w:val="clear" w:color="auto" w:fill="auto"/>
            <w:tcMar>
              <w:top w:w="40" w:type="dxa"/>
              <w:left w:w="0" w:type="dxa"/>
              <w:bottom w:w="40" w:type="dxa"/>
              <w:right w:w="20" w:type="dxa"/>
            </w:tcMar>
            <w:vAlign w:val="bottom"/>
          </w:tcPr>
          <w:p w14:paraId="5A1B09AF" w14:textId="77777777" w:rsidR="00960BB8" w:rsidRDefault="00960BB8">
            <w:pPr>
              <w:jc w:val="right"/>
              <w:rPr>
                <w:rFonts w:ascii="宋体"/>
              </w:rPr>
            </w:pPr>
          </w:p>
        </w:tc>
      </w:tr>
      <w:tr w:rsidR="00960BB8" w14:paraId="5A1B09CA" w14:textId="77777777">
        <w:tc>
          <w:tcPr>
            <w:tcW w:w="0" w:type="auto"/>
            <w:gridSpan w:val="3"/>
            <w:shd w:val="clear" w:color="auto" w:fill="auto"/>
            <w:tcMar>
              <w:top w:w="40" w:type="dxa"/>
              <w:left w:w="20" w:type="dxa"/>
              <w:bottom w:w="40" w:type="dxa"/>
              <w:right w:w="20" w:type="dxa"/>
            </w:tcMar>
            <w:vAlign w:val="bottom"/>
          </w:tcPr>
          <w:p w14:paraId="5A1B09B1" w14:textId="77777777" w:rsidR="00960BB8" w:rsidRDefault="00C06650">
            <w:pPr>
              <w:textAlignment w:val="bottom"/>
            </w:pPr>
            <w:r>
              <w:rPr>
                <w:rFonts w:ascii="Arial" w:eastAsia="宋体" w:hAnsi="Arial" w:cs="Arial"/>
                <w:color w:val="262626"/>
                <w:sz w:val="18"/>
                <w:szCs w:val="18"/>
              </w:rPr>
              <w:t>S&amp;P 500 Index</w:t>
            </w:r>
          </w:p>
        </w:tc>
        <w:tc>
          <w:tcPr>
            <w:tcW w:w="0" w:type="auto"/>
            <w:gridSpan w:val="3"/>
            <w:shd w:val="clear" w:color="auto" w:fill="auto"/>
            <w:tcMar>
              <w:top w:w="0" w:type="dxa"/>
              <w:left w:w="20" w:type="dxa"/>
              <w:bottom w:w="0" w:type="dxa"/>
              <w:right w:w="20" w:type="dxa"/>
            </w:tcMar>
            <w:vAlign w:val="bottom"/>
          </w:tcPr>
          <w:p w14:paraId="5A1B09B2"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B3"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B4" w14:textId="77777777" w:rsidR="00960BB8" w:rsidRDefault="00C06650">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5A1B09B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B6"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B7"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B8" w14:textId="77777777" w:rsidR="00960BB8" w:rsidRDefault="00C06650">
            <w:pPr>
              <w:jc w:val="right"/>
              <w:textAlignment w:val="bottom"/>
            </w:pPr>
            <w:r>
              <w:rPr>
                <w:rFonts w:ascii="Arial" w:eastAsia="宋体" w:hAnsi="Arial" w:cs="Arial"/>
                <w:color w:val="262626"/>
                <w:sz w:val="18"/>
                <w:szCs w:val="18"/>
              </w:rPr>
              <w:t>95 </w:t>
            </w:r>
          </w:p>
        </w:tc>
        <w:tc>
          <w:tcPr>
            <w:tcW w:w="0" w:type="auto"/>
            <w:shd w:val="clear" w:color="auto" w:fill="auto"/>
            <w:tcMar>
              <w:top w:w="40" w:type="dxa"/>
              <w:left w:w="0" w:type="dxa"/>
              <w:bottom w:w="40" w:type="dxa"/>
              <w:right w:w="20" w:type="dxa"/>
            </w:tcMar>
            <w:vAlign w:val="bottom"/>
          </w:tcPr>
          <w:p w14:paraId="5A1B09B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BA"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BB"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BC" w14:textId="77777777" w:rsidR="00960BB8" w:rsidRDefault="00C06650">
            <w:pPr>
              <w:jc w:val="right"/>
              <w:textAlignment w:val="bottom"/>
            </w:pPr>
            <w:r>
              <w:rPr>
                <w:rFonts w:ascii="Arial" w:eastAsia="宋体" w:hAnsi="Arial" w:cs="Arial"/>
                <w:color w:val="262626"/>
                <w:sz w:val="18"/>
                <w:szCs w:val="18"/>
              </w:rPr>
              <w:t>126 </w:t>
            </w:r>
          </w:p>
        </w:tc>
        <w:tc>
          <w:tcPr>
            <w:tcW w:w="0" w:type="auto"/>
            <w:shd w:val="clear" w:color="auto" w:fill="auto"/>
            <w:tcMar>
              <w:top w:w="40" w:type="dxa"/>
              <w:left w:w="0" w:type="dxa"/>
              <w:bottom w:w="40" w:type="dxa"/>
              <w:right w:w="20" w:type="dxa"/>
            </w:tcMar>
            <w:vAlign w:val="bottom"/>
          </w:tcPr>
          <w:p w14:paraId="5A1B09B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BE"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BF"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C0" w14:textId="77777777" w:rsidR="00960BB8" w:rsidRDefault="00C06650">
            <w:pPr>
              <w:jc w:val="right"/>
              <w:textAlignment w:val="bottom"/>
            </w:pPr>
            <w:r>
              <w:rPr>
                <w:rFonts w:ascii="Arial" w:eastAsia="宋体" w:hAnsi="Arial" w:cs="Arial"/>
                <w:color w:val="262626"/>
                <w:sz w:val="18"/>
                <w:szCs w:val="18"/>
              </w:rPr>
              <w:t>147 </w:t>
            </w:r>
          </w:p>
        </w:tc>
        <w:tc>
          <w:tcPr>
            <w:tcW w:w="0" w:type="auto"/>
            <w:shd w:val="clear" w:color="auto" w:fill="auto"/>
            <w:tcMar>
              <w:top w:w="40" w:type="dxa"/>
              <w:left w:w="0" w:type="dxa"/>
              <w:bottom w:w="40" w:type="dxa"/>
              <w:right w:w="20" w:type="dxa"/>
            </w:tcMar>
            <w:vAlign w:val="bottom"/>
          </w:tcPr>
          <w:p w14:paraId="5A1B09C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C2"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C3"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C4" w14:textId="77777777" w:rsidR="00960BB8" w:rsidRDefault="00C06650">
            <w:pPr>
              <w:jc w:val="right"/>
              <w:textAlignment w:val="bottom"/>
            </w:pPr>
            <w:r>
              <w:rPr>
                <w:rFonts w:ascii="Arial" w:eastAsia="宋体" w:hAnsi="Arial" w:cs="Arial"/>
                <w:color w:val="262626"/>
                <w:sz w:val="18"/>
                <w:szCs w:val="18"/>
              </w:rPr>
              <w:t>190 </w:t>
            </w:r>
          </w:p>
        </w:tc>
        <w:tc>
          <w:tcPr>
            <w:tcW w:w="0" w:type="auto"/>
            <w:shd w:val="clear" w:color="auto" w:fill="auto"/>
            <w:tcMar>
              <w:top w:w="40" w:type="dxa"/>
              <w:left w:w="0" w:type="dxa"/>
              <w:bottom w:w="40" w:type="dxa"/>
              <w:right w:w="20" w:type="dxa"/>
            </w:tcMar>
            <w:vAlign w:val="bottom"/>
          </w:tcPr>
          <w:p w14:paraId="5A1B09C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C6"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C7"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09C8" w14:textId="77777777" w:rsidR="00960BB8" w:rsidRDefault="00C06650">
            <w:pPr>
              <w:jc w:val="right"/>
              <w:textAlignment w:val="bottom"/>
            </w:pPr>
            <w:r>
              <w:rPr>
                <w:rFonts w:ascii="Arial" w:eastAsia="宋体" w:hAnsi="Arial" w:cs="Arial"/>
                <w:color w:val="0068B5"/>
                <w:sz w:val="18"/>
                <w:szCs w:val="18"/>
              </w:rPr>
              <w:t>157 </w:t>
            </w:r>
          </w:p>
        </w:tc>
        <w:tc>
          <w:tcPr>
            <w:tcW w:w="0" w:type="auto"/>
            <w:shd w:val="clear" w:color="auto" w:fill="auto"/>
            <w:tcMar>
              <w:top w:w="40" w:type="dxa"/>
              <w:left w:w="0" w:type="dxa"/>
              <w:bottom w:w="40" w:type="dxa"/>
              <w:right w:w="20" w:type="dxa"/>
            </w:tcMar>
            <w:vAlign w:val="bottom"/>
          </w:tcPr>
          <w:p w14:paraId="5A1B09C9" w14:textId="77777777" w:rsidR="00960BB8" w:rsidRDefault="00960BB8">
            <w:pPr>
              <w:jc w:val="right"/>
              <w:rPr>
                <w:rFonts w:ascii="宋体"/>
              </w:rPr>
            </w:pPr>
          </w:p>
        </w:tc>
      </w:tr>
      <w:tr w:rsidR="00960BB8" w14:paraId="5A1B09E4" w14:textId="77777777">
        <w:tc>
          <w:tcPr>
            <w:tcW w:w="0" w:type="auto"/>
            <w:gridSpan w:val="3"/>
            <w:shd w:val="clear" w:color="auto" w:fill="auto"/>
            <w:tcMar>
              <w:top w:w="40" w:type="dxa"/>
              <w:left w:w="20" w:type="dxa"/>
              <w:bottom w:w="40" w:type="dxa"/>
              <w:right w:w="20" w:type="dxa"/>
            </w:tcMar>
            <w:vAlign w:val="bottom"/>
          </w:tcPr>
          <w:p w14:paraId="5A1B09CB" w14:textId="77777777" w:rsidR="00960BB8" w:rsidRDefault="00C06650">
            <w:pPr>
              <w:textAlignment w:val="bottom"/>
            </w:pPr>
            <w:r>
              <w:rPr>
                <w:rFonts w:ascii="Arial" w:eastAsia="宋体" w:hAnsi="Arial" w:cs="Arial"/>
                <w:color w:val="262626"/>
                <w:sz w:val="18"/>
                <w:szCs w:val="18"/>
              </w:rPr>
              <w:t>S&amp;P 500 IT Index</w:t>
            </w:r>
          </w:p>
        </w:tc>
        <w:tc>
          <w:tcPr>
            <w:tcW w:w="0" w:type="auto"/>
            <w:gridSpan w:val="3"/>
            <w:shd w:val="clear" w:color="auto" w:fill="auto"/>
            <w:tcMar>
              <w:top w:w="0" w:type="dxa"/>
              <w:left w:w="20" w:type="dxa"/>
              <w:bottom w:w="0" w:type="dxa"/>
              <w:right w:w="20" w:type="dxa"/>
            </w:tcMar>
            <w:vAlign w:val="bottom"/>
          </w:tcPr>
          <w:p w14:paraId="5A1B09CC"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CD"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CE" w14:textId="77777777" w:rsidR="00960BB8" w:rsidRDefault="00C06650">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5A1B09C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D0"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D1"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D2" w14:textId="77777777" w:rsidR="00960BB8" w:rsidRDefault="00C06650">
            <w:pPr>
              <w:jc w:val="right"/>
              <w:textAlignment w:val="bottom"/>
            </w:pPr>
            <w:r>
              <w:rPr>
                <w:rFonts w:ascii="Arial" w:eastAsia="宋体" w:hAnsi="Arial" w:cs="Arial"/>
                <w:color w:val="262626"/>
                <w:sz w:val="18"/>
                <w:szCs w:val="18"/>
              </w:rPr>
              <w:t>99 </w:t>
            </w:r>
          </w:p>
        </w:tc>
        <w:tc>
          <w:tcPr>
            <w:tcW w:w="0" w:type="auto"/>
            <w:shd w:val="clear" w:color="auto" w:fill="auto"/>
            <w:tcMar>
              <w:top w:w="40" w:type="dxa"/>
              <w:left w:w="0" w:type="dxa"/>
              <w:bottom w:w="40" w:type="dxa"/>
              <w:right w:w="20" w:type="dxa"/>
            </w:tcMar>
            <w:vAlign w:val="bottom"/>
          </w:tcPr>
          <w:p w14:paraId="5A1B09D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D4"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D5"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D6" w14:textId="77777777" w:rsidR="00960BB8" w:rsidRDefault="00C06650">
            <w:pPr>
              <w:jc w:val="right"/>
              <w:textAlignment w:val="bottom"/>
            </w:pPr>
            <w:r>
              <w:rPr>
                <w:rFonts w:ascii="Arial" w:eastAsia="宋体" w:hAnsi="Arial" w:cs="Arial"/>
                <w:color w:val="262626"/>
                <w:sz w:val="18"/>
                <w:szCs w:val="18"/>
              </w:rPr>
              <w:t>150 </w:t>
            </w:r>
          </w:p>
        </w:tc>
        <w:tc>
          <w:tcPr>
            <w:tcW w:w="0" w:type="auto"/>
            <w:shd w:val="clear" w:color="auto" w:fill="auto"/>
            <w:tcMar>
              <w:top w:w="40" w:type="dxa"/>
              <w:left w:w="0" w:type="dxa"/>
              <w:bottom w:w="40" w:type="dxa"/>
              <w:right w:w="20" w:type="dxa"/>
            </w:tcMar>
            <w:vAlign w:val="bottom"/>
          </w:tcPr>
          <w:p w14:paraId="5A1B09D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D8"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D9"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DA" w14:textId="77777777" w:rsidR="00960BB8" w:rsidRDefault="00C06650">
            <w:pPr>
              <w:jc w:val="right"/>
              <w:textAlignment w:val="bottom"/>
            </w:pPr>
            <w:r>
              <w:rPr>
                <w:rFonts w:ascii="Arial" w:eastAsia="宋体" w:hAnsi="Arial" w:cs="Arial"/>
                <w:color w:val="262626"/>
                <w:sz w:val="18"/>
                <w:szCs w:val="18"/>
              </w:rPr>
              <w:t>214 </w:t>
            </w:r>
          </w:p>
        </w:tc>
        <w:tc>
          <w:tcPr>
            <w:tcW w:w="0" w:type="auto"/>
            <w:shd w:val="clear" w:color="auto" w:fill="auto"/>
            <w:tcMar>
              <w:top w:w="40" w:type="dxa"/>
              <w:left w:w="0" w:type="dxa"/>
              <w:bottom w:w="40" w:type="dxa"/>
              <w:right w:w="20" w:type="dxa"/>
            </w:tcMar>
            <w:vAlign w:val="bottom"/>
          </w:tcPr>
          <w:p w14:paraId="5A1B09D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DC"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DD"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DE" w14:textId="77777777" w:rsidR="00960BB8" w:rsidRDefault="00C06650">
            <w:pPr>
              <w:jc w:val="right"/>
              <w:textAlignment w:val="bottom"/>
            </w:pPr>
            <w:r>
              <w:rPr>
                <w:rFonts w:ascii="Arial" w:eastAsia="宋体" w:hAnsi="Arial" w:cs="Arial"/>
                <w:color w:val="262626"/>
                <w:sz w:val="18"/>
                <w:szCs w:val="18"/>
              </w:rPr>
              <w:t>289 </w:t>
            </w:r>
          </w:p>
        </w:tc>
        <w:tc>
          <w:tcPr>
            <w:tcW w:w="0" w:type="auto"/>
            <w:shd w:val="clear" w:color="auto" w:fill="auto"/>
            <w:tcMar>
              <w:top w:w="40" w:type="dxa"/>
              <w:left w:w="0" w:type="dxa"/>
              <w:bottom w:w="40" w:type="dxa"/>
              <w:right w:w="20" w:type="dxa"/>
            </w:tcMar>
            <w:vAlign w:val="bottom"/>
          </w:tcPr>
          <w:p w14:paraId="5A1B09D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E0"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E1"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09E2" w14:textId="77777777" w:rsidR="00960BB8" w:rsidRDefault="00C06650">
            <w:pPr>
              <w:jc w:val="right"/>
              <w:textAlignment w:val="bottom"/>
            </w:pPr>
            <w:r>
              <w:rPr>
                <w:rFonts w:ascii="Arial" w:eastAsia="宋体" w:hAnsi="Arial" w:cs="Arial"/>
                <w:color w:val="0068B5"/>
                <w:sz w:val="18"/>
                <w:szCs w:val="18"/>
              </w:rPr>
              <w:t>208 </w:t>
            </w:r>
          </w:p>
        </w:tc>
        <w:tc>
          <w:tcPr>
            <w:tcW w:w="0" w:type="auto"/>
            <w:shd w:val="clear" w:color="auto" w:fill="auto"/>
            <w:tcMar>
              <w:top w:w="40" w:type="dxa"/>
              <w:left w:w="0" w:type="dxa"/>
              <w:bottom w:w="40" w:type="dxa"/>
              <w:right w:w="20" w:type="dxa"/>
            </w:tcMar>
            <w:vAlign w:val="bottom"/>
          </w:tcPr>
          <w:p w14:paraId="5A1B09E3" w14:textId="77777777" w:rsidR="00960BB8" w:rsidRDefault="00960BB8">
            <w:pPr>
              <w:jc w:val="right"/>
              <w:rPr>
                <w:rFonts w:ascii="宋体"/>
              </w:rPr>
            </w:pPr>
          </w:p>
        </w:tc>
      </w:tr>
      <w:tr w:rsidR="00960BB8" w14:paraId="5A1B09FE" w14:textId="77777777">
        <w:tc>
          <w:tcPr>
            <w:tcW w:w="0" w:type="auto"/>
            <w:gridSpan w:val="3"/>
            <w:shd w:val="clear" w:color="auto" w:fill="auto"/>
            <w:tcMar>
              <w:top w:w="40" w:type="dxa"/>
              <w:left w:w="20" w:type="dxa"/>
              <w:bottom w:w="40" w:type="dxa"/>
              <w:right w:w="20" w:type="dxa"/>
            </w:tcMar>
            <w:vAlign w:val="bottom"/>
          </w:tcPr>
          <w:p w14:paraId="5A1B09E5" w14:textId="77777777" w:rsidR="00960BB8" w:rsidRDefault="00C06650">
            <w:pPr>
              <w:textAlignment w:val="bottom"/>
            </w:pPr>
            <w:r>
              <w:rPr>
                <w:rFonts w:ascii="Arial" w:eastAsia="宋体" w:hAnsi="Arial" w:cs="Arial"/>
                <w:color w:val="262626"/>
                <w:sz w:val="18"/>
                <w:szCs w:val="18"/>
              </w:rPr>
              <w:t>SOX Index</w:t>
            </w:r>
          </w:p>
        </w:tc>
        <w:tc>
          <w:tcPr>
            <w:tcW w:w="0" w:type="auto"/>
            <w:gridSpan w:val="3"/>
            <w:shd w:val="clear" w:color="auto" w:fill="auto"/>
            <w:tcMar>
              <w:top w:w="0" w:type="dxa"/>
              <w:left w:w="20" w:type="dxa"/>
              <w:bottom w:w="0" w:type="dxa"/>
              <w:right w:w="20" w:type="dxa"/>
            </w:tcMar>
            <w:vAlign w:val="bottom"/>
          </w:tcPr>
          <w:p w14:paraId="5A1B09E6"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E7"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E8" w14:textId="77777777" w:rsidR="00960BB8" w:rsidRDefault="00C06650">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5A1B09E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EA"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EB"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EC" w14:textId="77777777" w:rsidR="00960BB8" w:rsidRDefault="00C06650">
            <w:pPr>
              <w:jc w:val="right"/>
              <w:textAlignment w:val="bottom"/>
            </w:pPr>
            <w:r>
              <w:rPr>
                <w:rFonts w:ascii="Arial" w:eastAsia="宋体" w:hAnsi="Arial" w:cs="Arial"/>
                <w:color w:val="262626"/>
                <w:sz w:val="18"/>
                <w:szCs w:val="18"/>
              </w:rPr>
              <w:t>93 </w:t>
            </w:r>
          </w:p>
        </w:tc>
        <w:tc>
          <w:tcPr>
            <w:tcW w:w="0" w:type="auto"/>
            <w:shd w:val="clear" w:color="auto" w:fill="auto"/>
            <w:tcMar>
              <w:top w:w="40" w:type="dxa"/>
              <w:left w:w="0" w:type="dxa"/>
              <w:bottom w:w="40" w:type="dxa"/>
              <w:right w:w="20" w:type="dxa"/>
            </w:tcMar>
            <w:vAlign w:val="bottom"/>
          </w:tcPr>
          <w:p w14:paraId="5A1B09E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EE"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EF"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F0" w14:textId="77777777" w:rsidR="00960BB8" w:rsidRDefault="00C06650">
            <w:pPr>
              <w:jc w:val="right"/>
              <w:textAlignment w:val="bottom"/>
            </w:pPr>
            <w:r>
              <w:rPr>
                <w:rFonts w:ascii="Arial" w:eastAsia="宋体" w:hAnsi="Arial" w:cs="Arial"/>
                <w:color w:val="262626"/>
                <w:sz w:val="18"/>
                <w:szCs w:val="18"/>
              </w:rPr>
              <w:t>154 </w:t>
            </w:r>
          </w:p>
        </w:tc>
        <w:tc>
          <w:tcPr>
            <w:tcW w:w="0" w:type="auto"/>
            <w:shd w:val="clear" w:color="auto" w:fill="auto"/>
            <w:tcMar>
              <w:top w:w="40" w:type="dxa"/>
              <w:left w:w="0" w:type="dxa"/>
              <w:bottom w:w="40" w:type="dxa"/>
              <w:right w:w="20" w:type="dxa"/>
            </w:tcMar>
            <w:vAlign w:val="bottom"/>
          </w:tcPr>
          <w:p w14:paraId="5A1B09F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F2"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F3"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F4" w14:textId="77777777" w:rsidR="00960BB8" w:rsidRDefault="00C06650">
            <w:pPr>
              <w:jc w:val="right"/>
              <w:textAlignment w:val="bottom"/>
            </w:pPr>
            <w:r>
              <w:rPr>
                <w:rFonts w:ascii="Arial" w:eastAsia="宋体" w:hAnsi="Arial" w:cs="Arial"/>
                <w:color w:val="262626"/>
                <w:sz w:val="18"/>
                <w:szCs w:val="18"/>
              </w:rPr>
              <w:t>232 </w:t>
            </w:r>
          </w:p>
        </w:tc>
        <w:tc>
          <w:tcPr>
            <w:tcW w:w="0" w:type="auto"/>
            <w:shd w:val="clear" w:color="auto" w:fill="auto"/>
            <w:tcMar>
              <w:top w:w="40" w:type="dxa"/>
              <w:left w:w="0" w:type="dxa"/>
              <w:bottom w:w="40" w:type="dxa"/>
              <w:right w:w="20" w:type="dxa"/>
            </w:tcMar>
            <w:vAlign w:val="bottom"/>
          </w:tcPr>
          <w:p w14:paraId="5A1B09F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F6"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F7"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9F8" w14:textId="77777777" w:rsidR="00960BB8" w:rsidRDefault="00C06650">
            <w:pPr>
              <w:jc w:val="right"/>
              <w:textAlignment w:val="bottom"/>
            </w:pPr>
            <w:r>
              <w:rPr>
                <w:rFonts w:ascii="Arial" w:eastAsia="宋体" w:hAnsi="Arial" w:cs="Arial"/>
                <w:color w:val="262626"/>
                <w:sz w:val="18"/>
                <w:szCs w:val="18"/>
              </w:rPr>
              <w:t>336 </w:t>
            </w:r>
          </w:p>
        </w:tc>
        <w:tc>
          <w:tcPr>
            <w:tcW w:w="0" w:type="auto"/>
            <w:shd w:val="clear" w:color="auto" w:fill="auto"/>
            <w:tcMar>
              <w:top w:w="40" w:type="dxa"/>
              <w:left w:w="0" w:type="dxa"/>
              <w:bottom w:w="40" w:type="dxa"/>
              <w:right w:w="20" w:type="dxa"/>
            </w:tcMar>
            <w:vAlign w:val="bottom"/>
          </w:tcPr>
          <w:p w14:paraId="5A1B09F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9FA"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9FB"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09FC" w14:textId="77777777" w:rsidR="00960BB8" w:rsidRDefault="00C06650">
            <w:pPr>
              <w:jc w:val="right"/>
              <w:textAlignment w:val="bottom"/>
            </w:pPr>
            <w:r>
              <w:rPr>
                <w:rFonts w:ascii="Arial" w:eastAsia="宋体" w:hAnsi="Arial" w:cs="Arial"/>
                <w:color w:val="0068B5"/>
                <w:sz w:val="18"/>
                <w:szCs w:val="18"/>
              </w:rPr>
              <w:t>219 </w:t>
            </w:r>
          </w:p>
        </w:tc>
        <w:tc>
          <w:tcPr>
            <w:tcW w:w="0" w:type="auto"/>
            <w:shd w:val="clear" w:color="auto" w:fill="auto"/>
            <w:tcMar>
              <w:top w:w="40" w:type="dxa"/>
              <w:left w:w="0" w:type="dxa"/>
              <w:bottom w:w="40" w:type="dxa"/>
              <w:right w:w="20" w:type="dxa"/>
            </w:tcMar>
            <w:vAlign w:val="bottom"/>
          </w:tcPr>
          <w:p w14:paraId="5A1B09FD" w14:textId="77777777" w:rsidR="00960BB8" w:rsidRDefault="00960BB8">
            <w:pPr>
              <w:jc w:val="right"/>
              <w:rPr>
                <w:rFonts w:ascii="宋体"/>
              </w:rPr>
            </w:pPr>
          </w:p>
        </w:tc>
      </w:tr>
    </w:tbl>
    <w:p w14:paraId="5A1B09FF" w14:textId="77777777" w:rsidR="00960BB8" w:rsidRDefault="00C06650">
      <w:pPr>
        <w:spacing w:after="180"/>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The graph and table assume that $100 was invested on the last day of trading for the fiscal year ended December 30, 2017 in Intel's common stock, the S&amp;P 100 Index, S&amp;P 500 Index, S&amp;P 500 IT Index, and PHLX Semiconductor Sector Index (SOX), and tha</w:t>
      </w:r>
      <w:r>
        <w:rPr>
          <w:rFonts w:ascii="Arial" w:eastAsia="宋体" w:hAnsi="Arial" w:cs="Arial"/>
          <w:i/>
          <w:iCs/>
          <w:color w:val="262626"/>
          <w:sz w:val="16"/>
          <w:szCs w:val="16"/>
        </w:rPr>
        <w:t>t all dividends were reinvested.</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A09" w14:textId="77777777">
        <w:tc>
          <w:tcPr>
            <w:tcW w:w="50" w:type="pct"/>
            <w:shd w:val="clear" w:color="auto" w:fill="auto"/>
            <w:vAlign w:val="bottom"/>
          </w:tcPr>
          <w:p w14:paraId="5A1B0A00" w14:textId="77777777" w:rsidR="00960BB8" w:rsidRDefault="00960BB8">
            <w:pPr>
              <w:rPr>
                <w:rFonts w:ascii="宋体"/>
              </w:rPr>
            </w:pPr>
          </w:p>
        </w:tc>
        <w:tc>
          <w:tcPr>
            <w:tcW w:w="283" w:type="pct"/>
            <w:shd w:val="clear" w:color="auto" w:fill="auto"/>
            <w:vAlign w:val="bottom"/>
          </w:tcPr>
          <w:p w14:paraId="5A1B0A01" w14:textId="77777777" w:rsidR="00960BB8" w:rsidRDefault="00960BB8">
            <w:pPr>
              <w:rPr>
                <w:rFonts w:ascii="宋体"/>
              </w:rPr>
            </w:pPr>
          </w:p>
        </w:tc>
        <w:tc>
          <w:tcPr>
            <w:tcW w:w="5" w:type="pct"/>
            <w:shd w:val="clear" w:color="auto" w:fill="auto"/>
            <w:vAlign w:val="bottom"/>
          </w:tcPr>
          <w:p w14:paraId="5A1B0A02" w14:textId="77777777" w:rsidR="00960BB8" w:rsidRDefault="00960BB8">
            <w:pPr>
              <w:rPr>
                <w:rFonts w:ascii="宋体"/>
              </w:rPr>
            </w:pPr>
          </w:p>
        </w:tc>
        <w:tc>
          <w:tcPr>
            <w:tcW w:w="50" w:type="pct"/>
            <w:shd w:val="clear" w:color="auto" w:fill="auto"/>
            <w:vAlign w:val="bottom"/>
          </w:tcPr>
          <w:p w14:paraId="5A1B0A03" w14:textId="77777777" w:rsidR="00960BB8" w:rsidRDefault="00960BB8">
            <w:pPr>
              <w:rPr>
                <w:rFonts w:ascii="宋体"/>
              </w:rPr>
            </w:pPr>
          </w:p>
        </w:tc>
        <w:tc>
          <w:tcPr>
            <w:tcW w:w="2656" w:type="pct"/>
            <w:shd w:val="clear" w:color="auto" w:fill="auto"/>
            <w:vAlign w:val="bottom"/>
          </w:tcPr>
          <w:p w14:paraId="5A1B0A04" w14:textId="77777777" w:rsidR="00960BB8" w:rsidRDefault="00960BB8">
            <w:pPr>
              <w:rPr>
                <w:rFonts w:ascii="宋体"/>
              </w:rPr>
            </w:pPr>
          </w:p>
        </w:tc>
        <w:tc>
          <w:tcPr>
            <w:tcW w:w="5" w:type="pct"/>
            <w:shd w:val="clear" w:color="auto" w:fill="auto"/>
            <w:vAlign w:val="bottom"/>
          </w:tcPr>
          <w:p w14:paraId="5A1B0A05" w14:textId="77777777" w:rsidR="00960BB8" w:rsidRDefault="00960BB8">
            <w:pPr>
              <w:rPr>
                <w:rFonts w:ascii="宋体"/>
              </w:rPr>
            </w:pPr>
          </w:p>
        </w:tc>
        <w:tc>
          <w:tcPr>
            <w:tcW w:w="50" w:type="pct"/>
            <w:shd w:val="clear" w:color="auto" w:fill="auto"/>
            <w:vAlign w:val="bottom"/>
          </w:tcPr>
          <w:p w14:paraId="5A1B0A06" w14:textId="77777777" w:rsidR="00960BB8" w:rsidRDefault="00960BB8">
            <w:pPr>
              <w:rPr>
                <w:rFonts w:ascii="宋体"/>
              </w:rPr>
            </w:pPr>
          </w:p>
        </w:tc>
        <w:tc>
          <w:tcPr>
            <w:tcW w:w="1894" w:type="pct"/>
            <w:shd w:val="clear" w:color="auto" w:fill="auto"/>
            <w:vAlign w:val="bottom"/>
          </w:tcPr>
          <w:p w14:paraId="5A1B0A07" w14:textId="77777777" w:rsidR="00960BB8" w:rsidRDefault="00960BB8">
            <w:pPr>
              <w:rPr>
                <w:rFonts w:ascii="宋体"/>
              </w:rPr>
            </w:pPr>
          </w:p>
        </w:tc>
        <w:tc>
          <w:tcPr>
            <w:tcW w:w="5" w:type="pct"/>
            <w:shd w:val="clear" w:color="auto" w:fill="auto"/>
            <w:vAlign w:val="bottom"/>
          </w:tcPr>
          <w:p w14:paraId="5A1B0A08" w14:textId="77777777" w:rsidR="00960BB8" w:rsidRDefault="00960BB8">
            <w:pPr>
              <w:rPr>
                <w:rFonts w:ascii="宋体"/>
              </w:rPr>
            </w:pPr>
          </w:p>
        </w:tc>
      </w:tr>
      <w:tr w:rsidR="00960BB8" w14:paraId="5A1B0A0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A0A"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4E" wp14:editId="5A1B444F">
                  <wp:extent cx="304800" cy="304800"/>
                  <wp:effectExtent l="0" t="0" r="0" b="0"/>
                  <wp:docPr id="37" name="图片 22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A0B"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A0C" w14:textId="77777777" w:rsidR="00960BB8" w:rsidRDefault="00C06650">
            <w:pPr>
              <w:jc w:val="right"/>
              <w:textAlignment w:val="center"/>
            </w:pPr>
            <w:r>
              <w:rPr>
                <w:rFonts w:ascii="Arial" w:eastAsia="宋体" w:hAnsi="Arial" w:cs="Arial"/>
                <w:color w:val="262626"/>
                <w:sz w:val="16"/>
                <w:szCs w:val="16"/>
              </w:rPr>
              <w:t>68</w:t>
            </w:r>
          </w:p>
        </w:tc>
      </w:tr>
    </w:tbl>
    <w:p w14:paraId="5A1B0A0E" w14:textId="77777777" w:rsidR="00960BB8" w:rsidRDefault="00C06650">
      <w:r>
        <w:pict w14:anchorId="5A1B4450">
          <v:rect id="_x0000_i1094" style="width:415.3pt;height:1.5pt" o:hralign="center" o:hrstd="t" o:hr="t" fillcolor="#a0a0a0" stroked="f"/>
        </w:pict>
      </w:r>
    </w:p>
    <w:p w14:paraId="5A1B0A0F" w14:textId="77777777" w:rsidR="00960BB8" w:rsidRDefault="00C06650">
      <w:pPr>
        <w:jc w:val="right"/>
      </w:pPr>
      <w:hyperlink r:id="rId87" w:anchor="i8aaa7b4dbd2e419ca0f5c30af85a11aa_16" w:history="1">
        <w:r>
          <w:rPr>
            <w:rStyle w:val="a5"/>
            <w:rFonts w:ascii="Arial" w:eastAsia="宋体" w:hAnsi="Arial" w:cs="Arial"/>
            <w:b/>
            <w:bCs/>
            <w:sz w:val="16"/>
            <w:szCs w:val="16"/>
          </w:rPr>
          <w:t>Table of Contents</w:t>
        </w:r>
      </w:hyperlink>
    </w:p>
    <w:p w14:paraId="5A1B0A10" w14:textId="77777777" w:rsidR="00960BB8" w:rsidRDefault="00960BB8">
      <w:pPr>
        <w:jc w:val="right"/>
      </w:pPr>
    </w:p>
    <w:p w14:paraId="5A1B0A11" w14:textId="77777777" w:rsidR="00960BB8" w:rsidRDefault="00C06650">
      <w:pPr>
        <w:spacing w:before="180" w:after="180"/>
      </w:pPr>
      <w:r>
        <w:rPr>
          <w:rFonts w:ascii="Arial" w:eastAsia="宋体" w:hAnsi="Arial" w:cs="Arial"/>
          <w:color w:val="0068B5"/>
          <w:sz w:val="28"/>
          <w:szCs w:val="28"/>
        </w:rPr>
        <w:t>Issuer Purchases of Equity Securities</w:t>
      </w:r>
    </w:p>
    <w:p w14:paraId="5A1B0A12" w14:textId="77777777" w:rsidR="00960BB8" w:rsidRDefault="00C06650">
      <w:pPr>
        <w:spacing w:after="180"/>
      </w:pPr>
      <w:r>
        <w:rPr>
          <w:rFonts w:ascii="Arial" w:eastAsia="宋体" w:hAnsi="Arial" w:cs="Arial"/>
          <w:color w:val="262626"/>
          <w:sz w:val="18"/>
          <w:szCs w:val="18"/>
        </w:rPr>
        <w:t xml:space="preserve">We have an ongoing authorization, originally </w:t>
      </w:r>
      <w:r>
        <w:rPr>
          <w:rFonts w:ascii="Arial" w:eastAsia="宋体" w:hAnsi="Arial" w:cs="Arial"/>
          <w:color w:val="262626"/>
          <w:sz w:val="18"/>
          <w:szCs w:val="18"/>
        </w:rPr>
        <w:t>approved by our Board of Directors in 2005 and subsequently amended, to repurchase shares of our common stock in open market or negotiated transactions. No shares were repurchased during the year ending December 31, 2022. As of December 31, 2022, we were a</w:t>
      </w:r>
      <w:r>
        <w:rPr>
          <w:rFonts w:ascii="Arial" w:eastAsia="宋体" w:hAnsi="Arial" w:cs="Arial"/>
          <w:color w:val="262626"/>
          <w:sz w:val="18"/>
          <w:szCs w:val="18"/>
        </w:rPr>
        <w:t>uthorized to repurchase up to $110 billion, of which $7.2 billion remained available.</w:t>
      </w:r>
    </w:p>
    <w:p w14:paraId="5A1B0A13" w14:textId="77777777" w:rsidR="00960BB8" w:rsidRDefault="00C06650">
      <w:pPr>
        <w:spacing w:after="180"/>
      </w:pPr>
      <w:r>
        <w:rPr>
          <w:rFonts w:ascii="Arial" w:eastAsia="宋体" w:hAnsi="Arial" w:cs="Arial"/>
          <w:color w:val="262626"/>
          <w:sz w:val="18"/>
          <w:szCs w:val="18"/>
        </w:rPr>
        <w:t xml:space="preserve">We issue RSUs as part of our equity incentive plans. In our Consolidated Financial Statements, we treat shares of common stock withheld for tax purposes on behalf of </w:t>
      </w:r>
      <w:r>
        <w:rPr>
          <w:rFonts w:ascii="Arial" w:eastAsia="宋体" w:hAnsi="Arial" w:cs="Arial"/>
          <w:color w:val="262626"/>
          <w:sz w:val="18"/>
          <w:szCs w:val="18"/>
        </w:rPr>
        <w:t xml:space="preserve">our employees in connection with the vesting of RSUs as common stock repurchases because they reduce the number of shares that would have been issued upon vesting. These withheld shares of common stock are not considered common stock repurchases under our </w:t>
      </w:r>
      <w:r>
        <w:rPr>
          <w:rFonts w:ascii="Arial" w:eastAsia="宋体" w:hAnsi="Arial" w:cs="Arial"/>
          <w:color w:val="262626"/>
          <w:sz w:val="18"/>
          <w:szCs w:val="18"/>
        </w:rPr>
        <w:t>authorized common stock repurchase program.</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A1D" w14:textId="77777777">
        <w:tc>
          <w:tcPr>
            <w:tcW w:w="50" w:type="pct"/>
            <w:shd w:val="clear" w:color="auto" w:fill="auto"/>
            <w:vAlign w:val="bottom"/>
          </w:tcPr>
          <w:p w14:paraId="5A1B0A14" w14:textId="77777777" w:rsidR="00960BB8" w:rsidRDefault="00960BB8">
            <w:pPr>
              <w:rPr>
                <w:rFonts w:ascii="宋体"/>
              </w:rPr>
            </w:pPr>
          </w:p>
        </w:tc>
        <w:tc>
          <w:tcPr>
            <w:tcW w:w="283" w:type="pct"/>
            <w:shd w:val="clear" w:color="auto" w:fill="auto"/>
            <w:vAlign w:val="bottom"/>
          </w:tcPr>
          <w:p w14:paraId="5A1B0A15" w14:textId="77777777" w:rsidR="00960BB8" w:rsidRDefault="00960BB8">
            <w:pPr>
              <w:rPr>
                <w:rFonts w:ascii="宋体"/>
              </w:rPr>
            </w:pPr>
          </w:p>
        </w:tc>
        <w:tc>
          <w:tcPr>
            <w:tcW w:w="5" w:type="pct"/>
            <w:shd w:val="clear" w:color="auto" w:fill="auto"/>
            <w:vAlign w:val="bottom"/>
          </w:tcPr>
          <w:p w14:paraId="5A1B0A16" w14:textId="77777777" w:rsidR="00960BB8" w:rsidRDefault="00960BB8">
            <w:pPr>
              <w:rPr>
                <w:rFonts w:ascii="宋体"/>
              </w:rPr>
            </w:pPr>
          </w:p>
        </w:tc>
        <w:tc>
          <w:tcPr>
            <w:tcW w:w="50" w:type="pct"/>
            <w:shd w:val="clear" w:color="auto" w:fill="auto"/>
            <w:vAlign w:val="bottom"/>
          </w:tcPr>
          <w:p w14:paraId="5A1B0A17" w14:textId="77777777" w:rsidR="00960BB8" w:rsidRDefault="00960BB8">
            <w:pPr>
              <w:rPr>
                <w:rFonts w:ascii="宋体"/>
              </w:rPr>
            </w:pPr>
          </w:p>
        </w:tc>
        <w:tc>
          <w:tcPr>
            <w:tcW w:w="2656" w:type="pct"/>
            <w:shd w:val="clear" w:color="auto" w:fill="auto"/>
            <w:vAlign w:val="bottom"/>
          </w:tcPr>
          <w:p w14:paraId="5A1B0A18" w14:textId="77777777" w:rsidR="00960BB8" w:rsidRDefault="00960BB8">
            <w:pPr>
              <w:rPr>
                <w:rFonts w:ascii="宋体"/>
              </w:rPr>
            </w:pPr>
          </w:p>
        </w:tc>
        <w:tc>
          <w:tcPr>
            <w:tcW w:w="5" w:type="pct"/>
            <w:shd w:val="clear" w:color="auto" w:fill="auto"/>
            <w:vAlign w:val="bottom"/>
          </w:tcPr>
          <w:p w14:paraId="5A1B0A19" w14:textId="77777777" w:rsidR="00960BB8" w:rsidRDefault="00960BB8">
            <w:pPr>
              <w:rPr>
                <w:rFonts w:ascii="宋体"/>
              </w:rPr>
            </w:pPr>
          </w:p>
        </w:tc>
        <w:tc>
          <w:tcPr>
            <w:tcW w:w="50" w:type="pct"/>
            <w:shd w:val="clear" w:color="auto" w:fill="auto"/>
            <w:vAlign w:val="bottom"/>
          </w:tcPr>
          <w:p w14:paraId="5A1B0A1A" w14:textId="77777777" w:rsidR="00960BB8" w:rsidRDefault="00960BB8">
            <w:pPr>
              <w:rPr>
                <w:rFonts w:ascii="宋体"/>
              </w:rPr>
            </w:pPr>
          </w:p>
        </w:tc>
        <w:tc>
          <w:tcPr>
            <w:tcW w:w="1894" w:type="pct"/>
            <w:shd w:val="clear" w:color="auto" w:fill="auto"/>
            <w:vAlign w:val="bottom"/>
          </w:tcPr>
          <w:p w14:paraId="5A1B0A1B" w14:textId="77777777" w:rsidR="00960BB8" w:rsidRDefault="00960BB8">
            <w:pPr>
              <w:rPr>
                <w:rFonts w:ascii="宋体"/>
              </w:rPr>
            </w:pPr>
          </w:p>
        </w:tc>
        <w:tc>
          <w:tcPr>
            <w:tcW w:w="5" w:type="pct"/>
            <w:shd w:val="clear" w:color="auto" w:fill="auto"/>
            <w:vAlign w:val="bottom"/>
          </w:tcPr>
          <w:p w14:paraId="5A1B0A1C" w14:textId="77777777" w:rsidR="00960BB8" w:rsidRDefault="00960BB8">
            <w:pPr>
              <w:rPr>
                <w:rFonts w:ascii="宋体"/>
              </w:rPr>
            </w:pPr>
          </w:p>
        </w:tc>
      </w:tr>
      <w:tr w:rsidR="00960BB8" w14:paraId="5A1B0A2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A1E"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51" wp14:editId="5A1B4452">
                  <wp:extent cx="304800" cy="304800"/>
                  <wp:effectExtent l="0" t="0" r="0" b="0"/>
                  <wp:docPr id="75" name="图片 22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2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A1F"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A20" w14:textId="77777777" w:rsidR="00960BB8" w:rsidRDefault="00C06650">
            <w:pPr>
              <w:jc w:val="right"/>
              <w:textAlignment w:val="center"/>
            </w:pPr>
            <w:r>
              <w:rPr>
                <w:rFonts w:ascii="Arial" w:eastAsia="宋体" w:hAnsi="Arial" w:cs="Arial"/>
                <w:color w:val="262626"/>
                <w:sz w:val="16"/>
                <w:szCs w:val="16"/>
              </w:rPr>
              <w:t>69</w:t>
            </w:r>
          </w:p>
        </w:tc>
      </w:tr>
    </w:tbl>
    <w:p w14:paraId="5A1B0A22" w14:textId="77777777" w:rsidR="00960BB8" w:rsidRDefault="00C06650">
      <w:r>
        <w:pict w14:anchorId="5A1B4453">
          <v:rect id="_x0000_i1095" style="width:415.3pt;height:1.5pt" o:hralign="center" o:hrstd="t" o:hr="t" fillcolor="#a0a0a0" stroked="f"/>
        </w:pict>
      </w:r>
    </w:p>
    <w:p w14:paraId="5A1B0A23" w14:textId="77777777" w:rsidR="00960BB8" w:rsidRDefault="00C06650">
      <w:pPr>
        <w:jc w:val="right"/>
      </w:pPr>
      <w:hyperlink r:id="rId88" w:anchor="i8aaa7b4dbd2e419ca0f5c30af85a11aa_16" w:history="1">
        <w:r>
          <w:rPr>
            <w:rStyle w:val="a5"/>
            <w:rFonts w:ascii="Arial" w:eastAsia="宋体" w:hAnsi="Arial" w:cs="Arial"/>
            <w:b/>
            <w:bCs/>
            <w:sz w:val="16"/>
            <w:szCs w:val="16"/>
          </w:rPr>
          <w:t>Table of Contents</w:t>
        </w:r>
      </w:hyperlink>
    </w:p>
    <w:p w14:paraId="5A1B0A24" w14:textId="77777777" w:rsidR="00960BB8" w:rsidRDefault="00960BB8">
      <w:pPr>
        <w:jc w:val="right"/>
      </w:pPr>
    </w:p>
    <w:p w14:paraId="5A1B0A25" w14:textId="77777777" w:rsidR="00960BB8" w:rsidRDefault="00C06650">
      <w:pPr>
        <w:spacing w:before="180" w:after="180"/>
      </w:pPr>
      <w:r>
        <w:rPr>
          <w:rFonts w:ascii="Arial" w:eastAsia="宋体" w:hAnsi="Arial" w:cs="Arial"/>
          <w:color w:val="0068B5"/>
          <w:sz w:val="28"/>
          <w:szCs w:val="28"/>
        </w:rPr>
        <w:t>Information About Our Executive Officers</w:t>
      </w:r>
    </w:p>
    <w:tbl>
      <w:tblPr>
        <w:tblW w:w="5000" w:type="pct"/>
        <w:tblCellMar>
          <w:top w:w="15" w:type="dxa"/>
          <w:left w:w="15" w:type="dxa"/>
          <w:bottom w:w="15" w:type="dxa"/>
          <w:right w:w="15" w:type="dxa"/>
        </w:tblCellMar>
        <w:tblLook w:val="04A0" w:firstRow="1" w:lastRow="0" w:firstColumn="1" w:lastColumn="0" w:noHBand="0" w:noVBand="1"/>
      </w:tblPr>
      <w:tblGrid>
        <w:gridCol w:w="49"/>
        <w:gridCol w:w="1537"/>
        <w:gridCol w:w="38"/>
        <w:gridCol w:w="36"/>
        <w:gridCol w:w="36"/>
        <w:gridCol w:w="36"/>
        <w:gridCol w:w="85"/>
        <w:gridCol w:w="288"/>
        <w:gridCol w:w="36"/>
        <w:gridCol w:w="36"/>
        <w:gridCol w:w="36"/>
        <w:gridCol w:w="36"/>
        <w:gridCol w:w="39"/>
        <w:gridCol w:w="6011"/>
        <w:gridCol w:w="37"/>
      </w:tblGrid>
      <w:tr w:rsidR="00960BB8" w14:paraId="5A1B0A35" w14:textId="77777777">
        <w:tc>
          <w:tcPr>
            <w:tcW w:w="50" w:type="pct"/>
            <w:shd w:val="clear" w:color="auto" w:fill="auto"/>
            <w:vAlign w:val="bottom"/>
          </w:tcPr>
          <w:p w14:paraId="5A1B0A26" w14:textId="77777777" w:rsidR="00960BB8" w:rsidRDefault="00960BB8">
            <w:pPr>
              <w:rPr>
                <w:rFonts w:ascii="宋体"/>
              </w:rPr>
            </w:pPr>
          </w:p>
        </w:tc>
        <w:tc>
          <w:tcPr>
            <w:tcW w:w="942" w:type="pct"/>
            <w:shd w:val="clear" w:color="auto" w:fill="auto"/>
            <w:vAlign w:val="bottom"/>
          </w:tcPr>
          <w:p w14:paraId="5A1B0A27" w14:textId="77777777" w:rsidR="00960BB8" w:rsidRDefault="00960BB8">
            <w:pPr>
              <w:rPr>
                <w:rFonts w:ascii="宋体"/>
              </w:rPr>
            </w:pPr>
          </w:p>
        </w:tc>
        <w:tc>
          <w:tcPr>
            <w:tcW w:w="5" w:type="pct"/>
            <w:shd w:val="clear" w:color="auto" w:fill="auto"/>
            <w:vAlign w:val="bottom"/>
          </w:tcPr>
          <w:p w14:paraId="5A1B0A28" w14:textId="77777777" w:rsidR="00960BB8" w:rsidRDefault="00960BB8">
            <w:pPr>
              <w:rPr>
                <w:rFonts w:ascii="宋体"/>
              </w:rPr>
            </w:pPr>
          </w:p>
        </w:tc>
        <w:tc>
          <w:tcPr>
            <w:tcW w:w="5" w:type="pct"/>
            <w:shd w:val="clear" w:color="auto" w:fill="auto"/>
            <w:vAlign w:val="bottom"/>
          </w:tcPr>
          <w:p w14:paraId="5A1B0A29" w14:textId="77777777" w:rsidR="00960BB8" w:rsidRDefault="00960BB8">
            <w:pPr>
              <w:rPr>
                <w:rFonts w:ascii="宋体"/>
              </w:rPr>
            </w:pPr>
          </w:p>
        </w:tc>
        <w:tc>
          <w:tcPr>
            <w:tcW w:w="24" w:type="pct"/>
            <w:shd w:val="clear" w:color="auto" w:fill="auto"/>
            <w:vAlign w:val="bottom"/>
          </w:tcPr>
          <w:p w14:paraId="5A1B0A2A" w14:textId="77777777" w:rsidR="00960BB8" w:rsidRDefault="00960BB8">
            <w:pPr>
              <w:rPr>
                <w:rFonts w:ascii="宋体"/>
              </w:rPr>
            </w:pPr>
          </w:p>
        </w:tc>
        <w:tc>
          <w:tcPr>
            <w:tcW w:w="5" w:type="pct"/>
            <w:shd w:val="clear" w:color="auto" w:fill="auto"/>
            <w:vAlign w:val="bottom"/>
          </w:tcPr>
          <w:p w14:paraId="5A1B0A2B" w14:textId="77777777" w:rsidR="00960BB8" w:rsidRDefault="00960BB8">
            <w:pPr>
              <w:rPr>
                <w:rFonts w:ascii="宋体"/>
              </w:rPr>
            </w:pPr>
          </w:p>
        </w:tc>
        <w:tc>
          <w:tcPr>
            <w:tcW w:w="50" w:type="pct"/>
            <w:shd w:val="clear" w:color="auto" w:fill="auto"/>
            <w:vAlign w:val="bottom"/>
          </w:tcPr>
          <w:p w14:paraId="5A1B0A2C" w14:textId="77777777" w:rsidR="00960BB8" w:rsidRDefault="00960BB8">
            <w:pPr>
              <w:rPr>
                <w:rFonts w:ascii="宋体"/>
              </w:rPr>
            </w:pPr>
          </w:p>
        </w:tc>
        <w:tc>
          <w:tcPr>
            <w:tcW w:w="170" w:type="pct"/>
            <w:shd w:val="clear" w:color="auto" w:fill="auto"/>
            <w:vAlign w:val="bottom"/>
          </w:tcPr>
          <w:p w14:paraId="5A1B0A2D" w14:textId="77777777" w:rsidR="00960BB8" w:rsidRDefault="00960BB8">
            <w:pPr>
              <w:rPr>
                <w:rFonts w:ascii="宋体"/>
              </w:rPr>
            </w:pPr>
          </w:p>
        </w:tc>
        <w:tc>
          <w:tcPr>
            <w:tcW w:w="5" w:type="pct"/>
            <w:shd w:val="clear" w:color="auto" w:fill="auto"/>
            <w:vAlign w:val="bottom"/>
          </w:tcPr>
          <w:p w14:paraId="5A1B0A2E" w14:textId="77777777" w:rsidR="00960BB8" w:rsidRDefault="00960BB8">
            <w:pPr>
              <w:rPr>
                <w:rFonts w:ascii="宋体"/>
              </w:rPr>
            </w:pPr>
          </w:p>
        </w:tc>
        <w:tc>
          <w:tcPr>
            <w:tcW w:w="5" w:type="pct"/>
            <w:shd w:val="clear" w:color="auto" w:fill="auto"/>
            <w:vAlign w:val="bottom"/>
          </w:tcPr>
          <w:p w14:paraId="5A1B0A2F" w14:textId="77777777" w:rsidR="00960BB8" w:rsidRDefault="00960BB8">
            <w:pPr>
              <w:rPr>
                <w:rFonts w:ascii="宋体"/>
              </w:rPr>
            </w:pPr>
          </w:p>
        </w:tc>
        <w:tc>
          <w:tcPr>
            <w:tcW w:w="24" w:type="pct"/>
            <w:shd w:val="clear" w:color="auto" w:fill="auto"/>
            <w:vAlign w:val="bottom"/>
          </w:tcPr>
          <w:p w14:paraId="5A1B0A30" w14:textId="77777777" w:rsidR="00960BB8" w:rsidRDefault="00960BB8">
            <w:pPr>
              <w:rPr>
                <w:rFonts w:ascii="宋体"/>
              </w:rPr>
            </w:pPr>
          </w:p>
        </w:tc>
        <w:tc>
          <w:tcPr>
            <w:tcW w:w="5" w:type="pct"/>
            <w:shd w:val="clear" w:color="auto" w:fill="auto"/>
            <w:vAlign w:val="bottom"/>
          </w:tcPr>
          <w:p w14:paraId="5A1B0A31" w14:textId="77777777" w:rsidR="00960BB8" w:rsidRDefault="00960BB8">
            <w:pPr>
              <w:rPr>
                <w:rFonts w:ascii="宋体"/>
              </w:rPr>
            </w:pPr>
          </w:p>
        </w:tc>
        <w:tc>
          <w:tcPr>
            <w:tcW w:w="50" w:type="pct"/>
            <w:shd w:val="clear" w:color="auto" w:fill="auto"/>
            <w:vAlign w:val="bottom"/>
          </w:tcPr>
          <w:p w14:paraId="5A1B0A32" w14:textId="77777777" w:rsidR="00960BB8" w:rsidRDefault="00960BB8">
            <w:pPr>
              <w:rPr>
                <w:rFonts w:ascii="宋体"/>
              </w:rPr>
            </w:pPr>
          </w:p>
        </w:tc>
        <w:tc>
          <w:tcPr>
            <w:tcW w:w="3654" w:type="pct"/>
            <w:shd w:val="clear" w:color="auto" w:fill="auto"/>
            <w:vAlign w:val="bottom"/>
          </w:tcPr>
          <w:p w14:paraId="5A1B0A33" w14:textId="77777777" w:rsidR="00960BB8" w:rsidRDefault="00960BB8">
            <w:pPr>
              <w:rPr>
                <w:rFonts w:ascii="宋体"/>
              </w:rPr>
            </w:pPr>
          </w:p>
        </w:tc>
        <w:tc>
          <w:tcPr>
            <w:tcW w:w="5" w:type="pct"/>
            <w:shd w:val="clear" w:color="auto" w:fill="auto"/>
            <w:vAlign w:val="bottom"/>
          </w:tcPr>
          <w:p w14:paraId="5A1B0A34" w14:textId="77777777" w:rsidR="00960BB8" w:rsidRDefault="00960BB8">
            <w:pPr>
              <w:rPr>
                <w:rFonts w:ascii="宋体"/>
              </w:rPr>
            </w:pPr>
          </w:p>
        </w:tc>
      </w:tr>
      <w:tr w:rsidR="00960BB8" w14:paraId="5A1B0A3C" w14:textId="77777777">
        <w:tc>
          <w:tcPr>
            <w:tcW w:w="0" w:type="auto"/>
            <w:gridSpan w:val="3"/>
            <w:shd w:val="clear" w:color="auto" w:fill="auto"/>
            <w:tcMar>
              <w:top w:w="40" w:type="dxa"/>
              <w:left w:w="20" w:type="dxa"/>
              <w:bottom w:w="40" w:type="dxa"/>
              <w:right w:w="20" w:type="dxa"/>
            </w:tcMar>
            <w:vAlign w:val="bottom"/>
          </w:tcPr>
          <w:p w14:paraId="5A1B0A36" w14:textId="77777777" w:rsidR="00960BB8" w:rsidRDefault="00C06650">
            <w:pPr>
              <w:textAlignment w:val="bottom"/>
            </w:pPr>
            <w:r>
              <w:rPr>
                <w:rFonts w:ascii="Arial" w:eastAsia="宋体" w:hAnsi="Arial" w:cs="Arial"/>
                <w:b/>
                <w:bCs/>
                <w:color w:val="262626"/>
                <w:sz w:val="18"/>
                <w:szCs w:val="18"/>
              </w:rPr>
              <w:t xml:space="preserve">Name </w:t>
            </w:r>
          </w:p>
          <w:p w14:paraId="5A1B0A37" w14:textId="77777777" w:rsidR="00960BB8" w:rsidRDefault="00C06650">
            <w:pPr>
              <w:textAlignment w:val="bottom"/>
            </w:pPr>
            <w:r>
              <w:rPr>
                <w:rFonts w:ascii="Arial" w:eastAsia="宋体" w:hAnsi="Arial" w:cs="Arial"/>
                <w:b/>
                <w:bCs/>
                <w:i/>
                <w:iCs/>
                <w:color w:val="262626"/>
                <w:sz w:val="18"/>
                <w:szCs w:val="18"/>
              </w:rPr>
              <w:t>Current Title</w:t>
            </w:r>
          </w:p>
        </w:tc>
        <w:tc>
          <w:tcPr>
            <w:tcW w:w="0" w:type="auto"/>
            <w:gridSpan w:val="3"/>
            <w:shd w:val="clear" w:color="auto" w:fill="auto"/>
            <w:tcMar>
              <w:top w:w="0" w:type="dxa"/>
              <w:left w:w="20" w:type="dxa"/>
              <w:bottom w:w="0" w:type="dxa"/>
              <w:right w:w="20" w:type="dxa"/>
            </w:tcMar>
            <w:vAlign w:val="bottom"/>
          </w:tcPr>
          <w:p w14:paraId="5A1B0A3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A39" w14:textId="77777777" w:rsidR="00960BB8" w:rsidRDefault="00C06650">
            <w:pPr>
              <w:textAlignment w:val="bottom"/>
            </w:pPr>
            <w:r>
              <w:rPr>
                <w:rFonts w:ascii="Arial" w:eastAsia="宋体" w:hAnsi="Arial" w:cs="Arial"/>
                <w:b/>
                <w:bCs/>
                <w:color w:val="262626"/>
                <w:sz w:val="18"/>
                <w:szCs w:val="18"/>
              </w:rPr>
              <w:t>Age</w:t>
            </w:r>
          </w:p>
        </w:tc>
        <w:tc>
          <w:tcPr>
            <w:tcW w:w="0" w:type="auto"/>
            <w:gridSpan w:val="3"/>
            <w:shd w:val="clear" w:color="auto" w:fill="auto"/>
            <w:tcMar>
              <w:top w:w="0" w:type="dxa"/>
              <w:left w:w="20" w:type="dxa"/>
              <w:bottom w:w="0" w:type="dxa"/>
              <w:right w:w="20" w:type="dxa"/>
            </w:tcMar>
            <w:vAlign w:val="bottom"/>
          </w:tcPr>
          <w:p w14:paraId="5A1B0A3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A3B" w14:textId="77777777" w:rsidR="00960BB8" w:rsidRDefault="00C06650">
            <w:pPr>
              <w:textAlignment w:val="bottom"/>
            </w:pPr>
            <w:r>
              <w:rPr>
                <w:rFonts w:ascii="Arial" w:eastAsia="宋体" w:hAnsi="Arial" w:cs="Arial"/>
                <w:b/>
                <w:bCs/>
                <w:color w:val="262626"/>
                <w:sz w:val="18"/>
                <w:szCs w:val="18"/>
              </w:rPr>
              <w:t>Experience</w:t>
            </w:r>
          </w:p>
        </w:tc>
      </w:tr>
      <w:tr w:rsidR="00960BB8" w14:paraId="5A1B0A42" w14:textId="77777777">
        <w:trPr>
          <w:hidden/>
        </w:trPr>
        <w:tc>
          <w:tcPr>
            <w:tcW w:w="0" w:type="auto"/>
            <w:gridSpan w:val="3"/>
            <w:shd w:val="clear" w:color="auto" w:fill="auto"/>
            <w:vAlign w:val="bottom"/>
          </w:tcPr>
          <w:p w14:paraId="5A1B0A3D" w14:textId="77777777" w:rsidR="00960BB8" w:rsidRDefault="00960BB8">
            <w:pPr>
              <w:rPr>
                <w:rFonts w:ascii="宋体"/>
                <w:vanish/>
              </w:rPr>
            </w:pPr>
          </w:p>
        </w:tc>
        <w:tc>
          <w:tcPr>
            <w:tcW w:w="0" w:type="auto"/>
            <w:gridSpan w:val="3"/>
            <w:shd w:val="clear" w:color="auto" w:fill="auto"/>
            <w:vAlign w:val="bottom"/>
          </w:tcPr>
          <w:p w14:paraId="5A1B0A3E" w14:textId="77777777" w:rsidR="00960BB8" w:rsidRDefault="00960BB8">
            <w:pPr>
              <w:rPr>
                <w:rFonts w:ascii="宋体"/>
                <w:vanish/>
              </w:rPr>
            </w:pPr>
          </w:p>
        </w:tc>
        <w:tc>
          <w:tcPr>
            <w:tcW w:w="0" w:type="auto"/>
            <w:gridSpan w:val="3"/>
            <w:shd w:val="clear" w:color="auto" w:fill="auto"/>
            <w:vAlign w:val="bottom"/>
          </w:tcPr>
          <w:p w14:paraId="5A1B0A3F" w14:textId="77777777" w:rsidR="00960BB8" w:rsidRDefault="00960BB8">
            <w:pPr>
              <w:rPr>
                <w:rFonts w:ascii="宋体"/>
                <w:vanish/>
              </w:rPr>
            </w:pPr>
          </w:p>
        </w:tc>
        <w:tc>
          <w:tcPr>
            <w:tcW w:w="0" w:type="auto"/>
            <w:gridSpan w:val="3"/>
            <w:shd w:val="clear" w:color="auto" w:fill="auto"/>
            <w:vAlign w:val="bottom"/>
          </w:tcPr>
          <w:p w14:paraId="5A1B0A40" w14:textId="77777777" w:rsidR="00960BB8" w:rsidRDefault="00960BB8">
            <w:pPr>
              <w:rPr>
                <w:rFonts w:ascii="宋体"/>
                <w:vanish/>
              </w:rPr>
            </w:pPr>
          </w:p>
        </w:tc>
        <w:tc>
          <w:tcPr>
            <w:tcW w:w="0" w:type="auto"/>
            <w:gridSpan w:val="3"/>
            <w:shd w:val="clear" w:color="auto" w:fill="auto"/>
            <w:vAlign w:val="bottom"/>
          </w:tcPr>
          <w:p w14:paraId="5A1B0A41" w14:textId="77777777" w:rsidR="00960BB8" w:rsidRDefault="00960BB8">
            <w:pPr>
              <w:rPr>
                <w:rFonts w:ascii="宋体"/>
                <w:vanish/>
              </w:rPr>
            </w:pPr>
          </w:p>
        </w:tc>
      </w:tr>
      <w:tr w:rsidR="00960BB8" w14:paraId="5A1B0A48" w14:textId="77777777">
        <w:trPr>
          <w:hidden/>
        </w:trPr>
        <w:tc>
          <w:tcPr>
            <w:tcW w:w="0" w:type="auto"/>
            <w:gridSpan w:val="3"/>
            <w:shd w:val="clear" w:color="auto" w:fill="auto"/>
            <w:vAlign w:val="bottom"/>
          </w:tcPr>
          <w:p w14:paraId="5A1B0A43" w14:textId="77777777" w:rsidR="00960BB8" w:rsidRDefault="00960BB8">
            <w:pPr>
              <w:rPr>
                <w:rFonts w:ascii="宋体"/>
                <w:vanish/>
              </w:rPr>
            </w:pPr>
          </w:p>
        </w:tc>
        <w:tc>
          <w:tcPr>
            <w:tcW w:w="0" w:type="auto"/>
            <w:gridSpan w:val="3"/>
            <w:shd w:val="clear" w:color="auto" w:fill="auto"/>
            <w:vAlign w:val="bottom"/>
          </w:tcPr>
          <w:p w14:paraId="5A1B0A44" w14:textId="77777777" w:rsidR="00960BB8" w:rsidRDefault="00960BB8">
            <w:pPr>
              <w:rPr>
                <w:rFonts w:ascii="宋体"/>
                <w:vanish/>
              </w:rPr>
            </w:pPr>
          </w:p>
        </w:tc>
        <w:tc>
          <w:tcPr>
            <w:tcW w:w="0" w:type="auto"/>
            <w:gridSpan w:val="3"/>
            <w:shd w:val="clear" w:color="auto" w:fill="auto"/>
            <w:vAlign w:val="bottom"/>
          </w:tcPr>
          <w:p w14:paraId="5A1B0A45" w14:textId="77777777" w:rsidR="00960BB8" w:rsidRDefault="00960BB8">
            <w:pPr>
              <w:rPr>
                <w:rFonts w:ascii="宋体"/>
                <w:vanish/>
              </w:rPr>
            </w:pPr>
          </w:p>
        </w:tc>
        <w:tc>
          <w:tcPr>
            <w:tcW w:w="0" w:type="auto"/>
            <w:gridSpan w:val="3"/>
            <w:shd w:val="clear" w:color="auto" w:fill="auto"/>
            <w:vAlign w:val="bottom"/>
          </w:tcPr>
          <w:p w14:paraId="5A1B0A46" w14:textId="77777777" w:rsidR="00960BB8" w:rsidRDefault="00960BB8">
            <w:pPr>
              <w:rPr>
                <w:rFonts w:ascii="宋体"/>
                <w:vanish/>
              </w:rPr>
            </w:pPr>
          </w:p>
        </w:tc>
        <w:tc>
          <w:tcPr>
            <w:tcW w:w="0" w:type="auto"/>
            <w:gridSpan w:val="3"/>
            <w:shd w:val="clear" w:color="auto" w:fill="auto"/>
            <w:vAlign w:val="bottom"/>
          </w:tcPr>
          <w:p w14:paraId="5A1B0A47" w14:textId="77777777" w:rsidR="00960BB8" w:rsidRDefault="00960BB8">
            <w:pPr>
              <w:rPr>
                <w:rFonts w:ascii="宋体"/>
                <w:vanish/>
              </w:rPr>
            </w:pPr>
          </w:p>
        </w:tc>
      </w:tr>
      <w:tr w:rsidR="00960BB8" w14:paraId="5A1B0A50" w14:textId="77777777">
        <w:trPr>
          <w:hidden/>
        </w:trPr>
        <w:tc>
          <w:tcPr>
            <w:tcW w:w="0" w:type="auto"/>
            <w:gridSpan w:val="3"/>
            <w:shd w:val="clear" w:color="auto" w:fill="auto"/>
            <w:vAlign w:val="bottom"/>
          </w:tcPr>
          <w:p w14:paraId="5A1B0A49" w14:textId="77777777" w:rsidR="00960BB8" w:rsidRDefault="00960BB8">
            <w:pPr>
              <w:rPr>
                <w:rFonts w:ascii="宋体"/>
                <w:vanish/>
              </w:rPr>
            </w:pPr>
          </w:p>
        </w:tc>
        <w:tc>
          <w:tcPr>
            <w:tcW w:w="0" w:type="auto"/>
            <w:gridSpan w:val="3"/>
            <w:shd w:val="clear" w:color="auto" w:fill="auto"/>
            <w:vAlign w:val="bottom"/>
          </w:tcPr>
          <w:p w14:paraId="5A1B0A4A" w14:textId="77777777" w:rsidR="00960BB8" w:rsidRDefault="00960BB8">
            <w:pPr>
              <w:rPr>
                <w:rFonts w:ascii="宋体"/>
                <w:vanish/>
              </w:rPr>
            </w:pPr>
          </w:p>
        </w:tc>
        <w:tc>
          <w:tcPr>
            <w:tcW w:w="0" w:type="auto"/>
            <w:gridSpan w:val="3"/>
            <w:shd w:val="clear" w:color="auto" w:fill="auto"/>
            <w:vAlign w:val="bottom"/>
          </w:tcPr>
          <w:p w14:paraId="5A1B0A4B" w14:textId="77777777" w:rsidR="00960BB8" w:rsidRDefault="00960BB8">
            <w:pPr>
              <w:rPr>
                <w:rFonts w:ascii="宋体"/>
                <w:vanish/>
              </w:rPr>
            </w:pPr>
          </w:p>
        </w:tc>
        <w:tc>
          <w:tcPr>
            <w:tcW w:w="0" w:type="auto"/>
            <w:gridSpan w:val="3"/>
            <w:shd w:val="clear" w:color="auto" w:fill="auto"/>
            <w:vAlign w:val="bottom"/>
          </w:tcPr>
          <w:p w14:paraId="5A1B0A4C" w14:textId="77777777" w:rsidR="00960BB8" w:rsidRDefault="00960BB8">
            <w:pPr>
              <w:rPr>
                <w:rFonts w:ascii="宋体"/>
                <w:vanish/>
              </w:rPr>
            </w:pPr>
          </w:p>
        </w:tc>
        <w:tc>
          <w:tcPr>
            <w:tcW w:w="0" w:type="auto"/>
            <w:shd w:val="clear" w:color="auto" w:fill="auto"/>
            <w:vAlign w:val="bottom"/>
          </w:tcPr>
          <w:p w14:paraId="5A1B0A4D" w14:textId="77777777" w:rsidR="00960BB8" w:rsidRDefault="00960BB8">
            <w:pPr>
              <w:rPr>
                <w:rFonts w:ascii="宋体"/>
              </w:rPr>
            </w:pPr>
          </w:p>
        </w:tc>
        <w:tc>
          <w:tcPr>
            <w:tcW w:w="0" w:type="auto"/>
            <w:shd w:val="clear" w:color="auto" w:fill="auto"/>
            <w:vAlign w:val="bottom"/>
          </w:tcPr>
          <w:p w14:paraId="5A1B0A4E" w14:textId="77777777" w:rsidR="00960BB8" w:rsidRDefault="00960BB8">
            <w:pPr>
              <w:rPr>
                <w:rFonts w:ascii="宋体"/>
              </w:rPr>
            </w:pPr>
          </w:p>
        </w:tc>
        <w:tc>
          <w:tcPr>
            <w:tcW w:w="0" w:type="auto"/>
            <w:shd w:val="clear" w:color="auto" w:fill="auto"/>
            <w:vAlign w:val="bottom"/>
          </w:tcPr>
          <w:p w14:paraId="5A1B0A4F" w14:textId="77777777" w:rsidR="00960BB8" w:rsidRDefault="00960BB8">
            <w:pPr>
              <w:rPr>
                <w:rFonts w:ascii="宋体"/>
              </w:rPr>
            </w:pPr>
          </w:p>
        </w:tc>
      </w:tr>
      <w:tr w:rsidR="00960BB8" w14:paraId="5A1B0A58" w14:textId="77777777">
        <w:trPr>
          <w:hidden/>
        </w:trPr>
        <w:tc>
          <w:tcPr>
            <w:tcW w:w="0" w:type="auto"/>
            <w:gridSpan w:val="3"/>
            <w:shd w:val="clear" w:color="auto" w:fill="auto"/>
            <w:vAlign w:val="bottom"/>
          </w:tcPr>
          <w:p w14:paraId="5A1B0A51" w14:textId="77777777" w:rsidR="00960BB8" w:rsidRDefault="00960BB8">
            <w:pPr>
              <w:rPr>
                <w:rFonts w:ascii="宋体"/>
                <w:vanish/>
              </w:rPr>
            </w:pPr>
          </w:p>
        </w:tc>
        <w:tc>
          <w:tcPr>
            <w:tcW w:w="0" w:type="auto"/>
            <w:gridSpan w:val="3"/>
            <w:shd w:val="clear" w:color="auto" w:fill="auto"/>
            <w:vAlign w:val="bottom"/>
          </w:tcPr>
          <w:p w14:paraId="5A1B0A52" w14:textId="77777777" w:rsidR="00960BB8" w:rsidRDefault="00960BB8">
            <w:pPr>
              <w:rPr>
                <w:rFonts w:ascii="宋体"/>
                <w:vanish/>
              </w:rPr>
            </w:pPr>
          </w:p>
        </w:tc>
        <w:tc>
          <w:tcPr>
            <w:tcW w:w="0" w:type="auto"/>
            <w:gridSpan w:val="3"/>
            <w:shd w:val="clear" w:color="auto" w:fill="auto"/>
            <w:vAlign w:val="bottom"/>
          </w:tcPr>
          <w:p w14:paraId="5A1B0A53" w14:textId="77777777" w:rsidR="00960BB8" w:rsidRDefault="00960BB8">
            <w:pPr>
              <w:rPr>
                <w:rFonts w:ascii="宋体"/>
                <w:vanish/>
              </w:rPr>
            </w:pPr>
          </w:p>
        </w:tc>
        <w:tc>
          <w:tcPr>
            <w:tcW w:w="0" w:type="auto"/>
            <w:gridSpan w:val="3"/>
            <w:shd w:val="clear" w:color="auto" w:fill="auto"/>
            <w:vAlign w:val="bottom"/>
          </w:tcPr>
          <w:p w14:paraId="5A1B0A54" w14:textId="77777777" w:rsidR="00960BB8" w:rsidRDefault="00960BB8">
            <w:pPr>
              <w:rPr>
                <w:rFonts w:ascii="宋体"/>
                <w:vanish/>
              </w:rPr>
            </w:pPr>
          </w:p>
        </w:tc>
        <w:tc>
          <w:tcPr>
            <w:tcW w:w="0" w:type="auto"/>
            <w:shd w:val="clear" w:color="auto" w:fill="auto"/>
            <w:vAlign w:val="bottom"/>
          </w:tcPr>
          <w:p w14:paraId="5A1B0A55" w14:textId="77777777" w:rsidR="00960BB8" w:rsidRDefault="00960BB8">
            <w:pPr>
              <w:rPr>
                <w:rFonts w:ascii="宋体"/>
              </w:rPr>
            </w:pPr>
          </w:p>
        </w:tc>
        <w:tc>
          <w:tcPr>
            <w:tcW w:w="0" w:type="auto"/>
            <w:shd w:val="clear" w:color="auto" w:fill="auto"/>
            <w:vAlign w:val="bottom"/>
          </w:tcPr>
          <w:p w14:paraId="5A1B0A56" w14:textId="77777777" w:rsidR="00960BB8" w:rsidRDefault="00960BB8">
            <w:pPr>
              <w:rPr>
                <w:rFonts w:ascii="宋体"/>
              </w:rPr>
            </w:pPr>
          </w:p>
        </w:tc>
        <w:tc>
          <w:tcPr>
            <w:tcW w:w="0" w:type="auto"/>
            <w:shd w:val="clear" w:color="auto" w:fill="auto"/>
            <w:vAlign w:val="bottom"/>
          </w:tcPr>
          <w:p w14:paraId="5A1B0A57" w14:textId="77777777" w:rsidR="00960BB8" w:rsidRDefault="00960BB8">
            <w:pPr>
              <w:rPr>
                <w:rFonts w:ascii="宋体"/>
              </w:rPr>
            </w:pPr>
          </w:p>
        </w:tc>
      </w:tr>
      <w:tr w:rsidR="00960BB8" w14:paraId="5A1B0A60" w14:textId="77777777">
        <w:trPr>
          <w:hidden/>
        </w:trPr>
        <w:tc>
          <w:tcPr>
            <w:tcW w:w="0" w:type="auto"/>
            <w:gridSpan w:val="3"/>
            <w:shd w:val="clear" w:color="auto" w:fill="auto"/>
            <w:vAlign w:val="bottom"/>
          </w:tcPr>
          <w:p w14:paraId="5A1B0A59" w14:textId="77777777" w:rsidR="00960BB8" w:rsidRDefault="00960BB8">
            <w:pPr>
              <w:rPr>
                <w:rFonts w:ascii="宋体"/>
                <w:vanish/>
              </w:rPr>
            </w:pPr>
          </w:p>
        </w:tc>
        <w:tc>
          <w:tcPr>
            <w:tcW w:w="0" w:type="auto"/>
            <w:gridSpan w:val="3"/>
            <w:shd w:val="clear" w:color="auto" w:fill="auto"/>
            <w:vAlign w:val="bottom"/>
          </w:tcPr>
          <w:p w14:paraId="5A1B0A5A" w14:textId="77777777" w:rsidR="00960BB8" w:rsidRDefault="00960BB8">
            <w:pPr>
              <w:rPr>
                <w:rFonts w:ascii="宋体"/>
                <w:vanish/>
              </w:rPr>
            </w:pPr>
          </w:p>
        </w:tc>
        <w:tc>
          <w:tcPr>
            <w:tcW w:w="0" w:type="auto"/>
            <w:gridSpan w:val="3"/>
            <w:shd w:val="clear" w:color="auto" w:fill="auto"/>
            <w:vAlign w:val="bottom"/>
          </w:tcPr>
          <w:p w14:paraId="5A1B0A5B" w14:textId="77777777" w:rsidR="00960BB8" w:rsidRDefault="00960BB8">
            <w:pPr>
              <w:rPr>
                <w:rFonts w:ascii="宋体"/>
                <w:vanish/>
              </w:rPr>
            </w:pPr>
          </w:p>
        </w:tc>
        <w:tc>
          <w:tcPr>
            <w:tcW w:w="0" w:type="auto"/>
            <w:gridSpan w:val="3"/>
            <w:shd w:val="clear" w:color="auto" w:fill="auto"/>
            <w:vAlign w:val="bottom"/>
          </w:tcPr>
          <w:p w14:paraId="5A1B0A5C" w14:textId="77777777" w:rsidR="00960BB8" w:rsidRDefault="00960BB8">
            <w:pPr>
              <w:rPr>
                <w:rFonts w:ascii="宋体"/>
                <w:vanish/>
              </w:rPr>
            </w:pPr>
          </w:p>
        </w:tc>
        <w:tc>
          <w:tcPr>
            <w:tcW w:w="0" w:type="auto"/>
            <w:shd w:val="clear" w:color="auto" w:fill="auto"/>
            <w:vAlign w:val="bottom"/>
          </w:tcPr>
          <w:p w14:paraId="5A1B0A5D" w14:textId="77777777" w:rsidR="00960BB8" w:rsidRDefault="00960BB8">
            <w:pPr>
              <w:rPr>
                <w:rFonts w:ascii="宋体"/>
              </w:rPr>
            </w:pPr>
          </w:p>
        </w:tc>
        <w:tc>
          <w:tcPr>
            <w:tcW w:w="0" w:type="auto"/>
            <w:shd w:val="clear" w:color="auto" w:fill="auto"/>
            <w:vAlign w:val="bottom"/>
          </w:tcPr>
          <w:p w14:paraId="5A1B0A5E" w14:textId="77777777" w:rsidR="00960BB8" w:rsidRDefault="00960BB8">
            <w:pPr>
              <w:rPr>
                <w:rFonts w:ascii="宋体"/>
              </w:rPr>
            </w:pPr>
          </w:p>
        </w:tc>
        <w:tc>
          <w:tcPr>
            <w:tcW w:w="0" w:type="auto"/>
            <w:shd w:val="clear" w:color="auto" w:fill="auto"/>
            <w:vAlign w:val="bottom"/>
          </w:tcPr>
          <w:p w14:paraId="5A1B0A5F" w14:textId="77777777" w:rsidR="00960BB8" w:rsidRDefault="00960BB8">
            <w:pPr>
              <w:rPr>
                <w:rFonts w:ascii="宋体"/>
              </w:rPr>
            </w:pPr>
          </w:p>
        </w:tc>
      </w:tr>
      <w:tr w:rsidR="00960BB8" w14:paraId="5A1B0A66" w14:textId="77777777">
        <w:trPr>
          <w:trHeight w:val="60"/>
        </w:trPr>
        <w:tc>
          <w:tcPr>
            <w:tcW w:w="0" w:type="auto"/>
            <w:gridSpan w:val="3"/>
            <w:shd w:val="clear" w:color="auto" w:fill="auto"/>
            <w:tcMar>
              <w:top w:w="0" w:type="dxa"/>
              <w:left w:w="20" w:type="dxa"/>
              <w:bottom w:w="0" w:type="dxa"/>
              <w:right w:w="20" w:type="dxa"/>
            </w:tcMar>
            <w:vAlign w:val="bottom"/>
          </w:tcPr>
          <w:p w14:paraId="5A1B0A6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6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6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6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65" w14:textId="77777777" w:rsidR="00960BB8" w:rsidRDefault="00960BB8">
            <w:pPr>
              <w:rPr>
                <w:rFonts w:ascii="宋体"/>
              </w:rPr>
            </w:pPr>
          </w:p>
        </w:tc>
      </w:tr>
      <w:tr w:rsidR="00960BB8" w14:paraId="5A1B0A6C" w14:textId="77777777">
        <w:trPr>
          <w:trHeight w:val="280"/>
        </w:trPr>
        <w:tc>
          <w:tcPr>
            <w:tcW w:w="0" w:type="auto"/>
            <w:gridSpan w:val="3"/>
            <w:tcBorders>
              <w:top w:val="single" w:sz="8" w:space="0" w:color="0068B5"/>
            </w:tcBorders>
            <w:shd w:val="clear" w:color="auto" w:fill="auto"/>
            <w:tcMar>
              <w:top w:w="40" w:type="dxa"/>
              <w:left w:w="20" w:type="dxa"/>
              <w:bottom w:w="40" w:type="dxa"/>
              <w:right w:w="20" w:type="dxa"/>
            </w:tcMar>
          </w:tcPr>
          <w:p w14:paraId="5A1B0A67" w14:textId="77777777" w:rsidR="00960BB8" w:rsidRDefault="00C06650">
            <w:pPr>
              <w:textAlignment w:val="top"/>
            </w:pPr>
            <w:r>
              <w:rPr>
                <w:rFonts w:ascii="Arial" w:eastAsia="宋体" w:hAnsi="Arial" w:cs="Arial"/>
                <w:color w:val="262626"/>
                <w:sz w:val="18"/>
                <w:szCs w:val="18"/>
              </w:rPr>
              <w:t>Patrick P. Gelsinger</w:t>
            </w:r>
          </w:p>
        </w:tc>
        <w:tc>
          <w:tcPr>
            <w:tcW w:w="0" w:type="auto"/>
            <w:gridSpan w:val="3"/>
            <w:shd w:val="clear" w:color="auto" w:fill="auto"/>
            <w:tcMar>
              <w:top w:w="0" w:type="dxa"/>
              <w:left w:w="20" w:type="dxa"/>
              <w:bottom w:w="0" w:type="dxa"/>
              <w:right w:w="20" w:type="dxa"/>
            </w:tcMar>
            <w:vAlign w:val="bottom"/>
          </w:tcPr>
          <w:p w14:paraId="5A1B0A68"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A69" w14:textId="77777777" w:rsidR="00960BB8" w:rsidRDefault="00C06650">
            <w:pPr>
              <w:textAlignment w:val="bottom"/>
            </w:pPr>
            <w:r>
              <w:rPr>
                <w:rFonts w:ascii="Arial" w:eastAsia="宋体" w:hAnsi="Arial" w:cs="Arial"/>
                <w:color w:val="262626"/>
                <w:sz w:val="18"/>
                <w:szCs w:val="18"/>
              </w:rPr>
              <w:t>61</w:t>
            </w:r>
          </w:p>
        </w:tc>
        <w:tc>
          <w:tcPr>
            <w:tcW w:w="0" w:type="auto"/>
            <w:gridSpan w:val="3"/>
            <w:shd w:val="clear" w:color="auto" w:fill="auto"/>
            <w:tcMar>
              <w:top w:w="0" w:type="dxa"/>
              <w:left w:w="20" w:type="dxa"/>
              <w:bottom w:w="0" w:type="dxa"/>
              <w:right w:w="20" w:type="dxa"/>
            </w:tcMar>
            <w:vAlign w:val="bottom"/>
          </w:tcPr>
          <w:p w14:paraId="5A1B0A6A" w14:textId="77777777" w:rsidR="00960BB8" w:rsidRDefault="00960BB8">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5A1B0A6B" w14:textId="77777777" w:rsidR="00960BB8" w:rsidRDefault="00C06650">
            <w:pPr>
              <w:textAlignment w:val="top"/>
            </w:pPr>
            <w:r>
              <w:rPr>
                <w:rFonts w:ascii="Arial" w:eastAsia="宋体" w:hAnsi="Arial" w:cs="Arial"/>
                <w:color w:val="262626"/>
                <w:sz w:val="18"/>
                <w:szCs w:val="18"/>
              </w:rPr>
              <w:t>Mr. Gelsinger has been our Chief Executive Officer and a member of our Board of Directors since February 2021. He has also served as a member and Chair of the Board of Directors of Mobileye, a subsidiary of Intel, since September 2022. He joined Intel from</w:t>
            </w:r>
            <w:r>
              <w:rPr>
                <w:rFonts w:ascii="Arial" w:eastAsia="宋体" w:hAnsi="Arial" w:cs="Arial"/>
                <w:color w:val="262626"/>
                <w:sz w:val="18"/>
                <w:szCs w:val="18"/>
              </w:rPr>
              <w:t xml:space="preserve"> VMware, Inc., a provider of cloud computing and virtualization software and services, where he served as Chief Executive Officer from September 2012 to February 2021. Prior to VMware, Mr. Gelsinger served as President and Chief Operating Officer, EMC Info</w:t>
            </w:r>
            <w:r>
              <w:rPr>
                <w:rFonts w:ascii="Arial" w:eastAsia="宋体" w:hAnsi="Arial" w:cs="Arial"/>
                <w:color w:val="262626"/>
                <w:sz w:val="18"/>
                <w:szCs w:val="18"/>
              </w:rPr>
              <w:t xml:space="preserve">rmation Infrastructure Products at EMC Corp., a data storage, information security, and cloud computing company, from September 2009 to August 2012. Mr. Gelsinger’s career began at Intel, where he spent 30 years before joining EMC Corp. During his initial </w:t>
            </w:r>
            <w:r>
              <w:rPr>
                <w:rFonts w:ascii="Arial" w:eastAsia="宋体" w:hAnsi="Arial" w:cs="Arial"/>
                <w:color w:val="262626"/>
                <w:sz w:val="18"/>
                <w:szCs w:val="18"/>
              </w:rPr>
              <w:t>tenure at Intel, Mr. Gelsinger served in a number of roles, including Senior Vice President and Co-General Manager of the Digital Enterprise Group from 2005 to September 2009, Senior Vice President, Chief Technology Officer from 2002 to 2005, and leader of</w:t>
            </w:r>
            <w:r>
              <w:rPr>
                <w:rFonts w:ascii="Arial" w:eastAsia="宋体" w:hAnsi="Arial" w:cs="Arial"/>
                <w:color w:val="262626"/>
                <w:sz w:val="18"/>
                <w:szCs w:val="18"/>
              </w:rPr>
              <w:t xml:space="preserve"> Desktop Products Group prior to that. </w:t>
            </w:r>
          </w:p>
        </w:tc>
      </w:tr>
      <w:tr w:rsidR="00960BB8" w14:paraId="5A1B0A72" w14:textId="77777777">
        <w:trPr>
          <w:trHeight w:val="280"/>
        </w:trPr>
        <w:tc>
          <w:tcPr>
            <w:tcW w:w="0" w:type="auto"/>
            <w:gridSpan w:val="3"/>
            <w:shd w:val="clear" w:color="auto" w:fill="auto"/>
            <w:tcMar>
              <w:top w:w="40" w:type="dxa"/>
              <w:left w:w="20" w:type="dxa"/>
              <w:bottom w:w="40" w:type="dxa"/>
              <w:right w:w="20" w:type="dxa"/>
            </w:tcMar>
          </w:tcPr>
          <w:p w14:paraId="5A1B0A6D" w14:textId="77777777" w:rsidR="00960BB8" w:rsidRDefault="00C06650">
            <w:pPr>
              <w:textAlignment w:val="top"/>
            </w:pPr>
            <w:r>
              <w:rPr>
                <w:rFonts w:ascii="Arial" w:eastAsia="宋体" w:hAnsi="Arial" w:cs="Arial"/>
                <w:i/>
                <w:iCs/>
                <w:color w:val="262626"/>
                <w:sz w:val="18"/>
                <w:szCs w:val="18"/>
              </w:rPr>
              <w:t>Chief Executive Officer</w:t>
            </w:r>
          </w:p>
        </w:tc>
        <w:tc>
          <w:tcPr>
            <w:tcW w:w="0" w:type="auto"/>
            <w:gridSpan w:val="3"/>
            <w:shd w:val="clear" w:color="auto" w:fill="auto"/>
            <w:tcMar>
              <w:top w:w="0" w:type="dxa"/>
              <w:left w:w="20" w:type="dxa"/>
              <w:bottom w:w="0" w:type="dxa"/>
              <w:right w:w="20" w:type="dxa"/>
            </w:tcMar>
            <w:vAlign w:val="bottom"/>
          </w:tcPr>
          <w:p w14:paraId="5A1B0A6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6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70"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71" w14:textId="77777777" w:rsidR="00960BB8" w:rsidRDefault="00960BB8">
            <w:pPr>
              <w:rPr>
                <w:rFonts w:ascii="宋体"/>
              </w:rPr>
            </w:pPr>
          </w:p>
        </w:tc>
      </w:tr>
      <w:tr w:rsidR="00960BB8" w14:paraId="5A1B0A78" w14:textId="77777777">
        <w:trPr>
          <w:trHeight w:val="300"/>
        </w:trPr>
        <w:tc>
          <w:tcPr>
            <w:tcW w:w="0" w:type="auto"/>
            <w:gridSpan w:val="3"/>
            <w:shd w:val="clear" w:color="auto" w:fill="auto"/>
            <w:tcMar>
              <w:top w:w="0" w:type="dxa"/>
              <w:left w:w="20" w:type="dxa"/>
              <w:bottom w:w="0" w:type="dxa"/>
              <w:right w:w="20" w:type="dxa"/>
            </w:tcMar>
            <w:vAlign w:val="bottom"/>
          </w:tcPr>
          <w:p w14:paraId="5A1B0A7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7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7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76"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77" w14:textId="77777777" w:rsidR="00960BB8" w:rsidRDefault="00960BB8">
            <w:pPr>
              <w:rPr>
                <w:rFonts w:ascii="宋体"/>
              </w:rPr>
            </w:pPr>
          </w:p>
        </w:tc>
      </w:tr>
      <w:tr w:rsidR="00960BB8" w14:paraId="5A1B0A7E" w14:textId="77777777">
        <w:trPr>
          <w:trHeight w:val="1720"/>
        </w:trPr>
        <w:tc>
          <w:tcPr>
            <w:tcW w:w="0" w:type="auto"/>
            <w:gridSpan w:val="3"/>
            <w:shd w:val="clear" w:color="auto" w:fill="auto"/>
            <w:tcMar>
              <w:top w:w="0" w:type="dxa"/>
              <w:left w:w="20" w:type="dxa"/>
              <w:bottom w:w="0" w:type="dxa"/>
              <w:right w:w="20" w:type="dxa"/>
            </w:tcMar>
            <w:vAlign w:val="bottom"/>
          </w:tcPr>
          <w:p w14:paraId="5A1B0A7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7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7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7C"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7D" w14:textId="77777777" w:rsidR="00960BB8" w:rsidRDefault="00960BB8">
            <w:pPr>
              <w:rPr>
                <w:rFonts w:ascii="宋体"/>
              </w:rPr>
            </w:pPr>
          </w:p>
        </w:tc>
      </w:tr>
      <w:tr w:rsidR="00960BB8" w14:paraId="5A1B0A84" w14:textId="77777777">
        <w:trPr>
          <w:trHeight w:val="60"/>
        </w:trPr>
        <w:tc>
          <w:tcPr>
            <w:tcW w:w="0" w:type="auto"/>
            <w:gridSpan w:val="3"/>
            <w:shd w:val="clear" w:color="auto" w:fill="auto"/>
            <w:tcMar>
              <w:top w:w="0" w:type="dxa"/>
              <w:left w:w="20" w:type="dxa"/>
              <w:bottom w:w="0" w:type="dxa"/>
              <w:right w:w="20" w:type="dxa"/>
            </w:tcMar>
            <w:vAlign w:val="bottom"/>
          </w:tcPr>
          <w:p w14:paraId="5A1B0A7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8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8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8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83" w14:textId="77777777" w:rsidR="00960BB8" w:rsidRDefault="00960BB8">
            <w:pPr>
              <w:rPr>
                <w:rFonts w:ascii="宋体"/>
              </w:rPr>
            </w:pPr>
          </w:p>
        </w:tc>
      </w:tr>
      <w:tr w:rsidR="00960BB8" w14:paraId="5A1B0A8A" w14:textId="77777777">
        <w:trPr>
          <w:trHeight w:val="46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A85" w14:textId="77777777" w:rsidR="00960BB8" w:rsidRDefault="00C06650">
            <w:pPr>
              <w:textAlignment w:val="bottom"/>
            </w:pPr>
            <w:r>
              <w:rPr>
                <w:rFonts w:ascii="Arial" w:eastAsia="宋体" w:hAnsi="Arial" w:cs="Arial"/>
                <w:color w:val="262626"/>
                <w:sz w:val="18"/>
                <w:szCs w:val="18"/>
              </w:rPr>
              <w:t>Michelle Johnston Holthaus</w:t>
            </w:r>
          </w:p>
        </w:tc>
        <w:tc>
          <w:tcPr>
            <w:tcW w:w="0" w:type="auto"/>
            <w:gridSpan w:val="3"/>
            <w:shd w:val="clear" w:color="auto" w:fill="auto"/>
            <w:tcMar>
              <w:top w:w="0" w:type="dxa"/>
              <w:left w:w="20" w:type="dxa"/>
              <w:bottom w:w="0" w:type="dxa"/>
              <w:right w:w="20" w:type="dxa"/>
            </w:tcMar>
            <w:vAlign w:val="bottom"/>
          </w:tcPr>
          <w:p w14:paraId="5A1B0A86"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A87" w14:textId="77777777" w:rsidR="00960BB8" w:rsidRDefault="00C06650">
            <w:pPr>
              <w:textAlignment w:val="bottom"/>
            </w:pPr>
            <w:r>
              <w:rPr>
                <w:rFonts w:ascii="Arial" w:eastAsia="宋体" w:hAnsi="Arial" w:cs="Arial"/>
                <w:color w:val="262626"/>
                <w:sz w:val="18"/>
                <w:szCs w:val="18"/>
              </w:rPr>
              <w:t>49</w:t>
            </w:r>
          </w:p>
        </w:tc>
        <w:tc>
          <w:tcPr>
            <w:tcW w:w="0" w:type="auto"/>
            <w:gridSpan w:val="3"/>
            <w:shd w:val="clear" w:color="auto" w:fill="auto"/>
            <w:tcMar>
              <w:top w:w="0" w:type="dxa"/>
              <w:left w:w="20" w:type="dxa"/>
              <w:bottom w:w="0" w:type="dxa"/>
              <w:right w:w="20" w:type="dxa"/>
            </w:tcMar>
            <w:vAlign w:val="bottom"/>
          </w:tcPr>
          <w:p w14:paraId="5A1B0A88" w14:textId="77777777" w:rsidR="00960BB8" w:rsidRDefault="00960BB8">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5A1B0A89" w14:textId="77777777" w:rsidR="00960BB8" w:rsidRDefault="00C06650">
            <w:pPr>
              <w:textAlignment w:val="top"/>
            </w:pPr>
            <w:r>
              <w:rPr>
                <w:rFonts w:ascii="Arial" w:eastAsia="宋体" w:hAnsi="Arial" w:cs="Arial"/>
                <w:color w:val="262626"/>
                <w:sz w:val="18"/>
                <w:szCs w:val="18"/>
              </w:rPr>
              <w:t xml:space="preserve">Ms. Johnston Holthaus has been our Executive Vice President and General Manager of the Client Computing Group since April 2022. She is </w:t>
            </w:r>
            <w:r>
              <w:rPr>
                <w:rFonts w:ascii="Arial" w:eastAsia="宋体" w:hAnsi="Arial" w:cs="Arial"/>
                <w:color w:val="262626"/>
                <w:sz w:val="18"/>
                <w:szCs w:val="18"/>
              </w:rPr>
              <w:t>responsible for running and growing the client business, including strategy, financial performance, and product development for the full portfolio of client technologies and platforms designed to enable exceptional personal computing experiences across mob</w:t>
            </w:r>
            <w:r>
              <w:rPr>
                <w:rFonts w:ascii="Arial" w:eastAsia="宋体" w:hAnsi="Arial" w:cs="Arial"/>
                <w:color w:val="262626"/>
                <w:sz w:val="18"/>
                <w:szCs w:val="18"/>
              </w:rPr>
              <w:t>ile, desktop, and workstation devices. Ms. Johnston Holthaus previously served as Executive Vice President, Chief Sales Officer and General Manager, Sales, Marketing and Communications Group, from September 2019 to January 2022, and as Senior Vice Presiden</w:t>
            </w:r>
            <w:r>
              <w:rPr>
                <w:rFonts w:ascii="Arial" w:eastAsia="宋体" w:hAnsi="Arial" w:cs="Arial"/>
                <w:color w:val="262626"/>
                <w:sz w:val="18"/>
                <w:szCs w:val="18"/>
              </w:rPr>
              <w:t>t of Sales and Marketing and Acting Chief Marketing Officer from September 2017 to September 2019. In these roles, she was responsible for global sales and revenue and leading the company’s efforts to foster innovative sales and marketing approaches that b</w:t>
            </w:r>
            <w:r>
              <w:rPr>
                <w:rFonts w:ascii="Arial" w:eastAsia="宋体" w:hAnsi="Arial" w:cs="Arial"/>
                <w:color w:val="262626"/>
                <w:sz w:val="18"/>
                <w:szCs w:val="18"/>
              </w:rPr>
              <w:t>roaden Intel’s business opportunities and enhance customer relationships worldwide. Ms. Johnston Holthaus joined Intel in 1996 and has served in a variety of sales and marketing, channel mobile, and channel desktop positions.</w:t>
            </w:r>
          </w:p>
        </w:tc>
      </w:tr>
      <w:tr w:rsidR="00960BB8" w14:paraId="5A1B0A90" w14:textId="77777777">
        <w:trPr>
          <w:trHeight w:val="720"/>
        </w:trPr>
        <w:tc>
          <w:tcPr>
            <w:tcW w:w="0" w:type="auto"/>
            <w:gridSpan w:val="3"/>
            <w:shd w:val="clear" w:color="auto" w:fill="auto"/>
            <w:tcMar>
              <w:top w:w="40" w:type="dxa"/>
              <w:left w:w="20" w:type="dxa"/>
              <w:bottom w:w="40" w:type="dxa"/>
              <w:right w:w="20" w:type="dxa"/>
            </w:tcMar>
          </w:tcPr>
          <w:p w14:paraId="5A1B0A8B" w14:textId="77777777" w:rsidR="00960BB8" w:rsidRDefault="00C06650">
            <w:pPr>
              <w:textAlignment w:val="top"/>
            </w:pPr>
            <w:r>
              <w:rPr>
                <w:rFonts w:ascii="Arial" w:eastAsia="宋体" w:hAnsi="Arial" w:cs="Arial"/>
                <w:i/>
                <w:iCs/>
                <w:color w:val="262626"/>
                <w:sz w:val="18"/>
                <w:szCs w:val="18"/>
              </w:rPr>
              <w:t xml:space="preserve">Executive Vice </w:t>
            </w:r>
            <w:r>
              <w:rPr>
                <w:rFonts w:ascii="Arial" w:eastAsia="宋体" w:hAnsi="Arial" w:cs="Arial"/>
                <w:i/>
                <w:iCs/>
                <w:color w:val="262626"/>
                <w:sz w:val="18"/>
                <w:szCs w:val="18"/>
              </w:rPr>
              <w:t>President and General Manager, Client Computing Group</w:t>
            </w:r>
          </w:p>
        </w:tc>
        <w:tc>
          <w:tcPr>
            <w:tcW w:w="0" w:type="auto"/>
            <w:gridSpan w:val="3"/>
            <w:shd w:val="clear" w:color="auto" w:fill="auto"/>
            <w:tcMar>
              <w:top w:w="0" w:type="dxa"/>
              <w:left w:w="20" w:type="dxa"/>
              <w:bottom w:w="0" w:type="dxa"/>
              <w:right w:w="20" w:type="dxa"/>
            </w:tcMar>
            <w:vAlign w:val="bottom"/>
          </w:tcPr>
          <w:p w14:paraId="5A1B0A8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8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8E"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8F" w14:textId="77777777" w:rsidR="00960BB8" w:rsidRDefault="00960BB8">
            <w:pPr>
              <w:rPr>
                <w:rFonts w:ascii="宋体"/>
              </w:rPr>
            </w:pPr>
          </w:p>
        </w:tc>
      </w:tr>
      <w:tr w:rsidR="00960BB8" w14:paraId="5A1B0A96" w14:textId="77777777">
        <w:trPr>
          <w:trHeight w:val="460"/>
        </w:trPr>
        <w:tc>
          <w:tcPr>
            <w:tcW w:w="0" w:type="auto"/>
            <w:gridSpan w:val="3"/>
            <w:shd w:val="clear" w:color="auto" w:fill="auto"/>
            <w:tcMar>
              <w:top w:w="0" w:type="dxa"/>
              <w:left w:w="20" w:type="dxa"/>
              <w:bottom w:w="0" w:type="dxa"/>
              <w:right w:w="20" w:type="dxa"/>
            </w:tcMar>
            <w:vAlign w:val="bottom"/>
          </w:tcPr>
          <w:p w14:paraId="5A1B0A9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9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9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94"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95" w14:textId="77777777" w:rsidR="00960BB8" w:rsidRDefault="00960BB8">
            <w:pPr>
              <w:rPr>
                <w:rFonts w:ascii="宋体"/>
              </w:rPr>
            </w:pPr>
          </w:p>
        </w:tc>
      </w:tr>
      <w:tr w:rsidR="00960BB8" w14:paraId="5A1B0A9C" w14:textId="77777777">
        <w:trPr>
          <w:trHeight w:val="1000"/>
        </w:trPr>
        <w:tc>
          <w:tcPr>
            <w:tcW w:w="0" w:type="auto"/>
            <w:gridSpan w:val="3"/>
            <w:shd w:val="clear" w:color="auto" w:fill="auto"/>
            <w:tcMar>
              <w:top w:w="0" w:type="dxa"/>
              <w:left w:w="20" w:type="dxa"/>
              <w:bottom w:w="0" w:type="dxa"/>
              <w:right w:w="20" w:type="dxa"/>
            </w:tcMar>
            <w:vAlign w:val="bottom"/>
          </w:tcPr>
          <w:p w14:paraId="5A1B0A9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9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9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9A"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9B" w14:textId="77777777" w:rsidR="00960BB8" w:rsidRDefault="00960BB8">
            <w:pPr>
              <w:rPr>
                <w:rFonts w:ascii="宋体"/>
              </w:rPr>
            </w:pPr>
          </w:p>
        </w:tc>
      </w:tr>
      <w:tr w:rsidR="00960BB8" w14:paraId="5A1B0AA2" w14:textId="77777777">
        <w:trPr>
          <w:trHeight w:val="100"/>
        </w:trPr>
        <w:tc>
          <w:tcPr>
            <w:tcW w:w="0" w:type="auto"/>
            <w:gridSpan w:val="3"/>
            <w:shd w:val="clear" w:color="auto" w:fill="auto"/>
            <w:tcMar>
              <w:top w:w="0" w:type="dxa"/>
              <w:left w:w="20" w:type="dxa"/>
              <w:bottom w:w="0" w:type="dxa"/>
              <w:right w:w="20" w:type="dxa"/>
            </w:tcMar>
            <w:vAlign w:val="bottom"/>
          </w:tcPr>
          <w:p w14:paraId="5A1B0A9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9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9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A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A1" w14:textId="77777777" w:rsidR="00960BB8" w:rsidRDefault="00960BB8">
            <w:pPr>
              <w:rPr>
                <w:rFonts w:ascii="宋体"/>
              </w:rPr>
            </w:pPr>
          </w:p>
        </w:tc>
      </w:tr>
      <w:tr w:rsidR="00960BB8" w14:paraId="5A1B0AA8" w14:textId="77777777">
        <w:trPr>
          <w:trHeight w:val="28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AA3" w14:textId="77777777" w:rsidR="00960BB8" w:rsidRDefault="00C06650">
            <w:pPr>
              <w:textAlignment w:val="bottom"/>
            </w:pPr>
            <w:r>
              <w:rPr>
                <w:rFonts w:ascii="Arial" w:eastAsia="宋体" w:hAnsi="Arial" w:cs="Arial"/>
                <w:color w:val="262626"/>
                <w:sz w:val="18"/>
                <w:szCs w:val="18"/>
              </w:rPr>
              <w:t>April Miller Boise</w:t>
            </w:r>
          </w:p>
        </w:tc>
        <w:tc>
          <w:tcPr>
            <w:tcW w:w="0" w:type="auto"/>
            <w:gridSpan w:val="3"/>
            <w:shd w:val="clear" w:color="auto" w:fill="auto"/>
            <w:tcMar>
              <w:top w:w="0" w:type="dxa"/>
              <w:left w:w="20" w:type="dxa"/>
              <w:bottom w:w="0" w:type="dxa"/>
              <w:right w:w="20" w:type="dxa"/>
            </w:tcMar>
            <w:vAlign w:val="bottom"/>
          </w:tcPr>
          <w:p w14:paraId="5A1B0AA4"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AA5" w14:textId="77777777" w:rsidR="00960BB8" w:rsidRDefault="00C06650">
            <w:pPr>
              <w:textAlignment w:val="bottom"/>
            </w:pPr>
            <w:r>
              <w:rPr>
                <w:rFonts w:ascii="Arial" w:eastAsia="宋体" w:hAnsi="Arial" w:cs="Arial"/>
                <w:color w:val="262626"/>
                <w:sz w:val="18"/>
                <w:szCs w:val="18"/>
              </w:rPr>
              <w:t>54</w:t>
            </w:r>
          </w:p>
        </w:tc>
        <w:tc>
          <w:tcPr>
            <w:tcW w:w="0" w:type="auto"/>
            <w:gridSpan w:val="3"/>
            <w:shd w:val="clear" w:color="auto" w:fill="auto"/>
            <w:tcMar>
              <w:top w:w="0" w:type="dxa"/>
              <w:left w:w="20" w:type="dxa"/>
              <w:bottom w:w="0" w:type="dxa"/>
              <w:right w:w="20" w:type="dxa"/>
            </w:tcMar>
            <w:vAlign w:val="bottom"/>
          </w:tcPr>
          <w:p w14:paraId="5A1B0AA6" w14:textId="77777777" w:rsidR="00960BB8" w:rsidRDefault="00960BB8">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5A1B0AA7" w14:textId="77777777" w:rsidR="00960BB8" w:rsidRDefault="00C06650">
            <w:pPr>
              <w:textAlignment w:val="top"/>
            </w:pPr>
            <w:r>
              <w:rPr>
                <w:rFonts w:ascii="Arial" w:eastAsia="宋体" w:hAnsi="Arial" w:cs="Arial"/>
                <w:color w:val="262626"/>
                <w:sz w:val="18"/>
                <w:szCs w:val="18"/>
              </w:rPr>
              <w:t>Ms. Miller Boise has been our Executive Vice President and Chief Legal Officer since July 2022 and Corporate Secretary since August 2022. Ms. Miller Boise leads Intel’s global legal, trade, and government affairs team, is a member of Intel's Executive Lead</w:t>
            </w:r>
            <w:r>
              <w:rPr>
                <w:rFonts w:ascii="Arial" w:eastAsia="宋体" w:hAnsi="Arial" w:cs="Arial"/>
                <w:color w:val="262626"/>
                <w:sz w:val="18"/>
                <w:szCs w:val="18"/>
              </w:rPr>
              <w:t>ership Team, and is a strategic advisor to the Company and the Board of Directors. Prior to joining Intel, she was Executive Vice President and Chief Legal Officer at Eaton Corp. Before joining Eaton in 2020, she was Senior Vice President, Chief Legal Offi</w:t>
            </w:r>
            <w:r>
              <w:rPr>
                <w:rFonts w:ascii="Arial" w:eastAsia="宋体" w:hAnsi="Arial" w:cs="Arial"/>
                <w:color w:val="262626"/>
                <w:sz w:val="18"/>
                <w:szCs w:val="18"/>
              </w:rPr>
              <w:t xml:space="preserve">cer, and Corporate Secretary at Meritor Inc. Ms. Miller Boise has more than 25 years of experience and has served in executive leadership roles, including Chief Legal Officer, General Counsel, and Head of Global Mergers and Acquisitions. </w:t>
            </w:r>
          </w:p>
        </w:tc>
      </w:tr>
      <w:tr w:rsidR="00960BB8" w14:paraId="5A1B0AAE" w14:textId="77777777">
        <w:trPr>
          <w:trHeight w:val="480"/>
        </w:trPr>
        <w:tc>
          <w:tcPr>
            <w:tcW w:w="0" w:type="auto"/>
            <w:gridSpan w:val="3"/>
            <w:shd w:val="clear" w:color="auto" w:fill="auto"/>
            <w:tcMar>
              <w:top w:w="40" w:type="dxa"/>
              <w:left w:w="20" w:type="dxa"/>
              <w:bottom w:w="40" w:type="dxa"/>
              <w:right w:w="20" w:type="dxa"/>
            </w:tcMar>
          </w:tcPr>
          <w:p w14:paraId="5A1B0AA9" w14:textId="77777777" w:rsidR="00960BB8" w:rsidRDefault="00C06650">
            <w:pPr>
              <w:textAlignment w:val="top"/>
            </w:pPr>
            <w:r>
              <w:rPr>
                <w:rFonts w:ascii="Arial" w:eastAsia="宋体" w:hAnsi="Arial" w:cs="Arial"/>
                <w:i/>
                <w:iCs/>
                <w:color w:val="262626"/>
                <w:sz w:val="18"/>
                <w:szCs w:val="18"/>
              </w:rPr>
              <w:t>Executive Vice President and Chief Legal Officer</w:t>
            </w:r>
          </w:p>
        </w:tc>
        <w:tc>
          <w:tcPr>
            <w:tcW w:w="0" w:type="auto"/>
            <w:gridSpan w:val="3"/>
            <w:shd w:val="clear" w:color="auto" w:fill="auto"/>
            <w:tcMar>
              <w:top w:w="0" w:type="dxa"/>
              <w:left w:w="20" w:type="dxa"/>
              <w:bottom w:w="0" w:type="dxa"/>
              <w:right w:w="20" w:type="dxa"/>
            </w:tcMar>
            <w:vAlign w:val="bottom"/>
          </w:tcPr>
          <w:p w14:paraId="5A1B0AA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A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AC"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AD" w14:textId="77777777" w:rsidR="00960BB8" w:rsidRDefault="00960BB8">
            <w:pPr>
              <w:rPr>
                <w:rFonts w:ascii="宋体"/>
              </w:rPr>
            </w:pPr>
          </w:p>
        </w:tc>
      </w:tr>
      <w:tr w:rsidR="00960BB8" w14:paraId="5A1B0AB4" w14:textId="77777777">
        <w:trPr>
          <w:trHeight w:val="300"/>
        </w:trPr>
        <w:tc>
          <w:tcPr>
            <w:tcW w:w="0" w:type="auto"/>
            <w:gridSpan w:val="3"/>
            <w:shd w:val="clear" w:color="auto" w:fill="auto"/>
            <w:tcMar>
              <w:top w:w="0" w:type="dxa"/>
              <w:left w:w="20" w:type="dxa"/>
              <w:bottom w:w="0" w:type="dxa"/>
              <w:right w:w="20" w:type="dxa"/>
            </w:tcMar>
            <w:vAlign w:val="bottom"/>
          </w:tcPr>
          <w:p w14:paraId="5A1B0AA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B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B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B2"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B3" w14:textId="77777777" w:rsidR="00960BB8" w:rsidRDefault="00960BB8">
            <w:pPr>
              <w:rPr>
                <w:rFonts w:ascii="宋体"/>
              </w:rPr>
            </w:pPr>
          </w:p>
        </w:tc>
      </w:tr>
      <w:tr w:rsidR="00960BB8" w14:paraId="5A1B0ABA" w14:textId="77777777">
        <w:trPr>
          <w:trHeight w:val="660"/>
        </w:trPr>
        <w:tc>
          <w:tcPr>
            <w:tcW w:w="0" w:type="auto"/>
            <w:gridSpan w:val="3"/>
            <w:shd w:val="clear" w:color="auto" w:fill="auto"/>
            <w:tcMar>
              <w:top w:w="0" w:type="dxa"/>
              <w:left w:w="20" w:type="dxa"/>
              <w:bottom w:w="0" w:type="dxa"/>
              <w:right w:w="20" w:type="dxa"/>
            </w:tcMar>
            <w:vAlign w:val="bottom"/>
          </w:tcPr>
          <w:p w14:paraId="5A1B0AB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B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B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B8"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B9" w14:textId="77777777" w:rsidR="00960BB8" w:rsidRDefault="00960BB8">
            <w:pPr>
              <w:rPr>
                <w:rFonts w:ascii="宋体"/>
              </w:rPr>
            </w:pPr>
          </w:p>
        </w:tc>
      </w:tr>
      <w:tr w:rsidR="00960BB8" w14:paraId="5A1B0AC0" w14:textId="77777777">
        <w:trPr>
          <w:trHeight w:val="100"/>
        </w:trPr>
        <w:tc>
          <w:tcPr>
            <w:tcW w:w="0" w:type="auto"/>
            <w:gridSpan w:val="3"/>
            <w:shd w:val="clear" w:color="auto" w:fill="auto"/>
            <w:tcMar>
              <w:top w:w="0" w:type="dxa"/>
              <w:left w:w="20" w:type="dxa"/>
              <w:bottom w:w="0" w:type="dxa"/>
              <w:right w:w="20" w:type="dxa"/>
            </w:tcMar>
            <w:vAlign w:val="bottom"/>
          </w:tcPr>
          <w:p w14:paraId="5A1B0AB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B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B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B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BF" w14:textId="77777777" w:rsidR="00960BB8" w:rsidRDefault="00960BB8">
            <w:pPr>
              <w:rPr>
                <w:rFonts w:ascii="宋体"/>
              </w:rPr>
            </w:pPr>
          </w:p>
        </w:tc>
      </w:tr>
      <w:tr w:rsidR="00960BB8" w14:paraId="5A1B0AC6" w14:textId="77777777">
        <w:trPr>
          <w:trHeight w:val="28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AC1" w14:textId="77777777" w:rsidR="00960BB8" w:rsidRDefault="00C06650">
            <w:pPr>
              <w:textAlignment w:val="bottom"/>
            </w:pPr>
            <w:r>
              <w:rPr>
                <w:rFonts w:ascii="Arial" w:eastAsia="宋体" w:hAnsi="Arial" w:cs="Arial"/>
                <w:color w:val="262626"/>
                <w:sz w:val="18"/>
                <w:szCs w:val="18"/>
              </w:rPr>
              <w:t>Sandra L. Rivera</w:t>
            </w:r>
          </w:p>
        </w:tc>
        <w:tc>
          <w:tcPr>
            <w:tcW w:w="0" w:type="auto"/>
            <w:gridSpan w:val="3"/>
            <w:shd w:val="clear" w:color="auto" w:fill="auto"/>
            <w:tcMar>
              <w:top w:w="0" w:type="dxa"/>
              <w:left w:w="20" w:type="dxa"/>
              <w:bottom w:w="0" w:type="dxa"/>
              <w:right w:w="20" w:type="dxa"/>
            </w:tcMar>
            <w:vAlign w:val="bottom"/>
          </w:tcPr>
          <w:p w14:paraId="5A1B0AC2"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AC3" w14:textId="77777777" w:rsidR="00960BB8" w:rsidRDefault="00C06650">
            <w:pPr>
              <w:textAlignment w:val="bottom"/>
            </w:pPr>
            <w:r>
              <w:rPr>
                <w:rFonts w:ascii="Arial" w:eastAsia="宋体" w:hAnsi="Arial" w:cs="Arial"/>
                <w:color w:val="262626"/>
                <w:sz w:val="18"/>
                <w:szCs w:val="18"/>
              </w:rPr>
              <w:t>58</w:t>
            </w:r>
          </w:p>
        </w:tc>
        <w:tc>
          <w:tcPr>
            <w:tcW w:w="0" w:type="auto"/>
            <w:gridSpan w:val="3"/>
            <w:shd w:val="clear" w:color="auto" w:fill="auto"/>
            <w:tcMar>
              <w:top w:w="0" w:type="dxa"/>
              <w:left w:w="20" w:type="dxa"/>
              <w:bottom w:w="0" w:type="dxa"/>
              <w:right w:w="20" w:type="dxa"/>
            </w:tcMar>
            <w:vAlign w:val="bottom"/>
          </w:tcPr>
          <w:p w14:paraId="5A1B0AC4" w14:textId="77777777" w:rsidR="00960BB8" w:rsidRDefault="00960BB8">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5A1B0AC5" w14:textId="77777777" w:rsidR="00960BB8" w:rsidRDefault="00C06650">
            <w:pPr>
              <w:textAlignment w:val="top"/>
            </w:pPr>
            <w:r>
              <w:rPr>
                <w:rFonts w:ascii="Arial" w:eastAsia="宋体" w:hAnsi="Arial" w:cs="Arial"/>
                <w:color w:val="262626"/>
                <w:sz w:val="18"/>
                <w:szCs w:val="18"/>
              </w:rPr>
              <w:t xml:space="preserve">Ms. Rivera is Executive Vice President and General Manager of the Data Center and AI Group, serving in this role since July 2021. She leads strategy and </w:t>
            </w:r>
            <w:r>
              <w:rPr>
                <w:rFonts w:ascii="Arial" w:eastAsia="宋体" w:hAnsi="Arial" w:cs="Arial"/>
                <w:color w:val="262626"/>
                <w:sz w:val="18"/>
                <w:szCs w:val="18"/>
              </w:rPr>
              <w:t>product development for Intel's data center solutions, including Intel Xeon processor line, Intel Agilex FPGA and Habana Gaudi AI Accelerators. She also leads overall AI strategy and product execution. Before her current role, Ms. Rivera served as our Chie</w:t>
            </w:r>
            <w:r>
              <w:rPr>
                <w:rFonts w:ascii="Arial" w:eastAsia="宋体" w:hAnsi="Arial" w:cs="Arial"/>
                <w:color w:val="262626"/>
                <w:sz w:val="18"/>
                <w:szCs w:val="18"/>
              </w:rPr>
              <w:t>f People Officer from June 2019 to July 2021. Prior to that, she oversaw strategy and product development for network infrastructure solutions, serving as General Manager of Intel's Network Platforms Group from January 2015 to June 2019. She also led Intel</w:t>
            </w:r>
            <w:r>
              <w:rPr>
                <w:rFonts w:ascii="Arial" w:eastAsia="宋体" w:hAnsi="Arial" w:cs="Arial"/>
                <w:color w:val="262626"/>
                <w:sz w:val="18"/>
                <w:szCs w:val="18"/>
              </w:rPr>
              <w:t>'s 5G strategy and execution. Ms. Rivera joined Intel in 2000 and has served in a variety of engineering, marketing and business development positions. Before joining Intel, she held management positions with Dialogic Corporation and Catalyst Telecom, Inc.</w:t>
            </w:r>
            <w:r>
              <w:rPr>
                <w:rFonts w:ascii="Arial" w:eastAsia="宋体" w:hAnsi="Arial" w:cs="Arial"/>
                <w:color w:val="262626"/>
                <w:sz w:val="18"/>
                <w:szCs w:val="18"/>
              </w:rPr>
              <w:t xml:space="preserve"> and was co-founder and President of The CTI Authority, Inc. Ms. Rivera holds a bachelor’s degree in electrical engineering from the Pennsylvania State University. She sits on the Equinix, Inc. board of directors, is a member of U.C. Berkeley’s engineering</w:t>
            </w:r>
            <w:r>
              <w:rPr>
                <w:rFonts w:ascii="Arial" w:eastAsia="宋体" w:hAnsi="Arial" w:cs="Arial"/>
                <w:color w:val="262626"/>
                <w:sz w:val="18"/>
                <w:szCs w:val="18"/>
              </w:rPr>
              <w:t xml:space="preserve"> advisory board and a member of the Intel Foundation Board, and she is part of Intel’s Latinx Leadership Council.</w:t>
            </w:r>
          </w:p>
        </w:tc>
      </w:tr>
      <w:tr w:rsidR="00960BB8" w14:paraId="5A1B0ACC" w14:textId="77777777">
        <w:trPr>
          <w:trHeight w:val="940"/>
        </w:trPr>
        <w:tc>
          <w:tcPr>
            <w:tcW w:w="0" w:type="auto"/>
            <w:gridSpan w:val="3"/>
            <w:shd w:val="clear" w:color="auto" w:fill="auto"/>
            <w:tcMar>
              <w:top w:w="40" w:type="dxa"/>
              <w:left w:w="20" w:type="dxa"/>
              <w:bottom w:w="40" w:type="dxa"/>
              <w:right w:w="20" w:type="dxa"/>
            </w:tcMar>
          </w:tcPr>
          <w:p w14:paraId="5A1B0AC7" w14:textId="77777777" w:rsidR="00960BB8" w:rsidRDefault="00C06650">
            <w:pPr>
              <w:textAlignment w:val="top"/>
            </w:pPr>
            <w:r>
              <w:rPr>
                <w:rFonts w:ascii="Arial" w:eastAsia="宋体" w:hAnsi="Arial" w:cs="Arial"/>
                <w:i/>
                <w:iCs/>
                <w:color w:val="262626"/>
                <w:sz w:val="18"/>
                <w:szCs w:val="18"/>
              </w:rPr>
              <w:t>Executive Vice President and General Manager, Data Center and AI Group</w:t>
            </w:r>
          </w:p>
        </w:tc>
        <w:tc>
          <w:tcPr>
            <w:tcW w:w="0" w:type="auto"/>
            <w:gridSpan w:val="3"/>
            <w:shd w:val="clear" w:color="auto" w:fill="auto"/>
            <w:tcMar>
              <w:top w:w="0" w:type="dxa"/>
              <w:left w:w="20" w:type="dxa"/>
              <w:bottom w:w="0" w:type="dxa"/>
              <w:right w:w="20" w:type="dxa"/>
            </w:tcMar>
            <w:vAlign w:val="bottom"/>
          </w:tcPr>
          <w:p w14:paraId="5A1B0AC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C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CA"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CB" w14:textId="77777777" w:rsidR="00960BB8" w:rsidRDefault="00960BB8">
            <w:pPr>
              <w:rPr>
                <w:rFonts w:ascii="宋体"/>
              </w:rPr>
            </w:pPr>
          </w:p>
        </w:tc>
      </w:tr>
      <w:tr w:rsidR="00960BB8" w14:paraId="5A1B0AD2" w14:textId="77777777">
        <w:trPr>
          <w:trHeight w:val="300"/>
        </w:trPr>
        <w:tc>
          <w:tcPr>
            <w:tcW w:w="0" w:type="auto"/>
            <w:gridSpan w:val="3"/>
            <w:shd w:val="clear" w:color="auto" w:fill="auto"/>
            <w:tcMar>
              <w:top w:w="0" w:type="dxa"/>
              <w:left w:w="20" w:type="dxa"/>
              <w:bottom w:w="0" w:type="dxa"/>
              <w:right w:w="20" w:type="dxa"/>
            </w:tcMar>
            <w:vAlign w:val="bottom"/>
          </w:tcPr>
          <w:p w14:paraId="5A1B0AC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C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C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D0"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D1" w14:textId="77777777" w:rsidR="00960BB8" w:rsidRDefault="00960BB8">
            <w:pPr>
              <w:rPr>
                <w:rFonts w:ascii="宋体"/>
              </w:rPr>
            </w:pPr>
          </w:p>
        </w:tc>
      </w:tr>
      <w:tr w:rsidR="00960BB8" w14:paraId="5A1B0AD8" w14:textId="77777777">
        <w:trPr>
          <w:trHeight w:val="1560"/>
        </w:trPr>
        <w:tc>
          <w:tcPr>
            <w:tcW w:w="0" w:type="auto"/>
            <w:gridSpan w:val="3"/>
            <w:shd w:val="clear" w:color="auto" w:fill="auto"/>
            <w:tcMar>
              <w:top w:w="0" w:type="dxa"/>
              <w:left w:w="20" w:type="dxa"/>
              <w:bottom w:w="0" w:type="dxa"/>
              <w:right w:w="20" w:type="dxa"/>
            </w:tcMar>
            <w:vAlign w:val="bottom"/>
          </w:tcPr>
          <w:p w14:paraId="5A1B0AD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D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D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D6"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AD7" w14:textId="77777777" w:rsidR="00960BB8" w:rsidRDefault="00960BB8">
            <w:pPr>
              <w:rPr>
                <w:rFonts w:ascii="宋体"/>
              </w:rPr>
            </w:pPr>
          </w:p>
        </w:tc>
      </w:tr>
      <w:tr w:rsidR="00960BB8" w14:paraId="5A1B0ADE" w14:textId="77777777">
        <w:trPr>
          <w:trHeight w:val="2760"/>
        </w:trPr>
        <w:tc>
          <w:tcPr>
            <w:tcW w:w="0" w:type="auto"/>
            <w:gridSpan w:val="3"/>
            <w:shd w:val="clear" w:color="auto" w:fill="auto"/>
            <w:tcMar>
              <w:top w:w="0" w:type="dxa"/>
              <w:left w:w="20" w:type="dxa"/>
              <w:bottom w:w="0" w:type="dxa"/>
              <w:right w:w="20" w:type="dxa"/>
            </w:tcMar>
            <w:vAlign w:val="bottom"/>
          </w:tcPr>
          <w:p w14:paraId="5A1B0AD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D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D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D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ADD" w14:textId="77777777" w:rsidR="00960BB8" w:rsidRDefault="00960BB8">
            <w:pPr>
              <w:rPr>
                <w:rFonts w:ascii="宋体"/>
              </w:rPr>
            </w:pPr>
          </w:p>
        </w:tc>
      </w:tr>
    </w:tbl>
    <w:p w14:paraId="5A1B0ADF" w14:textId="77777777" w:rsidR="00960BB8" w:rsidRDefault="00960BB8">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AE9" w14:textId="77777777">
        <w:tc>
          <w:tcPr>
            <w:tcW w:w="50" w:type="pct"/>
            <w:shd w:val="clear" w:color="auto" w:fill="auto"/>
            <w:vAlign w:val="bottom"/>
          </w:tcPr>
          <w:p w14:paraId="5A1B0AE0" w14:textId="77777777" w:rsidR="00960BB8" w:rsidRDefault="00960BB8">
            <w:pPr>
              <w:rPr>
                <w:rFonts w:ascii="宋体"/>
              </w:rPr>
            </w:pPr>
          </w:p>
        </w:tc>
        <w:tc>
          <w:tcPr>
            <w:tcW w:w="283" w:type="pct"/>
            <w:shd w:val="clear" w:color="auto" w:fill="auto"/>
            <w:vAlign w:val="bottom"/>
          </w:tcPr>
          <w:p w14:paraId="5A1B0AE1" w14:textId="77777777" w:rsidR="00960BB8" w:rsidRDefault="00960BB8">
            <w:pPr>
              <w:rPr>
                <w:rFonts w:ascii="宋体"/>
              </w:rPr>
            </w:pPr>
          </w:p>
        </w:tc>
        <w:tc>
          <w:tcPr>
            <w:tcW w:w="5" w:type="pct"/>
            <w:shd w:val="clear" w:color="auto" w:fill="auto"/>
            <w:vAlign w:val="bottom"/>
          </w:tcPr>
          <w:p w14:paraId="5A1B0AE2" w14:textId="77777777" w:rsidR="00960BB8" w:rsidRDefault="00960BB8">
            <w:pPr>
              <w:rPr>
                <w:rFonts w:ascii="宋体"/>
              </w:rPr>
            </w:pPr>
          </w:p>
        </w:tc>
        <w:tc>
          <w:tcPr>
            <w:tcW w:w="50" w:type="pct"/>
            <w:shd w:val="clear" w:color="auto" w:fill="auto"/>
            <w:vAlign w:val="bottom"/>
          </w:tcPr>
          <w:p w14:paraId="5A1B0AE3" w14:textId="77777777" w:rsidR="00960BB8" w:rsidRDefault="00960BB8">
            <w:pPr>
              <w:rPr>
                <w:rFonts w:ascii="宋体"/>
              </w:rPr>
            </w:pPr>
          </w:p>
        </w:tc>
        <w:tc>
          <w:tcPr>
            <w:tcW w:w="2656" w:type="pct"/>
            <w:shd w:val="clear" w:color="auto" w:fill="auto"/>
            <w:vAlign w:val="bottom"/>
          </w:tcPr>
          <w:p w14:paraId="5A1B0AE4" w14:textId="77777777" w:rsidR="00960BB8" w:rsidRDefault="00960BB8">
            <w:pPr>
              <w:rPr>
                <w:rFonts w:ascii="宋体"/>
              </w:rPr>
            </w:pPr>
          </w:p>
        </w:tc>
        <w:tc>
          <w:tcPr>
            <w:tcW w:w="5" w:type="pct"/>
            <w:shd w:val="clear" w:color="auto" w:fill="auto"/>
            <w:vAlign w:val="bottom"/>
          </w:tcPr>
          <w:p w14:paraId="5A1B0AE5" w14:textId="77777777" w:rsidR="00960BB8" w:rsidRDefault="00960BB8">
            <w:pPr>
              <w:rPr>
                <w:rFonts w:ascii="宋体"/>
              </w:rPr>
            </w:pPr>
          </w:p>
        </w:tc>
        <w:tc>
          <w:tcPr>
            <w:tcW w:w="50" w:type="pct"/>
            <w:shd w:val="clear" w:color="auto" w:fill="auto"/>
            <w:vAlign w:val="bottom"/>
          </w:tcPr>
          <w:p w14:paraId="5A1B0AE6" w14:textId="77777777" w:rsidR="00960BB8" w:rsidRDefault="00960BB8">
            <w:pPr>
              <w:rPr>
                <w:rFonts w:ascii="宋体"/>
              </w:rPr>
            </w:pPr>
          </w:p>
        </w:tc>
        <w:tc>
          <w:tcPr>
            <w:tcW w:w="1894" w:type="pct"/>
            <w:shd w:val="clear" w:color="auto" w:fill="auto"/>
            <w:vAlign w:val="bottom"/>
          </w:tcPr>
          <w:p w14:paraId="5A1B0AE7" w14:textId="77777777" w:rsidR="00960BB8" w:rsidRDefault="00960BB8">
            <w:pPr>
              <w:rPr>
                <w:rFonts w:ascii="宋体"/>
              </w:rPr>
            </w:pPr>
          </w:p>
        </w:tc>
        <w:tc>
          <w:tcPr>
            <w:tcW w:w="5" w:type="pct"/>
            <w:shd w:val="clear" w:color="auto" w:fill="auto"/>
            <w:vAlign w:val="bottom"/>
          </w:tcPr>
          <w:p w14:paraId="5A1B0AE8" w14:textId="77777777" w:rsidR="00960BB8" w:rsidRDefault="00960BB8">
            <w:pPr>
              <w:rPr>
                <w:rFonts w:ascii="宋体"/>
              </w:rPr>
            </w:pPr>
          </w:p>
        </w:tc>
      </w:tr>
      <w:tr w:rsidR="00960BB8" w14:paraId="5A1B0AE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AEA"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54" wp14:editId="5A1B4455">
                  <wp:extent cx="304800" cy="304800"/>
                  <wp:effectExtent l="0" t="0" r="0" b="0"/>
                  <wp:docPr id="114" name="图片 22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2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AEB"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AEC" w14:textId="77777777" w:rsidR="00960BB8" w:rsidRDefault="00C06650">
            <w:pPr>
              <w:jc w:val="right"/>
              <w:textAlignment w:val="center"/>
            </w:pPr>
            <w:r>
              <w:rPr>
                <w:rFonts w:ascii="Arial" w:eastAsia="宋体" w:hAnsi="Arial" w:cs="Arial"/>
                <w:color w:val="262626"/>
                <w:sz w:val="16"/>
                <w:szCs w:val="16"/>
              </w:rPr>
              <w:t>70</w:t>
            </w:r>
          </w:p>
        </w:tc>
      </w:tr>
    </w:tbl>
    <w:p w14:paraId="5A1B0AEE" w14:textId="77777777" w:rsidR="00960BB8" w:rsidRDefault="00C06650">
      <w:r>
        <w:pict w14:anchorId="5A1B4456">
          <v:rect id="_x0000_i1096" style="width:415.3pt;height:1.5pt" o:hralign="center" o:hrstd="t" o:hr="t" fillcolor="#a0a0a0" stroked="f"/>
        </w:pict>
      </w:r>
    </w:p>
    <w:p w14:paraId="5A1B0AEF" w14:textId="77777777" w:rsidR="00960BB8" w:rsidRDefault="00C06650">
      <w:pPr>
        <w:jc w:val="right"/>
      </w:pPr>
      <w:hyperlink r:id="rId89" w:anchor="i8aaa7b4dbd2e419ca0f5c30af85a11aa_16" w:history="1">
        <w:r>
          <w:rPr>
            <w:rStyle w:val="a5"/>
            <w:rFonts w:ascii="Arial" w:eastAsia="宋体" w:hAnsi="Arial" w:cs="Arial"/>
            <w:b/>
            <w:bCs/>
            <w:sz w:val="16"/>
            <w:szCs w:val="16"/>
          </w:rPr>
          <w:t>Table of Contents</w:t>
        </w:r>
      </w:hyperlink>
    </w:p>
    <w:p w14:paraId="5A1B0AF0"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70"/>
        <w:gridCol w:w="1535"/>
        <w:gridCol w:w="36"/>
        <w:gridCol w:w="36"/>
        <w:gridCol w:w="36"/>
        <w:gridCol w:w="36"/>
        <w:gridCol w:w="54"/>
        <w:gridCol w:w="244"/>
        <w:gridCol w:w="36"/>
        <w:gridCol w:w="36"/>
        <w:gridCol w:w="36"/>
        <w:gridCol w:w="36"/>
        <w:gridCol w:w="39"/>
        <w:gridCol w:w="6070"/>
        <w:gridCol w:w="36"/>
      </w:tblGrid>
      <w:tr w:rsidR="00960BB8" w14:paraId="5A1B0B00" w14:textId="77777777">
        <w:tc>
          <w:tcPr>
            <w:tcW w:w="50" w:type="pct"/>
            <w:shd w:val="clear" w:color="auto" w:fill="auto"/>
            <w:vAlign w:val="bottom"/>
          </w:tcPr>
          <w:p w14:paraId="5A1B0AF1" w14:textId="77777777" w:rsidR="00960BB8" w:rsidRDefault="00960BB8">
            <w:pPr>
              <w:rPr>
                <w:rFonts w:ascii="宋体"/>
              </w:rPr>
            </w:pPr>
          </w:p>
        </w:tc>
        <w:tc>
          <w:tcPr>
            <w:tcW w:w="942" w:type="pct"/>
            <w:shd w:val="clear" w:color="auto" w:fill="auto"/>
            <w:vAlign w:val="bottom"/>
          </w:tcPr>
          <w:p w14:paraId="5A1B0AF2" w14:textId="77777777" w:rsidR="00960BB8" w:rsidRDefault="00960BB8">
            <w:pPr>
              <w:rPr>
                <w:rFonts w:ascii="宋体"/>
              </w:rPr>
            </w:pPr>
          </w:p>
        </w:tc>
        <w:tc>
          <w:tcPr>
            <w:tcW w:w="5" w:type="pct"/>
            <w:shd w:val="clear" w:color="auto" w:fill="auto"/>
            <w:vAlign w:val="bottom"/>
          </w:tcPr>
          <w:p w14:paraId="5A1B0AF3" w14:textId="77777777" w:rsidR="00960BB8" w:rsidRDefault="00960BB8">
            <w:pPr>
              <w:rPr>
                <w:rFonts w:ascii="宋体"/>
              </w:rPr>
            </w:pPr>
          </w:p>
        </w:tc>
        <w:tc>
          <w:tcPr>
            <w:tcW w:w="5" w:type="pct"/>
            <w:shd w:val="clear" w:color="auto" w:fill="auto"/>
            <w:vAlign w:val="bottom"/>
          </w:tcPr>
          <w:p w14:paraId="5A1B0AF4" w14:textId="77777777" w:rsidR="00960BB8" w:rsidRDefault="00960BB8">
            <w:pPr>
              <w:rPr>
                <w:rFonts w:ascii="宋体"/>
              </w:rPr>
            </w:pPr>
          </w:p>
        </w:tc>
        <w:tc>
          <w:tcPr>
            <w:tcW w:w="24" w:type="pct"/>
            <w:shd w:val="clear" w:color="auto" w:fill="auto"/>
            <w:vAlign w:val="bottom"/>
          </w:tcPr>
          <w:p w14:paraId="5A1B0AF5" w14:textId="77777777" w:rsidR="00960BB8" w:rsidRDefault="00960BB8">
            <w:pPr>
              <w:rPr>
                <w:rFonts w:ascii="宋体"/>
              </w:rPr>
            </w:pPr>
          </w:p>
        </w:tc>
        <w:tc>
          <w:tcPr>
            <w:tcW w:w="5" w:type="pct"/>
            <w:shd w:val="clear" w:color="auto" w:fill="auto"/>
            <w:vAlign w:val="bottom"/>
          </w:tcPr>
          <w:p w14:paraId="5A1B0AF6" w14:textId="77777777" w:rsidR="00960BB8" w:rsidRDefault="00960BB8">
            <w:pPr>
              <w:rPr>
                <w:rFonts w:ascii="宋体"/>
              </w:rPr>
            </w:pPr>
          </w:p>
        </w:tc>
        <w:tc>
          <w:tcPr>
            <w:tcW w:w="50" w:type="pct"/>
            <w:shd w:val="clear" w:color="auto" w:fill="auto"/>
            <w:vAlign w:val="bottom"/>
          </w:tcPr>
          <w:p w14:paraId="5A1B0AF7" w14:textId="77777777" w:rsidR="00960BB8" w:rsidRDefault="00960BB8">
            <w:pPr>
              <w:rPr>
                <w:rFonts w:ascii="宋体"/>
              </w:rPr>
            </w:pPr>
          </w:p>
        </w:tc>
        <w:tc>
          <w:tcPr>
            <w:tcW w:w="170" w:type="pct"/>
            <w:shd w:val="clear" w:color="auto" w:fill="auto"/>
            <w:vAlign w:val="bottom"/>
          </w:tcPr>
          <w:p w14:paraId="5A1B0AF8" w14:textId="77777777" w:rsidR="00960BB8" w:rsidRDefault="00960BB8">
            <w:pPr>
              <w:rPr>
                <w:rFonts w:ascii="宋体"/>
              </w:rPr>
            </w:pPr>
          </w:p>
        </w:tc>
        <w:tc>
          <w:tcPr>
            <w:tcW w:w="5" w:type="pct"/>
            <w:shd w:val="clear" w:color="auto" w:fill="auto"/>
            <w:vAlign w:val="bottom"/>
          </w:tcPr>
          <w:p w14:paraId="5A1B0AF9" w14:textId="77777777" w:rsidR="00960BB8" w:rsidRDefault="00960BB8">
            <w:pPr>
              <w:rPr>
                <w:rFonts w:ascii="宋体"/>
              </w:rPr>
            </w:pPr>
          </w:p>
        </w:tc>
        <w:tc>
          <w:tcPr>
            <w:tcW w:w="5" w:type="pct"/>
            <w:shd w:val="clear" w:color="auto" w:fill="auto"/>
            <w:vAlign w:val="bottom"/>
          </w:tcPr>
          <w:p w14:paraId="5A1B0AFA" w14:textId="77777777" w:rsidR="00960BB8" w:rsidRDefault="00960BB8">
            <w:pPr>
              <w:rPr>
                <w:rFonts w:ascii="宋体"/>
              </w:rPr>
            </w:pPr>
          </w:p>
        </w:tc>
        <w:tc>
          <w:tcPr>
            <w:tcW w:w="24" w:type="pct"/>
            <w:shd w:val="clear" w:color="auto" w:fill="auto"/>
            <w:vAlign w:val="bottom"/>
          </w:tcPr>
          <w:p w14:paraId="5A1B0AFB" w14:textId="77777777" w:rsidR="00960BB8" w:rsidRDefault="00960BB8">
            <w:pPr>
              <w:rPr>
                <w:rFonts w:ascii="宋体"/>
              </w:rPr>
            </w:pPr>
          </w:p>
        </w:tc>
        <w:tc>
          <w:tcPr>
            <w:tcW w:w="5" w:type="pct"/>
            <w:shd w:val="clear" w:color="auto" w:fill="auto"/>
            <w:vAlign w:val="bottom"/>
          </w:tcPr>
          <w:p w14:paraId="5A1B0AFC" w14:textId="77777777" w:rsidR="00960BB8" w:rsidRDefault="00960BB8">
            <w:pPr>
              <w:rPr>
                <w:rFonts w:ascii="宋体"/>
              </w:rPr>
            </w:pPr>
          </w:p>
        </w:tc>
        <w:tc>
          <w:tcPr>
            <w:tcW w:w="50" w:type="pct"/>
            <w:shd w:val="clear" w:color="auto" w:fill="auto"/>
            <w:vAlign w:val="bottom"/>
          </w:tcPr>
          <w:p w14:paraId="5A1B0AFD" w14:textId="77777777" w:rsidR="00960BB8" w:rsidRDefault="00960BB8">
            <w:pPr>
              <w:rPr>
                <w:rFonts w:ascii="宋体"/>
              </w:rPr>
            </w:pPr>
          </w:p>
        </w:tc>
        <w:tc>
          <w:tcPr>
            <w:tcW w:w="3654" w:type="pct"/>
            <w:shd w:val="clear" w:color="auto" w:fill="auto"/>
            <w:vAlign w:val="bottom"/>
          </w:tcPr>
          <w:p w14:paraId="5A1B0AFE" w14:textId="77777777" w:rsidR="00960BB8" w:rsidRDefault="00960BB8">
            <w:pPr>
              <w:rPr>
                <w:rFonts w:ascii="宋体"/>
              </w:rPr>
            </w:pPr>
          </w:p>
        </w:tc>
        <w:tc>
          <w:tcPr>
            <w:tcW w:w="5" w:type="pct"/>
            <w:shd w:val="clear" w:color="auto" w:fill="auto"/>
            <w:vAlign w:val="bottom"/>
          </w:tcPr>
          <w:p w14:paraId="5A1B0AFF" w14:textId="77777777" w:rsidR="00960BB8" w:rsidRDefault="00960BB8">
            <w:pPr>
              <w:rPr>
                <w:rFonts w:ascii="宋体"/>
              </w:rPr>
            </w:pPr>
          </w:p>
        </w:tc>
      </w:tr>
      <w:tr w:rsidR="00960BB8" w14:paraId="5A1B0B06" w14:textId="77777777">
        <w:trPr>
          <w:trHeight w:val="100"/>
        </w:trPr>
        <w:tc>
          <w:tcPr>
            <w:tcW w:w="0" w:type="auto"/>
            <w:gridSpan w:val="3"/>
            <w:shd w:val="clear" w:color="auto" w:fill="auto"/>
            <w:tcMar>
              <w:top w:w="0" w:type="dxa"/>
              <w:left w:w="20" w:type="dxa"/>
              <w:bottom w:w="0" w:type="dxa"/>
              <w:right w:w="20" w:type="dxa"/>
            </w:tcMar>
            <w:vAlign w:val="bottom"/>
          </w:tcPr>
          <w:p w14:paraId="5A1B0B0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0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0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0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05" w14:textId="77777777" w:rsidR="00960BB8" w:rsidRDefault="00960BB8">
            <w:pPr>
              <w:rPr>
                <w:rFonts w:ascii="宋体"/>
              </w:rPr>
            </w:pPr>
          </w:p>
        </w:tc>
      </w:tr>
      <w:tr w:rsidR="00960BB8" w14:paraId="5A1B0B0C" w14:textId="77777777">
        <w:trPr>
          <w:trHeight w:val="28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B07" w14:textId="77777777" w:rsidR="00960BB8" w:rsidRDefault="00C06650">
            <w:pPr>
              <w:textAlignment w:val="bottom"/>
            </w:pPr>
            <w:r>
              <w:rPr>
                <w:rFonts w:ascii="Arial" w:eastAsia="宋体" w:hAnsi="Arial" w:cs="Arial"/>
                <w:color w:val="262626"/>
                <w:sz w:val="18"/>
                <w:szCs w:val="18"/>
              </w:rPr>
              <w:t>Christoph Schell</w:t>
            </w:r>
          </w:p>
        </w:tc>
        <w:tc>
          <w:tcPr>
            <w:tcW w:w="0" w:type="auto"/>
            <w:gridSpan w:val="3"/>
            <w:shd w:val="clear" w:color="auto" w:fill="auto"/>
            <w:tcMar>
              <w:top w:w="0" w:type="dxa"/>
              <w:left w:w="20" w:type="dxa"/>
              <w:bottom w:w="0" w:type="dxa"/>
              <w:right w:w="20" w:type="dxa"/>
            </w:tcMar>
            <w:vAlign w:val="bottom"/>
          </w:tcPr>
          <w:p w14:paraId="5A1B0B08"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B09" w14:textId="77777777" w:rsidR="00960BB8" w:rsidRDefault="00C06650">
            <w:pPr>
              <w:textAlignment w:val="bottom"/>
            </w:pPr>
            <w:r>
              <w:rPr>
                <w:rFonts w:ascii="Arial" w:eastAsia="宋体" w:hAnsi="Arial" w:cs="Arial"/>
                <w:color w:val="262626"/>
                <w:sz w:val="18"/>
                <w:szCs w:val="18"/>
              </w:rPr>
              <w:t>51</w:t>
            </w:r>
          </w:p>
        </w:tc>
        <w:tc>
          <w:tcPr>
            <w:tcW w:w="0" w:type="auto"/>
            <w:gridSpan w:val="3"/>
            <w:shd w:val="clear" w:color="auto" w:fill="auto"/>
            <w:tcMar>
              <w:top w:w="0" w:type="dxa"/>
              <w:left w:w="20" w:type="dxa"/>
              <w:bottom w:w="0" w:type="dxa"/>
              <w:right w:w="20" w:type="dxa"/>
            </w:tcMar>
            <w:vAlign w:val="bottom"/>
          </w:tcPr>
          <w:p w14:paraId="5A1B0B0A" w14:textId="77777777" w:rsidR="00960BB8" w:rsidRDefault="00960BB8">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5A1B0B0B" w14:textId="77777777" w:rsidR="00960BB8" w:rsidRDefault="00C06650">
            <w:pPr>
              <w:textAlignment w:val="top"/>
            </w:pPr>
            <w:r>
              <w:rPr>
                <w:rFonts w:ascii="Arial" w:eastAsia="宋体" w:hAnsi="Arial" w:cs="Arial"/>
                <w:color w:val="262626"/>
                <w:sz w:val="18"/>
                <w:szCs w:val="18"/>
              </w:rPr>
              <w:t xml:space="preserve">Mr. Schell has been our </w:t>
            </w:r>
            <w:r>
              <w:rPr>
                <w:rFonts w:ascii="Arial" w:eastAsia="宋体" w:hAnsi="Arial" w:cs="Arial"/>
                <w:color w:val="262626"/>
                <w:sz w:val="18"/>
                <w:szCs w:val="18"/>
              </w:rPr>
              <w:t>Executive Vice President and Chief Commercial Officer since March 2022. In his role, he oversees Intel’s global sales, business management, marketing, communications, corporate planning, customer support, and customer success teams, leading the company’s e</w:t>
            </w:r>
            <w:r>
              <w:rPr>
                <w:rFonts w:ascii="Arial" w:eastAsia="宋体" w:hAnsi="Arial" w:cs="Arial"/>
                <w:color w:val="262626"/>
                <w:sz w:val="18"/>
                <w:szCs w:val="18"/>
              </w:rPr>
              <w:t>fforts to foster innovative go-to-market approaches that broaden Intel’s business opportunities and deepen customer and partner relationships and outcomes worldwide. Prior to joining Intel, Mr. Schell served as the Chief Commercial Officer of HP Inc., an A</w:t>
            </w:r>
            <w:r>
              <w:rPr>
                <w:rFonts w:ascii="Arial" w:eastAsia="宋体" w:hAnsi="Arial" w:cs="Arial"/>
                <w:color w:val="262626"/>
                <w:sz w:val="18"/>
                <w:szCs w:val="18"/>
              </w:rPr>
              <w:t>merican multinational information technology company, from November 2019 to March 2022. During his 25 years with HP, Mr. Schell held various senior management roles across the globe, including President of 3D Printing and Digital Manufacturing from Novembe</w:t>
            </w:r>
            <w:r>
              <w:rPr>
                <w:rFonts w:ascii="Arial" w:eastAsia="宋体" w:hAnsi="Arial" w:cs="Arial"/>
                <w:color w:val="262626"/>
                <w:sz w:val="18"/>
                <w:szCs w:val="18"/>
              </w:rPr>
              <w:t>r 2018 to October 2019 and President of the Americas region from November 2015 to November 2018. Prior to rejoining HP in 2014, Mr. Schell served as Executive Vice President of Growth Markets for Philips, a lighting solutions company, where he led the ligh</w:t>
            </w:r>
            <w:r>
              <w:rPr>
                <w:rFonts w:ascii="Arial" w:eastAsia="宋体" w:hAnsi="Arial" w:cs="Arial"/>
                <w:color w:val="262626"/>
                <w:sz w:val="18"/>
                <w:szCs w:val="18"/>
              </w:rPr>
              <w:t>ting business across Asia Pacific, Japan, Africa, Russia, India, Central Asia, and the Middle East. He started his career in his family’s distribution and industrial solutions company before working in brand management at Procter &amp; Gamble.</w:t>
            </w:r>
          </w:p>
        </w:tc>
      </w:tr>
      <w:tr w:rsidR="00960BB8" w14:paraId="5A1B0B12" w14:textId="77777777">
        <w:trPr>
          <w:trHeight w:val="820"/>
        </w:trPr>
        <w:tc>
          <w:tcPr>
            <w:tcW w:w="0" w:type="auto"/>
            <w:gridSpan w:val="3"/>
            <w:shd w:val="clear" w:color="auto" w:fill="auto"/>
            <w:tcMar>
              <w:top w:w="40" w:type="dxa"/>
              <w:left w:w="20" w:type="dxa"/>
              <w:bottom w:w="40" w:type="dxa"/>
              <w:right w:w="20" w:type="dxa"/>
            </w:tcMar>
            <w:vAlign w:val="bottom"/>
          </w:tcPr>
          <w:p w14:paraId="5A1B0B0D" w14:textId="77777777" w:rsidR="00960BB8" w:rsidRDefault="00C06650">
            <w:pPr>
              <w:textAlignment w:val="bottom"/>
            </w:pPr>
            <w:r>
              <w:rPr>
                <w:rFonts w:ascii="Arial" w:eastAsia="宋体" w:hAnsi="Arial" w:cs="Arial"/>
                <w:i/>
                <w:iCs/>
                <w:color w:val="262626"/>
                <w:sz w:val="18"/>
                <w:szCs w:val="18"/>
              </w:rPr>
              <w:t>Executive Vice President and Chief Commercial Officer, Sales, Marketing and Communications</w:t>
            </w:r>
          </w:p>
        </w:tc>
        <w:tc>
          <w:tcPr>
            <w:tcW w:w="0" w:type="auto"/>
            <w:gridSpan w:val="3"/>
            <w:shd w:val="clear" w:color="auto" w:fill="auto"/>
            <w:tcMar>
              <w:top w:w="0" w:type="dxa"/>
              <w:left w:w="20" w:type="dxa"/>
              <w:bottom w:w="0" w:type="dxa"/>
              <w:right w:w="20" w:type="dxa"/>
            </w:tcMar>
            <w:vAlign w:val="bottom"/>
          </w:tcPr>
          <w:p w14:paraId="5A1B0B0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0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10"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B11" w14:textId="77777777" w:rsidR="00960BB8" w:rsidRDefault="00960BB8">
            <w:pPr>
              <w:rPr>
                <w:rFonts w:ascii="宋体"/>
              </w:rPr>
            </w:pPr>
          </w:p>
        </w:tc>
      </w:tr>
      <w:tr w:rsidR="00960BB8" w14:paraId="5A1B0B18" w14:textId="77777777">
        <w:trPr>
          <w:trHeight w:val="300"/>
        </w:trPr>
        <w:tc>
          <w:tcPr>
            <w:tcW w:w="0" w:type="auto"/>
            <w:gridSpan w:val="3"/>
            <w:shd w:val="clear" w:color="auto" w:fill="auto"/>
            <w:tcMar>
              <w:top w:w="0" w:type="dxa"/>
              <w:left w:w="20" w:type="dxa"/>
              <w:bottom w:w="0" w:type="dxa"/>
              <w:right w:w="20" w:type="dxa"/>
            </w:tcMar>
            <w:vAlign w:val="bottom"/>
          </w:tcPr>
          <w:p w14:paraId="5A1B0B1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1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1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16"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B17" w14:textId="77777777" w:rsidR="00960BB8" w:rsidRDefault="00960BB8">
            <w:pPr>
              <w:rPr>
                <w:rFonts w:ascii="宋体"/>
              </w:rPr>
            </w:pPr>
          </w:p>
        </w:tc>
      </w:tr>
      <w:tr w:rsidR="00960BB8" w14:paraId="5A1B0B1E" w14:textId="77777777">
        <w:trPr>
          <w:trHeight w:val="1660"/>
        </w:trPr>
        <w:tc>
          <w:tcPr>
            <w:tcW w:w="0" w:type="auto"/>
            <w:gridSpan w:val="3"/>
            <w:shd w:val="clear" w:color="auto" w:fill="auto"/>
            <w:tcMar>
              <w:top w:w="0" w:type="dxa"/>
              <w:left w:w="20" w:type="dxa"/>
              <w:bottom w:w="0" w:type="dxa"/>
              <w:right w:w="20" w:type="dxa"/>
            </w:tcMar>
            <w:vAlign w:val="bottom"/>
          </w:tcPr>
          <w:p w14:paraId="5A1B0B1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1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1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1C"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B1D" w14:textId="77777777" w:rsidR="00960BB8" w:rsidRDefault="00960BB8">
            <w:pPr>
              <w:rPr>
                <w:rFonts w:ascii="宋体"/>
              </w:rPr>
            </w:pPr>
          </w:p>
        </w:tc>
      </w:tr>
      <w:tr w:rsidR="00960BB8" w14:paraId="5A1B0B24" w14:textId="77777777">
        <w:trPr>
          <w:trHeight w:val="120"/>
        </w:trPr>
        <w:tc>
          <w:tcPr>
            <w:tcW w:w="0" w:type="auto"/>
            <w:gridSpan w:val="3"/>
            <w:shd w:val="clear" w:color="auto" w:fill="auto"/>
            <w:tcMar>
              <w:top w:w="0" w:type="dxa"/>
              <w:left w:w="20" w:type="dxa"/>
              <w:bottom w:w="0" w:type="dxa"/>
              <w:right w:w="20" w:type="dxa"/>
            </w:tcMar>
            <w:vAlign w:val="bottom"/>
          </w:tcPr>
          <w:p w14:paraId="5A1B0B1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2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2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2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23" w14:textId="77777777" w:rsidR="00960BB8" w:rsidRDefault="00960BB8">
            <w:pPr>
              <w:rPr>
                <w:rFonts w:ascii="宋体"/>
              </w:rPr>
            </w:pPr>
          </w:p>
        </w:tc>
      </w:tr>
      <w:tr w:rsidR="00960BB8" w14:paraId="5A1B0B2A"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B25" w14:textId="77777777" w:rsidR="00960BB8" w:rsidRDefault="00C06650">
            <w:pPr>
              <w:textAlignment w:val="bottom"/>
            </w:pPr>
            <w:r>
              <w:rPr>
                <w:rFonts w:ascii="Arial" w:eastAsia="宋体" w:hAnsi="Arial" w:cs="Arial"/>
                <w:color w:val="262626"/>
                <w:sz w:val="18"/>
                <w:szCs w:val="18"/>
              </w:rPr>
              <w:t>David Zinsner</w:t>
            </w:r>
          </w:p>
        </w:tc>
        <w:tc>
          <w:tcPr>
            <w:tcW w:w="0" w:type="auto"/>
            <w:gridSpan w:val="3"/>
            <w:shd w:val="clear" w:color="auto" w:fill="auto"/>
            <w:tcMar>
              <w:top w:w="0" w:type="dxa"/>
              <w:left w:w="20" w:type="dxa"/>
              <w:bottom w:w="0" w:type="dxa"/>
              <w:right w:w="20" w:type="dxa"/>
            </w:tcMar>
            <w:vAlign w:val="bottom"/>
          </w:tcPr>
          <w:p w14:paraId="5A1B0B26"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B27" w14:textId="77777777" w:rsidR="00960BB8" w:rsidRDefault="00C06650">
            <w:pPr>
              <w:textAlignment w:val="bottom"/>
            </w:pPr>
            <w:r>
              <w:rPr>
                <w:rFonts w:ascii="Arial" w:eastAsia="宋体" w:hAnsi="Arial" w:cs="Arial"/>
                <w:color w:val="262626"/>
                <w:sz w:val="18"/>
                <w:szCs w:val="18"/>
              </w:rPr>
              <w:t>54</w:t>
            </w:r>
          </w:p>
        </w:tc>
        <w:tc>
          <w:tcPr>
            <w:tcW w:w="0" w:type="auto"/>
            <w:gridSpan w:val="3"/>
            <w:shd w:val="clear" w:color="auto" w:fill="auto"/>
            <w:tcMar>
              <w:top w:w="0" w:type="dxa"/>
              <w:left w:w="20" w:type="dxa"/>
              <w:bottom w:w="0" w:type="dxa"/>
              <w:right w:w="20" w:type="dxa"/>
            </w:tcMar>
            <w:vAlign w:val="bottom"/>
          </w:tcPr>
          <w:p w14:paraId="5A1B0B28" w14:textId="77777777" w:rsidR="00960BB8" w:rsidRDefault="00960BB8">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5A1B0B29" w14:textId="77777777" w:rsidR="00960BB8" w:rsidRDefault="00C06650">
            <w:pPr>
              <w:textAlignment w:val="top"/>
            </w:pPr>
            <w:r>
              <w:rPr>
                <w:rFonts w:ascii="Arial" w:eastAsia="宋体" w:hAnsi="Arial" w:cs="Arial"/>
                <w:color w:val="262626"/>
                <w:sz w:val="18"/>
                <w:szCs w:val="18"/>
              </w:rPr>
              <w:t xml:space="preserve">Mr. Zinsner has been our Executive Vice President and Chief Financial Officer since January 2022, overseeing our </w:t>
            </w:r>
            <w:r>
              <w:rPr>
                <w:rFonts w:ascii="Arial" w:eastAsia="宋体" w:hAnsi="Arial" w:cs="Arial"/>
                <w:color w:val="262626"/>
                <w:sz w:val="18"/>
                <w:szCs w:val="18"/>
              </w:rPr>
              <w:t>global finance organization. He joined Intel from Micron Technology, Inc., a manufacturer of memory and storage products, where he most recently served as Executive Vice President and Chief Financial Officer. From February 2018 to October 2021, he served a</w:t>
            </w:r>
            <w:r>
              <w:rPr>
                <w:rFonts w:ascii="Arial" w:eastAsia="宋体" w:hAnsi="Arial" w:cs="Arial"/>
                <w:color w:val="262626"/>
                <w:sz w:val="18"/>
                <w:szCs w:val="18"/>
              </w:rPr>
              <w:t>s Senior Vice President and Chief Financial Officer of Micron. From April 2017 to February 2018, he served as President and Chief Operating Officer of Affirmed Networks, Inc. From January 2009 to April 2017, he served as Senior Vice President of Finance an</w:t>
            </w:r>
            <w:r>
              <w:rPr>
                <w:rFonts w:ascii="Arial" w:eastAsia="宋体" w:hAnsi="Arial" w:cs="Arial"/>
                <w:color w:val="262626"/>
                <w:sz w:val="18"/>
                <w:szCs w:val="18"/>
              </w:rPr>
              <w:t>d Chief Financial Officer of Analog Devices, Inc. From July 2005 to January 2009, Mr. Zinsner served as Senior Vice President and Chief Financial Officer of Intersil Corporation.</w:t>
            </w:r>
          </w:p>
        </w:tc>
      </w:tr>
      <w:tr w:rsidR="00960BB8" w14:paraId="5A1B0B30" w14:textId="77777777">
        <w:trPr>
          <w:trHeight w:val="720"/>
        </w:trPr>
        <w:tc>
          <w:tcPr>
            <w:tcW w:w="0" w:type="auto"/>
            <w:gridSpan w:val="3"/>
            <w:shd w:val="clear" w:color="auto" w:fill="auto"/>
            <w:tcMar>
              <w:top w:w="40" w:type="dxa"/>
              <w:left w:w="20" w:type="dxa"/>
              <w:bottom w:w="40" w:type="dxa"/>
              <w:right w:w="20" w:type="dxa"/>
            </w:tcMar>
          </w:tcPr>
          <w:p w14:paraId="5A1B0B2B" w14:textId="77777777" w:rsidR="00960BB8" w:rsidRDefault="00C06650">
            <w:pPr>
              <w:textAlignment w:val="top"/>
            </w:pPr>
            <w:r>
              <w:rPr>
                <w:rFonts w:ascii="Arial" w:eastAsia="宋体" w:hAnsi="Arial" w:cs="Arial"/>
                <w:i/>
                <w:iCs/>
                <w:color w:val="262626"/>
                <w:sz w:val="18"/>
                <w:szCs w:val="18"/>
              </w:rPr>
              <w:t>Executive Vice President and Chief Financial Officer</w:t>
            </w:r>
          </w:p>
        </w:tc>
        <w:tc>
          <w:tcPr>
            <w:tcW w:w="0" w:type="auto"/>
            <w:gridSpan w:val="3"/>
            <w:shd w:val="clear" w:color="auto" w:fill="auto"/>
            <w:tcMar>
              <w:top w:w="0" w:type="dxa"/>
              <w:left w:w="20" w:type="dxa"/>
              <w:bottom w:w="0" w:type="dxa"/>
              <w:right w:w="20" w:type="dxa"/>
            </w:tcMar>
            <w:vAlign w:val="bottom"/>
          </w:tcPr>
          <w:p w14:paraId="5A1B0B2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2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2E"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B2F" w14:textId="77777777" w:rsidR="00960BB8" w:rsidRDefault="00960BB8">
            <w:pPr>
              <w:rPr>
                <w:rFonts w:ascii="宋体"/>
              </w:rPr>
            </w:pPr>
          </w:p>
        </w:tc>
      </w:tr>
      <w:tr w:rsidR="00960BB8" w14:paraId="5A1B0B36" w14:textId="77777777">
        <w:trPr>
          <w:trHeight w:val="300"/>
        </w:trPr>
        <w:tc>
          <w:tcPr>
            <w:tcW w:w="0" w:type="auto"/>
            <w:gridSpan w:val="3"/>
            <w:shd w:val="clear" w:color="auto" w:fill="auto"/>
            <w:tcMar>
              <w:top w:w="0" w:type="dxa"/>
              <w:left w:w="20" w:type="dxa"/>
              <w:bottom w:w="0" w:type="dxa"/>
              <w:right w:w="20" w:type="dxa"/>
            </w:tcMar>
            <w:vAlign w:val="bottom"/>
          </w:tcPr>
          <w:p w14:paraId="5A1B0B3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3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3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34"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B35" w14:textId="77777777" w:rsidR="00960BB8" w:rsidRDefault="00960BB8">
            <w:pPr>
              <w:rPr>
                <w:rFonts w:ascii="宋体"/>
              </w:rPr>
            </w:pPr>
          </w:p>
        </w:tc>
      </w:tr>
      <w:tr w:rsidR="00960BB8" w14:paraId="5A1B0B3C" w14:textId="77777777">
        <w:trPr>
          <w:trHeight w:val="700"/>
        </w:trPr>
        <w:tc>
          <w:tcPr>
            <w:tcW w:w="0" w:type="auto"/>
            <w:gridSpan w:val="3"/>
            <w:shd w:val="clear" w:color="auto" w:fill="auto"/>
            <w:tcMar>
              <w:top w:w="0" w:type="dxa"/>
              <w:left w:w="20" w:type="dxa"/>
              <w:bottom w:w="0" w:type="dxa"/>
              <w:right w:w="20" w:type="dxa"/>
            </w:tcMar>
            <w:vAlign w:val="bottom"/>
          </w:tcPr>
          <w:p w14:paraId="5A1B0B3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3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3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3A" w14:textId="77777777" w:rsidR="00960BB8" w:rsidRDefault="00960BB8">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5A1B0B3B" w14:textId="77777777" w:rsidR="00960BB8" w:rsidRDefault="00960BB8">
            <w:pPr>
              <w:rPr>
                <w:rFonts w:ascii="宋体"/>
              </w:rPr>
            </w:pPr>
          </w:p>
        </w:tc>
      </w:tr>
    </w:tbl>
    <w:p w14:paraId="5A1B0B3D" w14:textId="77777777" w:rsidR="00960BB8" w:rsidRDefault="00C06650">
      <w:pPr>
        <w:spacing w:before="180" w:after="180"/>
      </w:pPr>
      <w:r>
        <w:rPr>
          <w:rFonts w:ascii="Arial" w:eastAsia="宋体" w:hAnsi="Arial" w:cs="Arial"/>
          <w:color w:val="0068B5"/>
          <w:sz w:val="28"/>
          <w:szCs w:val="28"/>
        </w:rPr>
        <w:t>Disclosure Pursuant to Section 13(r) of the Securities Exchange Act of 1934</w:t>
      </w:r>
    </w:p>
    <w:p w14:paraId="5A1B0B3E" w14:textId="77777777" w:rsidR="00960BB8" w:rsidRDefault="00C06650">
      <w:pPr>
        <w:spacing w:after="180"/>
      </w:pPr>
      <w:r>
        <w:rPr>
          <w:rFonts w:ascii="Arial" w:eastAsia="宋体" w:hAnsi="Arial" w:cs="Arial"/>
          <w:color w:val="262626"/>
          <w:sz w:val="18"/>
          <w:szCs w:val="18"/>
        </w:rPr>
        <w:t xml:space="preserve">Section 13(r) of the Exchange Act requires an issuer to disclose certain information in its periodic reports if it or any of its affiliates knowingly engaged in certain </w:t>
      </w:r>
      <w:r>
        <w:rPr>
          <w:rFonts w:ascii="Arial" w:eastAsia="宋体" w:hAnsi="Arial" w:cs="Arial"/>
          <w:color w:val="262626"/>
          <w:sz w:val="18"/>
          <w:szCs w:val="18"/>
        </w:rPr>
        <w:t>activities, transactions, or dealings with individuals or entities subject to specific US economic sanctions during the reporting period, even when the activities, transactions, or dealings are conducted in compliance with applicable law. On March 2, 2021,</w:t>
      </w:r>
      <w:r>
        <w:rPr>
          <w:rFonts w:ascii="Arial" w:eastAsia="宋体" w:hAnsi="Arial" w:cs="Arial"/>
          <w:color w:val="262626"/>
          <w:sz w:val="18"/>
          <w:szCs w:val="18"/>
        </w:rPr>
        <w:t xml:space="preserve"> the US Secretary of State designated the Federal Security Service of the Russian Federation (FSB) as a party subject to one such sanction. From time to time, our local subsidiary is required to engage with the FSB as a licensing authority and file documen</w:t>
      </w:r>
      <w:r>
        <w:rPr>
          <w:rFonts w:ascii="Arial" w:eastAsia="宋体" w:hAnsi="Arial" w:cs="Arial"/>
          <w:color w:val="262626"/>
          <w:sz w:val="18"/>
          <w:szCs w:val="18"/>
        </w:rPr>
        <w:t>ts in order to conduct business within the Russian Federation. All such dealings are explicitly authorized by General License 1B issued by the US Department of the Treasury’s Office of Foreign Assets Control (OFAC), and there are no gross revenues or net p</w:t>
      </w:r>
      <w:r>
        <w:rPr>
          <w:rFonts w:ascii="Arial" w:eastAsia="宋体" w:hAnsi="Arial" w:cs="Arial"/>
          <w:color w:val="262626"/>
          <w:sz w:val="18"/>
          <w:szCs w:val="18"/>
        </w:rPr>
        <w:t>rofits directly associated with any such dealings by us with the FSB. We plan to continue these activities as required to conduct business in the Russian Federation to the extent permitted by applicable law.</w:t>
      </w:r>
    </w:p>
    <w:p w14:paraId="5A1B0B3F" w14:textId="77777777" w:rsidR="00960BB8" w:rsidRDefault="00C06650">
      <w:pPr>
        <w:spacing w:after="180"/>
      </w:pPr>
      <w:r>
        <w:rPr>
          <w:rFonts w:ascii="Arial" w:eastAsia="宋体" w:hAnsi="Arial" w:cs="Arial"/>
          <w:color w:val="262626"/>
          <w:sz w:val="18"/>
          <w:szCs w:val="18"/>
        </w:rPr>
        <w:t>On April 15, 2021, the US Department of the Trea</w:t>
      </w:r>
      <w:r>
        <w:rPr>
          <w:rFonts w:ascii="Arial" w:eastAsia="宋体" w:hAnsi="Arial" w:cs="Arial"/>
          <w:color w:val="262626"/>
          <w:sz w:val="18"/>
          <w:szCs w:val="18"/>
        </w:rPr>
        <w:t>sury designated Pozitiv Teknolodzhiz, AO (Positive Technologies), a Russian IT security firm, as a party subject to one of the sanctions specified in Section 13(r). Prior to the designation, we communicated with Positive Technologies regarding its IT secur</w:t>
      </w:r>
      <w:r>
        <w:rPr>
          <w:rFonts w:ascii="Arial" w:eastAsia="宋体" w:hAnsi="Arial" w:cs="Arial"/>
          <w:color w:val="262626"/>
          <w:sz w:val="18"/>
          <w:szCs w:val="18"/>
        </w:rPr>
        <w:t xml:space="preserve">ity research and coordinated disclosure of security vulnerabilities identified by the firm. Based on a license issued by OFAC, we resumed such communications. There are no gross revenues or net profits directly associated with any such activities. We plan </w:t>
      </w:r>
      <w:r>
        <w:rPr>
          <w:rFonts w:ascii="Arial" w:eastAsia="宋体" w:hAnsi="Arial" w:cs="Arial"/>
          <w:color w:val="262626"/>
          <w:sz w:val="18"/>
          <w:szCs w:val="18"/>
        </w:rPr>
        <w:t>to continue these communications in accordance with the terms and conditions of the OFAC license.</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960BB8" w14:paraId="5A1B0B49" w14:textId="77777777">
        <w:tc>
          <w:tcPr>
            <w:tcW w:w="50" w:type="pct"/>
            <w:shd w:val="clear" w:color="auto" w:fill="auto"/>
            <w:vAlign w:val="bottom"/>
          </w:tcPr>
          <w:p w14:paraId="5A1B0B40" w14:textId="77777777" w:rsidR="00960BB8" w:rsidRDefault="00960BB8">
            <w:pPr>
              <w:rPr>
                <w:rFonts w:ascii="宋体"/>
              </w:rPr>
            </w:pPr>
          </w:p>
        </w:tc>
        <w:tc>
          <w:tcPr>
            <w:tcW w:w="283" w:type="pct"/>
            <w:shd w:val="clear" w:color="auto" w:fill="auto"/>
            <w:vAlign w:val="bottom"/>
          </w:tcPr>
          <w:p w14:paraId="5A1B0B41" w14:textId="77777777" w:rsidR="00960BB8" w:rsidRDefault="00960BB8">
            <w:pPr>
              <w:rPr>
                <w:rFonts w:ascii="宋体"/>
              </w:rPr>
            </w:pPr>
          </w:p>
        </w:tc>
        <w:tc>
          <w:tcPr>
            <w:tcW w:w="5" w:type="pct"/>
            <w:shd w:val="clear" w:color="auto" w:fill="auto"/>
            <w:vAlign w:val="bottom"/>
          </w:tcPr>
          <w:p w14:paraId="5A1B0B42" w14:textId="77777777" w:rsidR="00960BB8" w:rsidRDefault="00960BB8">
            <w:pPr>
              <w:rPr>
                <w:rFonts w:ascii="宋体"/>
              </w:rPr>
            </w:pPr>
          </w:p>
        </w:tc>
        <w:tc>
          <w:tcPr>
            <w:tcW w:w="50" w:type="pct"/>
            <w:shd w:val="clear" w:color="auto" w:fill="auto"/>
            <w:vAlign w:val="bottom"/>
          </w:tcPr>
          <w:p w14:paraId="5A1B0B43" w14:textId="77777777" w:rsidR="00960BB8" w:rsidRDefault="00960BB8">
            <w:pPr>
              <w:rPr>
                <w:rFonts w:ascii="宋体"/>
              </w:rPr>
            </w:pPr>
          </w:p>
        </w:tc>
        <w:tc>
          <w:tcPr>
            <w:tcW w:w="2656" w:type="pct"/>
            <w:shd w:val="clear" w:color="auto" w:fill="auto"/>
            <w:vAlign w:val="bottom"/>
          </w:tcPr>
          <w:p w14:paraId="5A1B0B44" w14:textId="77777777" w:rsidR="00960BB8" w:rsidRDefault="00960BB8">
            <w:pPr>
              <w:rPr>
                <w:rFonts w:ascii="宋体"/>
              </w:rPr>
            </w:pPr>
          </w:p>
        </w:tc>
        <w:tc>
          <w:tcPr>
            <w:tcW w:w="5" w:type="pct"/>
            <w:shd w:val="clear" w:color="auto" w:fill="auto"/>
            <w:vAlign w:val="bottom"/>
          </w:tcPr>
          <w:p w14:paraId="5A1B0B45" w14:textId="77777777" w:rsidR="00960BB8" w:rsidRDefault="00960BB8">
            <w:pPr>
              <w:rPr>
                <w:rFonts w:ascii="宋体"/>
              </w:rPr>
            </w:pPr>
          </w:p>
        </w:tc>
        <w:tc>
          <w:tcPr>
            <w:tcW w:w="50" w:type="pct"/>
            <w:shd w:val="clear" w:color="auto" w:fill="auto"/>
            <w:vAlign w:val="bottom"/>
          </w:tcPr>
          <w:p w14:paraId="5A1B0B46" w14:textId="77777777" w:rsidR="00960BB8" w:rsidRDefault="00960BB8">
            <w:pPr>
              <w:rPr>
                <w:rFonts w:ascii="宋体"/>
              </w:rPr>
            </w:pPr>
          </w:p>
        </w:tc>
        <w:tc>
          <w:tcPr>
            <w:tcW w:w="1894" w:type="pct"/>
            <w:shd w:val="clear" w:color="auto" w:fill="auto"/>
            <w:vAlign w:val="bottom"/>
          </w:tcPr>
          <w:p w14:paraId="5A1B0B47" w14:textId="77777777" w:rsidR="00960BB8" w:rsidRDefault="00960BB8">
            <w:pPr>
              <w:rPr>
                <w:rFonts w:ascii="宋体"/>
              </w:rPr>
            </w:pPr>
          </w:p>
        </w:tc>
        <w:tc>
          <w:tcPr>
            <w:tcW w:w="5" w:type="pct"/>
            <w:shd w:val="clear" w:color="auto" w:fill="auto"/>
            <w:vAlign w:val="bottom"/>
          </w:tcPr>
          <w:p w14:paraId="5A1B0B48" w14:textId="77777777" w:rsidR="00960BB8" w:rsidRDefault="00960BB8">
            <w:pPr>
              <w:rPr>
                <w:rFonts w:ascii="宋体"/>
              </w:rPr>
            </w:pPr>
          </w:p>
        </w:tc>
      </w:tr>
      <w:tr w:rsidR="00960BB8" w14:paraId="5A1B0B4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B4A"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57" wp14:editId="5A1B4458">
                  <wp:extent cx="304800" cy="304800"/>
                  <wp:effectExtent l="0" t="0" r="0" b="0"/>
                  <wp:docPr id="126" name="图片 23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3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B4B" w14:textId="77777777" w:rsidR="00960BB8" w:rsidRDefault="00C06650">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B4C" w14:textId="77777777" w:rsidR="00960BB8" w:rsidRDefault="00C06650">
            <w:pPr>
              <w:jc w:val="right"/>
              <w:textAlignment w:val="center"/>
            </w:pPr>
            <w:r>
              <w:rPr>
                <w:rFonts w:ascii="Arial" w:eastAsia="宋体" w:hAnsi="Arial" w:cs="Arial"/>
                <w:color w:val="262626"/>
                <w:sz w:val="16"/>
                <w:szCs w:val="16"/>
              </w:rPr>
              <w:t>71</w:t>
            </w:r>
          </w:p>
        </w:tc>
      </w:tr>
    </w:tbl>
    <w:p w14:paraId="5A1B0B4E" w14:textId="77777777" w:rsidR="00960BB8" w:rsidRDefault="00C06650">
      <w:r>
        <w:pict w14:anchorId="5A1B4459">
          <v:rect id="_x0000_i1097" style="width:415.3pt;height:1.5pt" o:hralign="center" o:hrstd="t" o:hr="t" fillcolor="#a0a0a0" stroked="f"/>
        </w:pict>
      </w:r>
    </w:p>
    <w:p w14:paraId="5A1B0B4F" w14:textId="77777777" w:rsidR="00960BB8" w:rsidRDefault="00C06650">
      <w:pPr>
        <w:jc w:val="right"/>
      </w:pPr>
      <w:hyperlink r:id="rId90" w:anchor="i8aaa7b4dbd2e419ca0f5c30af85a11aa_16" w:history="1">
        <w:r>
          <w:rPr>
            <w:rStyle w:val="a5"/>
            <w:rFonts w:ascii="Arial" w:eastAsia="宋体" w:hAnsi="Arial" w:cs="Arial"/>
            <w:b/>
            <w:bCs/>
            <w:sz w:val="16"/>
            <w:szCs w:val="16"/>
          </w:rPr>
          <w:t>Table of Contents</w:t>
        </w:r>
      </w:hyperlink>
    </w:p>
    <w:p w14:paraId="5A1B0B50" w14:textId="77777777" w:rsidR="00960BB8" w:rsidRDefault="00960BB8">
      <w:pPr>
        <w:jc w:val="right"/>
      </w:pPr>
    </w:p>
    <w:p w14:paraId="5A1B0B51" w14:textId="77777777" w:rsidR="00960BB8" w:rsidRDefault="00C06650">
      <w:pPr>
        <w:spacing w:after="180"/>
      </w:pPr>
      <w:r>
        <w:rPr>
          <w:rFonts w:ascii="Arial" w:eastAsia="宋体" w:hAnsi="Arial" w:cs="Arial"/>
          <w:color w:val="0068B5"/>
          <w:sz w:val="28"/>
          <w:szCs w:val="28"/>
        </w:rPr>
        <w:t>Financial Statements and Supplemental Details</w:t>
      </w:r>
    </w:p>
    <w:p w14:paraId="5A1B0B52" w14:textId="77777777" w:rsidR="00960BB8" w:rsidRDefault="00C06650">
      <w:pPr>
        <w:spacing w:after="180"/>
      </w:pPr>
      <w:r>
        <w:rPr>
          <w:rFonts w:ascii="Arial" w:eastAsia="宋体" w:hAnsi="Arial" w:cs="Arial"/>
          <w:color w:val="262626"/>
          <w:sz w:val="18"/>
          <w:szCs w:val="18"/>
        </w:rPr>
        <w:t xml:space="preserve">We have defined certain terms and </w:t>
      </w:r>
      <w:r>
        <w:rPr>
          <w:rFonts w:ascii="Arial" w:eastAsia="宋体" w:hAnsi="Arial" w:cs="Arial"/>
          <w:color w:val="262626"/>
          <w:sz w:val="18"/>
          <w:szCs w:val="18"/>
        </w:rPr>
        <w:t>abbreviations used throughout our Form 10-K in "Key Terms" within this section.</w:t>
      </w:r>
    </w:p>
    <w:tbl>
      <w:tblPr>
        <w:tblW w:w="5000" w:type="pct"/>
        <w:tblCellMar>
          <w:top w:w="15" w:type="dxa"/>
          <w:left w:w="15" w:type="dxa"/>
          <w:bottom w:w="15" w:type="dxa"/>
          <w:right w:w="15" w:type="dxa"/>
        </w:tblCellMar>
        <w:tblLook w:val="04A0" w:firstRow="1" w:lastRow="0" w:firstColumn="1" w:lastColumn="0" w:noHBand="0" w:noVBand="1"/>
      </w:tblPr>
      <w:tblGrid>
        <w:gridCol w:w="61"/>
        <w:gridCol w:w="3566"/>
        <w:gridCol w:w="39"/>
        <w:gridCol w:w="61"/>
        <w:gridCol w:w="2199"/>
        <w:gridCol w:w="37"/>
        <w:gridCol w:w="61"/>
        <w:gridCol w:w="1787"/>
        <w:gridCol w:w="36"/>
        <w:gridCol w:w="87"/>
        <w:gridCol w:w="366"/>
        <w:gridCol w:w="36"/>
      </w:tblGrid>
      <w:tr w:rsidR="00960BB8" w14:paraId="5A1B0B5F" w14:textId="77777777">
        <w:tc>
          <w:tcPr>
            <w:tcW w:w="50" w:type="pct"/>
            <w:shd w:val="clear" w:color="auto" w:fill="auto"/>
            <w:vAlign w:val="bottom"/>
          </w:tcPr>
          <w:p w14:paraId="5A1B0B53" w14:textId="77777777" w:rsidR="00960BB8" w:rsidRDefault="00960BB8">
            <w:pPr>
              <w:rPr>
                <w:rFonts w:ascii="宋体"/>
              </w:rPr>
            </w:pPr>
          </w:p>
        </w:tc>
        <w:tc>
          <w:tcPr>
            <w:tcW w:w="2151" w:type="pct"/>
            <w:shd w:val="clear" w:color="auto" w:fill="auto"/>
            <w:vAlign w:val="bottom"/>
          </w:tcPr>
          <w:p w14:paraId="5A1B0B54" w14:textId="77777777" w:rsidR="00960BB8" w:rsidRDefault="00960BB8">
            <w:pPr>
              <w:rPr>
                <w:rFonts w:ascii="宋体"/>
              </w:rPr>
            </w:pPr>
          </w:p>
        </w:tc>
        <w:tc>
          <w:tcPr>
            <w:tcW w:w="5" w:type="pct"/>
            <w:shd w:val="clear" w:color="auto" w:fill="auto"/>
            <w:vAlign w:val="bottom"/>
          </w:tcPr>
          <w:p w14:paraId="5A1B0B55" w14:textId="77777777" w:rsidR="00960BB8" w:rsidRDefault="00960BB8">
            <w:pPr>
              <w:rPr>
                <w:rFonts w:ascii="宋体"/>
              </w:rPr>
            </w:pPr>
          </w:p>
        </w:tc>
        <w:tc>
          <w:tcPr>
            <w:tcW w:w="50" w:type="pct"/>
            <w:shd w:val="clear" w:color="auto" w:fill="auto"/>
            <w:vAlign w:val="bottom"/>
          </w:tcPr>
          <w:p w14:paraId="5A1B0B56" w14:textId="77777777" w:rsidR="00960BB8" w:rsidRDefault="00960BB8">
            <w:pPr>
              <w:rPr>
                <w:rFonts w:ascii="宋体"/>
              </w:rPr>
            </w:pPr>
          </w:p>
        </w:tc>
        <w:tc>
          <w:tcPr>
            <w:tcW w:w="1331" w:type="pct"/>
            <w:shd w:val="clear" w:color="auto" w:fill="auto"/>
            <w:vAlign w:val="bottom"/>
          </w:tcPr>
          <w:p w14:paraId="5A1B0B57" w14:textId="77777777" w:rsidR="00960BB8" w:rsidRDefault="00960BB8">
            <w:pPr>
              <w:rPr>
                <w:rFonts w:ascii="宋体"/>
              </w:rPr>
            </w:pPr>
          </w:p>
        </w:tc>
        <w:tc>
          <w:tcPr>
            <w:tcW w:w="5" w:type="pct"/>
            <w:shd w:val="clear" w:color="auto" w:fill="auto"/>
            <w:vAlign w:val="bottom"/>
          </w:tcPr>
          <w:p w14:paraId="5A1B0B58" w14:textId="77777777" w:rsidR="00960BB8" w:rsidRDefault="00960BB8">
            <w:pPr>
              <w:rPr>
                <w:rFonts w:ascii="宋体"/>
              </w:rPr>
            </w:pPr>
          </w:p>
        </w:tc>
        <w:tc>
          <w:tcPr>
            <w:tcW w:w="50" w:type="pct"/>
            <w:shd w:val="clear" w:color="auto" w:fill="auto"/>
            <w:vAlign w:val="bottom"/>
          </w:tcPr>
          <w:p w14:paraId="5A1B0B59" w14:textId="77777777" w:rsidR="00960BB8" w:rsidRDefault="00960BB8">
            <w:pPr>
              <w:rPr>
                <w:rFonts w:ascii="宋体"/>
              </w:rPr>
            </w:pPr>
          </w:p>
        </w:tc>
        <w:tc>
          <w:tcPr>
            <w:tcW w:w="1085" w:type="pct"/>
            <w:shd w:val="clear" w:color="auto" w:fill="auto"/>
            <w:vAlign w:val="bottom"/>
          </w:tcPr>
          <w:p w14:paraId="5A1B0B5A" w14:textId="77777777" w:rsidR="00960BB8" w:rsidRDefault="00960BB8">
            <w:pPr>
              <w:rPr>
                <w:rFonts w:ascii="宋体"/>
              </w:rPr>
            </w:pPr>
          </w:p>
        </w:tc>
        <w:tc>
          <w:tcPr>
            <w:tcW w:w="5" w:type="pct"/>
            <w:shd w:val="clear" w:color="auto" w:fill="auto"/>
            <w:vAlign w:val="bottom"/>
          </w:tcPr>
          <w:p w14:paraId="5A1B0B5B" w14:textId="77777777" w:rsidR="00960BB8" w:rsidRDefault="00960BB8">
            <w:pPr>
              <w:rPr>
                <w:rFonts w:ascii="宋体"/>
              </w:rPr>
            </w:pPr>
          </w:p>
        </w:tc>
        <w:tc>
          <w:tcPr>
            <w:tcW w:w="50" w:type="pct"/>
            <w:shd w:val="clear" w:color="auto" w:fill="auto"/>
            <w:vAlign w:val="bottom"/>
          </w:tcPr>
          <w:p w14:paraId="5A1B0B5C" w14:textId="77777777" w:rsidR="00960BB8" w:rsidRDefault="00960BB8">
            <w:pPr>
              <w:rPr>
                <w:rFonts w:ascii="宋体"/>
              </w:rPr>
            </w:pPr>
          </w:p>
        </w:tc>
        <w:tc>
          <w:tcPr>
            <w:tcW w:w="211" w:type="pct"/>
            <w:shd w:val="clear" w:color="auto" w:fill="auto"/>
            <w:vAlign w:val="bottom"/>
          </w:tcPr>
          <w:p w14:paraId="5A1B0B5D" w14:textId="77777777" w:rsidR="00960BB8" w:rsidRDefault="00960BB8">
            <w:pPr>
              <w:rPr>
                <w:rFonts w:ascii="宋体"/>
              </w:rPr>
            </w:pPr>
          </w:p>
        </w:tc>
        <w:tc>
          <w:tcPr>
            <w:tcW w:w="5" w:type="pct"/>
            <w:shd w:val="clear" w:color="auto" w:fill="auto"/>
            <w:vAlign w:val="bottom"/>
          </w:tcPr>
          <w:p w14:paraId="5A1B0B5E" w14:textId="77777777" w:rsidR="00960BB8" w:rsidRDefault="00960BB8">
            <w:pPr>
              <w:rPr>
                <w:rFonts w:ascii="宋体"/>
              </w:rPr>
            </w:pPr>
          </w:p>
        </w:tc>
      </w:tr>
      <w:tr w:rsidR="00960BB8" w14:paraId="5A1B0B62" w14:textId="77777777">
        <w:tc>
          <w:tcPr>
            <w:tcW w:w="0" w:type="auto"/>
            <w:gridSpan w:val="9"/>
            <w:shd w:val="clear" w:color="auto" w:fill="auto"/>
            <w:tcMar>
              <w:top w:w="40" w:type="dxa"/>
              <w:left w:w="20" w:type="dxa"/>
              <w:bottom w:w="40" w:type="dxa"/>
              <w:right w:w="20" w:type="dxa"/>
            </w:tcMar>
            <w:vAlign w:val="bottom"/>
          </w:tcPr>
          <w:p w14:paraId="5A1B0B60" w14:textId="77777777" w:rsidR="00960BB8" w:rsidRDefault="00C06650">
            <w:pPr>
              <w:textAlignment w:val="bottom"/>
            </w:pPr>
            <w:r>
              <w:rPr>
                <w:rFonts w:ascii="Arial" w:eastAsia="宋体" w:hAnsi="Arial" w:cs="Arial"/>
                <w:color w:val="0068B5"/>
                <w:sz w:val="18"/>
                <w:szCs w:val="18"/>
              </w:rPr>
              <w:t>Index to Consolidated Financial Statements</w:t>
            </w:r>
          </w:p>
        </w:tc>
        <w:tc>
          <w:tcPr>
            <w:tcW w:w="0" w:type="auto"/>
            <w:gridSpan w:val="3"/>
            <w:shd w:val="clear" w:color="auto" w:fill="auto"/>
            <w:tcMar>
              <w:top w:w="40" w:type="dxa"/>
              <w:left w:w="20" w:type="dxa"/>
              <w:bottom w:w="40" w:type="dxa"/>
              <w:right w:w="20" w:type="dxa"/>
            </w:tcMar>
            <w:vAlign w:val="bottom"/>
          </w:tcPr>
          <w:p w14:paraId="5A1B0B61" w14:textId="77777777" w:rsidR="00960BB8" w:rsidRDefault="00C06650">
            <w:pPr>
              <w:jc w:val="center"/>
              <w:textAlignment w:val="bottom"/>
            </w:pPr>
            <w:r>
              <w:rPr>
                <w:rFonts w:ascii="Arial" w:eastAsia="宋体" w:hAnsi="Arial" w:cs="Arial"/>
                <w:color w:val="0068B5"/>
                <w:sz w:val="18"/>
                <w:szCs w:val="18"/>
              </w:rPr>
              <w:t>Page</w:t>
            </w:r>
          </w:p>
        </w:tc>
      </w:tr>
      <w:tr w:rsidR="00960BB8" w14:paraId="5A1B0B67"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B63" w14:textId="77777777" w:rsidR="00960BB8" w:rsidRDefault="00C06650">
            <w:pPr>
              <w:textAlignment w:val="bottom"/>
            </w:pPr>
            <w:r>
              <w:rPr>
                <w:rFonts w:ascii="Arial" w:eastAsia="宋体" w:hAnsi="Arial" w:cs="Arial"/>
                <w:color w:val="262626"/>
                <w:sz w:val="18"/>
                <w:szCs w:val="18"/>
              </w:rPr>
              <w:t>Reports of Independent Registered Public Accounting Firm</w:t>
            </w: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B64" w14:textId="77777777" w:rsidR="00960BB8" w:rsidRDefault="00C06650">
            <w:pPr>
              <w:textAlignment w:val="bottom"/>
            </w:pPr>
            <w:r>
              <w:rPr>
                <w:rFonts w:ascii="Arial" w:eastAsia="宋体" w:hAnsi="Arial" w:cs="Arial"/>
                <w:color w:val="262626"/>
                <w:sz w:val="18"/>
                <w:szCs w:val="18"/>
              </w:rPr>
              <w:t>(PCAOB ID: 42)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0B65"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B66" w14:textId="77777777" w:rsidR="00960BB8" w:rsidRDefault="00C06650">
            <w:pPr>
              <w:jc w:val="center"/>
              <w:textAlignment w:val="bottom"/>
            </w:pPr>
            <w:hyperlink r:id="rId91" w:anchor="i8aaa7b4dbd2e419ca0f5c30af85a11aa_244" w:history="1">
              <w:r>
                <w:rPr>
                  <w:rStyle w:val="a5"/>
                  <w:rFonts w:ascii="Arial" w:eastAsia="宋体" w:hAnsi="Arial" w:cs="Arial"/>
                  <w:color w:val="262626"/>
                  <w:sz w:val="18"/>
                  <w:szCs w:val="18"/>
                  <w:u w:val="none"/>
                </w:rPr>
                <w:t>73</w:t>
              </w:r>
            </w:hyperlink>
          </w:p>
        </w:tc>
      </w:tr>
      <w:tr w:rsidR="00960BB8" w14:paraId="5A1B0B6C" w14:textId="77777777">
        <w:trPr>
          <w:hidden/>
        </w:trPr>
        <w:tc>
          <w:tcPr>
            <w:tcW w:w="0" w:type="auto"/>
            <w:gridSpan w:val="3"/>
            <w:shd w:val="clear" w:color="auto" w:fill="auto"/>
            <w:vAlign w:val="bottom"/>
          </w:tcPr>
          <w:p w14:paraId="5A1B0B68" w14:textId="77777777" w:rsidR="00960BB8" w:rsidRDefault="00960BB8">
            <w:pPr>
              <w:rPr>
                <w:rFonts w:ascii="宋体"/>
                <w:vanish/>
              </w:rPr>
            </w:pPr>
          </w:p>
        </w:tc>
        <w:tc>
          <w:tcPr>
            <w:tcW w:w="0" w:type="auto"/>
            <w:gridSpan w:val="3"/>
            <w:shd w:val="clear" w:color="auto" w:fill="auto"/>
            <w:vAlign w:val="bottom"/>
          </w:tcPr>
          <w:p w14:paraId="5A1B0B69" w14:textId="77777777" w:rsidR="00960BB8" w:rsidRDefault="00960BB8">
            <w:pPr>
              <w:rPr>
                <w:rFonts w:ascii="宋体"/>
                <w:vanish/>
              </w:rPr>
            </w:pPr>
          </w:p>
        </w:tc>
        <w:tc>
          <w:tcPr>
            <w:tcW w:w="0" w:type="auto"/>
            <w:gridSpan w:val="3"/>
            <w:shd w:val="clear" w:color="auto" w:fill="auto"/>
            <w:vAlign w:val="bottom"/>
          </w:tcPr>
          <w:p w14:paraId="5A1B0B6A" w14:textId="77777777" w:rsidR="00960BB8" w:rsidRDefault="00960BB8">
            <w:pPr>
              <w:rPr>
                <w:rFonts w:ascii="宋体"/>
                <w:vanish/>
              </w:rPr>
            </w:pPr>
          </w:p>
        </w:tc>
        <w:tc>
          <w:tcPr>
            <w:tcW w:w="0" w:type="auto"/>
            <w:gridSpan w:val="3"/>
            <w:shd w:val="clear" w:color="auto" w:fill="auto"/>
            <w:vAlign w:val="bottom"/>
          </w:tcPr>
          <w:p w14:paraId="5A1B0B6B" w14:textId="77777777" w:rsidR="00960BB8" w:rsidRDefault="00960BB8">
            <w:pPr>
              <w:rPr>
                <w:rFonts w:ascii="宋体"/>
                <w:vanish/>
              </w:rPr>
            </w:pPr>
          </w:p>
        </w:tc>
      </w:tr>
      <w:tr w:rsidR="00960BB8" w14:paraId="5A1B0B71" w14:textId="77777777">
        <w:trPr>
          <w:hidden/>
        </w:trPr>
        <w:tc>
          <w:tcPr>
            <w:tcW w:w="0" w:type="auto"/>
            <w:gridSpan w:val="3"/>
            <w:shd w:val="clear" w:color="auto" w:fill="auto"/>
            <w:vAlign w:val="bottom"/>
          </w:tcPr>
          <w:p w14:paraId="5A1B0B6D" w14:textId="77777777" w:rsidR="00960BB8" w:rsidRDefault="00960BB8">
            <w:pPr>
              <w:rPr>
                <w:rFonts w:ascii="宋体"/>
                <w:vanish/>
              </w:rPr>
            </w:pPr>
          </w:p>
        </w:tc>
        <w:tc>
          <w:tcPr>
            <w:tcW w:w="0" w:type="auto"/>
            <w:gridSpan w:val="3"/>
            <w:shd w:val="clear" w:color="auto" w:fill="auto"/>
            <w:vAlign w:val="bottom"/>
          </w:tcPr>
          <w:p w14:paraId="5A1B0B6E" w14:textId="77777777" w:rsidR="00960BB8" w:rsidRDefault="00960BB8">
            <w:pPr>
              <w:rPr>
                <w:rFonts w:ascii="宋体"/>
                <w:vanish/>
              </w:rPr>
            </w:pPr>
          </w:p>
        </w:tc>
        <w:tc>
          <w:tcPr>
            <w:tcW w:w="0" w:type="auto"/>
            <w:gridSpan w:val="3"/>
            <w:shd w:val="clear" w:color="auto" w:fill="auto"/>
            <w:vAlign w:val="bottom"/>
          </w:tcPr>
          <w:p w14:paraId="5A1B0B6F" w14:textId="77777777" w:rsidR="00960BB8" w:rsidRDefault="00960BB8">
            <w:pPr>
              <w:rPr>
                <w:rFonts w:ascii="宋体"/>
                <w:vanish/>
              </w:rPr>
            </w:pPr>
          </w:p>
        </w:tc>
        <w:tc>
          <w:tcPr>
            <w:tcW w:w="0" w:type="auto"/>
            <w:gridSpan w:val="3"/>
            <w:shd w:val="clear" w:color="auto" w:fill="auto"/>
            <w:vAlign w:val="bottom"/>
          </w:tcPr>
          <w:p w14:paraId="5A1B0B70" w14:textId="77777777" w:rsidR="00960BB8" w:rsidRDefault="00960BB8">
            <w:pPr>
              <w:rPr>
                <w:rFonts w:ascii="宋体"/>
                <w:vanish/>
              </w:rPr>
            </w:pPr>
          </w:p>
        </w:tc>
      </w:tr>
      <w:tr w:rsidR="00960BB8" w14:paraId="5A1B0B74" w14:textId="77777777">
        <w:tc>
          <w:tcPr>
            <w:tcW w:w="0" w:type="auto"/>
            <w:gridSpan w:val="9"/>
            <w:shd w:val="clear" w:color="auto" w:fill="auto"/>
            <w:tcMar>
              <w:top w:w="40" w:type="dxa"/>
              <w:left w:w="20" w:type="dxa"/>
              <w:bottom w:w="40" w:type="dxa"/>
              <w:right w:w="20" w:type="dxa"/>
            </w:tcMar>
            <w:vAlign w:val="bottom"/>
          </w:tcPr>
          <w:p w14:paraId="5A1B0B72" w14:textId="77777777" w:rsidR="00960BB8" w:rsidRDefault="00C06650">
            <w:pPr>
              <w:textAlignment w:val="bottom"/>
            </w:pPr>
            <w:r>
              <w:rPr>
                <w:rFonts w:ascii="Arial" w:eastAsia="宋体" w:hAnsi="Arial" w:cs="Arial"/>
                <w:color w:val="262626"/>
                <w:sz w:val="18"/>
                <w:szCs w:val="18"/>
              </w:rPr>
              <w:t>Consolidated Statements of Income</w:t>
            </w:r>
          </w:p>
        </w:tc>
        <w:tc>
          <w:tcPr>
            <w:tcW w:w="0" w:type="auto"/>
            <w:gridSpan w:val="3"/>
            <w:shd w:val="clear" w:color="auto" w:fill="auto"/>
            <w:tcMar>
              <w:top w:w="40" w:type="dxa"/>
              <w:left w:w="20" w:type="dxa"/>
              <w:bottom w:w="40" w:type="dxa"/>
              <w:right w:w="20" w:type="dxa"/>
            </w:tcMar>
            <w:vAlign w:val="bottom"/>
          </w:tcPr>
          <w:p w14:paraId="5A1B0B73" w14:textId="77777777" w:rsidR="00960BB8" w:rsidRDefault="00C06650">
            <w:pPr>
              <w:jc w:val="center"/>
              <w:textAlignment w:val="bottom"/>
            </w:pPr>
            <w:hyperlink r:id="rId92" w:anchor="i8aaa7b4dbd2e419ca0f5c30af85a11aa_253" w:history="1">
              <w:r>
                <w:rPr>
                  <w:rStyle w:val="a5"/>
                  <w:rFonts w:ascii="Arial" w:eastAsia="宋体" w:hAnsi="Arial" w:cs="Arial"/>
                  <w:color w:val="262626"/>
                  <w:sz w:val="18"/>
                  <w:szCs w:val="18"/>
                  <w:u w:val="none"/>
                </w:rPr>
                <w:t>76</w:t>
              </w:r>
            </w:hyperlink>
          </w:p>
        </w:tc>
      </w:tr>
      <w:tr w:rsidR="00960BB8" w14:paraId="5A1B0B77" w14:textId="77777777">
        <w:tc>
          <w:tcPr>
            <w:tcW w:w="0" w:type="auto"/>
            <w:gridSpan w:val="9"/>
            <w:shd w:val="clear" w:color="auto" w:fill="auto"/>
            <w:tcMar>
              <w:top w:w="40" w:type="dxa"/>
              <w:left w:w="20" w:type="dxa"/>
              <w:bottom w:w="40" w:type="dxa"/>
              <w:right w:w="20" w:type="dxa"/>
            </w:tcMar>
            <w:vAlign w:val="bottom"/>
          </w:tcPr>
          <w:p w14:paraId="5A1B0B75" w14:textId="77777777" w:rsidR="00960BB8" w:rsidRDefault="00C06650">
            <w:pPr>
              <w:textAlignment w:val="bottom"/>
            </w:pPr>
            <w:r>
              <w:rPr>
                <w:rFonts w:ascii="Arial" w:eastAsia="宋体" w:hAnsi="Arial" w:cs="Arial"/>
                <w:color w:val="262626"/>
                <w:sz w:val="18"/>
                <w:szCs w:val="18"/>
              </w:rPr>
              <w:t>Consolidated Statements of Comprehensive Income</w:t>
            </w:r>
          </w:p>
        </w:tc>
        <w:tc>
          <w:tcPr>
            <w:tcW w:w="0" w:type="auto"/>
            <w:gridSpan w:val="3"/>
            <w:shd w:val="clear" w:color="auto" w:fill="auto"/>
            <w:tcMar>
              <w:top w:w="40" w:type="dxa"/>
              <w:left w:w="20" w:type="dxa"/>
              <w:bottom w:w="40" w:type="dxa"/>
              <w:right w:w="20" w:type="dxa"/>
            </w:tcMar>
            <w:vAlign w:val="bottom"/>
          </w:tcPr>
          <w:p w14:paraId="5A1B0B76" w14:textId="77777777" w:rsidR="00960BB8" w:rsidRDefault="00C06650">
            <w:pPr>
              <w:jc w:val="center"/>
              <w:textAlignment w:val="bottom"/>
            </w:pPr>
            <w:hyperlink r:id="rId93" w:anchor="i8aaa7b4dbd2e419ca0f5c30af85a11aa_256" w:history="1">
              <w:r>
                <w:rPr>
                  <w:rStyle w:val="a5"/>
                  <w:rFonts w:ascii="Arial" w:eastAsia="宋体" w:hAnsi="Arial" w:cs="Arial"/>
                  <w:color w:val="262626"/>
                  <w:sz w:val="18"/>
                  <w:szCs w:val="18"/>
                  <w:u w:val="none"/>
                </w:rPr>
                <w:t>77</w:t>
              </w:r>
            </w:hyperlink>
          </w:p>
        </w:tc>
      </w:tr>
      <w:tr w:rsidR="00960BB8" w14:paraId="5A1B0B7A" w14:textId="77777777">
        <w:tc>
          <w:tcPr>
            <w:tcW w:w="0" w:type="auto"/>
            <w:gridSpan w:val="9"/>
            <w:shd w:val="clear" w:color="auto" w:fill="auto"/>
            <w:tcMar>
              <w:top w:w="40" w:type="dxa"/>
              <w:left w:w="20" w:type="dxa"/>
              <w:bottom w:w="40" w:type="dxa"/>
              <w:right w:w="20" w:type="dxa"/>
            </w:tcMar>
            <w:vAlign w:val="bottom"/>
          </w:tcPr>
          <w:p w14:paraId="5A1B0B78" w14:textId="77777777" w:rsidR="00960BB8" w:rsidRDefault="00C06650">
            <w:pPr>
              <w:textAlignment w:val="bottom"/>
            </w:pPr>
            <w:r>
              <w:rPr>
                <w:rFonts w:ascii="Arial" w:eastAsia="宋体" w:hAnsi="Arial" w:cs="Arial"/>
                <w:color w:val="262626"/>
                <w:sz w:val="18"/>
                <w:szCs w:val="18"/>
              </w:rPr>
              <w:t>Consolidated Balance Sheets</w:t>
            </w:r>
          </w:p>
        </w:tc>
        <w:tc>
          <w:tcPr>
            <w:tcW w:w="0" w:type="auto"/>
            <w:gridSpan w:val="3"/>
            <w:shd w:val="clear" w:color="auto" w:fill="auto"/>
            <w:tcMar>
              <w:top w:w="40" w:type="dxa"/>
              <w:left w:w="20" w:type="dxa"/>
              <w:bottom w:w="40" w:type="dxa"/>
              <w:right w:w="20" w:type="dxa"/>
            </w:tcMar>
            <w:vAlign w:val="bottom"/>
          </w:tcPr>
          <w:p w14:paraId="5A1B0B79" w14:textId="77777777" w:rsidR="00960BB8" w:rsidRDefault="00C06650">
            <w:pPr>
              <w:jc w:val="center"/>
              <w:textAlignment w:val="bottom"/>
            </w:pPr>
            <w:hyperlink r:id="rId94" w:anchor="i8aaa7b4dbd2e419ca0f5c30af85a11aa_259" w:history="1">
              <w:r>
                <w:rPr>
                  <w:rStyle w:val="a5"/>
                  <w:rFonts w:ascii="Arial" w:eastAsia="宋体" w:hAnsi="Arial" w:cs="Arial"/>
                  <w:color w:val="262626"/>
                  <w:sz w:val="18"/>
                  <w:szCs w:val="18"/>
                  <w:u w:val="none"/>
                </w:rPr>
                <w:t>78</w:t>
              </w:r>
            </w:hyperlink>
          </w:p>
        </w:tc>
      </w:tr>
      <w:tr w:rsidR="00960BB8" w14:paraId="5A1B0B7D" w14:textId="77777777">
        <w:tc>
          <w:tcPr>
            <w:tcW w:w="0" w:type="auto"/>
            <w:gridSpan w:val="9"/>
            <w:shd w:val="clear" w:color="auto" w:fill="auto"/>
            <w:tcMar>
              <w:top w:w="40" w:type="dxa"/>
              <w:left w:w="20" w:type="dxa"/>
              <w:bottom w:w="40" w:type="dxa"/>
              <w:right w:w="20" w:type="dxa"/>
            </w:tcMar>
            <w:vAlign w:val="bottom"/>
          </w:tcPr>
          <w:p w14:paraId="5A1B0B7B" w14:textId="77777777" w:rsidR="00960BB8" w:rsidRDefault="00C06650">
            <w:pPr>
              <w:textAlignment w:val="bottom"/>
            </w:pPr>
            <w:r>
              <w:rPr>
                <w:rFonts w:ascii="Arial" w:eastAsia="宋体" w:hAnsi="Arial" w:cs="Arial"/>
                <w:color w:val="262626"/>
                <w:sz w:val="18"/>
                <w:szCs w:val="18"/>
              </w:rPr>
              <w:t>Consolidated Statements of Cash Flows</w:t>
            </w:r>
          </w:p>
        </w:tc>
        <w:tc>
          <w:tcPr>
            <w:tcW w:w="0" w:type="auto"/>
            <w:gridSpan w:val="3"/>
            <w:shd w:val="clear" w:color="auto" w:fill="auto"/>
            <w:tcMar>
              <w:top w:w="40" w:type="dxa"/>
              <w:left w:w="20" w:type="dxa"/>
              <w:bottom w:w="40" w:type="dxa"/>
              <w:right w:w="20" w:type="dxa"/>
            </w:tcMar>
            <w:vAlign w:val="bottom"/>
          </w:tcPr>
          <w:p w14:paraId="5A1B0B7C" w14:textId="77777777" w:rsidR="00960BB8" w:rsidRDefault="00C06650">
            <w:pPr>
              <w:jc w:val="center"/>
              <w:textAlignment w:val="bottom"/>
            </w:pPr>
            <w:hyperlink r:id="rId95" w:anchor="i8aaa7b4dbd2e419ca0f5c30af85a11aa_265" w:history="1">
              <w:r>
                <w:rPr>
                  <w:rStyle w:val="a5"/>
                  <w:rFonts w:ascii="Arial" w:eastAsia="宋体" w:hAnsi="Arial" w:cs="Arial"/>
                  <w:color w:val="262626"/>
                  <w:sz w:val="18"/>
                  <w:szCs w:val="18"/>
                  <w:u w:val="none"/>
                </w:rPr>
                <w:t>79</w:t>
              </w:r>
            </w:hyperlink>
          </w:p>
        </w:tc>
      </w:tr>
      <w:tr w:rsidR="00960BB8" w14:paraId="5A1B0B80" w14:textId="77777777">
        <w:tc>
          <w:tcPr>
            <w:tcW w:w="0" w:type="auto"/>
            <w:gridSpan w:val="9"/>
            <w:shd w:val="clear" w:color="auto" w:fill="auto"/>
            <w:tcMar>
              <w:top w:w="40" w:type="dxa"/>
              <w:left w:w="20" w:type="dxa"/>
              <w:bottom w:w="40" w:type="dxa"/>
              <w:right w:w="20" w:type="dxa"/>
            </w:tcMar>
            <w:vAlign w:val="bottom"/>
          </w:tcPr>
          <w:p w14:paraId="5A1B0B7E" w14:textId="77777777" w:rsidR="00960BB8" w:rsidRDefault="00C06650">
            <w:pPr>
              <w:textAlignment w:val="bottom"/>
            </w:pPr>
            <w:r>
              <w:rPr>
                <w:rFonts w:ascii="Arial" w:eastAsia="宋体" w:hAnsi="Arial" w:cs="Arial"/>
                <w:color w:val="262626"/>
                <w:sz w:val="18"/>
                <w:szCs w:val="18"/>
              </w:rPr>
              <w:t>Consolidated Statements of Stockholders' Equity</w:t>
            </w:r>
          </w:p>
        </w:tc>
        <w:tc>
          <w:tcPr>
            <w:tcW w:w="0" w:type="auto"/>
            <w:gridSpan w:val="3"/>
            <w:shd w:val="clear" w:color="auto" w:fill="auto"/>
            <w:tcMar>
              <w:top w:w="40" w:type="dxa"/>
              <w:left w:w="20" w:type="dxa"/>
              <w:bottom w:w="40" w:type="dxa"/>
              <w:right w:w="20" w:type="dxa"/>
            </w:tcMar>
            <w:vAlign w:val="bottom"/>
          </w:tcPr>
          <w:p w14:paraId="5A1B0B7F" w14:textId="77777777" w:rsidR="00960BB8" w:rsidRDefault="00C06650">
            <w:pPr>
              <w:jc w:val="center"/>
              <w:textAlignment w:val="bottom"/>
            </w:pPr>
            <w:hyperlink r:id="rId96" w:anchor="i8aaa7b4dbd2e419ca0f5c30af85a11aa_268" w:history="1">
              <w:r>
                <w:rPr>
                  <w:rStyle w:val="a5"/>
                  <w:rFonts w:ascii="Arial" w:eastAsia="宋体" w:hAnsi="Arial" w:cs="Arial"/>
                  <w:color w:val="262626"/>
                  <w:sz w:val="18"/>
                  <w:szCs w:val="18"/>
                  <w:u w:val="none"/>
                </w:rPr>
                <w:t>80</w:t>
              </w:r>
            </w:hyperlink>
          </w:p>
        </w:tc>
      </w:tr>
      <w:tr w:rsidR="00960BB8" w14:paraId="5A1B0B85" w14:textId="77777777">
        <w:trPr>
          <w:hidden/>
        </w:trPr>
        <w:tc>
          <w:tcPr>
            <w:tcW w:w="0" w:type="auto"/>
            <w:gridSpan w:val="3"/>
            <w:shd w:val="clear" w:color="auto" w:fill="auto"/>
            <w:vAlign w:val="bottom"/>
          </w:tcPr>
          <w:p w14:paraId="5A1B0B81" w14:textId="77777777" w:rsidR="00960BB8" w:rsidRDefault="00960BB8">
            <w:pPr>
              <w:rPr>
                <w:rFonts w:ascii="宋体"/>
                <w:vanish/>
              </w:rPr>
            </w:pPr>
          </w:p>
        </w:tc>
        <w:tc>
          <w:tcPr>
            <w:tcW w:w="0" w:type="auto"/>
            <w:gridSpan w:val="3"/>
            <w:shd w:val="clear" w:color="auto" w:fill="auto"/>
            <w:vAlign w:val="bottom"/>
          </w:tcPr>
          <w:p w14:paraId="5A1B0B82" w14:textId="77777777" w:rsidR="00960BB8" w:rsidRDefault="00960BB8">
            <w:pPr>
              <w:rPr>
                <w:rFonts w:ascii="宋体"/>
                <w:vanish/>
              </w:rPr>
            </w:pPr>
          </w:p>
        </w:tc>
        <w:tc>
          <w:tcPr>
            <w:tcW w:w="0" w:type="auto"/>
            <w:gridSpan w:val="3"/>
            <w:shd w:val="clear" w:color="auto" w:fill="auto"/>
            <w:vAlign w:val="bottom"/>
          </w:tcPr>
          <w:p w14:paraId="5A1B0B83" w14:textId="77777777" w:rsidR="00960BB8" w:rsidRDefault="00960BB8">
            <w:pPr>
              <w:rPr>
                <w:rFonts w:ascii="宋体"/>
                <w:vanish/>
              </w:rPr>
            </w:pPr>
          </w:p>
        </w:tc>
        <w:tc>
          <w:tcPr>
            <w:tcW w:w="0" w:type="auto"/>
            <w:gridSpan w:val="3"/>
            <w:shd w:val="clear" w:color="auto" w:fill="auto"/>
            <w:vAlign w:val="bottom"/>
          </w:tcPr>
          <w:p w14:paraId="5A1B0B84" w14:textId="77777777" w:rsidR="00960BB8" w:rsidRDefault="00960BB8">
            <w:pPr>
              <w:rPr>
                <w:rFonts w:ascii="宋体"/>
                <w:vanish/>
              </w:rPr>
            </w:pPr>
          </w:p>
        </w:tc>
      </w:tr>
      <w:tr w:rsidR="00960BB8" w14:paraId="5A1B0B88" w14:textId="77777777">
        <w:tc>
          <w:tcPr>
            <w:tcW w:w="0" w:type="auto"/>
            <w:gridSpan w:val="9"/>
            <w:shd w:val="clear" w:color="auto" w:fill="auto"/>
            <w:tcMar>
              <w:top w:w="40" w:type="dxa"/>
              <w:left w:w="20" w:type="dxa"/>
              <w:bottom w:w="40" w:type="dxa"/>
              <w:right w:w="20" w:type="dxa"/>
            </w:tcMar>
            <w:vAlign w:val="bottom"/>
          </w:tcPr>
          <w:p w14:paraId="5A1B0B86" w14:textId="77777777" w:rsidR="00960BB8" w:rsidRDefault="00C06650">
            <w:pPr>
              <w:textAlignment w:val="bottom"/>
            </w:pPr>
            <w:r>
              <w:rPr>
                <w:rFonts w:ascii="Arial" w:eastAsia="宋体" w:hAnsi="Arial" w:cs="Arial"/>
                <w:color w:val="262626"/>
                <w:sz w:val="18"/>
                <w:szCs w:val="18"/>
              </w:rPr>
              <w:t>Notes to Consolidated Financial Statements</w:t>
            </w:r>
          </w:p>
        </w:tc>
        <w:tc>
          <w:tcPr>
            <w:tcW w:w="0" w:type="auto"/>
            <w:gridSpan w:val="3"/>
            <w:shd w:val="clear" w:color="auto" w:fill="auto"/>
            <w:tcMar>
              <w:top w:w="40" w:type="dxa"/>
              <w:left w:w="20" w:type="dxa"/>
              <w:bottom w:w="40" w:type="dxa"/>
              <w:right w:w="20" w:type="dxa"/>
            </w:tcMar>
            <w:vAlign w:val="bottom"/>
          </w:tcPr>
          <w:p w14:paraId="5A1B0B87" w14:textId="77777777" w:rsidR="00960BB8" w:rsidRDefault="00C06650">
            <w:pPr>
              <w:jc w:val="center"/>
              <w:textAlignment w:val="bottom"/>
            </w:pPr>
            <w:hyperlink r:id="rId97" w:anchor="i8aaa7b4dbd2e419ca0f5c30af85a11aa_274" w:history="1">
              <w:r>
                <w:rPr>
                  <w:rStyle w:val="a5"/>
                  <w:rFonts w:ascii="Arial" w:eastAsia="宋体" w:hAnsi="Arial" w:cs="Arial"/>
                  <w:color w:val="262626"/>
                  <w:sz w:val="18"/>
                  <w:szCs w:val="18"/>
                  <w:u w:val="none"/>
                </w:rPr>
                <w:t>81</w:t>
              </w:r>
            </w:hyperlink>
          </w:p>
        </w:tc>
      </w:tr>
      <w:tr w:rsidR="00960BB8" w14:paraId="5A1B0B8D" w14:textId="77777777">
        <w:trPr>
          <w:trHeight w:val="60"/>
        </w:trPr>
        <w:tc>
          <w:tcPr>
            <w:tcW w:w="0" w:type="auto"/>
            <w:gridSpan w:val="3"/>
            <w:shd w:val="clear" w:color="auto" w:fill="auto"/>
            <w:tcMar>
              <w:top w:w="0" w:type="dxa"/>
              <w:left w:w="20" w:type="dxa"/>
              <w:bottom w:w="0" w:type="dxa"/>
              <w:right w:w="20" w:type="dxa"/>
            </w:tcMar>
            <w:vAlign w:val="bottom"/>
          </w:tcPr>
          <w:p w14:paraId="5A1B0B8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8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8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8C" w14:textId="77777777" w:rsidR="00960BB8" w:rsidRDefault="00960BB8">
            <w:pPr>
              <w:rPr>
                <w:rFonts w:ascii="宋体"/>
              </w:rPr>
            </w:pPr>
          </w:p>
        </w:tc>
      </w:tr>
      <w:tr w:rsidR="00960BB8" w14:paraId="5A1B0B90" w14:textId="77777777">
        <w:tc>
          <w:tcPr>
            <w:tcW w:w="0" w:type="auto"/>
            <w:gridSpan w:val="9"/>
            <w:shd w:val="clear" w:color="auto" w:fill="auto"/>
            <w:tcMar>
              <w:top w:w="40" w:type="dxa"/>
              <w:left w:w="155" w:type="dxa"/>
              <w:bottom w:w="40" w:type="dxa"/>
              <w:right w:w="20" w:type="dxa"/>
            </w:tcMar>
            <w:vAlign w:val="bottom"/>
          </w:tcPr>
          <w:p w14:paraId="5A1B0B8E" w14:textId="77777777" w:rsidR="00960BB8" w:rsidRDefault="00C06650">
            <w:pPr>
              <w:textAlignment w:val="bottom"/>
            </w:pPr>
            <w:r>
              <w:rPr>
                <w:rFonts w:ascii="Arial" w:eastAsia="宋体" w:hAnsi="Arial" w:cs="Arial"/>
                <w:color w:val="0068B5"/>
                <w:sz w:val="18"/>
                <w:szCs w:val="18"/>
              </w:rPr>
              <w:t>Basis</w:t>
            </w:r>
          </w:p>
        </w:tc>
        <w:tc>
          <w:tcPr>
            <w:tcW w:w="0" w:type="auto"/>
            <w:gridSpan w:val="3"/>
            <w:shd w:val="clear" w:color="auto" w:fill="auto"/>
            <w:tcMar>
              <w:top w:w="0" w:type="dxa"/>
              <w:left w:w="20" w:type="dxa"/>
              <w:bottom w:w="0" w:type="dxa"/>
              <w:right w:w="20" w:type="dxa"/>
            </w:tcMar>
            <w:vAlign w:val="bottom"/>
          </w:tcPr>
          <w:p w14:paraId="5A1B0B8F" w14:textId="77777777" w:rsidR="00960BB8" w:rsidRDefault="00960BB8">
            <w:pPr>
              <w:rPr>
                <w:rFonts w:ascii="宋体"/>
              </w:rPr>
            </w:pPr>
          </w:p>
        </w:tc>
      </w:tr>
      <w:tr w:rsidR="00960BB8" w14:paraId="5A1B0B93" w14:textId="77777777">
        <w:tc>
          <w:tcPr>
            <w:tcW w:w="0" w:type="auto"/>
            <w:gridSpan w:val="9"/>
            <w:shd w:val="clear" w:color="auto" w:fill="auto"/>
            <w:tcMar>
              <w:top w:w="40" w:type="dxa"/>
              <w:left w:w="245" w:type="dxa"/>
              <w:bottom w:w="40" w:type="dxa"/>
              <w:right w:w="20" w:type="dxa"/>
            </w:tcMar>
            <w:vAlign w:val="bottom"/>
          </w:tcPr>
          <w:p w14:paraId="5A1B0B91" w14:textId="77777777" w:rsidR="00960BB8" w:rsidRDefault="00C06650">
            <w:pPr>
              <w:textAlignment w:val="bottom"/>
            </w:pPr>
            <w:r>
              <w:rPr>
                <w:rFonts w:ascii="Arial" w:eastAsia="宋体" w:hAnsi="Arial" w:cs="Arial"/>
                <w:color w:val="262626"/>
                <w:sz w:val="18"/>
                <w:szCs w:val="18"/>
              </w:rPr>
              <w:t>Note 1: Basis of Presentation</w:t>
            </w:r>
          </w:p>
        </w:tc>
        <w:tc>
          <w:tcPr>
            <w:tcW w:w="0" w:type="auto"/>
            <w:gridSpan w:val="3"/>
            <w:shd w:val="clear" w:color="auto" w:fill="auto"/>
            <w:tcMar>
              <w:top w:w="40" w:type="dxa"/>
              <w:left w:w="20" w:type="dxa"/>
              <w:bottom w:w="40" w:type="dxa"/>
              <w:right w:w="20" w:type="dxa"/>
            </w:tcMar>
            <w:vAlign w:val="bottom"/>
          </w:tcPr>
          <w:p w14:paraId="5A1B0B92" w14:textId="77777777" w:rsidR="00960BB8" w:rsidRDefault="00C06650">
            <w:pPr>
              <w:jc w:val="center"/>
              <w:textAlignment w:val="bottom"/>
            </w:pPr>
            <w:hyperlink r:id="rId98" w:anchor="i8aaa7b4dbd2e419ca0f5c30af85a11aa_277" w:history="1">
              <w:r>
                <w:rPr>
                  <w:rStyle w:val="a5"/>
                  <w:rFonts w:ascii="Arial" w:eastAsia="宋体" w:hAnsi="Arial" w:cs="Arial"/>
                  <w:color w:val="262626"/>
                  <w:sz w:val="18"/>
                  <w:szCs w:val="18"/>
                  <w:u w:val="none"/>
                </w:rPr>
                <w:t>81</w:t>
              </w:r>
            </w:hyperlink>
          </w:p>
        </w:tc>
      </w:tr>
      <w:tr w:rsidR="00960BB8" w14:paraId="5A1B0B96" w14:textId="77777777">
        <w:tc>
          <w:tcPr>
            <w:tcW w:w="0" w:type="auto"/>
            <w:gridSpan w:val="9"/>
            <w:shd w:val="clear" w:color="auto" w:fill="auto"/>
            <w:tcMar>
              <w:top w:w="40" w:type="dxa"/>
              <w:left w:w="245" w:type="dxa"/>
              <w:bottom w:w="40" w:type="dxa"/>
              <w:right w:w="20" w:type="dxa"/>
            </w:tcMar>
            <w:vAlign w:val="bottom"/>
          </w:tcPr>
          <w:p w14:paraId="5A1B0B94" w14:textId="77777777" w:rsidR="00960BB8" w:rsidRDefault="00C06650">
            <w:pPr>
              <w:textAlignment w:val="bottom"/>
            </w:pPr>
            <w:r>
              <w:rPr>
                <w:rFonts w:ascii="Arial" w:eastAsia="宋体" w:hAnsi="Arial" w:cs="Arial"/>
                <w:color w:val="262626"/>
                <w:sz w:val="18"/>
                <w:szCs w:val="18"/>
              </w:rPr>
              <w:t>Note 2: Accounting Policies</w:t>
            </w:r>
          </w:p>
        </w:tc>
        <w:tc>
          <w:tcPr>
            <w:tcW w:w="0" w:type="auto"/>
            <w:gridSpan w:val="3"/>
            <w:shd w:val="clear" w:color="auto" w:fill="auto"/>
            <w:tcMar>
              <w:top w:w="40" w:type="dxa"/>
              <w:left w:w="20" w:type="dxa"/>
              <w:bottom w:w="40" w:type="dxa"/>
              <w:right w:w="20" w:type="dxa"/>
            </w:tcMar>
            <w:vAlign w:val="bottom"/>
          </w:tcPr>
          <w:p w14:paraId="5A1B0B95" w14:textId="77777777" w:rsidR="00960BB8" w:rsidRDefault="00C06650">
            <w:pPr>
              <w:jc w:val="center"/>
              <w:textAlignment w:val="bottom"/>
            </w:pPr>
            <w:hyperlink r:id="rId99" w:anchor="i8aaa7b4dbd2e419ca0f5c30af85a11aa_280" w:history="1">
              <w:r>
                <w:rPr>
                  <w:rStyle w:val="a5"/>
                  <w:rFonts w:ascii="Arial" w:eastAsia="宋体" w:hAnsi="Arial" w:cs="Arial"/>
                  <w:color w:val="262626"/>
                  <w:sz w:val="18"/>
                  <w:szCs w:val="18"/>
                  <w:u w:val="none"/>
                </w:rPr>
                <w:t>81</w:t>
              </w:r>
            </w:hyperlink>
          </w:p>
        </w:tc>
      </w:tr>
      <w:tr w:rsidR="00960BB8" w14:paraId="5A1B0B9B" w14:textId="77777777">
        <w:trPr>
          <w:hidden/>
        </w:trPr>
        <w:tc>
          <w:tcPr>
            <w:tcW w:w="0" w:type="auto"/>
            <w:gridSpan w:val="3"/>
            <w:shd w:val="clear" w:color="auto" w:fill="auto"/>
            <w:vAlign w:val="bottom"/>
          </w:tcPr>
          <w:p w14:paraId="5A1B0B97" w14:textId="77777777" w:rsidR="00960BB8" w:rsidRDefault="00960BB8">
            <w:pPr>
              <w:rPr>
                <w:rFonts w:ascii="宋体"/>
                <w:vanish/>
              </w:rPr>
            </w:pPr>
          </w:p>
        </w:tc>
        <w:tc>
          <w:tcPr>
            <w:tcW w:w="0" w:type="auto"/>
            <w:gridSpan w:val="3"/>
            <w:shd w:val="clear" w:color="auto" w:fill="auto"/>
            <w:vAlign w:val="bottom"/>
          </w:tcPr>
          <w:p w14:paraId="5A1B0B98" w14:textId="77777777" w:rsidR="00960BB8" w:rsidRDefault="00960BB8">
            <w:pPr>
              <w:rPr>
                <w:rFonts w:ascii="宋体"/>
                <w:vanish/>
              </w:rPr>
            </w:pPr>
          </w:p>
        </w:tc>
        <w:tc>
          <w:tcPr>
            <w:tcW w:w="0" w:type="auto"/>
            <w:gridSpan w:val="3"/>
            <w:shd w:val="clear" w:color="auto" w:fill="auto"/>
            <w:vAlign w:val="bottom"/>
          </w:tcPr>
          <w:p w14:paraId="5A1B0B99" w14:textId="77777777" w:rsidR="00960BB8" w:rsidRDefault="00960BB8">
            <w:pPr>
              <w:rPr>
                <w:rFonts w:ascii="宋体"/>
                <w:vanish/>
              </w:rPr>
            </w:pPr>
          </w:p>
        </w:tc>
        <w:tc>
          <w:tcPr>
            <w:tcW w:w="0" w:type="auto"/>
            <w:gridSpan w:val="3"/>
            <w:shd w:val="clear" w:color="auto" w:fill="auto"/>
            <w:vAlign w:val="bottom"/>
          </w:tcPr>
          <w:p w14:paraId="5A1B0B9A" w14:textId="77777777" w:rsidR="00960BB8" w:rsidRDefault="00960BB8">
            <w:pPr>
              <w:rPr>
                <w:rFonts w:ascii="宋体"/>
                <w:vanish/>
              </w:rPr>
            </w:pPr>
          </w:p>
        </w:tc>
      </w:tr>
      <w:tr w:rsidR="00960BB8" w14:paraId="5A1B0B9E" w14:textId="77777777">
        <w:tc>
          <w:tcPr>
            <w:tcW w:w="0" w:type="auto"/>
            <w:gridSpan w:val="9"/>
            <w:shd w:val="clear" w:color="auto" w:fill="auto"/>
            <w:tcMar>
              <w:top w:w="40" w:type="dxa"/>
              <w:left w:w="155" w:type="dxa"/>
              <w:bottom w:w="40" w:type="dxa"/>
              <w:right w:w="20" w:type="dxa"/>
            </w:tcMar>
            <w:vAlign w:val="bottom"/>
          </w:tcPr>
          <w:p w14:paraId="5A1B0B9C" w14:textId="77777777" w:rsidR="00960BB8" w:rsidRDefault="00C06650">
            <w:pPr>
              <w:textAlignment w:val="bottom"/>
            </w:pPr>
            <w:r>
              <w:rPr>
                <w:rFonts w:ascii="Arial" w:eastAsia="宋体" w:hAnsi="Arial" w:cs="Arial"/>
                <w:color w:val="0068B5"/>
                <w:sz w:val="18"/>
                <w:szCs w:val="18"/>
              </w:rPr>
              <w:t>Performance and Operations</w:t>
            </w:r>
          </w:p>
        </w:tc>
        <w:tc>
          <w:tcPr>
            <w:tcW w:w="0" w:type="auto"/>
            <w:gridSpan w:val="3"/>
            <w:shd w:val="clear" w:color="auto" w:fill="auto"/>
            <w:tcMar>
              <w:top w:w="0" w:type="dxa"/>
              <w:left w:w="20" w:type="dxa"/>
              <w:bottom w:w="0" w:type="dxa"/>
              <w:right w:w="20" w:type="dxa"/>
            </w:tcMar>
            <w:vAlign w:val="bottom"/>
          </w:tcPr>
          <w:p w14:paraId="5A1B0B9D" w14:textId="77777777" w:rsidR="00960BB8" w:rsidRDefault="00960BB8">
            <w:pPr>
              <w:rPr>
                <w:rFonts w:ascii="宋体"/>
              </w:rPr>
            </w:pPr>
          </w:p>
        </w:tc>
      </w:tr>
      <w:tr w:rsidR="00960BB8" w14:paraId="5A1B0BA1" w14:textId="77777777">
        <w:tc>
          <w:tcPr>
            <w:tcW w:w="0" w:type="auto"/>
            <w:gridSpan w:val="9"/>
            <w:shd w:val="clear" w:color="auto" w:fill="auto"/>
            <w:tcMar>
              <w:top w:w="40" w:type="dxa"/>
              <w:left w:w="245" w:type="dxa"/>
              <w:bottom w:w="40" w:type="dxa"/>
              <w:right w:w="20" w:type="dxa"/>
            </w:tcMar>
            <w:vAlign w:val="bottom"/>
          </w:tcPr>
          <w:p w14:paraId="5A1B0B9F" w14:textId="77777777" w:rsidR="00960BB8" w:rsidRDefault="00C06650">
            <w:pPr>
              <w:textAlignment w:val="bottom"/>
            </w:pPr>
            <w:r>
              <w:rPr>
                <w:rFonts w:ascii="Arial" w:eastAsia="宋体" w:hAnsi="Arial" w:cs="Arial"/>
                <w:color w:val="262626"/>
                <w:sz w:val="18"/>
                <w:szCs w:val="18"/>
              </w:rPr>
              <w:t>Note 3: Operating Segments</w:t>
            </w:r>
          </w:p>
        </w:tc>
        <w:tc>
          <w:tcPr>
            <w:tcW w:w="0" w:type="auto"/>
            <w:gridSpan w:val="3"/>
            <w:shd w:val="clear" w:color="auto" w:fill="auto"/>
            <w:tcMar>
              <w:top w:w="40" w:type="dxa"/>
              <w:left w:w="20" w:type="dxa"/>
              <w:bottom w:w="40" w:type="dxa"/>
              <w:right w:w="20" w:type="dxa"/>
            </w:tcMar>
            <w:vAlign w:val="bottom"/>
          </w:tcPr>
          <w:p w14:paraId="5A1B0BA0" w14:textId="77777777" w:rsidR="00960BB8" w:rsidRDefault="00C06650">
            <w:pPr>
              <w:jc w:val="center"/>
              <w:textAlignment w:val="bottom"/>
            </w:pPr>
            <w:hyperlink r:id="rId100" w:anchor="i8aaa7b4dbd2e419ca0f5c30af85a11aa_355" w:history="1">
              <w:r>
                <w:rPr>
                  <w:rStyle w:val="a5"/>
                  <w:rFonts w:ascii="Arial" w:eastAsia="宋体" w:hAnsi="Arial" w:cs="Arial"/>
                  <w:color w:val="262626"/>
                  <w:sz w:val="18"/>
                  <w:szCs w:val="18"/>
                  <w:u w:val="none"/>
                </w:rPr>
                <w:t>88</w:t>
              </w:r>
            </w:hyperlink>
          </w:p>
        </w:tc>
      </w:tr>
      <w:tr w:rsidR="00960BB8" w14:paraId="5A1B0BA6" w14:textId="77777777">
        <w:tc>
          <w:tcPr>
            <w:tcW w:w="0" w:type="auto"/>
            <w:gridSpan w:val="3"/>
            <w:shd w:val="clear" w:color="auto" w:fill="auto"/>
            <w:tcMar>
              <w:top w:w="40" w:type="dxa"/>
              <w:left w:w="245" w:type="dxa"/>
              <w:bottom w:w="40" w:type="dxa"/>
              <w:right w:w="20" w:type="dxa"/>
            </w:tcMar>
            <w:vAlign w:val="bottom"/>
          </w:tcPr>
          <w:p w14:paraId="5A1B0BA2" w14:textId="77777777" w:rsidR="00960BB8" w:rsidRDefault="00C06650">
            <w:pPr>
              <w:textAlignment w:val="bottom"/>
            </w:pPr>
            <w:r>
              <w:rPr>
                <w:rFonts w:ascii="Arial" w:eastAsia="宋体" w:hAnsi="Arial" w:cs="Arial"/>
                <w:color w:val="262626"/>
                <w:sz w:val="18"/>
                <w:szCs w:val="18"/>
              </w:rPr>
              <w:t>Note 4: Non-Controlling Interests</w:t>
            </w:r>
          </w:p>
        </w:tc>
        <w:tc>
          <w:tcPr>
            <w:tcW w:w="0" w:type="auto"/>
            <w:gridSpan w:val="3"/>
            <w:shd w:val="clear" w:color="auto" w:fill="auto"/>
            <w:tcMar>
              <w:top w:w="0" w:type="dxa"/>
              <w:left w:w="20" w:type="dxa"/>
              <w:bottom w:w="0" w:type="dxa"/>
              <w:right w:w="20" w:type="dxa"/>
            </w:tcMar>
            <w:vAlign w:val="bottom"/>
          </w:tcPr>
          <w:p w14:paraId="5A1B0BA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A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BA5" w14:textId="77777777" w:rsidR="00960BB8" w:rsidRDefault="00C06650">
            <w:pPr>
              <w:jc w:val="center"/>
              <w:textAlignment w:val="bottom"/>
            </w:pPr>
            <w:hyperlink r:id="rId101" w:anchor="i8aaa7b4dbd2e419ca0f5c30af85a11aa_4081" w:history="1">
              <w:r>
                <w:rPr>
                  <w:rStyle w:val="a5"/>
                  <w:rFonts w:ascii="Arial" w:eastAsia="宋体" w:hAnsi="Arial" w:cs="Arial"/>
                  <w:color w:val="262626"/>
                  <w:sz w:val="18"/>
                  <w:szCs w:val="18"/>
                  <w:u w:val="none"/>
                </w:rPr>
                <w:t>90</w:t>
              </w:r>
            </w:hyperlink>
          </w:p>
        </w:tc>
      </w:tr>
      <w:tr w:rsidR="00960BB8" w14:paraId="5A1B0BA9" w14:textId="77777777">
        <w:tc>
          <w:tcPr>
            <w:tcW w:w="0" w:type="auto"/>
            <w:gridSpan w:val="9"/>
            <w:shd w:val="clear" w:color="auto" w:fill="auto"/>
            <w:tcMar>
              <w:top w:w="40" w:type="dxa"/>
              <w:left w:w="245" w:type="dxa"/>
              <w:bottom w:w="40" w:type="dxa"/>
              <w:right w:w="20" w:type="dxa"/>
            </w:tcMar>
            <w:vAlign w:val="bottom"/>
          </w:tcPr>
          <w:p w14:paraId="5A1B0BA7" w14:textId="77777777" w:rsidR="00960BB8" w:rsidRDefault="00C06650">
            <w:pPr>
              <w:textAlignment w:val="bottom"/>
            </w:pPr>
            <w:r>
              <w:rPr>
                <w:rFonts w:ascii="Arial" w:eastAsia="宋体" w:hAnsi="Arial" w:cs="Arial"/>
                <w:color w:val="262626"/>
                <w:sz w:val="18"/>
                <w:szCs w:val="18"/>
              </w:rPr>
              <w:t>Note 5: Earnings Per Share</w:t>
            </w:r>
          </w:p>
        </w:tc>
        <w:tc>
          <w:tcPr>
            <w:tcW w:w="0" w:type="auto"/>
            <w:gridSpan w:val="3"/>
            <w:shd w:val="clear" w:color="auto" w:fill="auto"/>
            <w:tcMar>
              <w:top w:w="40" w:type="dxa"/>
              <w:left w:w="20" w:type="dxa"/>
              <w:bottom w:w="40" w:type="dxa"/>
              <w:right w:w="20" w:type="dxa"/>
            </w:tcMar>
            <w:vAlign w:val="bottom"/>
          </w:tcPr>
          <w:p w14:paraId="5A1B0BA8" w14:textId="77777777" w:rsidR="00960BB8" w:rsidRDefault="00C06650">
            <w:pPr>
              <w:jc w:val="center"/>
              <w:textAlignment w:val="bottom"/>
            </w:pPr>
            <w:hyperlink r:id="rId102" w:anchor="i8aaa7b4dbd2e419ca0f5c30af85a11aa_367" w:history="1">
              <w:r>
                <w:rPr>
                  <w:rStyle w:val="a5"/>
                  <w:rFonts w:ascii="Arial" w:eastAsia="宋体" w:hAnsi="Arial" w:cs="Arial"/>
                  <w:color w:val="262626"/>
                  <w:sz w:val="18"/>
                  <w:szCs w:val="18"/>
                  <w:u w:val="none"/>
                </w:rPr>
                <w:t>91</w:t>
              </w:r>
            </w:hyperlink>
          </w:p>
        </w:tc>
      </w:tr>
      <w:tr w:rsidR="00960BB8" w14:paraId="5A1B0BB2" w14:textId="77777777">
        <w:trPr>
          <w:hidden/>
        </w:trPr>
        <w:tc>
          <w:tcPr>
            <w:tcW w:w="0" w:type="auto"/>
            <w:gridSpan w:val="3"/>
            <w:shd w:val="clear" w:color="auto" w:fill="auto"/>
            <w:vAlign w:val="bottom"/>
          </w:tcPr>
          <w:p w14:paraId="5A1B0BAA" w14:textId="77777777" w:rsidR="00960BB8" w:rsidRDefault="00960BB8">
            <w:pPr>
              <w:rPr>
                <w:rFonts w:ascii="宋体"/>
                <w:vanish/>
              </w:rPr>
            </w:pPr>
          </w:p>
        </w:tc>
        <w:tc>
          <w:tcPr>
            <w:tcW w:w="0" w:type="auto"/>
            <w:gridSpan w:val="3"/>
            <w:shd w:val="clear" w:color="auto" w:fill="auto"/>
            <w:vAlign w:val="bottom"/>
          </w:tcPr>
          <w:p w14:paraId="5A1B0BAB" w14:textId="77777777" w:rsidR="00960BB8" w:rsidRDefault="00960BB8">
            <w:pPr>
              <w:rPr>
                <w:rFonts w:ascii="宋体"/>
                <w:vanish/>
              </w:rPr>
            </w:pPr>
          </w:p>
        </w:tc>
        <w:tc>
          <w:tcPr>
            <w:tcW w:w="0" w:type="auto"/>
            <w:shd w:val="clear" w:color="auto" w:fill="auto"/>
            <w:vAlign w:val="bottom"/>
          </w:tcPr>
          <w:p w14:paraId="5A1B0BAC" w14:textId="77777777" w:rsidR="00960BB8" w:rsidRDefault="00960BB8">
            <w:pPr>
              <w:rPr>
                <w:rFonts w:ascii="宋体"/>
              </w:rPr>
            </w:pPr>
          </w:p>
        </w:tc>
        <w:tc>
          <w:tcPr>
            <w:tcW w:w="0" w:type="auto"/>
            <w:shd w:val="clear" w:color="auto" w:fill="auto"/>
            <w:vAlign w:val="bottom"/>
          </w:tcPr>
          <w:p w14:paraId="5A1B0BAD" w14:textId="77777777" w:rsidR="00960BB8" w:rsidRDefault="00960BB8">
            <w:pPr>
              <w:rPr>
                <w:rFonts w:ascii="宋体"/>
              </w:rPr>
            </w:pPr>
          </w:p>
        </w:tc>
        <w:tc>
          <w:tcPr>
            <w:tcW w:w="0" w:type="auto"/>
            <w:shd w:val="clear" w:color="auto" w:fill="auto"/>
            <w:vAlign w:val="bottom"/>
          </w:tcPr>
          <w:p w14:paraId="5A1B0BAE" w14:textId="77777777" w:rsidR="00960BB8" w:rsidRDefault="00960BB8">
            <w:pPr>
              <w:rPr>
                <w:rFonts w:ascii="宋体"/>
              </w:rPr>
            </w:pPr>
          </w:p>
        </w:tc>
        <w:tc>
          <w:tcPr>
            <w:tcW w:w="0" w:type="auto"/>
            <w:shd w:val="clear" w:color="auto" w:fill="auto"/>
            <w:vAlign w:val="bottom"/>
          </w:tcPr>
          <w:p w14:paraId="5A1B0BAF" w14:textId="77777777" w:rsidR="00960BB8" w:rsidRDefault="00960BB8">
            <w:pPr>
              <w:rPr>
                <w:rFonts w:ascii="宋体"/>
              </w:rPr>
            </w:pPr>
          </w:p>
        </w:tc>
        <w:tc>
          <w:tcPr>
            <w:tcW w:w="0" w:type="auto"/>
            <w:shd w:val="clear" w:color="auto" w:fill="auto"/>
            <w:vAlign w:val="bottom"/>
          </w:tcPr>
          <w:p w14:paraId="5A1B0BB0" w14:textId="77777777" w:rsidR="00960BB8" w:rsidRDefault="00960BB8">
            <w:pPr>
              <w:rPr>
                <w:rFonts w:ascii="宋体"/>
              </w:rPr>
            </w:pPr>
          </w:p>
        </w:tc>
        <w:tc>
          <w:tcPr>
            <w:tcW w:w="0" w:type="auto"/>
            <w:shd w:val="clear" w:color="auto" w:fill="auto"/>
            <w:vAlign w:val="bottom"/>
          </w:tcPr>
          <w:p w14:paraId="5A1B0BB1" w14:textId="77777777" w:rsidR="00960BB8" w:rsidRDefault="00960BB8">
            <w:pPr>
              <w:rPr>
                <w:rFonts w:ascii="宋体"/>
              </w:rPr>
            </w:pPr>
          </w:p>
        </w:tc>
      </w:tr>
      <w:tr w:rsidR="00960BB8" w14:paraId="5A1B0BB5" w14:textId="77777777">
        <w:tc>
          <w:tcPr>
            <w:tcW w:w="0" w:type="auto"/>
            <w:gridSpan w:val="9"/>
            <w:shd w:val="clear" w:color="auto" w:fill="auto"/>
            <w:tcMar>
              <w:top w:w="40" w:type="dxa"/>
              <w:left w:w="245" w:type="dxa"/>
              <w:bottom w:w="40" w:type="dxa"/>
              <w:right w:w="20" w:type="dxa"/>
            </w:tcMar>
            <w:vAlign w:val="bottom"/>
          </w:tcPr>
          <w:p w14:paraId="5A1B0BB3" w14:textId="77777777" w:rsidR="00960BB8" w:rsidRDefault="00C06650">
            <w:pPr>
              <w:textAlignment w:val="bottom"/>
            </w:pPr>
            <w:r>
              <w:rPr>
                <w:rFonts w:ascii="Arial" w:eastAsia="宋体" w:hAnsi="Arial" w:cs="Arial"/>
                <w:color w:val="262626"/>
                <w:sz w:val="18"/>
                <w:szCs w:val="18"/>
              </w:rPr>
              <w:t>Note 6: Other Financial Statement Details</w:t>
            </w:r>
          </w:p>
        </w:tc>
        <w:tc>
          <w:tcPr>
            <w:tcW w:w="0" w:type="auto"/>
            <w:gridSpan w:val="3"/>
            <w:shd w:val="clear" w:color="auto" w:fill="auto"/>
            <w:tcMar>
              <w:top w:w="40" w:type="dxa"/>
              <w:left w:w="20" w:type="dxa"/>
              <w:bottom w:w="40" w:type="dxa"/>
              <w:right w:w="20" w:type="dxa"/>
            </w:tcMar>
            <w:vAlign w:val="bottom"/>
          </w:tcPr>
          <w:p w14:paraId="5A1B0BB4" w14:textId="77777777" w:rsidR="00960BB8" w:rsidRDefault="00C06650">
            <w:pPr>
              <w:jc w:val="center"/>
              <w:textAlignment w:val="bottom"/>
            </w:pPr>
            <w:hyperlink r:id="rId103" w:anchor="i8aaa7b4dbd2e419ca0f5c30af85a11aa_373" w:history="1">
              <w:r>
                <w:rPr>
                  <w:rStyle w:val="a5"/>
                  <w:rFonts w:ascii="Arial" w:eastAsia="宋体" w:hAnsi="Arial" w:cs="Arial"/>
                  <w:color w:val="262626"/>
                  <w:sz w:val="18"/>
                  <w:szCs w:val="18"/>
                  <w:u w:val="none"/>
                </w:rPr>
                <w:t>92</w:t>
              </w:r>
            </w:hyperlink>
          </w:p>
        </w:tc>
      </w:tr>
      <w:tr w:rsidR="00960BB8" w14:paraId="5A1B0BB8" w14:textId="77777777">
        <w:tc>
          <w:tcPr>
            <w:tcW w:w="0" w:type="auto"/>
            <w:gridSpan w:val="9"/>
            <w:shd w:val="clear" w:color="auto" w:fill="auto"/>
            <w:tcMar>
              <w:top w:w="40" w:type="dxa"/>
              <w:left w:w="245" w:type="dxa"/>
              <w:bottom w:w="40" w:type="dxa"/>
              <w:right w:w="20" w:type="dxa"/>
            </w:tcMar>
            <w:vAlign w:val="bottom"/>
          </w:tcPr>
          <w:p w14:paraId="5A1B0BB6" w14:textId="77777777" w:rsidR="00960BB8" w:rsidRDefault="00C06650">
            <w:pPr>
              <w:textAlignment w:val="bottom"/>
            </w:pPr>
            <w:r>
              <w:rPr>
                <w:rFonts w:ascii="Arial" w:eastAsia="宋体" w:hAnsi="Arial" w:cs="Arial"/>
                <w:color w:val="262626"/>
                <w:sz w:val="18"/>
                <w:szCs w:val="18"/>
              </w:rPr>
              <w:t>Note 7: Restructuring and Other Charges</w:t>
            </w:r>
          </w:p>
        </w:tc>
        <w:tc>
          <w:tcPr>
            <w:tcW w:w="0" w:type="auto"/>
            <w:gridSpan w:val="3"/>
            <w:shd w:val="clear" w:color="auto" w:fill="auto"/>
            <w:tcMar>
              <w:top w:w="40" w:type="dxa"/>
              <w:left w:w="20" w:type="dxa"/>
              <w:bottom w:w="40" w:type="dxa"/>
              <w:right w:w="20" w:type="dxa"/>
            </w:tcMar>
            <w:vAlign w:val="bottom"/>
          </w:tcPr>
          <w:p w14:paraId="5A1B0BB7" w14:textId="77777777" w:rsidR="00960BB8" w:rsidRDefault="00C06650">
            <w:pPr>
              <w:jc w:val="center"/>
              <w:textAlignment w:val="bottom"/>
            </w:pPr>
            <w:hyperlink r:id="rId104" w:anchor="i8aaa7b4dbd2e419ca0f5c30af85a11aa_403" w:history="1">
              <w:r>
                <w:rPr>
                  <w:rStyle w:val="a5"/>
                  <w:rFonts w:ascii="Arial" w:eastAsia="宋体" w:hAnsi="Arial" w:cs="Arial"/>
                  <w:color w:val="262626"/>
                  <w:sz w:val="18"/>
                  <w:szCs w:val="18"/>
                  <w:u w:val="none"/>
                </w:rPr>
                <w:t>93</w:t>
              </w:r>
            </w:hyperlink>
          </w:p>
        </w:tc>
      </w:tr>
      <w:tr w:rsidR="00960BB8" w14:paraId="5A1B0BBB" w14:textId="77777777">
        <w:tc>
          <w:tcPr>
            <w:tcW w:w="0" w:type="auto"/>
            <w:gridSpan w:val="9"/>
            <w:shd w:val="clear" w:color="auto" w:fill="auto"/>
            <w:tcMar>
              <w:top w:w="40" w:type="dxa"/>
              <w:left w:w="245" w:type="dxa"/>
              <w:bottom w:w="40" w:type="dxa"/>
              <w:right w:w="20" w:type="dxa"/>
            </w:tcMar>
            <w:vAlign w:val="bottom"/>
          </w:tcPr>
          <w:p w14:paraId="5A1B0BB9" w14:textId="77777777" w:rsidR="00960BB8" w:rsidRDefault="00C06650">
            <w:pPr>
              <w:textAlignment w:val="bottom"/>
            </w:pPr>
            <w:r>
              <w:rPr>
                <w:rFonts w:ascii="Arial" w:eastAsia="宋体" w:hAnsi="Arial" w:cs="Arial"/>
                <w:color w:val="262626"/>
                <w:sz w:val="18"/>
                <w:szCs w:val="18"/>
              </w:rPr>
              <w:t>Note 8: Income Taxes</w:t>
            </w:r>
          </w:p>
        </w:tc>
        <w:tc>
          <w:tcPr>
            <w:tcW w:w="0" w:type="auto"/>
            <w:gridSpan w:val="3"/>
            <w:shd w:val="clear" w:color="auto" w:fill="auto"/>
            <w:tcMar>
              <w:top w:w="40" w:type="dxa"/>
              <w:left w:w="20" w:type="dxa"/>
              <w:bottom w:w="40" w:type="dxa"/>
              <w:right w:w="20" w:type="dxa"/>
            </w:tcMar>
            <w:vAlign w:val="bottom"/>
          </w:tcPr>
          <w:p w14:paraId="5A1B0BBA" w14:textId="77777777" w:rsidR="00960BB8" w:rsidRDefault="00C06650">
            <w:pPr>
              <w:jc w:val="center"/>
              <w:textAlignment w:val="bottom"/>
            </w:pPr>
            <w:hyperlink r:id="rId105" w:anchor="i8aaa7b4dbd2e419ca0f5c30af85a11aa_406" w:history="1">
              <w:r>
                <w:rPr>
                  <w:rStyle w:val="a5"/>
                  <w:rFonts w:ascii="Arial" w:eastAsia="宋体" w:hAnsi="Arial" w:cs="Arial"/>
                  <w:color w:val="262626"/>
                  <w:sz w:val="18"/>
                  <w:szCs w:val="18"/>
                  <w:u w:val="none"/>
                </w:rPr>
                <w:t>94</w:t>
              </w:r>
            </w:hyperlink>
          </w:p>
        </w:tc>
      </w:tr>
      <w:tr w:rsidR="00960BB8" w14:paraId="5A1B0BBE" w14:textId="77777777">
        <w:tc>
          <w:tcPr>
            <w:tcW w:w="0" w:type="auto"/>
            <w:gridSpan w:val="9"/>
            <w:shd w:val="clear" w:color="auto" w:fill="auto"/>
            <w:tcMar>
              <w:top w:w="40" w:type="dxa"/>
              <w:left w:w="155" w:type="dxa"/>
              <w:bottom w:w="40" w:type="dxa"/>
              <w:right w:w="20" w:type="dxa"/>
            </w:tcMar>
            <w:vAlign w:val="bottom"/>
          </w:tcPr>
          <w:p w14:paraId="5A1B0BBC" w14:textId="77777777" w:rsidR="00960BB8" w:rsidRDefault="00C06650">
            <w:pPr>
              <w:textAlignment w:val="bottom"/>
            </w:pPr>
            <w:r>
              <w:rPr>
                <w:rFonts w:ascii="Arial" w:eastAsia="宋体" w:hAnsi="Arial" w:cs="Arial"/>
                <w:color w:val="0068B5"/>
                <w:sz w:val="18"/>
                <w:szCs w:val="18"/>
              </w:rPr>
              <w:t>Investments, Long-Term Assets, and Debt</w:t>
            </w:r>
          </w:p>
        </w:tc>
        <w:tc>
          <w:tcPr>
            <w:tcW w:w="0" w:type="auto"/>
            <w:gridSpan w:val="3"/>
            <w:shd w:val="clear" w:color="auto" w:fill="auto"/>
            <w:tcMar>
              <w:top w:w="0" w:type="dxa"/>
              <w:left w:w="20" w:type="dxa"/>
              <w:bottom w:w="0" w:type="dxa"/>
              <w:right w:w="20" w:type="dxa"/>
            </w:tcMar>
            <w:vAlign w:val="bottom"/>
          </w:tcPr>
          <w:p w14:paraId="5A1B0BBD" w14:textId="77777777" w:rsidR="00960BB8" w:rsidRDefault="00960BB8">
            <w:pPr>
              <w:rPr>
                <w:rFonts w:ascii="宋体"/>
              </w:rPr>
            </w:pPr>
          </w:p>
        </w:tc>
      </w:tr>
      <w:tr w:rsidR="00960BB8" w14:paraId="5A1B0BC1" w14:textId="77777777">
        <w:tc>
          <w:tcPr>
            <w:tcW w:w="0" w:type="auto"/>
            <w:gridSpan w:val="9"/>
            <w:shd w:val="clear" w:color="auto" w:fill="auto"/>
            <w:tcMar>
              <w:top w:w="40" w:type="dxa"/>
              <w:left w:w="245" w:type="dxa"/>
              <w:bottom w:w="40" w:type="dxa"/>
              <w:right w:w="20" w:type="dxa"/>
            </w:tcMar>
            <w:vAlign w:val="bottom"/>
          </w:tcPr>
          <w:p w14:paraId="5A1B0BBF" w14:textId="77777777" w:rsidR="00960BB8" w:rsidRDefault="00C06650">
            <w:pPr>
              <w:textAlignment w:val="bottom"/>
            </w:pPr>
            <w:r>
              <w:rPr>
                <w:rFonts w:ascii="Arial" w:eastAsia="宋体" w:hAnsi="Arial" w:cs="Arial"/>
                <w:color w:val="262626"/>
                <w:sz w:val="18"/>
                <w:szCs w:val="18"/>
              </w:rPr>
              <w:t>Note 9: Investments</w:t>
            </w:r>
          </w:p>
        </w:tc>
        <w:tc>
          <w:tcPr>
            <w:tcW w:w="0" w:type="auto"/>
            <w:gridSpan w:val="3"/>
            <w:shd w:val="clear" w:color="auto" w:fill="auto"/>
            <w:tcMar>
              <w:top w:w="40" w:type="dxa"/>
              <w:left w:w="20" w:type="dxa"/>
              <w:bottom w:w="40" w:type="dxa"/>
              <w:right w:w="20" w:type="dxa"/>
            </w:tcMar>
            <w:vAlign w:val="bottom"/>
          </w:tcPr>
          <w:p w14:paraId="5A1B0BC0" w14:textId="77777777" w:rsidR="00960BB8" w:rsidRDefault="00C06650">
            <w:pPr>
              <w:jc w:val="center"/>
              <w:textAlignment w:val="bottom"/>
            </w:pPr>
            <w:hyperlink r:id="rId106" w:anchor="i8aaa7b4dbd2e419ca0f5c30af85a11aa_409" w:history="1">
              <w:r>
                <w:rPr>
                  <w:rStyle w:val="a5"/>
                  <w:rFonts w:ascii="Arial" w:eastAsia="宋体" w:hAnsi="Arial" w:cs="Arial"/>
                  <w:color w:val="262626"/>
                  <w:sz w:val="18"/>
                  <w:szCs w:val="18"/>
                  <w:u w:val="none"/>
                </w:rPr>
                <w:t>96</w:t>
              </w:r>
            </w:hyperlink>
          </w:p>
        </w:tc>
      </w:tr>
      <w:tr w:rsidR="00960BB8" w14:paraId="5A1B0BC4" w14:textId="77777777">
        <w:tc>
          <w:tcPr>
            <w:tcW w:w="0" w:type="auto"/>
            <w:gridSpan w:val="9"/>
            <w:shd w:val="clear" w:color="auto" w:fill="auto"/>
            <w:tcMar>
              <w:top w:w="40" w:type="dxa"/>
              <w:left w:w="245" w:type="dxa"/>
              <w:bottom w:w="40" w:type="dxa"/>
              <w:right w:w="20" w:type="dxa"/>
            </w:tcMar>
            <w:vAlign w:val="bottom"/>
          </w:tcPr>
          <w:p w14:paraId="5A1B0BC2" w14:textId="77777777" w:rsidR="00960BB8" w:rsidRDefault="00C06650">
            <w:pPr>
              <w:textAlignment w:val="bottom"/>
            </w:pPr>
            <w:r>
              <w:rPr>
                <w:rFonts w:ascii="Arial" w:eastAsia="宋体" w:hAnsi="Arial" w:cs="Arial"/>
                <w:color w:val="262626"/>
                <w:sz w:val="18"/>
                <w:szCs w:val="18"/>
              </w:rPr>
              <w:t>Note 10: Acquisitions and Divestitures</w:t>
            </w:r>
          </w:p>
        </w:tc>
        <w:tc>
          <w:tcPr>
            <w:tcW w:w="0" w:type="auto"/>
            <w:gridSpan w:val="3"/>
            <w:shd w:val="clear" w:color="auto" w:fill="auto"/>
            <w:tcMar>
              <w:top w:w="40" w:type="dxa"/>
              <w:left w:w="20" w:type="dxa"/>
              <w:bottom w:w="40" w:type="dxa"/>
              <w:right w:w="20" w:type="dxa"/>
            </w:tcMar>
            <w:vAlign w:val="bottom"/>
          </w:tcPr>
          <w:p w14:paraId="5A1B0BC3" w14:textId="77777777" w:rsidR="00960BB8" w:rsidRDefault="00C06650">
            <w:pPr>
              <w:jc w:val="center"/>
              <w:textAlignment w:val="bottom"/>
            </w:pPr>
            <w:hyperlink r:id="rId107" w:anchor="i8aaa7b4dbd2e419ca0f5c30af85a11aa_412" w:history="1">
              <w:r>
                <w:rPr>
                  <w:rStyle w:val="a5"/>
                  <w:rFonts w:ascii="Arial" w:eastAsia="宋体" w:hAnsi="Arial" w:cs="Arial"/>
                  <w:color w:val="262626"/>
                  <w:sz w:val="18"/>
                  <w:szCs w:val="18"/>
                  <w:u w:val="none"/>
                </w:rPr>
                <w:t>97</w:t>
              </w:r>
            </w:hyperlink>
          </w:p>
        </w:tc>
      </w:tr>
      <w:tr w:rsidR="00960BB8" w14:paraId="5A1B0BC7" w14:textId="77777777">
        <w:tc>
          <w:tcPr>
            <w:tcW w:w="0" w:type="auto"/>
            <w:gridSpan w:val="9"/>
            <w:shd w:val="clear" w:color="auto" w:fill="auto"/>
            <w:tcMar>
              <w:top w:w="40" w:type="dxa"/>
              <w:left w:w="245" w:type="dxa"/>
              <w:bottom w:w="40" w:type="dxa"/>
              <w:right w:w="20" w:type="dxa"/>
            </w:tcMar>
            <w:vAlign w:val="bottom"/>
          </w:tcPr>
          <w:p w14:paraId="5A1B0BC5" w14:textId="77777777" w:rsidR="00960BB8" w:rsidRDefault="00C06650">
            <w:pPr>
              <w:textAlignment w:val="bottom"/>
            </w:pPr>
            <w:r>
              <w:rPr>
                <w:rFonts w:ascii="Arial" w:eastAsia="宋体" w:hAnsi="Arial" w:cs="Arial"/>
                <w:color w:val="262626"/>
                <w:sz w:val="18"/>
                <w:szCs w:val="18"/>
              </w:rPr>
              <w:t>Note 11: Goodwill</w:t>
            </w:r>
          </w:p>
        </w:tc>
        <w:tc>
          <w:tcPr>
            <w:tcW w:w="0" w:type="auto"/>
            <w:gridSpan w:val="3"/>
            <w:shd w:val="clear" w:color="auto" w:fill="auto"/>
            <w:tcMar>
              <w:top w:w="40" w:type="dxa"/>
              <w:left w:w="20" w:type="dxa"/>
              <w:bottom w:w="40" w:type="dxa"/>
              <w:right w:w="20" w:type="dxa"/>
            </w:tcMar>
            <w:vAlign w:val="bottom"/>
          </w:tcPr>
          <w:p w14:paraId="5A1B0BC6" w14:textId="77777777" w:rsidR="00960BB8" w:rsidRDefault="00C06650">
            <w:pPr>
              <w:jc w:val="center"/>
              <w:textAlignment w:val="bottom"/>
            </w:pPr>
            <w:hyperlink r:id="rId108" w:anchor="i8aaa7b4dbd2e419ca0f5c30af85a11aa_421" w:history="1">
              <w:r>
                <w:rPr>
                  <w:rStyle w:val="a5"/>
                  <w:rFonts w:ascii="Arial" w:eastAsia="宋体" w:hAnsi="Arial" w:cs="Arial"/>
                  <w:color w:val="262626"/>
                  <w:sz w:val="18"/>
                  <w:szCs w:val="18"/>
                  <w:u w:val="none"/>
                </w:rPr>
                <w:t>99</w:t>
              </w:r>
            </w:hyperlink>
          </w:p>
        </w:tc>
      </w:tr>
      <w:tr w:rsidR="00960BB8" w14:paraId="5A1B0BCA" w14:textId="77777777">
        <w:tc>
          <w:tcPr>
            <w:tcW w:w="0" w:type="auto"/>
            <w:gridSpan w:val="9"/>
            <w:shd w:val="clear" w:color="auto" w:fill="auto"/>
            <w:tcMar>
              <w:top w:w="40" w:type="dxa"/>
              <w:left w:w="245" w:type="dxa"/>
              <w:bottom w:w="40" w:type="dxa"/>
              <w:right w:w="20" w:type="dxa"/>
            </w:tcMar>
            <w:vAlign w:val="bottom"/>
          </w:tcPr>
          <w:p w14:paraId="5A1B0BC8" w14:textId="77777777" w:rsidR="00960BB8" w:rsidRDefault="00C06650">
            <w:pPr>
              <w:textAlignment w:val="bottom"/>
            </w:pPr>
            <w:r>
              <w:rPr>
                <w:rFonts w:ascii="Arial" w:eastAsia="宋体" w:hAnsi="Arial" w:cs="Arial"/>
                <w:color w:val="262626"/>
                <w:sz w:val="18"/>
                <w:szCs w:val="18"/>
              </w:rPr>
              <w:t>Note 12: Identified Intangible Assets</w:t>
            </w:r>
          </w:p>
        </w:tc>
        <w:tc>
          <w:tcPr>
            <w:tcW w:w="0" w:type="auto"/>
            <w:gridSpan w:val="3"/>
            <w:shd w:val="clear" w:color="auto" w:fill="auto"/>
            <w:tcMar>
              <w:top w:w="40" w:type="dxa"/>
              <w:left w:w="20" w:type="dxa"/>
              <w:bottom w:w="40" w:type="dxa"/>
              <w:right w:w="20" w:type="dxa"/>
            </w:tcMar>
            <w:vAlign w:val="bottom"/>
          </w:tcPr>
          <w:p w14:paraId="5A1B0BC9" w14:textId="77777777" w:rsidR="00960BB8" w:rsidRDefault="00C06650">
            <w:pPr>
              <w:jc w:val="center"/>
              <w:textAlignment w:val="bottom"/>
            </w:pPr>
            <w:hyperlink r:id="rId109" w:anchor="i8aaa7b4dbd2e419ca0f5c30af85a11aa_424" w:history="1">
              <w:r>
                <w:rPr>
                  <w:rStyle w:val="a5"/>
                  <w:rFonts w:ascii="Arial" w:eastAsia="宋体" w:hAnsi="Arial" w:cs="Arial"/>
                  <w:color w:val="262626"/>
                  <w:sz w:val="18"/>
                  <w:szCs w:val="18"/>
                  <w:u w:val="none"/>
                </w:rPr>
                <w:t>100</w:t>
              </w:r>
            </w:hyperlink>
          </w:p>
        </w:tc>
      </w:tr>
      <w:tr w:rsidR="00960BB8" w14:paraId="5A1B0BCF" w14:textId="77777777">
        <w:trPr>
          <w:hidden/>
        </w:trPr>
        <w:tc>
          <w:tcPr>
            <w:tcW w:w="0" w:type="auto"/>
            <w:gridSpan w:val="3"/>
            <w:shd w:val="clear" w:color="auto" w:fill="auto"/>
            <w:vAlign w:val="bottom"/>
          </w:tcPr>
          <w:p w14:paraId="5A1B0BCB" w14:textId="77777777" w:rsidR="00960BB8" w:rsidRDefault="00960BB8">
            <w:pPr>
              <w:rPr>
                <w:rFonts w:ascii="宋体"/>
                <w:vanish/>
              </w:rPr>
            </w:pPr>
          </w:p>
        </w:tc>
        <w:tc>
          <w:tcPr>
            <w:tcW w:w="0" w:type="auto"/>
            <w:gridSpan w:val="3"/>
            <w:shd w:val="clear" w:color="auto" w:fill="auto"/>
            <w:vAlign w:val="bottom"/>
          </w:tcPr>
          <w:p w14:paraId="5A1B0BCC" w14:textId="77777777" w:rsidR="00960BB8" w:rsidRDefault="00960BB8">
            <w:pPr>
              <w:rPr>
                <w:rFonts w:ascii="宋体"/>
                <w:vanish/>
              </w:rPr>
            </w:pPr>
          </w:p>
        </w:tc>
        <w:tc>
          <w:tcPr>
            <w:tcW w:w="0" w:type="auto"/>
            <w:gridSpan w:val="3"/>
            <w:shd w:val="clear" w:color="auto" w:fill="auto"/>
            <w:vAlign w:val="bottom"/>
          </w:tcPr>
          <w:p w14:paraId="5A1B0BCD" w14:textId="77777777" w:rsidR="00960BB8" w:rsidRDefault="00960BB8">
            <w:pPr>
              <w:rPr>
                <w:rFonts w:ascii="宋体"/>
                <w:vanish/>
              </w:rPr>
            </w:pPr>
          </w:p>
        </w:tc>
        <w:tc>
          <w:tcPr>
            <w:tcW w:w="0" w:type="auto"/>
            <w:gridSpan w:val="3"/>
            <w:shd w:val="clear" w:color="auto" w:fill="auto"/>
            <w:vAlign w:val="bottom"/>
          </w:tcPr>
          <w:p w14:paraId="5A1B0BCE" w14:textId="77777777" w:rsidR="00960BB8" w:rsidRDefault="00960BB8">
            <w:pPr>
              <w:rPr>
                <w:rFonts w:ascii="宋体"/>
                <w:vanish/>
              </w:rPr>
            </w:pPr>
          </w:p>
        </w:tc>
      </w:tr>
      <w:tr w:rsidR="00960BB8" w14:paraId="5A1B0BD2" w14:textId="77777777">
        <w:tc>
          <w:tcPr>
            <w:tcW w:w="0" w:type="auto"/>
            <w:gridSpan w:val="9"/>
            <w:shd w:val="clear" w:color="auto" w:fill="auto"/>
            <w:tcMar>
              <w:top w:w="40" w:type="dxa"/>
              <w:left w:w="245" w:type="dxa"/>
              <w:bottom w:w="40" w:type="dxa"/>
              <w:right w:w="20" w:type="dxa"/>
            </w:tcMar>
            <w:vAlign w:val="bottom"/>
          </w:tcPr>
          <w:p w14:paraId="5A1B0BD0" w14:textId="77777777" w:rsidR="00960BB8" w:rsidRDefault="00C06650">
            <w:pPr>
              <w:textAlignment w:val="bottom"/>
            </w:pPr>
            <w:r>
              <w:rPr>
                <w:rFonts w:ascii="Arial" w:eastAsia="宋体" w:hAnsi="Arial" w:cs="Arial"/>
                <w:color w:val="262626"/>
                <w:sz w:val="18"/>
                <w:szCs w:val="18"/>
              </w:rPr>
              <w:t>Note 13: Borrowings</w:t>
            </w:r>
          </w:p>
        </w:tc>
        <w:tc>
          <w:tcPr>
            <w:tcW w:w="0" w:type="auto"/>
            <w:gridSpan w:val="3"/>
            <w:shd w:val="clear" w:color="auto" w:fill="auto"/>
            <w:tcMar>
              <w:top w:w="40" w:type="dxa"/>
              <w:left w:w="20" w:type="dxa"/>
              <w:bottom w:w="40" w:type="dxa"/>
              <w:right w:w="20" w:type="dxa"/>
            </w:tcMar>
            <w:vAlign w:val="bottom"/>
          </w:tcPr>
          <w:p w14:paraId="5A1B0BD1" w14:textId="77777777" w:rsidR="00960BB8" w:rsidRDefault="00C06650">
            <w:pPr>
              <w:jc w:val="center"/>
              <w:textAlignment w:val="bottom"/>
            </w:pPr>
            <w:hyperlink r:id="rId110" w:anchor="i8aaa7b4dbd2e419ca0f5c30af85a11aa_427" w:history="1">
              <w:r>
                <w:rPr>
                  <w:rStyle w:val="a5"/>
                  <w:rFonts w:ascii="Arial" w:eastAsia="宋体" w:hAnsi="Arial" w:cs="Arial"/>
                  <w:color w:val="262626"/>
                  <w:sz w:val="18"/>
                  <w:szCs w:val="18"/>
                  <w:u w:val="none"/>
                </w:rPr>
                <w:t>100</w:t>
              </w:r>
            </w:hyperlink>
          </w:p>
        </w:tc>
      </w:tr>
      <w:tr w:rsidR="00960BB8" w14:paraId="5A1B0BD5" w14:textId="77777777">
        <w:tc>
          <w:tcPr>
            <w:tcW w:w="0" w:type="auto"/>
            <w:gridSpan w:val="9"/>
            <w:shd w:val="clear" w:color="auto" w:fill="auto"/>
            <w:tcMar>
              <w:top w:w="40" w:type="dxa"/>
              <w:left w:w="245" w:type="dxa"/>
              <w:bottom w:w="40" w:type="dxa"/>
              <w:right w:w="20" w:type="dxa"/>
            </w:tcMar>
            <w:vAlign w:val="bottom"/>
          </w:tcPr>
          <w:p w14:paraId="5A1B0BD3" w14:textId="77777777" w:rsidR="00960BB8" w:rsidRDefault="00C06650">
            <w:pPr>
              <w:textAlignment w:val="bottom"/>
            </w:pPr>
            <w:r>
              <w:rPr>
                <w:rFonts w:ascii="Arial" w:eastAsia="宋体" w:hAnsi="Arial" w:cs="Arial"/>
                <w:color w:val="262626"/>
                <w:sz w:val="18"/>
                <w:szCs w:val="18"/>
              </w:rPr>
              <w:t>Note 14: Fair Value</w:t>
            </w:r>
          </w:p>
        </w:tc>
        <w:tc>
          <w:tcPr>
            <w:tcW w:w="0" w:type="auto"/>
            <w:gridSpan w:val="3"/>
            <w:shd w:val="clear" w:color="auto" w:fill="auto"/>
            <w:tcMar>
              <w:top w:w="40" w:type="dxa"/>
              <w:left w:w="20" w:type="dxa"/>
              <w:bottom w:w="40" w:type="dxa"/>
              <w:right w:w="20" w:type="dxa"/>
            </w:tcMar>
            <w:vAlign w:val="bottom"/>
          </w:tcPr>
          <w:p w14:paraId="5A1B0BD4" w14:textId="77777777" w:rsidR="00960BB8" w:rsidRDefault="00C06650">
            <w:pPr>
              <w:jc w:val="center"/>
              <w:textAlignment w:val="bottom"/>
            </w:pPr>
            <w:hyperlink r:id="rId111" w:anchor="i8aaa7b4dbd2e419ca0f5c30af85a11aa_433" w:history="1">
              <w:r>
                <w:rPr>
                  <w:rStyle w:val="a5"/>
                  <w:rFonts w:ascii="Arial" w:eastAsia="宋体" w:hAnsi="Arial" w:cs="Arial"/>
                  <w:color w:val="262626"/>
                  <w:sz w:val="18"/>
                  <w:szCs w:val="18"/>
                  <w:u w:val="none"/>
                </w:rPr>
                <w:t>103</w:t>
              </w:r>
            </w:hyperlink>
          </w:p>
        </w:tc>
      </w:tr>
      <w:tr w:rsidR="00960BB8" w14:paraId="5A1B0BD8" w14:textId="77777777">
        <w:tc>
          <w:tcPr>
            <w:tcW w:w="0" w:type="auto"/>
            <w:gridSpan w:val="9"/>
            <w:shd w:val="clear" w:color="auto" w:fill="auto"/>
            <w:tcMar>
              <w:top w:w="40" w:type="dxa"/>
              <w:left w:w="155" w:type="dxa"/>
              <w:bottom w:w="40" w:type="dxa"/>
              <w:right w:w="20" w:type="dxa"/>
            </w:tcMar>
            <w:vAlign w:val="bottom"/>
          </w:tcPr>
          <w:p w14:paraId="5A1B0BD6" w14:textId="77777777" w:rsidR="00960BB8" w:rsidRDefault="00C06650">
            <w:pPr>
              <w:textAlignment w:val="bottom"/>
            </w:pPr>
            <w:r>
              <w:rPr>
                <w:rFonts w:ascii="Arial" w:eastAsia="宋体" w:hAnsi="Arial" w:cs="Arial"/>
                <w:color w:val="0068B5"/>
                <w:sz w:val="18"/>
                <w:szCs w:val="18"/>
              </w:rPr>
              <w:t>Risk Management and Other</w:t>
            </w:r>
          </w:p>
        </w:tc>
        <w:tc>
          <w:tcPr>
            <w:tcW w:w="0" w:type="auto"/>
            <w:gridSpan w:val="3"/>
            <w:shd w:val="clear" w:color="auto" w:fill="auto"/>
            <w:tcMar>
              <w:top w:w="0" w:type="dxa"/>
              <w:left w:w="20" w:type="dxa"/>
              <w:bottom w:w="0" w:type="dxa"/>
              <w:right w:w="20" w:type="dxa"/>
            </w:tcMar>
            <w:vAlign w:val="bottom"/>
          </w:tcPr>
          <w:p w14:paraId="5A1B0BD7" w14:textId="77777777" w:rsidR="00960BB8" w:rsidRDefault="00960BB8">
            <w:pPr>
              <w:rPr>
                <w:rFonts w:ascii="宋体"/>
              </w:rPr>
            </w:pPr>
          </w:p>
        </w:tc>
      </w:tr>
      <w:tr w:rsidR="00960BB8" w14:paraId="5A1B0BDB" w14:textId="77777777">
        <w:tc>
          <w:tcPr>
            <w:tcW w:w="0" w:type="auto"/>
            <w:gridSpan w:val="9"/>
            <w:shd w:val="clear" w:color="auto" w:fill="auto"/>
            <w:tcMar>
              <w:top w:w="40" w:type="dxa"/>
              <w:left w:w="245" w:type="dxa"/>
              <w:bottom w:w="40" w:type="dxa"/>
              <w:right w:w="20" w:type="dxa"/>
            </w:tcMar>
            <w:vAlign w:val="bottom"/>
          </w:tcPr>
          <w:p w14:paraId="5A1B0BD9" w14:textId="77777777" w:rsidR="00960BB8" w:rsidRDefault="00C06650">
            <w:pPr>
              <w:textAlignment w:val="bottom"/>
            </w:pPr>
            <w:r>
              <w:rPr>
                <w:rFonts w:ascii="Arial" w:eastAsia="宋体" w:hAnsi="Arial" w:cs="Arial"/>
                <w:color w:val="262626"/>
                <w:sz w:val="18"/>
                <w:szCs w:val="18"/>
              </w:rPr>
              <w:t>Note 15: Other Comprehensive Income (Loss)</w:t>
            </w:r>
          </w:p>
        </w:tc>
        <w:tc>
          <w:tcPr>
            <w:tcW w:w="0" w:type="auto"/>
            <w:gridSpan w:val="3"/>
            <w:shd w:val="clear" w:color="auto" w:fill="auto"/>
            <w:tcMar>
              <w:top w:w="40" w:type="dxa"/>
              <w:left w:w="20" w:type="dxa"/>
              <w:bottom w:w="40" w:type="dxa"/>
              <w:right w:w="20" w:type="dxa"/>
            </w:tcMar>
            <w:vAlign w:val="bottom"/>
          </w:tcPr>
          <w:p w14:paraId="5A1B0BDA" w14:textId="77777777" w:rsidR="00960BB8" w:rsidRDefault="00C06650">
            <w:pPr>
              <w:jc w:val="center"/>
              <w:textAlignment w:val="bottom"/>
            </w:pPr>
            <w:hyperlink r:id="rId112" w:anchor="i8aaa7b4dbd2e419ca0f5c30af85a11aa_436" w:history="1">
              <w:r>
                <w:rPr>
                  <w:rStyle w:val="a5"/>
                  <w:rFonts w:ascii="Arial" w:eastAsia="宋体" w:hAnsi="Arial" w:cs="Arial"/>
                  <w:color w:val="262626"/>
                  <w:sz w:val="18"/>
                  <w:szCs w:val="18"/>
                  <w:u w:val="none"/>
                </w:rPr>
                <w:t>104</w:t>
              </w:r>
            </w:hyperlink>
          </w:p>
        </w:tc>
      </w:tr>
      <w:tr w:rsidR="00960BB8" w14:paraId="5A1B0BDE" w14:textId="77777777">
        <w:tc>
          <w:tcPr>
            <w:tcW w:w="0" w:type="auto"/>
            <w:gridSpan w:val="9"/>
            <w:shd w:val="clear" w:color="auto" w:fill="auto"/>
            <w:tcMar>
              <w:top w:w="40" w:type="dxa"/>
              <w:left w:w="245" w:type="dxa"/>
              <w:bottom w:w="40" w:type="dxa"/>
              <w:right w:w="20" w:type="dxa"/>
            </w:tcMar>
            <w:vAlign w:val="bottom"/>
          </w:tcPr>
          <w:p w14:paraId="5A1B0BDC" w14:textId="77777777" w:rsidR="00960BB8" w:rsidRDefault="00C06650">
            <w:pPr>
              <w:textAlignment w:val="bottom"/>
            </w:pPr>
            <w:r>
              <w:rPr>
                <w:rFonts w:ascii="Arial" w:eastAsia="宋体" w:hAnsi="Arial" w:cs="Arial"/>
                <w:color w:val="262626"/>
                <w:sz w:val="18"/>
                <w:szCs w:val="18"/>
              </w:rPr>
              <w:t>Note 16: Derivative Financial Instruments</w:t>
            </w:r>
          </w:p>
        </w:tc>
        <w:tc>
          <w:tcPr>
            <w:tcW w:w="0" w:type="auto"/>
            <w:gridSpan w:val="3"/>
            <w:shd w:val="clear" w:color="auto" w:fill="auto"/>
            <w:tcMar>
              <w:top w:w="40" w:type="dxa"/>
              <w:left w:w="20" w:type="dxa"/>
              <w:bottom w:w="40" w:type="dxa"/>
              <w:right w:w="20" w:type="dxa"/>
            </w:tcMar>
            <w:vAlign w:val="bottom"/>
          </w:tcPr>
          <w:p w14:paraId="5A1B0BDD" w14:textId="77777777" w:rsidR="00960BB8" w:rsidRDefault="00C06650">
            <w:pPr>
              <w:jc w:val="center"/>
              <w:textAlignment w:val="bottom"/>
            </w:pPr>
            <w:hyperlink r:id="rId113" w:anchor="i8aaa7b4dbd2e419ca0f5c30af85a11aa_439" w:history="1">
              <w:r>
                <w:rPr>
                  <w:rStyle w:val="a5"/>
                  <w:rFonts w:ascii="Arial" w:eastAsia="宋体" w:hAnsi="Arial" w:cs="Arial"/>
                  <w:color w:val="262626"/>
                  <w:sz w:val="18"/>
                  <w:szCs w:val="18"/>
                  <w:u w:val="none"/>
                </w:rPr>
                <w:t>105</w:t>
              </w:r>
            </w:hyperlink>
          </w:p>
        </w:tc>
      </w:tr>
      <w:tr w:rsidR="00960BB8" w14:paraId="5A1B0BE1" w14:textId="77777777">
        <w:tc>
          <w:tcPr>
            <w:tcW w:w="0" w:type="auto"/>
            <w:gridSpan w:val="9"/>
            <w:shd w:val="clear" w:color="auto" w:fill="auto"/>
            <w:tcMar>
              <w:top w:w="40" w:type="dxa"/>
              <w:left w:w="245" w:type="dxa"/>
              <w:bottom w:w="40" w:type="dxa"/>
              <w:right w:w="20" w:type="dxa"/>
            </w:tcMar>
            <w:vAlign w:val="bottom"/>
          </w:tcPr>
          <w:p w14:paraId="5A1B0BDF" w14:textId="77777777" w:rsidR="00960BB8" w:rsidRDefault="00C06650">
            <w:pPr>
              <w:textAlignment w:val="bottom"/>
            </w:pPr>
            <w:r>
              <w:rPr>
                <w:rFonts w:ascii="Arial" w:eastAsia="宋体" w:hAnsi="Arial" w:cs="Arial"/>
                <w:color w:val="262626"/>
                <w:sz w:val="18"/>
                <w:szCs w:val="18"/>
              </w:rPr>
              <w:t>Note 17: Retirement Benefit Plans</w:t>
            </w:r>
          </w:p>
        </w:tc>
        <w:tc>
          <w:tcPr>
            <w:tcW w:w="0" w:type="auto"/>
            <w:gridSpan w:val="3"/>
            <w:shd w:val="clear" w:color="auto" w:fill="auto"/>
            <w:tcMar>
              <w:top w:w="40" w:type="dxa"/>
              <w:left w:w="20" w:type="dxa"/>
              <w:bottom w:w="40" w:type="dxa"/>
              <w:right w:w="20" w:type="dxa"/>
            </w:tcMar>
            <w:vAlign w:val="bottom"/>
          </w:tcPr>
          <w:p w14:paraId="5A1B0BE0" w14:textId="77777777" w:rsidR="00960BB8" w:rsidRDefault="00C06650">
            <w:pPr>
              <w:jc w:val="center"/>
              <w:textAlignment w:val="bottom"/>
            </w:pPr>
            <w:hyperlink r:id="rId114" w:anchor="i8aaa7b4dbd2e419ca0f5c30af85a11aa_445" w:history="1">
              <w:r>
                <w:rPr>
                  <w:rStyle w:val="a5"/>
                  <w:rFonts w:ascii="Arial" w:eastAsia="宋体" w:hAnsi="Arial" w:cs="Arial"/>
                  <w:color w:val="262626"/>
                  <w:sz w:val="18"/>
                  <w:szCs w:val="18"/>
                  <w:u w:val="none"/>
                </w:rPr>
                <w:t>107</w:t>
              </w:r>
            </w:hyperlink>
          </w:p>
        </w:tc>
      </w:tr>
      <w:tr w:rsidR="00960BB8" w14:paraId="5A1B0BE4" w14:textId="77777777">
        <w:tc>
          <w:tcPr>
            <w:tcW w:w="0" w:type="auto"/>
            <w:gridSpan w:val="9"/>
            <w:shd w:val="clear" w:color="auto" w:fill="auto"/>
            <w:tcMar>
              <w:top w:w="40" w:type="dxa"/>
              <w:left w:w="245" w:type="dxa"/>
              <w:bottom w:w="40" w:type="dxa"/>
              <w:right w:w="20" w:type="dxa"/>
            </w:tcMar>
            <w:vAlign w:val="bottom"/>
          </w:tcPr>
          <w:p w14:paraId="5A1B0BE2" w14:textId="77777777" w:rsidR="00960BB8" w:rsidRDefault="00C06650">
            <w:pPr>
              <w:textAlignment w:val="bottom"/>
            </w:pPr>
            <w:r>
              <w:rPr>
                <w:rFonts w:ascii="Arial" w:eastAsia="宋体" w:hAnsi="Arial" w:cs="Arial"/>
                <w:color w:val="262626"/>
                <w:sz w:val="18"/>
                <w:szCs w:val="18"/>
              </w:rPr>
              <w:t>Note 18: Employee Equity Incentive Plans</w:t>
            </w:r>
          </w:p>
        </w:tc>
        <w:tc>
          <w:tcPr>
            <w:tcW w:w="0" w:type="auto"/>
            <w:gridSpan w:val="3"/>
            <w:shd w:val="clear" w:color="auto" w:fill="auto"/>
            <w:tcMar>
              <w:top w:w="40" w:type="dxa"/>
              <w:left w:w="20" w:type="dxa"/>
              <w:bottom w:w="40" w:type="dxa"/>
              <w:right w:w="20" w:type="dxa"/>
            </w:tcMar>
            <w:vAlign w:val="bottom"/>
          </w:tcPr>
          <w:p w14:paraId="5A1B0BE3" w14:textId="77777777" w:rsidR="00960BB8" w:rsidRDefault="00C06650">
            <w:pPr>
              <w:jc w:val="center"/>
              <w:textAlignment w:val="bottom"/>
            </w:pPr>
            <w:hyperlink r:id="rId115" w:anchor="i8aaa7b4dbd2e419ca0f5c30af85a11aa_451" w:history="1">
              <w:r>
                <w:rPr>
                  <w:rStyle w:val="a5"/>
                  <w:rFonts w:ascii="Arial" w:eastAsia="宋体" w:hAnsi="Arial" w:cs="Arial"/>
                  <w:color w:val="262626"/>
                  <w:sz w:val="18"/>
                  <w:szCs w:val="18"/>
                  <w:u w:val="none"/>
                </w:rPr>
                <w:t>110</w:t>
              </w:r>
            </w:hyperlink>
          </w:p>
        </w:tc>
      </w:tr>
      <w:tr w:rsidR="00960BB8" w14:paraId="5A1B0BE7" w14:textId="77777777">
        <w:tc>
          <w:tcPr>
            <w:tcW w:w="0" w:type="auto"/>
            <w:gridSpan w:val="9"/>
            <w:shd w:val="clear" w:color="auto" w:fill="auto"/>
            <w:tcMar>
              <w:top w:w="40" w:type="dxa"/>
              <w:left w:w="245" w:type="dxa"/>
              <w:bottom w:w="40" w:type="dxa"/>
              <w:right w:w="20" w:type="dxa"/>
            </w:tcMar>
            <w:vAlign w:val="bottom"/>
          </w:tcPr>
          <w:p w14:paraId="5A1B0BE5" w14:textId="77777777" w:rsidR="00960BB8" w:rsidRDefault="00C06650">
            <w:pPr>
              <w:textAlignment w:val="bottom"/>
            </w:pPr>
            <w:r>
              <w:rPr>
                <w:rFonts w:ascii="Arial" w:eastAsia="宋体" w:hAnsi="Arial" w:cs="Arial"/>
                <w:color w:val="262626"/>
                <w:sz w:val="18"/>
                <w:szCs w:val="18"/>
              </w:rPr>
              <w:t>Note 19: Commitments and Contingencies</w:t>
            </w:r>
          </w:p>
        </w:tc>
        <w:tc>
          <w:tcPr>
            <w:tcW w:w="0" w:type="auto"/>
            <w:gridSpan w:val="3"/>
            <w:shd w:val="clear" w:color="auto" w:fill="auto"/>
            <w:tcMar>
              <w:top w:w="40" w:type="dxa"/>
              <w:left w:w="20" w:type="dxa"/>
              <w:bottom w:w="40" w:type="dxa"/>
              <w:right w:w="20" w:type="dxa"/>
            </w:tcMar>
            <w:vAlign w:val="bottom"/>
          </w:tcPr>
          <w:p w14:paraId="5A1B0BE6" w14:textId="77777777" w:rsidR="00960BB8" w:rsidRDefault="00C06650">
            <w:pPr>
              <w:jc w:val="center"/>
              <w:textAlignment w:val="bottom"/>
            </w:pPr>
            <w:hyperlink r:id="rId116" w:anchor="i8aaa7b4dbd2e419ca0f5c30af85a11aa_457" w:history="1">
              <w:r>
                <w:rPr>
                  <w:rStyle w:val="a5"/>
                  <w:rFonts w:ascii="Arial" w:eastAsia="宋体" w:hAnsi="Arial" w:cs="Arial"/>
                  <w:color w:val="262626"/>
                  <w:sz w:val="18"/>
                  <w:szCs w:val="18"/>
                  <w:u w:val="none"/>
                </w:rPr>
                <w:t>112</w:t>
              </w:r>
            </w:hyperlink>
          </w:p>
        </w:tc>
      </w:tr>
      <w:tr w:rsidR="00960BB8" w14:paraId="5A1B0BEA" w14:textId="77777777">
        <w:tc>
          <w:tcPr>
            <w:tcW w:w="0" w:type="auto"/>
            <w:gridSpan w:val="9"/>
            <w:shd w:val="clear" w:color="auto" w:fill="auto"/>
            <w:tcMar>
              <w:top w:w="40" w:type="dxa"/>
              <w:left w:w="20" w:type="dxa"/>
              <w:bottom w:w="40" w:type="dxa"/>
              <w:right w:w="20" w:type="dxa"/>
            </w:tcMar>
            <w:vAlign w:val="bottom"/>
          </w:tcPr>
          <w:p w14:paraId="5A1B0BE8" w14:textId="77777777" w:rsidR="00960BB8" w:rsidRDefault="00C06650">
            <w:pPr>
              <w:textAlignment w:val="bottom"/>
            </w:pPr>
            <w:r>
              <w:rPr>
                <w:rFonts w:ascii="Arial" w:eastAsia="宋体" w:hAnsi="Arial" w:cs="Arial"/>
                <w:color w:val="262626"/>
                <w:sz w:val="18"/>
                <w:szCs w:val="18"/>
              </w:rPr>
              <w:t>Key Terms</w:t>
            </w:r>
          </w:p>
        </w:tc>
        <w:tc>
          <w:tcPr>
            <w:tcW w:w="0" w:type="auto"/>
            <w:gridSpan w:val="3"/>
            <w:shd w:val="clear" w:color="auto" w:fill="auto"/>
            <w:tcMar>
              <w:top w:w="40" w:type="dxa"/>
              <w:left w:w="20" w:type="dxa"/>
              <w:bottom w:w="40" w:type="dxa"/>
              <w:right w:w="20" w:type="dxa"/>
            </w:tcMar>
            <w:vAlign w:val="bottom"/>
          </w:tcPr>
          <w:p w14:paraId="5A1B0BE9" w14:textId="77777777" w:rsidR="00960BB8" w:rsidRDefault="00C06650">
            <w:pPr>
              <w:jc w:val="center"/>
              <w:textAlignment w:val="bottom"/>
            </w:pPr>
            <w:hyperlink r:id="rId117" w:anchor="i8aaa7b4dbd2e419ca0f5c30af85a11aa_463" w:history="1">
              <w:r>
                <w:rPr>
                  <w:rStyle w:val="a5"/>
                  <w:rFonts w:ascii="Arial" w:eastAsia="宋体" w:hAnsi="Arial" w:cs="Arial"/>
                  <w:color w:val="262626"/>
                  <w:sz w:val="18"/>
                  <w:szCs w:val="18"/>
                  <w:u w:val="none"/>
                </w:rPr>
                <w:t>115</w:t>
              </w:r>
            </w:hyperlink>
          </w:p>
        </w:tc>
      </w:tr>
      <w:tr w:rsidR="00960BB8" w14:paraId="5A1B0BEF" w14:textId="77777777">
        <w:trPr>
          <w:trHeight w:val="60"/>
        </w:trPr>
        <w:tc>
          <w:tcPr>
            <w:tcW w:w="0" w:type="auto"/>
            <w:gridSpan w:val="3"/>
            <w:shd w:val="clear" w:color="auto" w:fill="auto"/>
            <w:tcMar>
              <w:top w:w="0" w:type="dxa"/>
              <w:left w:w="20" w:type="dxa"/>
              <w:bottom w:w="0" w:type="dxa"/>
              <w:right w:w="20" w:type="dxa"/>
            </w:tcMar>
            <w:vAlign w:val="bottom"/>
          </w:tcPr>
          <w:p w14:paraId="5A1B0BE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E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E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BEE" w14:textId="77777777" w:rsidR="00960BB8" w:rsidRDefault="00960BB8">
            <w:pPr>
              <w:rPr>
                <w:rFonts w:ascii="宋体"/>
              </w:rPr>
            </w:pPr>
          </w:p>
        </w:tc>
      </w:tr>
      <w:tr w:rsidR="00960BB8" w14:paraId="5A1B0BF2" w14:textId="77777777">
        <w:tc>
          <w:tcPr>
            <w:tcW w:w="0" w:type="auto"/>
            <w:gridSpan w:val="9"/>
            <w:shd w:val="clear" w:color="auto" w:fill="auto"/>
            <w:tcMar>
              <w:top w:w="40" w:type="dxa"/>
              <w:left w:w="20" w:type="dxa"/>
              <w:bottom w:w="40" w:type="dxa"/>
              <w:right w:w="20" w:type="dxa"/>
            </w:tcMar>
            <w:vAlign w:val="bottom"/>
          </w:tcPr>
          <w:p w14:paraId="5A1B0BF0" w14:textId="77777777" w:rsidR="00960BB8" w:rsidRDefault="00C06650">
            <w:pPr>
              <w:textAlignment w:val="bottom"/>
            </w:pPr>
            <w:r>
              <w:rPr>
                <w:rFonts w:ascii="Arial" w:eastAsia="宋体" w:hAnsi="Arial" w:cs="Arial"/>
                <w:color w:val="0068B5"/>
                <w:sz w:val="18"/>
                <w:szCs w:val="18"/>
              </w:rPr>
              <w:t xml:space="preserve">Index to Supplemental </w:t>
            </w:r>
            <w:r>
              <w:rPr>
                <w:rFonts w:ascii="Arial" w:eastAsia="宋体" w:hAnsi="Arial" w:cs="Arial"/>
                <w:color w:val="0068B5"/>
                <w:sz w:val="18"/>
                <w:szCs w:val="18"/>
              </w:rPr>
              <w:t>Details</w:t>
            </w:r>
          </w:p>
        </w:tc>
        <w:tc>
          <w:tcPr>
            <w:tcW w:w="0" w:type="auto"/>
            <w:gridSpan w:val="3"/>
            <w:shd w:val="clear" w:color="auto" w:fill="auto"/>
            <w:tcMar>
              <w:top w:w="0" w:type="dxa"/>
              <w:left w:w="20" w:type="dxa"/>
              <w:bottom w:w="0" w:type="dxa"/>
              <w:right w:w="20" w:type="dxa"/>
            </w:tcMar>
            <w:vAlign w:val="bottom"/>
          </w:tcPr>
          <w:p w14:paraId="5A1B0BF1" w14:textId="77777777" w:rsidR="00960BB8" w:rsidRDefault="00960BB8">
            <w:pPr>
              <w:rPr>
                <w:rFonts w:ascii="宋体"/>
              </w:rPr>
            </w:pPr>
          </w:p>
        </w:tc>
      </w:tr>
      <w:tr w:rsidR="00960BB8" w14:paraId="5A1B0BF7" w14:textId="77777777">
        <w:trPr>
          <w:hidden/>
        </w:trPr>
        <w:tc>
          <w:tcPr>
            <w:tcW w:w="0" w:type="auto"/>
            <w:gridSpan w:val="3"/>
            <w:shd w:val="clear" w:color="auto" w:fill="auto"/>
            <w:vAlign w:val="bottom"/>
          </w:tcPr>
          <w:p w14:paraId="5A1B0BF3" w14:textId="77777777" w:rsidR="00960BB8" w:rsidRDefault="00960BB8">
            <w:pPr>
              <w:rPr>
                <w:rFonts w:ascii="宋体"/>
                <w:vanish/>
              </w:rPr>
            </w:pPr>
          </w:p>
        </w:tc>
        <w:tc>
          <w:tcPr>
            <w:tcW w:w="0" w:type="auto"/>
            <w:gridSpan w:val="3"/>
            <w:shd w:val="clear" w:color="auto" w:fill="auto"/>
            <w:vAlign w:val="bottom"/>
          </w:tcPr>
          <w:p w14:paraId="5A1B0BF4" w14:textId="77777777" w:rsidR="00960BB8" w:rsidRDefault="00960BB8">
            <w:pPr>
              <w:rPr>
                <w:rFonts w:ascii="宋体"/>
                <w:vanish/>
              </w:rPr>
            </w:pPr>
          </w:p>
        </w:tc>
        <w:tc>
          <w:tcPr>
            <w:tcW w:w="0" w:type="auto"/>
            <w:gridSpan w:val="3"/>
            <w:shd w:val="clear" w:color="auto" w:fill="auto"/>
            <w:vAlign w:val="bottom"/>
          </w:tcPr>
          <w:p w14:paraId="5A1B0BF5" w14:textId="77777777" w:rsidR="00960BB8" w:rsidRDefault="00960BB8">
            <w:pPr>
              <w:rPr>
                <w:rFonts w:ascii="宋体"/>
                <w:vanish/>
              </w:rPr>
            </w:pPr>
          </w:p>
        </w:tc>
        <w:tc>
          <w:tcPr>
            <w:tcW w:w="0" w:type="auto"/>
            <w:gridSpan w:val="3"/>
            <w:shd w:val="clear" w:color="auto" w:fill="auto"/>
            <w:vAlign w:val="bottom"/>
          </w:tcPr>
          <w:p w14:paraId="5A1B0BF6" w14:textId="77777777" w:rsidR="00960BB8" w:rsidRDefault="00960BB8">
            <w:pPr>
              <w:rPr>
                <w:rFonts w:ascii="宋体"/>
                <w:vanish/>
              </w:rPr>
            </w:pPr>
          </w:p>
        </w:tc>
      </w:tr>
      <w:tr w:rsidR="00960BB8" w14:paraId="5A1B0BFA" w14:textId="77777777">
        <w:tc>
          <w:tcPr>
            <w:tcW w:w="0" w:type="auto"/>
            <w:gridSpan w:val="9"/>
            <w:tcBorders>
              <w:top w:val="single" w:sz="8" w:space="0" w:color="0068B5"/>
            </w:tcBorders>
            <w:shd w:val="clear" w:color="auto" w:fill="auto"/>
            <w:tcMar>
              <w:top w:w="40" w:type="dxa"/>
              <w:left w:w="20" w:type="dxa"/>
              <w:bottom w:w="40" w:type="dxa"/>
              <w:right w:w="20" w:type="dxa"/>
            </w:tcMar>
            <w:vAlign w:val="bottom"/>
          </w:tcPr>
          <w:p w14:paraId="5A1B0BF8" w14:textId="77777777" w:rsidR="00960BB8" w:rsidRDefault="00C06650">
            <w:pPr>
              <w:textAlignment w:val="bottom"/>
            </w:pPr>
            <w:r>
              <w:rPr>
                <w:rFonts w:ascii="Arial" w:eastAsia="宋体" w:hAnsi="Arial" w:cs="Arial"/>
                <w:color w:val="262626"/>
                <w:sz w:val="18"/>
                <w:szCs w:val="18"/>
              </w:rPr>
              <w:t>Controls and Procedures</w:t>
            </w: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BF9" w14:textId="77777777" w:rsidR="00960BB8" w:rsidRDefault="00C06650">
            <w:pPr>
              <w:jc w:val="center"/>
              <w:textAlignment w:val="bottom"/>
            </w:pPr>
            <w:hyperlink r:id="rId118" w:anchor="i8aaa7b4dbd2e419ca0f5c30af85a11aa_472" w:history="1">
              <w:r>
                <w:rPr>
                  <w:rStyle w:val="a5"/>
                  <w:rFonts w:ascii="Arial" w:eastAsia="宋体" w:hAnsi="Arial" w:cs="Arial"/>
                  <w:color w:val="262626"/>
                  <w:sz w:val="18"/>
                  <w:szCs w:val="18"/>
                  <w:u w:val="none"/>
                </w:rPr>
                <w:t>118</w:t>
              </w:r>
            </w:hyperlink>
          </w:p>
        </w:tc>
      </w:tr>
      <w:tr w:rsidR="00960BB8" w14:paraId="5A1B0BFD" w14:textId="77777777">
        <w:tc>
          <w:tcPr>
            <w:tcW w:w="0" w:type="auto"/>
            <w:gridSpan w:val="9"/>
            <w:shd w:val="clear" w:color="auto" w:fill="auto"/>
            <w:tcMar>
              <w:top w:w="40" w:type="dxa"/>
              <w:left w:w="20" w:type="dxa"/>
              <w:bottom w:w="40" w:type="dxa"/>
              <w:right w:w="20" w:type="dxa"/>
            </w:tcMar>
            <w:vAlign w:val="bottom"/>
          </w:tcPr>
          <w:p w14:paraId="5A1B0BFB" w14:textId="77777777" w:rsidR="00960BB8" w:rsidRDefault="00C06650">
            <w:pPr>
              <w:textAlignment w:val="bottom"/>
            </w:pPr>
            <w:r>
              <w:rPr>
                <w:rFonts w:ascii="Arial" w:eastAsia="宋体" w:hAnsi="Arial" w:cs="Arial"/>
                <w:color w:val="262626"/>
                <w:sz w:val="18"/>
                <w:szCs w:val="18"/>
              </w:rPr>
              <w:t>Exhibits</w:t>
            </w:r>
          </w:p>
        </w:tc>
        <w:tc>
          <w:tcPr>
            <w:tcW w:w="0" w:type="auto"/>
            <w:gridSpan w:val="3"/>
            <w:shd w:val="clear" w:color="auto" w:fill="auto"/>
            <w:tcMar>
              <w:top w:w="40" w:type="dxa"/>
              <w:left w:w="20" w:type="dxa"/>
              <w:bottom w:w="40" w:type="dxa"/>
              <w:right w:w="20" w:type="dxa"/>
            </w:tcMar>
            <w:vAlign w:val="bottom"/>
          </w:tcPr>
          <w:p w14:paraId="5A1B0BFC" w14:textId="77777777" w:rsidR="00960BB8" w:rsidRDefault="00C06650">
            <w:pPr>
              <w:jc w:val="center"/>
              <w:textAlignment w:val="bottom"/>
            </w:pPr>
            <w:hyperlink r:id="rId119" w:anchor="i8aaa7b4dbd2e419ca0f5c30af85a11aa_475" w:history="1">
              <w:r>
                <w:rPr>
                  <w:rStyle w:val="a5"/>
                  <w:rFonts w:ascii="Arial" w:eastAsia="宋体" w:hAnsi="Arial" w:cs="Arial"/>
                  <w:color w:val="262626"/>
                  <w:sz w:val="18"/>
                  <w:szCs w:val="18"/>
                  <w:u w:val="none"/>
                </w:rPr>
                <w:t>119</w:t>
              </w:r>
            </w:hyperlink>
          </w:p>
        </w:tc>
      </w:tr>
      <w:tr w:rsidR="00960BB8" w14:paraId="5A1B0C00" w14:textId="77777777">
        <w:tc>
          <w:tcPr>
            <w:tcW w:w="0" w:type="auto"/>
            <w:gridSpan w:val="9"/>
            <w:shd w:val="clear" w:color="auto" w:fill="auto"/>
            <w:tcMar>
              <w:top w:w="40" w:type="dxa"/>
              <w:left w:w="20" w:type="dxa"/>
              <w:bottom w:w="40" w:type="dxa"/>
              <w:right w:w="20" w:type="dxa"/>
            </w:tcMar>
            <w:vAlign w:val="bottom"/>
          </w:tcPr>
          <w:p w14:paraId="5A1B0BFE" w14:textId="77777777" w:rsidR="00960BB8" w:rsidRDefault="00C06650">
            <w:pPr>
              <w:textAlignment w:val="bottom"/>
            </w:pPr>
            <w:r>
              <w:rPr>
                <w:rFonts w:ascii="Arial" w:eastAsia="宋体" w:hAnsi="Arial" w:cs="Arial"/>
                <w:color w:val="262626"/>
                <w:sz w:val="18"/>
                <w:szCs w:val="18"/>
              </w:rPr>
              <w:t>Form 10-K Cross-Reference Index</w:t>
            </w:r>
          </w:p>
        </w:tc>
        <w:tc>
          <w:tcPr>
            <w:tcW w:w="0" w:type="auto"/>
            <w:gridSpan w:val="3"/>
            <w:shd w:val="clear" w:color="auto" w:fill="auto"/>
            <w:tcMar>
              <w:top w:w="40" w:type="dxa"/>
              <w:left w:w="20" w:type="dxa"/>
              <w:bottom w:w="40" w:type="dxa"/>
              <w:right w:w="20" w:type="dxa"/>
            </w:tcMar>
            <w:vAlign w:val="bottom"/>
          </w:tcPr>
          <w:p w14:paraId="5A1B0BFF" w14:textId="77777777" w:rsidR="00960BB8" w:rsidRDefault="00C06650">
            <w:pPr>
              <w:jc w:val="center"/>
              <w:textAlignment w:val="bottom"/>
            </w:pPr>
            <w:hyperlink r:id="rId120" w:anchor="i8aaa7b4dbd2e419ca0f5c30af85a11aa_487" w:history="1">
              <w:r>
                <w:rPr>
                  <w:rStyle w:val="a5"/>
                  <w:rFonts w:ascii="Arial" w:eastAsia="宋体" w:hAnsi="Arial" w:cs="Arial"/>
                  <w:color w:val="262626"/>
                  <w:sz w:val="18"/>
                  <w:szCs w:val="18"/>
                  <w:u w:val="none"/>
                </w:rPr>
                <w:t>124</w:t>
              </w:r>
            </w:hyperlink>
          </w:p>
        </w:tc>
      </w:tr>
    </w:tbl>
    <w:p w14:paraId="5A1B0C01"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C0B" w14:textId="77777777">
        <w:tc>
          <w:tcPr>
            <w:tcW w:w="50" w:type="pct"/>
            <w:shd w:val="clear" w:color="auto" w:fill="auto"/>
            <w:vAlign w:val="bottom"/>
          </w:tcPr>
          <w:p w14:paraId="5A1B0C02" w14:textId="77777777" w:rsidR="00960BB8" w:rsidRDefault="00960BB8">
            <w:pPr>
              <w:rPr>
                <w:rFonts w:ascii="宋体"/>
              </w:rPr>
            </w:pPr>
          </w:p>
        </w:tc>
        <w:tc>
          <w:tcPr>
            <w:tcW w:w="283" w:type="pct"/>
            <w:shd w:val="clear" w:color="auto" w:fill="auto"/>
            <w:vAlign w:val="bottom"/>
          </w:tcPr>
          <w:p w14:paraId="5A1B0C03" w14:textId="77777777" w:rsidR="00960BB8" w:rsidRDefault="00960BB8">
            <w:pPr>
              <w:rPr>
                <w:rFonts w:ascii="宋体"/>
              </w:rPr>
            </w:pPr>
          </w:p>
        </w:tc>
        <w:tc>
          <w:tcPr>
            <w:tcW w:w="5" w:type="pct"/>
            <w:shd w:val="clear" w:color="auto" w:fill="auto"/>
            <w:vAlign w:val="bottom"/>
          </w:tcPr>
          <w:p w14:paraId="5A1B0C04" w14:textId="77777777" w:rsidR="00960BB8" w:rsidRDefault="00960BB8">
            <w:pPr>
              <w:rPr>
                <w:rFonts w:ascii="宋体"/>
              </w:rPr>
            </w:pPr>
          </w:p>
        </w:tc>
        <w:tc>
          <w:tcPr>
            <w:tcW w:w="50" w:type="pct"/>
            <w:shd w:val="clear" w:color="auto" w:fill="auto"/>
            <w:vAlign w:val="bottom"/>
          </w:tcPr>
          <w:p w14:paraId="5A1B0C05" w14:textId="77777777" w:rsidR="00960BB8" w:rsidRDefault="00960BB8">
            <w:pPr>
              <w:rPr>
                <w:rFonts w:ascii="宋体"/>
              </w:rPr>
            </w:pPr>
          </w:p>
        </w:tc>
        <w:tc>
          <w:tcPr>
            <w:tcW w:w="2656" w:type="pct"/>
            <w:shd w:val="clear" w:color="auto" w:fill="auto"/>
            <w:vAlign w:val="bottom"/>
          </w:tcPr>
          <w:p w14:paraId="5A1B0C06" w14:textId="77777777" w:rsidR="00960BB8" w:rsidRDefault="00960BB8">
            <w:pPr>
              <w:rPr>
                <w:rFonts w:ascii="宋体"/>
              </w:rPr>
            </w:pPr>
          </w:p>
        </w:tc>
        <w:tc>
          <w:tcPr>
            <w:tcW w:w="5" w:type="pct"/>
            <w:shd w:val="clear" w:color="auto" w:fill="auto"/>
            <w:vAlign w:val="bottom"/>
          </w:tcPr>
          <w:p w14:paraId="5A1B0C07" w14:textId="77777777" w:rsidR="00960BB8" w:rsidRDefault="00960BB8">
            <w:pPr>
              <w:rPr>
                <w:rFonts w:ascii="宋体"/>
              </w:rPr>
            </w:pPr>
          </w:p>
        </w:tc>
        <w:tc>
          <w:tcPr>
            <w:tcW w:w="50" w:type="pct"/>
            <w:shd w:val="clear" w:color="auto" w:fill="auto"/>
            <w:vAlign w:val="bottom"/>
          </w:tcPr>
          <w:p w14:paraId="5A1B0C08" w14:textId="77777777" w:rsidR="00960BB8" w:rsidRDefault="00960BB8">
            <w:pPr>
              <w:rPr>
                <w:rFonts w:ascii="宋体"/>
              </w:rPr>
            </w:pPr>
          </w:p>
        </w:tc>
        <w:tc>
          <w:tcPr>
            <w:tcW w:w="1894" w:type="pct"/>
            <w:shd w:val="clear" w:color="auto" w:fill="auto"/>
            <w:vAlign w:val="bottom"/>
          </w:tcPr>
          <w:p w14:paraId="5A1B0C09" w14:textId="77777777" w:rsidR="00960BB8" w:rsidRDefault="00960BB8">
            <w:pPr>
              <w:rPr>
                <w:rFonts w:ascii="宋体"/>
              </w:rPr>
            </w:pPr>
          </w:p>
        </w:tc>
        <w:tc>
          <w:tcPr>
            <w:tcW w:w="5" w:type="pct"/>
            <w:shd w:val="clear" w:color="auto" w:fill="auto"/>
            <w:vAlign w:val="bottom"/>
          </w:tcPr>
          <w:p w14:paraId="5A1B0C0A" w14:textId="77777777" w:rsidR="00960BB8" w:rsidRDefault="00960BB8">
            <w:pPr>
              <w:rPr>
                <w:rFonts w:ascii="宋体"/>
              </w:rPr>
            </w:pPr>
          </w:p>
        </w:tc>
      </w:tr>
      <w:tr w:rsidR="00960BB8" w14:paraId="5A1B0C0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C0C"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5A" wp14:editId="5A1B445B">
                  <wp:extent cx="304800" cy="304800"/>
                  <wp:effectExtent l="0" t="0" r="0" b="0"/>
                  <wp:docPr id="54" name="图片 23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33"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C0D"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C0E" w14:textId="77777777" w:rsidR="00960BB8" w:rsidRDefault="00C06650">
            <w:pPr>
              <w:jc w:val="right"/>
              <w:textAlignment w:val="center"/>
            </w:pPr>
            <w:r>
              <w:rPr>
                <w:rFonts w:ascii="Arial" w:eastAsia="宋体" w:hAnsi="Arial" w:cs="Arial"/>
                <w:color w:val="262626"/>
                <w:sz w:val="16"/>
                <w:szCs w:val="16"/>
              </w:rPr>
              <w:t>72</w:t>
            </w:r>
          </w:p>
        </w:tc>
      </w:tr>
    </w:tbl>
    <w:p w14:paraId="5A1B0C10" w14:textId="77777777" w:rsidR="00960BB8" w:rsidRDefault="00C06650">
      <w:r>
        <w:pict w14:anchorId="5A1B445C">
          <v:rect id="_x0000_i1098" style="width:415.3pt;height:1.5pt" o:hralign="center" o:hrstd="t" o:hr="t" fillcolor="#a0a0a0" stroked="f"/>
        </w:pict>
      </w:r>
    </w:p>
    <w:p w14:paraId="5A1B0C11" w14:textId="77777777" w:rsidR="00960BB8" w:rsidRDefault="00C06650">
      <w:pPr>
        <w:jc w:val="right"/>
      </w:pPr>
      <w:hyperlink r:id="rId121" w:anchor="i8aaa7b4dbd2e419ca0f5c30af85a11aa_16" w:history="1">
        <w:r>
          <w:rPr>
            <w:rStyle w:val="a5"/>
            <w:rFonts w:ascii="Arial" w:eastAsia="宋体" w:hAnsi="Arial" w:cs="Arial"/>
            <w:b/>
            <w:bCs/>
            <w:sz w:val="16"/>
            <w:szCs w:val="16"/>
          </w:rPr>
          <w:t>Table of Contents</w:t>
        </w:r>
      </w:hyperlink>
    </w:p>
    <w:p w14:paraId="5A1B0C12"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0C19" w14:textId="77777777">
        <w:tc>
          <w:tcPr>
            <w:tcW w:w="50" w:type="pct"/>
            <w:shd w:val="clear" w:color="auto" w:fill="auto"/>
            <w:vAlign w:val="bottom"/>
          </w:tcPr>
          <w:p w14:paraId="5A1B0C13" w14:textId="77777777" w:rsidR="00960BB8" w:rsidRDefault="00960BB8">
            <w:pPr>
              <w:rPr>
                <w:rFonts w:ascii="宋体"/>
              </w:rPr>
            </w:pPr>
          </w:p>
        </w:tc>
        <w:tc>
          <w:tcPr>
            <w:tcW w:w="4870" w:type="pct"/>
            <w:shd w:val="clear" w:color="auto" w:fill="auto"/>
            <w:vAlign w:val="bottom"/>
          </w:tcPr>
          <w:p w14:paraId="5A1B0C14" w14:textId="77777777" w:rsidR="00960BB8" w:rsidRDefault="00960BB8">
            <w:pPr>
              <w:rPr>
                <w:rFonts w:ascii="宋体"/>
              </w:rPr>
            </w:pPr>
          </w:p>
        </w:tc>
        <w:tc>
          <w:tcPr>
            <w:tcW w:w="5" w:type="pct"/>
            <w:shd w:val="clear" w:color="auto" w:fill="auto"/>
            <w:vAlign w:val="bottom"/>
          </w:tcPr>
          <w:p w14:paraId="5A1B0C15" w14:textId="77777777" w:rsidR="00960BB8" w:rsidRDefault="00960BB8">
            <w:pPr>
              <w:rPr>
                <w:rFonts w:ascii="宋体"/>
              </w:rPr>
            </w:pPr>
          </w:p>
        </w:tc>
        <w:tc>
          <w:tcPr>
            <w:tcW w:w="5" w:type="pct"/>
            <w:shd w:val="clear" w:color="auto" w:fill="auto"/>
            <w:vAlign w:val="bottom"/>
          </w:tcPr>
          <w:p w14:paraId="5A1B0C16" w14:textId="77777777" w:rsidR="00960BB8" w:rsidRDefault="00960BB8">
            <w:pPr>
              <w:rPr>
                <w:rFonts w:ascii="宋体"/>
              </w:rPr>
            </w:pPr>
          </w:p>
        </w:tc>
        <w:tc>
          <w:tcPr>
            <w:tcW w:w="64" w:type="pct"/>
            <w:shd w:val="clear" w:color="auto" w:fill="auto"/>
            <w:vAlign w:val="bottom"/>
          </w:tcPr>
          <w:p w14:paraId="5A1B0C17" w14:textId="77777777" w:rsidR="00960BB8" w:rsidRDefault="00960BB8">
            <w:pPr>
              <w:rPr>
                <w:rFonts w:ascii="宋体"/>
              </w:rPr>
            </w:pPr>
          </w:p>
        </w:tc>
        <w:tc>
          <w:tcPr>
            <w:tcW w:w="5" w:type="pct"/>
            <w:shd w:val="clear" w:color="auto" w:fill="auto"/>
            <w:vAlign w:val="bottom"/>
          </w:tcPr>
          <w:p w14:paraId="5A1B0C18" w14:textId="77777777" w:rsidR="00960BB8" w:rsidRDefault="00960BB8">
            <w:pPr>
              <w:rPr>
                <w:rFonts w:ascii="宋体"/>
              </w:rPr>
            </w:pPr>
          </w:p>
        </w:tc>
      </w:tr>
      <w:tr w:rsidR="00960BB8" w14:paraId="5A1B0C1C" w14:textId="77777777">
        <w:tc>
          <w:tcPr>
            <w:tcW w:w="0" w:type="auto"/>
            <w:gridSpan w:val="3"/>
            <w:shd w:val="clear" w:color="auto" w:fill="004A86"/>
            <w:tcMar>
              <w:top w:w="40" w:type="dxa"/>
              <w:left w:w="20" w:type="dxa"/>
              <w:bottom w:w="40" w:type="dxa"/>
              <w:right w:w="20" w:type="dxa"/>
            </w:tcMar>
            <w:vAlign w:val="center"/>
          </w:tcPr>
          <w:p w14:paraId="5A1B0C1A" w14:textId="77777777" w:rsidR="00960BB8" w:rsidRDefault="00C06650">
            <w:pPr>
              <w:textAlignment w:val="center"/>
            </w:pPr>
            <w:r>
              <w:rPr>
                <w:rFonts w:ascii="Arial" w:eastAsia="宋体" w:hAnsi="Arial" w:cs="Arial"/>
                <w:color w:val="FFFFFF"/>
                <w:sz w:val="36"/>
                <w:szCs w:val="36"/>
              </w:rPr>
              <w:t>Report of Independent Registered Public Accounting Firm</w:t>
            </w:r>
          </w:p>
        </w:tc>
        <w:tc>
          <w:tcPr>
            <w:tcW w:w="0" w:type="auto"/>
            <w:gridSpan w:val="3"/>
            <w:shd w:val="clear" w:color="auto" w:fill="auto"/>
            <w:tcMar>
              <w:top w:w="0" w:type="dxa"/>
              <w:left w:w="20" w:type="dxa"/>
              <w:bottom w:w="0" w:type="dxa"/>
              <w:right w:w="20" w:type="dxa"/>
            </w:tcMar>
            <w:vAlign w:val="bottom"/>
          </w:tcPr>
          <w:p w14:paraId="5A1B0C1B" w14:textId="77777777" w:rsidR="00960BB8" w:rsidRDefault="00960BB8">
            <w:pPr>
              <w:rPr>
                <w:rFonts w:ascii="宋体"/>
              </w:rPr>
            </w:pPr>
          </w:p>
        </w:tc>
      </w:tr>
      <w:tr w:rsidR="00960BB8" w14:paraId="5A1B0C1F" w14:textId="77777777">
        <w:trPr>
          <w:trHeight w:val="160"/>
        </w:trPr>
        <w:tc>
          <w:tcPr>
            <w:tcW w:w="0" w:type="auto"/>
            <w:gridSpan w:val="3"/>
            <w:shd w:val="clear" w:color="auto" w:fill="auto"/>
            <w:tcMar>
              <w:top w:w="0" w:type="dxa"/>
              <w:left w:w="20" w:type="dxa"/>
              <w:bottom w:w="0" w:type="dxa"/>
              <w:right w:w="20" w:type="dxa"/>
            </w:tcMar>
            <w:vAlign w:val="bottom"/>
          </w:tcPr>
          <w:p w14:paraId="5A1B0C1D"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0C1E" w14:textId="77777777" w:rsidR="00960BB8" w:rsidRDefault="00960BB8">
            <w:pPr>
              <w:rPr>
                <w:rFonts w:ascii="宋体"/>
              </w:rPr>
            </w:pPr>
          </w:p>
        </w:tc>
      </w:tr>
    </w:tbl>
    <w:p w14:paraId="5A1B0C20" w14:textId="77777777" w:rsidR="00960BB8" w:rsidRDefault="00C06650">
      <w:pPr>
        <w:spacing w:after="180"/>
      </w:pPr>
      <w:r>
        <w:rPr>
          <w:rFonts w:ascii="Arial" w:eastAsia="宋体" w:hAnsi="Arial" w:cs="Arial"/>
          <w:color w:val="0068B5"/>
        </w:rPr>
        <w:t xml:space="preserve">To the </w:t>
      </w:r>
      <w:r>
        <w:rPr>
          <w:rFonts w:ascii="Arial" w:eastAsia="宋体" w:hAnsi="Arial" w:cs="Arial"/>
          <w:color w:val="0068B5"/>
        </w:rPr>
        <w:t>Stockholders and the Board of Directors of Intel Corporation</w:t>
      </w:r>
    </w:p>
    <w:p w14:paraId="5A1B0C21" w14:textId="77777777" w:rsidR="00960BB8" w:rsidRDefault="00C06650">
      <w:pPr>
        <w:spacing w:after="120"/>
      </w:pPr>
      <w:r>
        <w:rPr>
          <w:rFonts w:ascii="Arial" w:eastAsia="宋体" w:hAnsi="Arial" w:cs="Arial"/>
          <w:color w:val="0068B5"/>
          <w:sz w:val="20"/>
          <w:szCs w:val="20"/>
        </w:rPr>
        <w:t>Opinion on the Financial Statements</w:t>
      </w:r>
    </w:p>
    <w:p w14:paraId="5A1B0C22" w14:textId="77777777" w:rsidR="00960BB8" w:rsidRDefault="00C06650">
      <w:pPr>
        <w:spacing w:after="180"/>
      </w:pPr>
      <w:r>
        <w:rPr>
          <w:rFonts w:ascii="Arial" w:eastAsia="宋体" w:hAnsi="Arial" w:cs="Arial"/>
          <w:color w:val="262626"/>
          <w:sz w:val="18"/>
          <w:szCs w:val="18"/>
        </w:rPr>
        <w:t>We have audited the accompanying Consolidated Balance Sheets of Intel Corporation (the Company) as of December 31, 2022 and December 25, 2021, the related Cons</w:t>
      </w:r>
      <w:r>
        <w:rPr>
          <w:rFonts w:ascii="Arial" w:eastAsia="宋体" w:hAnsi="Arial" w:cs="Arial"/>
          <w:color w:val="262626"/>
          <w:sz w:val="18"/>
          <w:szCs w:val="18"/>
        </w:rPr>
        <w:t xml:space="preserve">olidated Statements of Income, Comprehensive Income, Cash Flows and Stockholders' Equity for each of the three years in the period ended December 31, 2022, and the related notes (collectively referred to as the "Consolidated Financial Statements"). In our </w:t>
      </w:r>
      <w:r>
        <w:rPr>
          <w:rFonts w:ascii="Arial" w:eastAsia="宋体" w:hAnsi="Arial" w:cs="Arial"/>
          <w:color w:val="262626"/>
          <w:sz w:val="18"/>
          <w:szCs w:val="18"/>
        </w:rPr>
        <w:t>opinion, the Consolidated Financial Statements present fairly, in all material respects, the financial position of the Company at December 31, 2022 and December 25, 2021, and the results of its operations and its cash flows for each of the three years in t</w:t>
      </w:r>
      <w:r>
        <w:rPr>
          <w:rFonts w:ascii="Arial" w:eastAsia="宋体" w:hAnsi="Arial" w:cs="Arial"/>
          <w:color w:val="262626"/>
          <w:sz w:val="18"/>
          <w:szCs w:val="18"/>
        </w:rPr>
        <w:t xml:space="preserve">he period ended December 31, 2022, in conformity with U.S. generally accepted accounting principles. </w:t>
      </w:r>
    </w:p>
    <w:p w14:paraId="5A1B0C23" w14:textId="77777777" w:rsidR="00960BB8" w:rsidRDefault="00C06650">
      <w:pPr>
        <w:spacing w:after="180"/>
      </w:pPr>
      <w:r>
        <w:rPr>
          <w:rFonts w:ascii="Arial" w:eastAsia="宋体" w:hAnsi="Arial" w:cs="Arial"/>
          <w:color w:val="262626"/>
          <w:sz w:val="18"/>
          <w:szCs w:val="18"/>
        </w:rPr>
        <w:t>We also have audited, in accordance with the standards of the Public Company Accounting Oversight Board (United States) (PCAOB), the Company's internal co</w:t>
      </w:r>
      <w:r>
        <w:rPr>
          <w:rFonts w:ascii="Arial" w:eastAsia="宋体" w:hAnsi="Arial" w:cs="Arial"/>
          <w:color w:val="262626"/>
          <w:sz w:val="18"/>
          <w:szCs w:val="18"/>
        </w:rPr>
        <w:t xml:space="preserve">ntrol over financial reporting as of December 31, 2022, based on criteria established in Internal Control—Integrated Framework issued by the Committee of Sponsoring Organizations of the Treadway Commission (2013 framework) and our report dated January 26, </w:t>
      </w:r>
      <w:r>
        <w:rPr>
          <w:rFonts w:ascii="Arial" w:eastAsia="宋体" w:hAnsi="Arial" w:cs="Arial"/>
          <w:color w:val="262626"/>
          <w:sz w:val="18"/>
          <w:szCs w:val="18"/>
        </w:rPr>
        <w:t>2023 expressed an unqualified opinion thereon.</w:t>
      </w:r>
    </w:p>
    <w:p w14:paraId="5A1B0C24" w14:textId="77777777" w:rsidR="00960BB8" w:rsidRDefault="00C06650">
      <w:pPr>
        <w:spacing w:after="120"/>
      </w:pPr>
      <w:r>
        <w:rPr>
          <w:rFonts w:ascii="Arial" w:eastAsia="宋体" w:hAnsi="Arial" w:cs="Arial"/>
          <w:color w:val="0068B5"/>
          <w:sz w:val="20"/>
          <w:szCs w:val="20"/>
        </w:rPr>
        <w:t>Basis for Opinion</w:t>
      </w:r>
    </w:p>
    <w:p w14:paraId="5A1B0C25" w14:textId="77777777" w:rsidR="00960BB8" w:rsidRDefault="00C06650">
      <w:pPr>
        <w:spacing w:after="180"/>
      </w:pPr>
      <w:r>
        <w:rPr>
          <w:rFonts w:ascii="Arial" w:eastAsia="宋体" w:hAnsi="Arial" w:cs="Arial"/>
          <w:color w:val="262626"/>
          <w:sz w:val="18"/>
          <w:szCs w:val="18"/>
        </w:rPr>
        <w:t xml:space="preserve">These financial statements are the responsibility of the Company's management. Our responsibility is to express an opinion on the Company's financial statements based on our audits. We are a </w:t>
      </w:r>
      <w:r>
        <w:rPr>
          <w:rFonts w:ascii="Arial" w:eastAsia="宋体" w:hAnsi="Arial" w:cs="Arial"/>
          <w:color w:val="262626"/>
          <w:sz w:val="18"/>
          <w:szCs w:val="18"/>
        </w:rPr>
        <w:t>public accounting firm registered with the PCAOB and are required to be independent with respect to the Company in accordance with the U.S. federal securities laws and the applicable rules and regulations of the Securities and Exchange Commission and the P</w:t>
      </w:r>
      <w:r>
        <w:rPr>
          <w:rFonts w:ascii="Arial" w:eastAsia="宋体" w:hAnsi="Arial" w:cs="Arial"/>
          <w:color w:val="262626"/>
          <w:sz w:val="18"/>
          <w:szCs w:val="18"/>
        </w:rPr>
        <w:t xml:space="preserve">CAOB. </w:t>
      </w:r>
    </w:p>
    <w:p w14:paraId="5A1B0C26" w14:textId="77777777" w:rsidR="00960BB8" w:rsidRDefault="00C06650">
      <w:pPr>
        <w:spacing w:after="180"/>
      </w:pPr>
      <w:r>
        <w:rPr>
          <w:rFonts w:ascii="Arial" w:eastAsia="宋体" w:hAnsi="Arial" w:cs="Arial"/>
          <w:color w:val="262626"/>
          <w:sz w:val="18"/>
          <w:szCs w:val="18"/>
        </w:rPr>
        <w:t>We conducted our audits in accordance with the standards of the PCAOB. Those standards require that we plan and perform the audit to obtain reasonable assurance about whether the financial statements are free of material misstatement, whether due to</w:t>
      </w:r>
      <w:r>
        <w:rPr>
          <w:rFonts w:ascii="Arial" w:eastAsia="宋体" w:hAnsi="Arial" w:cs="Arial"/>
          <w:color w:val="262626"/>
          <w:sz w:val="18"/>
          <w:szCs w:val="18"/>
        </w:rPr>
        <w:t xml:space="preserve"> error or fraud. Our audits included performing procedures to assess the risks of material misstatement of the financial statements, whether due to error or fraud, and performing procedures that respond to those risks. Such procedures included examining, o</w:t>
      </w:r>
      <w:r>
        <w:rPr>
          <w:rFonts w:ascii="Arial" w:eastAsia="宋体" w:hAnsi="Arial" w:cs="Arial"/>
          <w:color w:val="262626"/>
          <w:sz w:val="18"/>
          <w:szCs w:val="18"/>
        </w:rPr>
        <w:t>n a test basis, evidence regarding the amounts and disclosures in the financial statements. Our audits also included evaluating the accounting principles used and significant estimates made by management, as well as evaluating the overall presentation of t</w:t>
      </w:r>
      <w:r>
        <w:rPr>
          <w:rFonts w:ascii="Arial" w:eastAsia="宋体" w:hAnsi="Arial" w:cs="Arial"/>
          <w:color w:val="262626"/>
          <w:sz w:val="18"/>
          <w:szCs w:val="18"/>
        </w:rPr>
        <w:t xml:space="preserve">he financial statements. We believe that our audits provide a reasonable basis for our opinion. </w:t>
      </w:r>
    </w:p>
    <w:p w14:paraId="5A1B0C27" w14:textId="77777777" w:rsidR="00960BB8" w:rsidRDefault="00C06650">
      <w:pPr>
        <w:spacing w:after="120"/>
      </w:pPr>
      <w:r>
        <w:rPr>
          <w:rFonts w:ascii="Arial" w:eastAsia="宋体" w:hAnsi="Arial" w:cs="Arial"/>
          <w:color w:val="0068B5"/>
          <w:sz w:val="20"/>
          <w:szCs w:val="20"/>
        </w:rPr>
        <w:t>Critical Audit Matter</w:t>
      </w:r>
    </w:p>
    <w:p w14:paraId="5A1B0C28" w14:textId="77777777" w:rsidR="00960BB8" w:rsidRDefault="00C06650">
      <w:pPr>
        <w:spacing w:after="180"/>
      </w:pPr>
      <w:r>
        <w:rPr>
          <w:rFonts w:ascii="Arial" w:eastAsia="宋体" w:hAnsi="Arial" w:cs="Arial"/>
          <w:color w:val="262626"/>
          <w:sz w:val="18"/>
          <w:szCs w:val="18"/>
        </w:rPr>
        <w:t>The critical audit matter communicated below is a matter arising from the current period audit of the financial statements that was commu</w:t>
      </w:r>
      <w:r>
        <w:rPr>
          <w:rFonts w:ascii="Arial" w:eastAsia="宋体" w:hAnsi="Arial" w:cs="Arial"/>
          <w:color w:val="262626"/>
          <w:sz w:val="18"/>
          <w:szCs w:val="18"/>
        </w:rPr>
        <w:t xml:space="preserve">nicated or required to be communicated to the audit committee and that: (1) relates to accounts or disclosures that are material to the financial statements and (2) involved our especially challenging, subjective or complex judgments. The communication of </w:t>
      </w:r>
      <w:r>
        <w:rPr>
          <w:rFonts w:ascii="Arial" w:eastAsia="宋体" w:hAnsi="Arial" w:cs="Arial"/>
          <w:color w:val="262626"/>
          <w:sz w:val="18"/>
          <w:szCs w:val="18"/>
        </w:rPr>
        <w:t>the critical audit matter does not alter in any way our opinion on the Consolidated Financial Statements, taken as a whole, and we are not, by communicating the critical audit matter below, providing a separate opinion on the critical audit matter or on th</w:t>
      </w:r>
      <w:r>
        <w:rPr>
          <w:rFonts w:ascii="Arial" w:eastAsia="宋体" w:hAnsi="Arial" w:cs="Arial"/>
          <w:color w:val="262626"/>
          <w:sz w:val="18"/>
          <w:szCs w:val="18"/>
        </w:rPr>
        <w:t>e accounts or disclosures to which it relates.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C32" w14:textId="77777777">
        <w:tc>
          <w:tcPr>
            <w:tcW w:w="50" w:type="pct"/>
            <w:shd w:val="clear" w:color="auto" w:fill="auto"/>
            <w:vAlign w:val="bottom"/>
          </w:tcPr>
          <w:p w14:paraId="5A1B0C29" w14:textId="77777777" w:rsidR="00960BB8" w:rsidRDefault="00960BB8">
            <w:pPr>
              <w:rPr>
                <w:rFonts w:ascii="宋体"/>
              </w:rPr>
            </w:pPr>
          </w:p>
        </w:tc>
        <w:tc>
          <w:tcPr>
            <w:tcW w:w="283" w:type="pct"/>
            <w:shd w:val="clear" w:color="auto" w:fill="auto"/>
            <w:vAlign w:val="bottom"/>
          </w:tcPr>
          <w:p w14:paraId="5A1B0C2A" w14:textId="77777777" w:rsidR="00960BB8" w:rsidRDefault="00960BB8">
            <w:pPr>
              <w:rPr>
                <w:rFonts w:ascii="宋体"/>
              </w:rPr>
            </w:pPr>
          </w:p>
        </w:tc>
        <w:tc>
          <w:tcPr>
            <w:tcW w:w="5" w:type="pct"/>
            <w:shd w:val="clear" w:color="auto" w:fill="auto"/>
            <w:vAlign w:val="bottom"/>
          </w:tcPr>
          <w:p w14:paraId="5A1B0C2B" w14:textId="77777777" w:rsidR="00960BB8" w:rsidRDefault="00960BB8">
            <w:pPr>
              <w:rPr>
                <w:rFonts w:ascii="宋体"/>
              </w:rPr>
            </w:pPr>
          </w:p>
        </w:tc>
        <w:tc>
          <w:tcPr>
            <w:tcW w:w="50" w:type="pct"/>
            <w:shd w:val="clear" w:color="auto" w:fill="auto"/>
            <w:vAlign w:val="bottom"/>
          </w:tcPr>
          <w:p w14:paraId="5A1B0C2C" w14:textId="77777777" w:rsidR="00960BB8" w:rsidRDefault="00960BB8">
            <w:pPr>
              <w:rPr>
                <w:rFonts w:ascii="宋体"/>
              </w:rPr>
            </w:pPr>
          </w:p>
        </w:tc>
        <w:tc>
          <w:tcPr>
            <w:tcW w:w="2656" w:type="pct"/>
            <w:shd w:val="clear" w:color="auto" w:fill="auto"/>
            <w:vAlign w:val="bottom"/>
          </w:tcPr>
          <w:p w14:paraId="5A1B0C2D" w14:textId="77777777" w:rsidR="00960BB8" w:rsidRDefault="00960BB8">
            <w:pPr>
              <w:rPr>
                <w:rFonts w:ascii="宋体"/>
              </w:rPr>
            </w:pPr>
          </w:p>
        </w:tc>
        <w:tc>
          <w:tcPr>
            <w:tcW w:w="5" w:type="pct"/>
            <w:shd w:val="clear" w:color="auto" w:fill="auto"/>
            <w:vAlign w:val="bottom"/>
          </w:tcPr>
          <w:p w14:paraId="5A1B0C2E" w14:textId="77777777" w:rsidR="00960BB8" w:rsidRDefault="00960BB8">
            <w:pPr>
              <w:rPr>
                <w:rFonts w:ascii="宋体"/>
              </w:rPr>
            </w:pPr>
          </w:p>
        </w:tc>
        <w:tc>
          <w:tcPr>
            <w:tcW w:w="50" w:type="pct"/>
            <w:shd w:val="clear" w:color="auto" w:fill="auto"/>
            <w:vAlign w:val="bottom"/>
          </w:tcPr>
          <w:p w14:paraId="5A1B0C2F" w14:textId="77777777" w:rsidR="00960BB8" w:rsidRDefault="00960BB8">
            <w:pPr>
              <w:rPr>
                <w:rFonts w:ascii="宋体"/>
              </w:rPr>
            </w:pPr>
          </w:p>
        </w:tc>
        <w:tc>
          <w:tcPr>
            <w:tcW w:w="1894" w:type="pct"/>
            <w:shd w:val="clear" w:color="auto" w:fill="auto"/>
            <w:vAlign w:val="bottom"/>
          </w:tcPr>
          <w:p w14:paraId="5A1B0C30" w14:textId="77777777" w:rsidR="00960BB8" w:rsidRDefault="00960BB8">
            <w:pPr>
              <w:rPr>
                <w:rFonts w:ascii="宋体"/>
              </w:rPr>
            </w:pPr>
          </w:p>
        </w:tc>
        <w:tc>
          <w:tcPr>
            <w:tcW w:w="5" w:type="pct"/>
            <w:shd w:val="clear" w:color="auto" w:fill="auto"/>
            <w:vAlign w:val="bottom"/>
          </w:tcPr>
          <w:p w14:paraId="5A1B0C31" w14:textId="77777777" w:rsidR="00960BB8" w:rsidRDefault="00960BB8">
            <w:pPr>
              <w:rPr>
                <w:rFonts w:ascii="宋体"/>
              </w:rPr>
            </w:pPr>
          </w:p>
        </w:tc>
      </w:tr>
      <w:tr w:rsidR="00960BB8" w14:paraId="5A1B0C3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C33"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5D" wp14:editId="5A1B445E">
                  <wp:extent cx="304800" cy="304800"/>
                  <wp:effectExtent l="0" t="0" r="0" b="0"/>
                  <wp:docPr id="107" name="图片 23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3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C34" w14:textId="77777777" w:rsidR="00960BB8" w:rsidRDefault="00C06650">
            <w:pPr>
              <w:textAlignment w:val="center"/>
            </w:pPr>
            <w:r>
              <w:rPr>
                <w:rFonts w:ascii="Arial" w:eastAsia="宋体" w:hAnsi="Arial" w:cs="Arial"/>
                <w:color w:val="262626"/>
                <w:sz w:val="16"/>
                <w:szCs w:val="16"/>
              </w:rPr>
              <w:t>Auditor's Reports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C35" w14:textId="77777777" w:rsidR="00960BB8" w:rsidRDefault="00C06650">
            <w:pPr>
              <w:jc w:val="right"/>
              <w:textAlignment w:val="center"/>
            </w:pPr>
            <w:r>
              <w:rPr>
                <w:rFonts w:ascii="Arial" w:eastAsia="宋体" w:hAnsi="Arial" w:cs="Arial"/>
                <w:color w:val="262626"/>
                <w:sz w:val="16"/>
                <w:szCs w:val="16"/>
              </w:rPr>
              <w:t>73</w:t>
            </w:r>
          </w:p>
        </w:tc>
      </w:tr>
    </w:tbl>
    <w:p w14:paraId="5A1B0C37" w14:textId="77777777" w:rsidR="00960BB8" w:rsidRDefault="00C06650">
      <w:r>
        <w:pict w14:anchorId="5A1B445F">
          <v:rect id="_x0000_i1099" style="width:415.3pt;height:1.5pt" o:hralign="center" o:hrstd="t" o:hr="t" fillcolor="#a0a0a0" stroked="f"/>
        </w:pict>
      </w:r>
    </w:p>
    <w:p w14:paraId="5A1B0C38" w14:textId="77777777" w:rsidR="00960BB8" w:rsidRDefault="00C06650">
      <w:pPr>
        <w:jc w:val="right"/>
      </w:pPr>
      <w:hyperlink r:id="rId122" w:anchor="i8aaa7b4dbd2e419ca0f5c30af85a11aa_16" w:history="1">
        <w:r>
          <w:rPr>
            <w:rStyle w:val="a5"/>
            <w:rFonts w:ascii="Arial" w:eastAsia="宋体" w:hAnsi="Arial" w:cs="Arial"/>
            <w:b/>
            <w:bCs/>
            <w:sz w:val="16"/>
            <w:szCs w:val="16"/>
          </w:rPr>
          <w:t>Table of Contents</w:t>
        </w:r>
      </w:hyperlink>
    </w:p>
    <w:p w14:paraId="5A1B0C39" w14:textId="77777777" w:rsidR="00960BB8" w:rsidRDefault="00960BB8">
      <w:pPr>
        <w:jc w:val="right"/>
      </w:pPr>
    </w:p>
    <w:tbl>
      <w:tblPr>
        <w:tblW w:w="10965" w:type="dxa"/>
        <w:tblCellMar>
          <w:top w:w="15" w:type="dxa"/>
          <w:left w:w="15" w:type="dxa"/>
          <w:bottom w:w="15" w:type="dxa"/>
          <w:right w:w="15" w:type="dxa"/>
        </w:tblCellMar>
        <w:tblLook w:val="04A0" w:firstRow="1" w:lastRow="0" w:firstColumn="1" w:lastColumn="0" w:noHBand="0" w:noVBand="1"/>
      </w:tblPr>
      <w:tblGrid>
        <w:gridCol w:w="37"/>
        <w:gridCol w:w="1287"/>
        <w:gridCol w:w="37"/>
        <w:gridCol w:w="36"/>
        <w:gridCol w:w="36"/>
        <w:gridCol w:w="36"/>
        <w:gridCol w:w="62"/>
        <w:gridCol w:w="9372"/>
        <w:gridCol w:w="62"/>
      </w:tblGrid>
      <w:tr w:rsidR="00960BB8" w14:paraId="5A1B0C43" w14:textId="77777777">
        <w:tc>
          <w:tcPr>
            <w:tcW w:w="20" w:type="dxa"/>
            <w:shd w:val="clear" w:color="auto" w:fill="auto"/>
            <w:vAlign w:val="bottom"/>
          </w:tcPr>
          <w:p w14:paraId="5A1B0C3A" w14:textId="77777777" w:rsidR="00960BB8" w:rsidRDefault="00960BB8">
            <w:pPr>
              <w:rPr>
                <w:rFonts w:ascii="宋体"/>
              </w:rPr>
            </w:pPr>
          </w:p>
        </w:tc>
        <w:tc>
          <w:tcPr>
            <w:tcW w:w="1955" w:type="dxa"/>
            <w:shd w:val="clear" w:color="auto" w:fill="auto"/>
            <w:vAlign w:val="bottom"/>
          </w:tcPr>
          <w:p w14:paraId="5A1B0C3B" w14:textId="77777777" w:rsidR="00960BB8" w:rsidRDefault="00960BB8">
            <w:pPr>
              <w:rPr>
                <w:rFonts w:ascii="宋体"/>
              </w:rPr>
            </w:pPr>
          </w:p>
        </w:tc>
        <w:tc>
          <w:tcPr>
            <w:tcW w:w="20" w:type="dxa"/>
            <w:shd w:val="clear" w:color="auto" w:fill="auto"/>
            <w:vAlign w:val="bottom"/>
          </w:tcPr>
          <w:p w14:paraId="5A1B0C3C" w14:textId="77777777" w:rsidR="00960BB8" w:rsidRDefault="00960BB8">
            <w:pPr>
              <w:rPr>
                <w:rFonts w:ascii="宋体"/>
              </w:rPr>
            </w:pPr>
          </w:p>
        </w:tc>
        <w:tc>
          <w:tcPr>
            <w:tcW w:w="20" w:type="dxa"/>
            <w:shd w:val="clear" w:color="auto" w:fill="auto"/>
            <w:vAlign w:val="bottom"/>
          </w:tcPr>
          <w:p w14:paraId="5A1B0C3D" w14:textId="77777777" w:rsidR="00960BB8" w:rsidRDefault="00960BB8">
            <w:pPr>
              <w:rPr>
                <w:rFonts w:ascii="宋体"/>
              </w:rPr>
            </w:pPr>
          </w:p>
        </w:tc>
        <w:tc>
          <w:tcPr>
            <w:tcW w:w="35" w:type="dxa"/>
            <w:shd w:val="clear" w:color="auto" w:fill="auto"/>
            <w:vAlign w:val="bottom"/>
          </w:tcPr>
          <w:p w14:paraId="5A1B0C3E" w14:textId="77777777" w:rsidR="00960BB8" w:rsidRDefault="00960BB8">
            <w:pPr>
              <w:rPr>
                <w:rFonts w:ascii="宋体"/>
              </w:rPr>
            </w:pPr>
          </w:p>
        </w:tc>
        <w:tc>
          <w:tcPr>
            <w:tcW w:w="20" w:type="dxa"/>
            <w:shd w:val="clear" w:color="auto" w:fill="auto"/>
            <w:vAlign w:val="bottom"/>
          </w:tcPr>
          <w:p w14:paraId="5A1B0C3F" w14:textId="77777777" w:rsidR="00960BB8" w:rsidRDefault="00960BB8">
            <w:pPr>
              <w:rPr>
                <w:rFonts w:ascii="宋体"/>
              </w:rPr>
            </w:pPr>
          </w:p>
        </w:tc>
        <w:tc>
          <w:tcPr>
            <w:tcW w:w="20" w:type="dxa"/>
            <w:shd w:val="clear" w:color="auto" w:fill="auto"/>
            <w:vAlign w:val="bottom"/>
          </w:tcPr>
          <w:p w14:paraId="5A1B0C40" w14:textId="77777777" w:rsidR="00960BB8" w:rsidRDefault="00960BB8">
            <w:pPr>
              <w:rPr>
                <w:rFonts w:ascii="宋体"/>
              </w:rPr>
            </w:pPr>
          </w:p>
        </w:tc>
        <w:tc>
          <w:tcPr>
            <w:tcW w:w="8855" w:type="dxa"/>
            <w:shd w:val="clear" w:color="auto" w:fill="auto"/>
            <w:vAlign w:val="bottom"/>
          </w:tcPr>
          <w:p w14:paraId="5A1B0C41" w14:textId="77777777" w:rsidR="00960BB8" w:rsidRDefault="00960BB8">
            <w:pPr>
              <w:rPr>
                <w:rFonts w:ascii="宋体"/>
              </w:rPr>
            </w:pPr>
          </w:p>
        </w:tc>
        <w:tc>
          <w:tcPr>
            <w:tcW w:w="20" w:type="dxa"/>
            <w:shd w:val="clear" w:color="auto" w:fill="auto"/>
            <w:vAlign w:val="bottom"/>
          </w:tcPr>
          <w:p w14:paraId="5A1B0C42" w14:textId="77777777" w:rsidR="00960BB8" w:rsidRDefault="00960BB8">
            <w:pPr>
              <w:rPr>
                <w:rFonts w:ascii="宋体"/>
              </w:rPr>
            </w:pPr>
          </w:p>
        </w:tc>
      </w:tr>
      <w:tr w:rsidR="00960BB8" w14:paraId="5A1B0C47" w14:textId="77777777">
        <w:trPr>
          <w:trHeight w:val="280"/>
        </w:trPr>
        <w:tc>
          <w:tcPr>
            <w:tcW w:w="0" w:type="auto"/>
            <w:gridSpan w:val="3"/>
            <w:shd w:val="clear" w:color="auto" w:fill="auto"/>
            <w:tcMar>
              <w:top w:w="0" w:type="dxa"/>
              <w:left w:w="20" w:type="dxa"/>
              <w:bottom w:w="0" w:type="dxa"/>
              <w:right w:w="20" w:type="dxa"/>
            </w:tcMar>
            <w:vAlign w:val="bottom"/>
          </w:tcPr>
          <w:p w14:paraId="5A1B0C4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C4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C46" w14:textId="77777777" w:rsidR="00960BB8" w:rsidRDefault="00C06650">
            <w:pPr>
              <w:textAlignment w:val="bottom"/>
            </w:pPr>
            <w:r>
              <w:rPr>
                <w:rFonts w:ascii="Arial" w:eastAsia="宋体" w:hAnsi="Arial" w:cs="Arial"/>
                <w:i/>
                <w:iCs/>
                <w:color w:val="0068B5"/>
                <w:sz w:val="20"/>
                <w:szCs w:val="20"/>
              </w:rPr>
              <w:t>Inventory Valuation</w:t>
            </w:r>
          </w:p>
        </w:tc>
      </w:tr>
      <w:tr w:rsidR="00960BB8" w14:paraId="5A1B0C4B" w14:textId="77777777">
        <w:trPr>
          <w:trHeight w:val="60"/>
        </w:trPr>
        <w:tc>
          <w:tcPr>
            <w:tcW w:w="0" w:type="auto"/>
            <w:gridSpan w:val="3"/>
            <w:shd w:val="clear" w:color="auto" w:fill="auto"/>
            <w:tcMar>
              <w:top w:w="0" w:type="dxa"/>
              <w:left w:w="20" w:type="dxa"/>
              <w:bottom w:w="0" w:type="dxa"/>
              <w:right w:w="20" w:type="dxa"/>
            </w:tcMar>
            <w:vAlign w:val="bottom"/>
          </w:tcPr>
          <w:p w14:paraId="5A1B0C4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C4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C4A" w14:textId="77777777" w:rsidR="00960BB8" w:rsidRDefault="00960BB8">
            <w:pPr>
              <w:rPr>
                <w:rFonts w:ascii="宋体"/>
              </w:rPr>
            </w:pPr>
          </w:p>
        </w:tc>
      </w:tr>
      <w:tr w:rsidR="00960BB8" w14:paraId="5A1B0C4F" w14:textId="77777777">
        <w:trPr>
          <w:trHeight w:val="2220"/>
        </w:trPr>
        <w:tc>
          <w:tcPr>
            <w:tcW w:w="0" w:type="auto"/>
            <w:gridSpan w:val="3"/>
            <w:vMerge w:val="restart"/>
            <w:shd w:val="clear" w:color="auto" w:fill="auto"/>
            <w:tcMar>
              <w:top w:w="40" w:type="dxa"/>
              <w:left w:w="20" w:type="dxa"/>
              <w:bottom w:w="40" w:type="dxa"/>
              <w:right w:w="20" w:type="dxa"/>
            </w:tcMar>
          </w:tcPr>
          <w:p w14:paraId="5A1B0C4C" w14:textId="77777777" w:rsidR="00960BB8" w:rsidRDefault="00C06650">
            <w:pPr>
              <w:textAlignment w:val="top"/>
            </w:pPr>
            <w:r>
              <w:rPr>
                <w:rFonts w:ascii="Arial" w:eastAsia="宋体" w:hAnsi="Arial" w:cs="Arial"/>
                <w:i/>
                <w:iCs/>
                <w:color w:val="0068B5"/>
                <w:sz w:val="20"/>
                <w:szCs w:val="20"/>
              </w:rPr>
              <w:t>Description of the Matter</w:t>
            </w:r>
          </w:p>
        </w:tc>
        <w:tc>
          <w:tcPr>
            <w:tcW w:w="0" w:type="auto"/>
            <w:gridSpan w:val="3"/>
            <w:shd w:val="clear" w:color="auto" w:fill="auto"/>
            <w:tcMar>
              <w:top w:w="0" w:type="dxa"/>
              <w:left w:w="20" w:type="dxa"/>
              <w:bottom w:w="0" w:type="dxa"/>
              <w:right w:w="20" w:type="dxa"/>
            </w:tcMar>
            <w:vAlign w:val="bottom"/>
          </w:tcPr>
          <w:p w14:paraId="5A1B0C4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0C4E" w14:textId="77777777" w:rsidR="00960BB8" w:rsidRDefault="00C06650">
            <w:pPr>
              <w:spacing w:after="180"/>
              <w:textAlignment w:val="top"/>
            </w:pPr>
            <w:r>
              <w:rPr>
                <w:rFonts w:ascii="Arial" w:eastAsia="宋体" w:hAnsi="Arial" w:cs="Arial"/>
                <w:color w:val="262626"/>
                <w:sz w:val="18"/>
                <w:szCs w:val="18"/>
              </w:rPr>
              <w:t>The Company's net inventory totaled $13.2 billion as of December 31, 2022, representing 7.3% of total assets. As explained in "Note 2: Accounting Policies" within the Consolidated Financial Statements, the Company computes inventory cost on a first-in, fir</w:t>
            </w:r>
            <w:r>
              <w:rPr>
                <w:rFonts w:ascii="Arial" w:eastAsia="宋体" w:hAnsi="Arial" w:cs="Arial"/>
                <w:color w:val="262626"/>
                <w:sz w:val="18"/>
                <w:szCs w:val="18"/>
              </w:rPr>
              <w:t>st-out basis, and applies judgment in determining saleability of products and the valuation of inventories. The Company assesses inventory at each reporting date in order to assert that it is recorded at net realizable value, giving consideration to, among</w:t>
            </w:r>
            <w:r>
              <w:rPr>
                <w:rFonts w:ascii="Arial" w:eastAsia="宋体" w:hAnsi="Arial" w:cs="Arial"/>
                <w:color w:val="262626"/>
                <w:sz w:val="18"/>
                <w:szCs w:val="18"/>
              </w:rPr>
              <w:t xml:space="preserve"> other factors: whether the products have achieved the substantive engineering milestones to qualify for sale to customers; the determination of normal capacity levels in its manufacturing process to determine which manufacturing overhead costs can be incl</w:t>
            </w:r>
            <w:r>
              <w:rPr>
                <w:rFonts w:ascii="Arial" w:eastAsia="宋体" w:hAnsi="Arial" w:cs="Arial"/>
                <w:color w:val="262626"/>
                <w:sz w:val="18"/>
                <w:szCs w:val="18"/>
              </w:rPr>
              <w:t xml:space="preserve">uded in the valuation of inventory; whether the product is valued at the lower of cost or net realizable value; and the estimation of excess and obsolete inventory or that which is not of saleable quality. </w:t>
            </w:r>
          </w:p>
        </w:tc>
      </w:tr>
      <w:tr w:rsidR="00960BB8" w14:paraId="5A1B0C53" w14:textId="77777777">
        <w:trPr>
          <w:trHeight w:val="180"/>
        </w:trPr>
        <w:tc>
          <w:tcPr>
            <w:tcW w:w="0" w:type="auto"/>
            <w:gridSpan w:val="3"/>
            <w:vMerge/>
            <w:shd w:val="clear" w:color="auto" w:fill="auto"/>
            <w:tcMar>
              <w:top w:w="40" w:type="dxa"/>
              <w:left w:w="20" w:type="dxa"/>
              <w:bottom w:w="40" w:type="dxa"/>
              <w:right w:w="20" w:type="dxa"/>
            </w:tcMar>
          </w:tcPr>
          <w:p w14:paraId="5A1B0C5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C5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C52" w14:textId="77777777" w:rsidR="00960BB8" w:rsidRDefault="00960BB8">
            <w:pPr>
              <w:rPr>
                <w:rFonts w:ascii="宋体"/>
              </w:rPr>
            </w:pPr>
          </w:p>
        </w:tc>
      </w:tr>
      <w:tr w:rsidR="00960BB8" w14:paraId="5A1B0C57" w14:textId="77777777">
        <w:trPr>
          <w:trHeight w:val="1140"/>
        </w:trPr>
        <w:tc>
          <w:tcPr>
            <w:tcW w:w="0" w:type="auto"/>
            <w:gridSpan w:val="3"/>
            <w:vMerge/>
            <w:shd w:val="clear" w:color="auto" w:fill="auto"/>
            <w:tcMar>
              <w:top w:w="40" w:type="dxa"/>
              <w:left w:w="20" w:type="dxa"/>
              <w:bottom w:w="40" w:type="dxa"/>
              <w:right w:w="20" w:type="dxa"/>
            </w:tcMar>
          </w:tcPr>
          <w:p w14:paraId="5A1B0C5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C5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0C56" w14:textId="77777777" w:rsidR="00960BB8" w:rsidRDefault="00C06650">
            <w:pPr>
              <w:textAlignment w:val="top"/>
            </w:pPr>
            <w:r>
              <w:rPr>
                <w:rFonts w:ascii="Arial" w:eastAsia="宋体" w:hAnsi="Arial" w:cs="Arial"/>
                <w:color w:val="262626"/>
                <w:sz w:val="18"/>
                <w:szCs w:val="18"/>
              </w:rPr>
              <w:t xml:space="preserve">Auditing management's assessment of net </w:t>
            </w:r>
            <w:r>
              <w:rPr>
                <w:rFonts w:ascii="Arial" w:eastAsia="宋体" w:hAnsi="Arial" w:cs="Arial"/>
                <w:color w:val="262626"/>
                <w:sz w:val="18"/>
                <w:szCs w:val="18"/>
              </w:rPr>
              <w:t>realizable value for inventory was challenging because the determination of lower of cost or net realizable value and excess and obsolete inventory reserves is judgmental and considers a number of factors that are affected by market and economic conditions</w:t>
            </w:r>
            <w:r>
              <w:rPr>
                <w:rFonts w:ascii="Arial" w:eastAsia="宋体" w:hAnsi="Arial" w:cs="Arial"/>
                <w:color w:val="262626"/>
                <w:sz w:val="18"/>
                <w:szCs w:val="18"/>
              </w:rPr>
              <w:t>, such as customer forecasts, dynamic pricing environments, and industry supply and demand. Additionally, for certain new product launches there is limited historical data with which to evaluate forecasts.</w:t>
            </w:r>
          </w:p>
        </w:tc>
      </w:tr>
      <w:tr w:rsidR="00960BB8" w14:paraId="5A1B0C5B" w14:textId="77777777">
        <w:trPr>
          <w:trHeight w:val="180"/>
        </w:trPr>
        <w:tc>
          <w:tcPr>
            <w:tcW w:w="0" w:type="auto"/>
            <w:gridSpan w:val="3"/>
            <w:shd w:val="clear" w:color="auto" w:fill="auto"/>
            <w:tcMar>
              <w:top w:w="0" w:type="dxa"/>
              <w:left w:w="20" w:type="dxa"/>
              <w:bottom w:w="0" w:type="dxa"/>
              <w:right w:w="20" w:type="dxa"/>
            </w:tcMar>
            <w:vAlign w:val="bottom"/>
          </w:tcPr>
          <w:p w14:paraId="5A1B0C5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C5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C5A" w14:textId="77777777" w:rsidR="00960BB8" w:rsidRDefault="00960BB8">
            <w:pPr>
              <w:rPr>
                <w:rFonts w:ascii="宋体"/>
              </w:rPr>
            </w:pPr>
          </w:p>
        </w:tc>
      </w:tr>
      <w:tr w:rsidR="00960BB8" w14:paraId="5A1B0C5F" w14:textId="77777777">
        <w:trPr>
          <w:trHeight w:val="900"/>
        </w:trPr>
        <w:tc>
          <w:tcPr>
            <w:tcW w:w="0" w:type="auto"/>
            <w:gridSpan w:val="3"/>
            <w:vMerge w:val="restart"/>
            <w:shd w:val="clear" w:color="auto" w:fill="auto"/>
            <w:tcMar>
              <w:top w:w="40" w:type="dxa"/>
              <w:left w:w="20" w:type="dxa"/>
              <w:bottom w:w="40" w:type="dxa"/>
              <w:right w:w="20" w:type="dxa"/>
            </w:tcMar>
          </w:tcPr>
          <w:p w14:paraId="5A1B0C5C" w14:textId="77777777" w:rsidR="00960BB8" w:rsidRDefault="00C06650">
            <w:pPr>
              <w:textAlignment w:val="top"/>
            </w:pPr>
            <w:r>
              <w:rPr>
                <w:rFonts w:ascii="Arial" w:eastAsia="宋体" w:hAnsi="Arial" w:cs="Arial"/>
                <w:i/>
                <w:iCs/>
                <w:color w:val="0068B5"/>
                <w:sz w:val="20"/>
                <w:szCs w:val="20"/>
              </w:rPr>
              <w:t xml:space="preserve">How We Addressed </w:t>
            </w:r>
            <w:r>
              <w:rPr>
                <w:rFonts w:ascii="Arial" w:eastAsia="宋体" w:hAnsi="Arial" w:cs="Arial"/>
                <w:i/>
                <w:iCs/>
                <w:color w:val="0068B5"/>
                <w:sz w:val="20"/>
                <w:szCs w:val="20"/>
              </w:rPr>
              <w:br/>
              <w:t xml:space="preserve">the Matter in Our </w:t>
            </w:r>
            <w:r>
              <w:rPr>
                <w:rFonts w:ascii="Arial" w:eastAsia="宋体" w:hAnsi="Arial" w:cs="Arial"/>
                <w:i/>
                <w:iCs/>
                <w:color w:val="0068B5"/>
                <w:sz w:val="20"/>
                <w:szCs w:val="20"/>
              </w:rPr>
              <w:t>Audit</w:t>
            </w:r>
          </w:p>
        </w:tc>
        <w:tc>
          <w:tcPr>
            <w:tcW w:w="0" w:type="auto"/>
            <w:gridSpan w:val="3"/>
            <w:shd w:val="clear" w:color="auto" w:fill="auto"/>
            <w:tcMar>
              <w:top w:w="0" w:type="dxa"/>
              <w:left w:w="20" w:type="dxa"/>
              <w:bottom w:w="0" w:type="dxa"/>
              <w:right w:w="20" w:type="dxa"/>
            </w:tcMar>
            <w:vAlign w:val="bottom"/>
          </w:tcPr>
          <w:p w14:paraId="5A1B0C5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0C5E" w14:textId="77777777" w:rsidR="00960BB8" w:rsidRDefault="00C06650">
            <w:pPr>
              <w:textAlignment w:val="top"/>
            </w:pPr>
            <w:r>
              <w:rPr>
                <w:rFonts w:ascii="Arial" w:eastAsia="宋体" w:hAnsi="Arial" w:cs="Arial"/>
                <w:color w:val="262626"/>
                <w:sz w:val="18"/>
                <w:szCs w:val="18"/>
              </w:rPr>
              <w:t xml:space="preserve">We evaluated and tested the design and operating effectiveness of the Company's internal controls over the costing of inventory, the determination of whether inventory is of saleable quality, the calculation of lower of cost or net realizable value </w:t>
            </w:r>
            <w:r>
              <w:rPr>
                <w:rFonts w:ascii="Arial" w:eastAsia="宋体" w:hAnsi="Arial" w:cs="Arial"/>
                <w:color w:val="262626"/>
                <w:sz w:val="18"/>
                <w:szCs w:val="18"/>
              </w:rPr>
              <w:t>reserves including related estimated costs and selling prices, and the determination of demand forecasts and related application against on hand inventory.</w:t>
            </w:r>
          </w:p>
        </w:tc>
      </w:tr>
      <w:tr w:rsidR="00960BB8" w14:paraId="5A1B0C63" w14:textId="77777777">
        <w:trPr>
          <w:trHeight w:val="180"/>
        </w:trPr>
        <w:tc>
          <w:tcPr>
            <w:tcW w:w="0" w:type="auto"/>
            <w:gridSpan w:val="3"/>
            <w:vMerge/>
            <w:shd w:val="clear" w:color="auto" w:fill="auto"/>
            <w:tcMar>
              <w:top w:w="40" w:type="dxa"/>
              <w:left w:w="20" w:type="dxa"/>
              <w:bottom w:w="40" w:type="dxa"/>
              <w:right w:w="20" w:type="dxa"/>
            </w:tcMar>
          </w:tcPr>
          <w:p w14:paraId="5A1B0C6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C6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C62" w14:textId="77777777" w:rsidR="00960BB8" w:rsidRDefault="00960BB8">
            <w:pPr>
              <w:rPr>
                <w:rFonts w:ascii="宋体"/>
              </w:rPr>
            </w:pPr>
          </w:p>
        </w:tc>
      </w:tr>
      <w:tr w:rsidR="00960BB8" w14:paraId="5A1B0C67" w14:textId="77777777">
        <w:trPr>
          <w:trHeight w:val="1560"/>
        </w:trPr>
        <w:tc>
          <w:tcPr>
            <w:tcW w:w="0" w:type="auto"/>
            <w:gridSpan w:val="3"/>
            <w:vMerge/>
            <w:shd w:val="clear" w:color="auto" w:fill="auto"/>
            <w:tcMar>
              <w:top w:w="40" w:type="dxa"/>
              <w:left w:w="20" w:type="dxa"/>
              <w:bottom w:w="40" w:type="dxa"/>
              <w:right w:w="20" w:type="dxa"/>
            </w:tcMar>
          </w:tcPr>
          <w:p w14:paraId="5A1B0C6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C6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0C66" w14:textId="77777777" w:rsidR="00960BB8" w:rsidRDefault="00C06650">
            <w:pPr>
              <w:textAlignment w:val="top"/>
            </w:pPr>
            <w:r>
              <w:rPr>
                <w:rFonts w:ascii="Arial" w:eastAsia="宋体" w:hAnsi="Arial" w:cs="Arial"/>
                <w:color w:val="262626"/>
                <w:sz w:val="18"/>
                <w:szCs w:val="18"/>
              </w:rPr>
              <w:t xml:space="preserve">Our audit procedures included, among others, testing the significant assumptions (e.g., </w:t>
            </w:r>
            <w:r>
              <w:rPr>
                <w:rFonts w:ascii="Arial" w:eastAsia="宋体" w:hAnsi="Arial" w:cs="Arial"/>
                <w:color w:val="262626"/>
                <w:sz w:val="18"/>
                <w:szCs w:val="18"/>
              </w:rPr>
              <w:t>estimated product costs and selling prices, and product demand forecasts) and the underlying data used in management's inventory valuation assessment. We compared the significant assumptions used by management to current industry and economic trends. We as</w:t>
            </w:r>
            <w:r>
              <w:rPr>
                <w:rFonts w:ascii="Arial" w:eastAsia="宋体" w:hAnsi="Arial" w:cs="Arial"/>
                <w:color w:val="262626"/>
                <w:sz w:val="18"/>
                <w:szCs w:val="18"/>
              </w:rPr>
              <w:t xml:space="preserve">sessed whether there were any potential sources of contrary information, including historical forecast accuracy or history of significant revisions to previously recorded inventory valuation adjustments, and performed sensitivity analyses over significant </w:t>
            </w:r>
            <w:r>
              <w:rPr>
                <w:rFonts w:ascii="Arial" w:eastAsia="宋体" w:hAnsi="Arial" w:cs="Arial"/>
                <w:color w:val="262626"/>
                <w:sz w:val="18"/>
                <w:szCs w:val="18"/>
              </w:rPr>
              <w:t>assumptions to evaluate the changes in inventory valuation that would result from changes in the assumptions.</w:t>
            </w:r>
          </w:p>
        </w:tc>
      </w:tr>
    </w:tbl>
    <w:p w14:paraId="5A1B0C68" w14:textId="77777777" w:rsidR="00960BB8" w:rsidRDefault="00960BB8">
      <w:pPr>
        <w:spacing w:after="180"/>
      </w:pPr>
    </w:p>
    <w:p w14:paraId="5A1B0C69" w14:textId="77777777" w:rsidR="00960BB8" w:rsidRDefault="00C06650">
      <w:r>
        <w:rPr>
          <w:rFonts w:ascii="Arial" w:eastAsia="宋体" w:hAnsi="Arial" w:cs="Arial"/>
          <w:color w:val="262626"/>
          <w:sz w:val="18"/>
          <w:szCs w:val="18"/>
        </w:rPr>
        <w:t>/s/ Ernst &amp; Young LLP</w:t>
      </w:r>
    </w:p>
    <w:p w14:paraId="5A1B0C6A" w14:textId="77777777" w:rsidR="00960BB8" w:rsidRDefault="00C06650">
      <w:r>
        <w:rPr>
          <w:rFonts w:ascii="Arial" w:eastAsia="宋体" w:hAnsi="Arial" w:cs="Arial"/>
          <w:color w:val="262626"/>
          <w:sz w:val="18"/>
          <w:szCs w:val="18"/>
        </w:rPr>
        <w:t>    </w:t>
      </w:r>
    </w:p>
    <w:p w14:paraId="5A1B0C6B" w14:textId="77777777" w:rsidR="00960BB8" w:rsidRDefault="00C06650">
      <w:pPr>
        <w:spacing w:after="180"/>
      </w:pPr>
      <w:r>
        <w:rPr>
          <w:rFonts w:ascii="Arial" w:eastAsia="宋体" w:hAnsi="Arial" w:cs="Arial"/>
          <w:color w:val="262626"/>
          <w:sz w:val="18"/>
          <w:szCs w:val="18"/>
        </w:rPr>
        <w:t>We have served as the Company's auditor since 1968.</w:t>
      </w:r>
    </w:p>
    <w:p w14:paraId="5A1B0C6C" w14:textId="77777777" w:rsidR="00960BB8" w:rsidRDefault="00C06650">
      <w:r>
        <w:rPr>
          <w:rFonts w:ascii="Arial" w:eastAsia="宋体" w:hAnsi="Arial" w:cs="Arial"/>
          <w:color w:val="262626"/>
          <w:sz w:val="18"/>
          <w:szCs w:val="18"/>
        </w:rPr>
        <w:t>San Jose, California</w:t>
      </w:r>
    </w:p>
    <w:p w14:paraId="5A1B0C6D" w14:textId="77777777" w:rsidR="00960BB8" w:rsidRDefault="00C06650">
      <w:r>
        <w:rPr>
          <w:rFonts w:ascii="Arial" w:eastAsia="宋体" w:hAnsi="Arial" w:cs="Arial"/>
          <w:color w:val="262626"/>
          <w:sz w:val="18"/>
          <w:szCs w:val="18"/>
        </w:rPr>
        <w:t>January 26, 2023</w:t>
      </w:r>
    </w:p>
    <w:p w14:paraId="5A1B0C6E"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C78" w14:textId="77777777">
        <w:tc>
          <w:tcPr>
            <w:tcW w:w="50" w:type="pct"/>
            <w:shd w:val="clear" w:color="auto" w:fill="auto"/>
            <w:vAlign w:val="bottom"/>
          </w:tcPr>
          <w:p w14:paraId="5A1B0C6F" w14:textId="77777777" w:rsidR="00960BB8" w:rsidRDefault="00960BB8">
            <w:pPr>
              <w:rPr>
                <w:rFonts w:ascii="宋体"/>
              </w:rPr>
            </w:pPr>
          </w:p>
        </w:tc>
        <w:tc>
          <w:tcPr>
            <w:tcW w:w="283" w:type="pct"/>
            <w:shd w:val="clear" w:color="auto" w:fill="auto"/>
            <w:vAlign w:val="bottom"/>
          </w:tcPr>
          <w:p w14:paraId="5A1B0C70" w14:textId="77777777" w:rsidR="00960BB8" w:rsidRDefault="00960BB8">
            <w:pPr>
              <w:rPr>
                <w:rFonts w:ascii="宋体"/>
              </w:rPr>
            </w:pPr>
          </w:p>
        </w:tc>
        <w:tc>
          <w:tcPr>
            <w:tcW w:w="5" w:type="pct"/>
            <w:shd w:val="clear" w:color="auto" w:fill="auto"/>
            <w:vAlign w:val="bottom"/>
          </w:tcPr>
          <w:p w14:paraId="5A1B0C71" w14:textId="77777777" w:rsidR="00960BB8" w:rsidRDefault="00960BB8">
            <w:pPr>
              <w:rPr>
                <w:rFonts w:ascii="宋体"/>
              </w:rPr>
            </w:pPr>
          </w:p>
        </w:tc>
        <w:tc>
          <w:tcPr>
            <w:tcW w:w="50" w:type="pct"/>
            <w:shd w:val="clear" w:color="auto" w:fill="auto"/>
            <w:vAlign w:val="bottom"/>
          </w:tcPr>
          <w:p w14:paraId="5A1B0C72" w14:textId="77777777" w:rsidR="00960BB8" w:rsidRDefault="00960BB8">
            <w:pPr>
              <w:rPr>
                <w:rFonts w:ascii="宋体"/>
              </w:rPr>
            </w:pPr>
          </w:p>
        </w:tc>
        <w:tc>
          <w:tcPr>
            <w:tcW w:w="2656" w:type="pct"/>
            <w:shd w:val="clear" w:color="auto" w:fill="auto"/>
            <w:vAlign w:val="bottom"/>
          </w:tcPr>
          <w:p w14:paraId="5A1B0C73" w14:textId="77777777" w:rsidR="00960BB8" w:rsidRDefault="00960BB8">
            <w:pPr>
              <w:rPr>
                <w:rFonts w:ascii="宋体"/>
              </w:rPr>
            </w:pPr>
          </w:p>
        </w:tc>
        <w:tc>
          <w:tcPr>
            <w:tcW w:w="5" w:type="pct"/>
            <w:shd w:val="clear" w:color="auto" w:fill="auto"/>
            <w:vAlign w:val="bottom"/>
          </w:tcPr>
          <w:p w14:paraId="5A1B0C74" w14:textId="77777777" w:rsidR="00960BB8" w:rsidRDefault="00960BB8">
            <w:pPr>
              <w:rPr>
                <w:rFonts w:ascii="宋体"/>
              </w:rPr>
            </w:pPr>
          </w:p>
        </w:tc>
        <w:tc>
          <w:tcPr>
            <w:tcW w:w="50" w:type="pct"/>
            <w:shd w:val="clear" w:color="auto" w:fill="auto"/>
            <w:vAlign w:val="bottom"/>
          </w:tcPr>
          <w:p w14:paraId="5A1B0C75" w14:textId="77777777" w:rsidR="00960BB8" w:rsidRDefault="00960BB8">
            <w:pPr>
              <w:rPr>
                <w:rFonts w:ascii="宋体"/>
              </w:rPr>
            </w:pPr>
          </w:p>
        </w:tc>
        <w:tc>
          <w:tcPr>
            <w:tcW w:w="1894" w:type="pct"/>
            <w:shd w:val="clear" w:color="auto" w:fill="auto"/>
            <w:vAlign w:val="bottom"/>
          </w:tcPr>
          <w:p w14:paraId="5A1B0C76" w14:textId="77777777" w:rsidR="00960BB8" w:rsidRDefault="00960BB8">
            <w:pPr>
              <w:rPr>
                <w:rFonts w:ascii="宋体"/>
              </w:rPr>
            </w:pPr>
          </w:p>
        </w:tc>
        <w:tc>
          <w:tcPr>
            <w:tcW w:w="5" w:type="pct"/>
            <w:shd w:val="clear" w:color="auto" w:fill="auto"/>
            <w:vAlign w:val="bottom"/>
          </w:tcPr>
          <w:p w14:paraId="5A1B0C77" w14:textId="77777777" w:rsidR="00960BB8" w:rsidRDefault="00960BB8">
            <w:pPr>
              <w:rPr>
                <w:rFonts w:ascii="宋体"/>
              </w:rPr>
            </w:pPr>
          </w:p>
        </w:tc>
      </w:tr>
      <w:tr w:rsidR="00960BB8" w14:paraId="5A1B0C7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C79"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60" wp14:editId="5A1B4461">
                  <wp:extent cx="304800" cy="304800"/>
                  <wp:effectExtent l="0" t="0" r="0" b="0"/>
                  <wp:docPr id="141" name="图片 23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3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C7A" w14:textId="77777777" w:rsidR="00960BB8" w:rsidRDefault="00C06650">
            <w:pPr>
              <w:textAlignment w:val="center"/>
            </w:pPr>
            <w:r>
              <w:rPr>
                <w:rFonts w:ascii="Arial" w:eastAsia="宋体" w:hAnsi="Arial" w:cs="Arial"/>
                <w:color w:val="262626"/>
                <w:sz w:val="16"/>
                <w:szCs w:val="16"/>
              </w:rPr>
              <w:t>Auditor's Reports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C7B" w14:textId="77777777" w:rsidR="00960BB8" w:rsidRDefault="00C06650">
            <w:pPr>
              <w:jc w:val="right"/>
              <w:textAlignment w:val="center"/>
            </w:pPr>
            <w:r>
              <w:rPr>
                <w:rFonts w:ascii="Arial" w:eastAsia="宋体" w:hAnsi="Arial" w:cs="Arial"/>
                <w:color w:val="262626"/>
                <w:sz w:val="16"/>
                <w:szCs w:val="16"/>
              </w:rPr>
              <w:t>74</w:t>
            </w:r>
          </w:p>
        </w:tc>
      </w:tr>
    </w:tbl>
    <w:p w14:paraId="5A1B0C7D" w14:textId="77777777" w:rsidR="00960BB8" w:rsidRDefault="00C06650">
      <w:r>
        <w:pict w14:anchorId="5A1B4462">
          <v:rect id="_x0000_i1100" style="width:415.3pt;height:1.5pt" o:hralign="center" o:hrstd="t" o:hr="t" fillcolor="#a0a0a0" stroked="f"/>
        </w:pict>
      </w:r>
    </w:p>
    <w:p w14:paraId="5A1B0C7E" w14:textId="77777777" w:rsidR="00960BB8" w:rsidRDefault="00C06650">
      <w:pPr>
        <w:jc w:val="right"/>
      </w:pPr>
      <w:hyperlink r:id="rId123" w:anchor="i8aaa7b4dbd2e419ca0f5c30af85a11aa_16" w:history="1">
        <w:r>
          <w:rPr>
            <w:rStyle w:val="a5"/>
            <w:rFonts w:ascii="Arial" w:eastAsia="宋体" w:hAnsi="Arial" w:cs="Arial"/>
            <w:b/>
            <w:bCs/>
            <w:sz w:val="16"/>
            <w:szCs w:val="16"/>
          </w:rPr>
          <w:t>Table of Contents</w:t>
        </w:r>
      </w:hyperlink>
    </w:p>
    <w:p w14:paraId="5A1B0C7F"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0C86" w14:textId="77777777">
        <w:tc>
          <w:tcPr>
            <w:tcW w:w="50" w:type="pct"/>
            <w:shd w:val="clear" w:color="auto" w:fill="auto"/>
            <w:vAlign w:val="bottom"/>
          </w:tcPr>
          <w:p w14:paraId="5A1B0C80" w14:textId="77777777" w:rsidR="00960BB8" w:rsidRDefault="00960BB8">
            <w:pPr>
              <w:rPr>
                <w:rFonts w:ascii="宋体"/>
              </w:rPr>
            </w:pPr>
          </w:p>
        </w:tc>
        <w:tc>
          <w:tcPr>
            <w:tcW w:w="4870" w:type="pct"/>
            <w:shd w:val="clear" w:color="auto" w:fill="auto"/>
            <w:vAlign w:val="bottom"/>
          </w:tcPr>
          <w:p w14:paraId="5A1B0C81" w14:textId="77777777" w:rsidR="00960BB8" w:rsidRDefault="00960BB8">
            <w:pPr>
              <w:rPr>
                <w:rFonts w:ascii="宋体"/>
              </w:rPr>
            </w:pPr>
          </w:p>
        </w:tc>
        <w:tc>
          <w:tcPr>
            <w:tcW w:w="5" w:type="pct"/>
            <w:shd w:val="clear" w:color="auto" w:fill="auto"/>
            <w:vAlign w:val="bottom"/>
          </w:tcPr>
          <w:p w14:paraId="5A1B0C82" w14:textId="77777777" w:rsidR="00960BB8" w:rsidRDefault="00960BB8">
            <w:pPr>
              <w:rPr>
                <w:rFonts w:ascii="宋体"/>
              </w:rPr>
            </w:pPr>
          </w:p>
        </w:tc>
        <w:tc>
          <w:tcPr>
            <w:tcW w:w="5" w:type="pct"/>
            <w:shd w:val="clear" w:color="auto" w:fill="auto"/>
            <w:vAlign w:val="bottom"/>
          </w:tcPr>
          <w:p w14:paraId="5A1B0C83" w14:textId="77777777" w:rsidR="00960BB8" w:rsidRDefault="00960BB8">
            <w:pPr>
              <w:rPr>
                <w:rFonts w:ascii="宋体"/>
              </w:rPr>
            </w:pPr>
          </w:p>
        </w:tc>
        <w:tc>
          <w:tcPr>
            <w:tcW w:w="64" w:type="pct"/>
            <w:shd w:val="clear" w:color="auto" w:fill="auto"/>
            <w:vAlign w:val="bottom"/>
          </w:tcPr>
          <w:p w14:paraId="5A1B0C84" w14:textId="77777777" w:rsidR="00960BB8" w:rsidRDefault="00960BB8">
            <w:pPr>
              <w:rPr>
                <w:rFonts w:ascii="宋体"/>
              </w:rPr>
            </w:pPr>
          </w:p>
        </w:tc>
        <w:tc>
          <w:tcPr>
            <w:tcW w:w="5" w:type="pct"/>
            <w:shd w:val="clear" w:color="auto" w:fill="auto"/>
            <w:vAlign w:val="bottom"/>
          </w:tcPr>
          <w:p w14:paraId="5A1B0C85" w14:textId="77777777" w:rsidR="00960BB8" w:rsidRDefault="00960BB8">
            <w:pPr>
              <w:rPr>
                <w:rFonts w:ascii="宋体"/>
              </w:rPr>
            </w:pPr>
          </w:p>
        </w:tc>
      </w:tr>
      <w:tr w:rsidR="00960BB8" w14:paraId="5A1B0C89" w14:textId="77777777">
        <w:tc>
          <w:tcPr>
            <w:tcW w:w="0" w:type="auto"/>
            <w:gridSpan w:val="3"/>
            <w:shd w:val="clear" w:color="auto" w:fill="004A86"/>
            <w:tcMar>
              <w:top w:w="40" w:type="dxa"/>
              <w:left w:w="20" w:type="dxa"/>
              <w:bottom w:w="40" w:type="dxa"/>
              <w:right w:w="20" w:type="dxa"/>
            </w:tcMar>
            <w:vAlign w:val="center"/>
          </w:tcPr>
          <w:p w14:paraId="5A1B0C87" w14:textId="77777777" w:rsidR="00960BB8" w:rsidRDefault="00C06650">
            <w:pPr>
              <w:textAlignment w:val="center"/>
            </w:pPr>
            <w:r>
              <w:rPr>
                <w:rFonts w:ascii="Arial" w:eastAsia="宋体" w:hAnsi="Arial" w:cs="Arial"/>
                <w:color w:val="FFFFFF"/>
                <w:sz w:val="36"/>
                <w:szCs w:val="36"/>
              </w:rPr>
              <w:t>Report of Independent Registered Public Accounting Firm</w:t>
            </w:r>
          </w:p>
        </w:tc>
        <w:tc>
          <w:tcPr>
            <w:tcW w:w="0" w:type="auto"/>
            <w:gridSpan w:val="3"/>
            <w:shd w:val="clear" w:color="auto" w:fill="auto"/>
            <w:tcMar>
              <w:top w:w="0" w:type="dxa"/>
              <w:left w:w="20" w:type="dxa"/>
              <w:bottom w:w="0" w:type="dxa"/>
              <w:right w:w="20" w:type="dxa"/>
            </w:tcMar>
            <w:vAlign w:val="bottom"/>
          </w:tcPr>
          <w:p w14:paraId="5A1B0C88" w14:textId="77777777" w:rsidR="00960BB8" w:rsidRDefault="00960BB8">
            <w:pPr>
              <w:rPr>
                <w:rFonts w:ascii="宋体"/>
              </w:rPr>
            </w:pPr>
          </w:p>
        </w:tc>
      </w:tr>
      <w:tr w:rsidR="00960BB8" w14:paraId="5A1B0C8C" w14:textId="77777777">
        <w:trPr>
          <w:trHeight w:val="160"/>
        </w:trPr>
        <w:tc>
          <w:tcPr>
            <w:tcW w:w="0" w:type="auto"/>
            <w:gridSpan w:val="3"/>
            <w:shd w:val="clear" w:color="auto" w:fill="auto"/>
            <w:tcMar>
              <w:top w:w="0" w:type="dxa"/>
              <w:left w:w="20" w:type="dxa"/>
              <w:bottom w:w="0" w:type="dxa"/>
              <w:right w:w="20" w:type="dxa"/>
            </w:tcMar>
            <w:vAlign w:val="bottom"/>
          </w:tcPr>
          <w:p w14:paraId="5A1B0C8A"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0C8B" w14:textId="77777777" w:rsidR="00960BB8" w:rsidRDefault="00960BB8">
            <w:pPr>
              <w:rPr>
                <w:rFonts w:ascii="宋体"/>
              </w:rPr>
            </w:pPr>
          </w:p>
        </w:tc>
      </w:tr>
    </w:tbl>
    <w:p w14:paraId="5A1B0C8D" w14:textId="77777777" w:rsidR="00960BB8" w:rsidRDefault="00C06650">
      <w:pPr>
        <w:spacing w:after="180"/>
      </w:pPr>
      <w:r>
        <w:rPr>
          <w:rFonts w:ascii="Arial" w:eastAsia="宋体" w:hAnsi="Arial" w:cs="Arial"/>
          <w:color w:val="0068B5"/>
        </w:rPr>
        <w:t xml:space="preserve">To the </w:t>
      </w:r>
      <w:r>
        <w:rPr>
          <w:rFonts w:ascii="Arial" w:eastAsia="宋体" w:hAnsi="Arial" w:cs="Arial"/>
          <w:color w:val="0068B5"/>
        </w:rPr>
        <w:t>Stockholders and the Board of Directors of Intel Corporation</w:t>
      </w:r>
    </w:p>
    <w:p w14:paraId="5A1B0C8E" w14:textId="77777777" w:rsidR="00960BB8" w:rsidRDefault="00C06650">
      <w:pPr>
        <w:spacing w:after="120"/>
      </w:pPr>
      <w:r>
        <w:rPr>
          <w:rFonts w:ascii="Arial" w:eastAsia="宋体" w:hAnsi="Arial" w:cs="Arial"/>
          <w:color w:val="0068B5"/>
          <w:sz w:val="20"/>
          <w:szCs w:val="20"/>
        </w:rPr>
        <w:t>Opinion on Internal Control Over Financial Reporting</w:t>
      </w:r>
    </w:p>
    <w:p w14:paraId="5A1B0C8F" w14:textId="77777777" w:rsidR="00960BB8" w:rsidRDefault="00C06650">
      <w:pPr>
        <w:spacing w:after="180"/>
      </w:pPr>
      <w:r>
        <w:rPr>
          <w:rFonts w:ascii="Arial" w:eastAsia="宋体" w:hAnsi="Arial" w:cs="Arial"/>
          <w:color w:val="262626"/>
          <w:sz w:val="18"/>
          <w:szCs w:val="18"/>
        </w:rPr>
        <w:t xml:space="preserve">We have audited Intel Corporation's internal control over financial reporting as of December 31, 2022, based on criteria </w:t>
      </w:r>
      <w:r>
        <w:rPr>
          <w:rFonts w:ascii="Arial" w:eastAsia="宋体" w:hAnsi="Arial" w:cs="Arial"/>
          <w:color w:val="262626"/>
          <w:sz w:val="18"/>
          <w:szCs w:val="18"/>
        </w:rPr>
        <w:t>established in Internal Control—Integrated Framework issued by the Committee of Sponsoring Organizations of the Treadway Commission (2013 framework), (the COSO criteria). In our opinion, Intel Corporation (the Company) maintained, in all material respects,</w:t>
      </w:r>
      <w:r>
        <w:rPr>
          <w:rFonts w:ascii="Arial" w:eastAsia="宋体" w:hAnsi="Arial" w:cs="Arial"/>
          <w:color w:val="262626"/>
          <w:sz w:val="18"/>
          <w:szCs w:val="18"/>
        </w:rPr>
        <w:t xml:space="preserve"> effective internal control over financial reporting as of December 31, 2022, based on the COSO criteria.</w:t>
      </w:r>
    </w:p>
    <w:p w14:paraId="5A1B0C90" w14:textId="77777777" w:rsidR="00960BB8" w:rsidRDefault="00C06650">
      <w:pPr>
        <w:spacing w:after="180"/>
      </w:pPr>
      <w:r>
        <w:rPr>
          <w:rFonts w:ascii="Arial" w:eastAsia="宋体" w:hAnsi="Arial" w:cs="Arial"/>
          <w:color w:val="262626"/>
          <w:sz w:val="18"/>
          <w:szCs w:val="18"/>
        </w:rPr>
        <w:t>We also have audited, in accordance with the standards of the Public Company Accounting Oversight Board (United States) (PCAOB), the 2022 Consolidated</w:t>
      </w:r>
      <w:r>
        <w:rPr>
          <w:rFonts w:ascii="Arial" w:eastAsia="宋体" w:hAnsi="Arial" w:cs="Arial"/>
          <w:color w:val="262626"/>
          <w:sz w:val="18"/>
          <w:szCs w:val="18"/>
        </w:rPr>
        <w:t xml:space="preserve"> Financial Statements of the Company and our report dated January 26, 2023 expressed an unqualified opinion thereon.</w:t>
      </w:r>
    </w:p>
    <w:p w14:paraId="5A1B0C91" w14:textId="77777777" w:rsidR="00960BB8" w:rsidRDefault="00C06650">
      <w:pPr>
        <w:spacing w:after="120"/>
      </w:pPr>
      <w:r>
        <w:rPr>
          <w:rFonts w:ascii="Arial" w:eastAsia="宋体" w:hAnsi="Arial" w:cs="Arial"/>
          <w:color w:val="0068B5"/>
          <w:sz w:val="20"/>
          <w:szCs w:val="20"/>
        </w:rPr>
        <w:t>Basis for Opinion</w:t>
      </w:r>
    </w:p>
    <w:p w14:paraId="5A1B0C92" w14:textId="77777777" w:rsidR="00960BB8" w:rsidRDefault="00C06650">
      <w:pPr>
        <w:spacing w:after="180"/>
      </w:pPr>
      <w:r>
        <w:rPr>
          <w:rFonts w:ascii="Arial" w:eastAsia="宋体" w:hAnsi="Arial" w:cs="Arial"/>
          <w:color w:val="262626"/>
          <w:sz w:val="18"/>
          <w:szCs w:val="18"/>
        </w:rPr>
        <w:t>The Company's management is responsible for maintaining effective internal control over financial reporting and for its a</w:t>
      </w:r>
      <w:r>
        <w:rPr>
          <w:rFonts w:ascii="Arial" w:eastAsia="宋体" w:hAnsi="Arial" w:cs="Arial"/>
          <w:color w:val="262626"/>
          <w:sz w:val="18"/>
          <w:szCs w:val="18"/>
        </w:rPr>
        <w:t>ssessment of the effectiveness of internal control over financial reporting included in the accompanying Management Report on Internal Control Over Financial Reporting. Our responsibility is to express an opinion on the Company's internal control over fina</w:t>
      </w:r>
      <w:r>
        <w:rPr>
          <w:rFonts w:ascii="Arial" w:eastAsia="宋体" w:hAnsi="Arial" w:cs="Arial"/>
          <w:color w:val="262626"/>
          <w:sz w:val="18"/>
          <w:szCs w:val="18"/>
        </w:rPr>
        <w:t>ncial reporting based on our audit. We are a public accounting firm registered with the PCAOB and are required to be independent with respect to the Company in accordance with the U.S. federal securities laws and the applicable rules and regulations of the</w:t>
      </w:r>
      <w:r>
        <w:rPr>
          <w:rFonts w:ascii="Arial" w:eastAsia="宋体" w:hAnsi="Arial" w:cs="Arial"/>
          <w:color w:val="262626"/>
          <w:sz w:val="18"/>
          <w:szCs w:val="18"/>
        </w:rPr>
        <w:t xml:space="preserve"> Securities and Exchange Commission and the PCAOB. </w:t>
      </w:r>
    </w:p>
    <w:p w14:paraId="5A1B0C93" w14:textId="77777777" w:rsidR="00960BB8" w:rsidRDefault="00C06650">
      <w:pPr>
        <w:spacing w:after="180"/>
      </w:pPr>
      <w:r>
        <w:rPr>
          <w:rFonts w:ascii="Arial" w:eastAsia="宋体" w:hAnsi="Arial" w:cs="Arial"/>
          <w:color w:val="262626"/>
          <w:sz w:val="18"/>
          <w:szCs w:val="18"/>
        </w:rPr>
        <w:t>We conducted our audit in accordance with the standards of the PCAOB. Those standards require that we plan and perform the audit to obtain reasonable assurance about whether effective internal control ove</w:t>
      </w:r>
      <w:r>
        <w:rPr>
          <w:rFonts w:ascii="Arial" w:eastAsia="宋体" w:hAnsi="Arial" w:cs="Arial"/>
          <w:color w:val="262626"/>
          <w:sz w:val="18"/>
          <w:szCs w:val="18"/>
        </w:rPr>
        <w:t xml:space="preserve">r financial reporting was maintained in all material respects. </w:t>
      </w:r>
    </w:p>
    <w:p w14:paraId="5A1B0C94" w14:textId="77777777" w:rsidR="00960BB8" w:rsidRDefault="00C06650">
      <w:pPr>
        <w:spacing w:after="180"/>
      </w:pPr>
      <w:r>
        <w:rPr>
          <w:rFonts w:ascii="Arial" w:eastAsia="宋体" w:hAnsi="Arial" w:cs="Arial"/>
          <w:color w:val="262626"/>
          <w:sz w:val="18"/>
          <w:szCs w:val="18"/>
        </w:rPr>
        <w:t xml:space="preserve">Our audit included obtaining an understanding of internal control over financial reporting, assessing the risk that a material weakness exists, testing and evaluating the design and operating </w:t>
      </w:r>
      <w:r>
        <w:rPr>
          <w:rFonts w:ascii="Arial" w:eastAsia="宋体" w:hAnsi="Arial" w:cs="Arial"/>
          <w:color w:val="262626"/>
          <w:sz w:val="18"/>
          <w:szCs w:val="18"/>
        </w:rPr>
        <w:t>effectiveness of internal control based on the assessed risk, and performing such other procedures as we considered necessary in the circumstances. We believe that our audit provides a reasonable basis for our opinion.</w:t>
      </w:r>
    </w:p>
    <w:p w14:paraId="5A1B0C95" w14:textId="77777777" w:rsidR="00960BB8" w:rsidRDefault="00C06650">
      <w:pPr>
        <w:spacing w:after="120"/>
      </w:pPr>
      <w:r>
        <w:rPr>
          <w:rFonts w:ascii="Arial" w:eastAsia="宋体" w:hAnsi="Arial" w:cs="Arial"/>
          <w:color w:val="0068B5"/>
          <w:sz w:val="20"/>
          <w:szCs w:val="20"/>
        </w:rPr>
        <w:t>Definition and Limitations of Interna</w:t>
      </w:r>
      <w:r>
        <w:rPr>
          <w:rFonts w:ascii="Arial" w:eastAsia="宋体" w:hAnsi="Arial" w:cs="Arial"/>
          <w:color w:val="0068B5"/>
          <w:sz w:val="20"/>
          <w:szCs w:val="20"/>
        </w:rPr>
        <w:t>l Control Over Financial Reporting</w:t>
      </w:r>
    </w:p>
    <w:p w14:paraId="5A1B0C96" w14:textId="77777777" w:rsidR="00960BB8" w:rsidRDefault="00C06650">
      <w:pPr>
        <w:spacing w:after="180"/>
      </w:pPr>
      <w:r>
        <w:rPr>
          <w:rFonts w:ascii="Arial" w:eastAsia="宋体" w:hAnsi="Arial" w:cs="Arial"/>
          <w:color w:val="262626"/>
          <w:sz w:val="18"/>
          <w:szCs w:val="18"/>
        </w:rPr>
        <w:t>A company's internal control over financial reporting is a process designed to provide reasonable assurance regarding the reliability of financial reporting and the preparation of financial statements for external purpose</w:t>
      </w:r>
      <w:r>
        <w:rPr>
          <w:rFonts w:ascii="Arial" w:eastAsia="宋体" w:hAnsi="Arial" w:cs="Arial"/>
          <w:color w:val="262626"/>
          <w:sz w:val="18"/>
          <w:szCs w:val="18"/>
        </w:rPr>
        <w:t>s in accordance with generally accepted accounting principles. A company's internal control over financial reporting includes those policies and procedures that (1) pertain to the maintenance of records that, in reasonable detail, accurately and fairly ref</w:t>
      </w:r>
      <w:r>
        <w:rPr>
          <w:rFonts w:ascii="Arial" w:eastAsia="宋体" w:hAnsi="Arial" w:cs="Arial"/>
          <w:color w:val="262626"/>
          <w:sz w:val="18"/>
          <w:szCs w:val="18"/>
        </w:rPr>
        <w:t>lect the transactions and dispositions of the assets of the company; (2) provide reasonable assurance that transactions are recorded as necessary to permit preparation of financial statements in accordance with generally accepted accounting principles, and</w:t>
      </w:r>
      <w:r>
        <w:rPr>
          <w:rFonts w:ascii="Arial" w:eastAsia="宋体" w:hAnsi="Arial" w:cs="Arial"/>
          <w:color w:val="262626"/>
          <w:sz w:val="18"/>
          <w:szCs w:val="18"/>
        </w:rPr>
        <w:t xml:space="preserve"> that receipts and expenditures of the company are being made only in accordance with authorizations of management and directors of the company; and (3) provide reasonable assurance regarding prevention or timely detection of unauthorized acquisition, use,</w:t>
      </w:r>
      <w:r>
        <w:rPr>
          <w:rFonts w:ascii="Arial" w:eastAsia="宋体" w:hAnsi="Arial" w:cs="Arial"/>
          <w:color w:val="262626"/>
          <w:sz w:val="18"/>
          <w:szCs w:val="18"/>
        </w:rPr>
        <w:t xml:space="preserve"> or disposition of the company's assets that could have a material effect on the financial statements. </w:t>
      </w:r>
    </w:p>
    <w:p w14:paraId="5A1B0C97" w14:textId="77777777" w:rsidR="00960BB8" w:rsidRDefault="00C06650">
      <w:pPr>
        <w:spacing w:after="180"/>
      </w:pPr>
      <w:r>
        <w:rPr>
          <w:rFonts w:ascii="Arial" w:eastAsia="宋体" w:hAnsi="Arial" w:cs="Arial"/>
          <w:color w:val="262626"/>
          <w:sz w:val="18"/>
          <w:szCs w:val="18"/>
        </w:rPr>
        <w:t>Because of its inherent limitations, internal control over financial reporting may not prevent or detect misstatements. Also, projections of any evaluat</w:t>
      </w:r>
      <w:r>
        <w:rPr>
          <w:rFonts w:ascii="Arial" w:eastAsia="宋体" w:hAnsi="Arial" w:cs="Arial"/>
          <w:color w:val="262626"/>
          <w:sz w:val="18"/>
          <w:szCs w:val="18"/>
        </w:rPr>
        <w:t xml:space="preserve">ion of effectiveness to future periods are subject to the risk that controls may become inadequate because of changes in conditions, or that the degree of compliance with the policies or procedures may deteriorate. </w:t>
      </w:r>
    </w:p>
    <w:p w14:paraId="5A1B0C98" w14:textId="77777777" w:rsidR="00960BB8" w:rsidRDefault="00C06650">
      <w:pPr>
        <w:spacing w:after="180"/>
      </w:pPr>
      <w:r>
        <w:rPr>
          <w:rFonts w:ascii="Arial" w:eastAsia="宋体" w:hAnsi="Arial" w:cs="Arial"/>
          <w:color w:val="262626"/>
          <w:sz w:val="18"/>
          <w:szCs w:val="18"/>
        </w:rPr>
        <w:t>/s/ Ernst &amp; Young LLP                   </w:t>
      </w:r>
      <w:r>
        <w:rPr>
          <w:rFonts w:ascii="Arial" w:eastAsia="宋体" w:hAnsi="Arial" w:cs="Arial"/>
          <w:color w:val="262626"/>
          <w:sz w:val="18"/>
          <w:szCs w:val="18"/>
        </w:rPr>
        <w:t xml:space="preserve">    </w:t>
      </w:r>
    </w:p>
    <w:p w14:paraId="5A1B0C99" w14:textId="77777777" w:rsidR="00960BB8" w:rsidRDefault="00C06650">
      <w:r>
        <w:rPr>
          <w:rFonts w:ascii="Arial" w:eastAsia="宋体" w:hAnsi="Arial" w:cs="Arial"/>
          <w:color w:val="262626"/>
          <w:sz w:val="18"/>
          <w:szCs w:val="18"/>
        </w:rPr>
        <w:t>San Jose, California</w:t>
      </w:r>
    </w:p>
    <w:p w14:paraId="5A1B0C9A" w14:textId="77777777" w:rsidR="00960BB8" w:rsidRDefault="00C06650">
      <w:r>
        <w:rPr>
          <w:rFonts w:ascii="Arial" w:eastAsia="宋体" w:hAnsi="Arial" w:cs="Arial"/>
          <w:color w:val="262626"/>
          <w:sz w:val="18"/>
          <w:szCs w:val="18"/>
        </w:rPr>
        <w:t>January 26, 2023</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0CA4" w14:textId="77777777">
        <w:tc>
          <w:tcPr>
            <w:tcW w:w="50" w:type="pct"/>
            <w:shd w:val="clear" w:color="auto" w:fill="auto"/>
            <w:vAlign w:val="bottom"/>
          </w:tcPr>
          <w:p w14:paraId="5A1B0C9B" w14:textId="77777777" w:rsidR="00960BB8" w:rsidRDefault="00960BB8">
            <w:pPr>
              <w:rPr>
                <w:rFonts w:ascii="宋体"/>
              </w:rPr>
            </w:pPr>
          </w:p>
        </w:tc>
        <w:tc>
          <w:tcPr>
            <w:tcW w:w="283" w:type="pct"/>
            <w:shd w:val="clear" w:color="auto" w:fill="auto"/>
            <w:vAlign w:val="bottom"/>
          </w:tcPr>
          <w:p w14:paraId="5A1B0C9C" w14:textId="77777777" w:rsidR="00960BB8" w:rsidRDefault="00960BB8">
            <w:pPr>
              <w:rPr>
                <w:rFonts w:ascii="宋体"/>
              </w:rPr>
            </w:pPr>
          </w:p>
        </w:tc>
        <w:tc>
          <w:tcPr>
            <w:tcW w:w="5" w:type="pct"/>
            <w:shd w:val="clear" w:color="auto" w:fill="auto"/>
            <w:vAlign w:val="bottom"/>
          </w:tcPr>
          <w:p w14:paraId="5A1B0C9D" w14:textId="77777777" w:rsidR="00960BB8" w:rsidRDefault="00960BB8">
            <w:pPr>
              <w:rPr>
                <w:rFonts w:ascii="宋体"/>
              </w:rPr>
            </w:pPr>
          </w:p>
        </w:tc>
        <w:tc>
          <w:tcPr>
            <w:tcW w:w="50" w:type="pct"/>
            <w:shd w:val="clear" w:color="auto" w:fill="auto"/>
            <w:vAlign w:val="bottom"/>
          </w:tcPr>
          <w:p w14:paraId="5A1B0C9E" w14:textId="77777777" w:rsidR="00960BB8" w:rsidRDefault="00960BB8">
            <w:pPr>
              <w:rPr>
                <w:rFonts w:ascii="宋体"/>
              </w:rPr>
            </w:pPr>
          </w:p>
        </w:tc>
        <w:tc>
          <w:tcPr>
            <w:tcW w:w="2656" w:type="pct"/>
            <w:shd w:val="clear" w:color="auto" w:fill="auto"/>
            <w:vAlign w:val="bottom"/>
          </w:tcPr>
          <w:p w14:paraId="5A1B0C9F" w14:textId="77777777" w:rsidR="00960BB8" w:rsidRDefault="00960BB8">
            <w:pPr>
              <w:rPr>
                <w:rFonts w:ascii="宋体"/>
              </w:rPr>
            </w:pPr>
          </w:p>
        </w:tc>
        <w:tc>
          <w:tcPr>
            <w:tcW w:w="5" w:type="pct"/>
            <w:shd w:val="clear" w:color="auto" w:fill="auto"/>
            <w:vAlign w:val="bottom"/>
          </w:tcPr>
          <w:p w14:paraId="5A1B0CA0" w14:textId="77777777" w:rsidR="00960BB8" w:rsidRDefault="00960BB8">
            <w:pPr>
              <w:rPr>
                <w:rFonts w:ascii="宋体"/>
              </w:rPr>
            </w:pPr>
          </w:p>
        </w:tc>
        <w:tc>
          <w:tcPr>
            <w:tcW w:w="50" w:type="pct"/>
            <w:shd w:val="clear" w:color="auto" w:fill="auto"/>
            <w:vAlign w:val="bottom"/>
          </w:tcPr>
          <w:p w14:paraId="5A1B0CA1" w14:textId="77777777" w:rsidR="00960BB8" w:rsidRDefault="00960BB8">
            <w:pPr>
              <w:rPr>
                <w:rFonts w:ascii="宋体"/>
              </w:rPr>
            </w:pPr>
          </w:p>
        </w:tc>
        <w:tc>
          <w:tcPr>
            <w:tcW w:w="1894" w:type="pct"/>
            <w:shd w:val="clear" w:color="auto" w:fill="auto"/>
            <w:vAlign w:val="bottom"/>
          </w:tcPr>
          <w:p w14:paraId="5A1B0CA2" w14:textId="77777777" w:rsidR="00960BB8" w:rsidRDefault="00960BB8">
            <w:pPr>
              <w:rPr>
                <w:rFonts w:ascii="宋体"/>
              </w:rPr>
            </w:pPr>
          </w:p>
        </w:tc>
        <w:tc>
          <w:tcPr>
            <w:tcW w:w="5" w:type="pct"/>
            <w:shd w:val="clear" w:color="auto" w:fill="auto"/>
            <w:vAlign w:val="bottom"/>
          </w:tcPr>
          <w:p w14:paraId="5A1B0CA3" w14:textId="77777777" w:rsidR="00960BB8" w:rsidRDefault="00960BB8">
            <w:pPr>
              <w:rPr>
                <w:rFonts w:ascii="宋体"/>
              </w:rPr>
            </w:pPr>
          </w:p>
        </w:tc>
      </w:tr>
      <w:tr w:rsidR="00960BB8" w14:paraId="5A1B0CA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0CA5"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63" wp14:editId="5A1B4464">
                  <wp:extent cx="304800" cy="304800"/>
                  <wp:effectExtent l="0" t="0" r="0" b="0"/>
                  <wp:docPr id="129" name="图片 23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3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CA6" w14:textId="77777777" w:rsidR="00960BB8" w:rsidRDefault="00C06650">
            <w:pPr>
              <w:textAlignment w:val="center"/>
            </w:pPr>
            <w:r>
              <w:rPr>
                <w:rFonts w:ascii="Arial" w:eastAsia="宋体" w:hAnsi="Arial" w:cs="Arial"/>
                <w:color w:val="262626"/>
                <w:sz w:val="16"/>
                <w:szCs w:val="16"/>
              </w:rPr>
              <w:t>Auditor's Reports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CA7" w14:textId="77777777" w:rsidR="00960BB8" w:rsidRDefault="00C06650">
            <w:pPr>
              <w:jc w:val="right"/>
              <w:textAlignment w:val="center"/>
            </w:pPr>
            <w:r>
              <w:rPr>
                <w:rFonts w:ascii="Arial" w:eastAsia="宋体" w:hAnsi="Arial" w:cs="Arial"/>
                <w:color w:val="262626"/>
                <w:sz w:val="16"/>
                <w:szCs w:val="16"/>
              </w:rPr>
              <w:t>75</w:t>
            </w:r>
          </w:p>
        </w:tc>
      </w:tr>
    </w:tbl>
    <w:p w14:paraId="5A1B0CA9" w14:textId="77777777" w:rsidR="00960BB8" w:rsidRDefault="00C06650">
      <w:r>
        <w:pict w14:anchorId="5A1B4465">
          <v:rect id="_x0000_i1101" style="width:415.3pt;height:1.5pt" o:hralign="center" o:hrstd="t" o:hr="t" fillcolor="#a0a0a0" stroked="f"/>
        </w:pict>
      </w:r>
    </w:p>
    <w:p w14:paraId="5A1B0CAA" w14:textId="77777777" w:rsidR="00960BB8" w:rsidRDefault="00C06650">
      <w:pPr>
        <w:jc w:val="right"/>
      </w:pPr>
      <w:hyperlink r:id="rId124" w:anchor="i8aaa7b4dbd2e419ca0f5c30af85a11aa_16" w:history="1">
        <w:r>
          <w:rPr>
            <w:rStyle w:val="a5"/>
            <w:rFonts w:ascii="Arial" w:eastAsia="宋体" w:hAnsi="Arial" w:cs="Arial"/>
            <w:b/>
            <w:bCs/>
            <w:sz w:val="16"/>
            <w:szCs w:val="16"/>
          </w:rPr>
          <w:t>Table of Contents</w:t>
        </w:r>
      </w:hyperlink>
    </w:p>
    <w:p w14:paraId="5A1B0CAB" w14:textId="77777777" w:rsidR="00960BB8" w:rsidRDefault="00960BB8">
      <w:pPr>
        <w:jc w:val="right"/>
      </w:pPr>
    </w:p>
    <w:p w14:paraId="5A1B0CAC" w14:textId="77777777" w:rsidR="00960BB8" w:rsidRDefault="00960BB8">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0CB3" w14:textId="77777777">
        <w:tc>
          <w:tcPr>
            <w:tcW w:w="50" w:type="pct"/>
            <w:shd w:val="clear" w:color="auto" w:fill="auto"/>
            <w:vAlign w:val="bottom"/>
          </w:tcPr>
          <w:p w14:paraId="5A1B0CAD" w14:textId="77777777" w:rsidR="00960BB8" w:rsidRDefault="00960BB8">
            <w:pPr>
              <w:rPr>
                <w:rFonts w:ascii="宋体"/>
              </w:rPr>
            </w:pPr>
          </w:p>
        </w:tc>
        <w:tc>
          <w:tcPr>
            <w:tcW w:w="4870" w:type="pct"/>
            <w:shd w:val="clear" w:color="auto" w:fill="auto"/>
            <w:vAlign w:val="bottom"/>
          </w:tcPr>
          <w:p w14:paraId="5A1B0CAE" w14:textId="77777777" w:rsidR="00960BB8" w:rsidRDefault="00960BB8">
            <w:pPr>
              <w:rPr>
                <w:rFonts w:ascii="宋体"/>
              </w:rPr>
            </w:pPr>
          </w:p>
        </w:tc>
        <w:tc>
          <w:tcPr>
            <w:tcW w:w="5" w:type="pct"/>
            <w:shd w:val="clear" w:color="auto" w:fill="auto"/>
            <w:vAlign w:val="bottom"/>
          </w:tcPr>
          <w:p w14:paraId="5A1B0CAF" w14:textId="77777777" w:rsidR="00960BB8" w:rsidRDefault="00960BB8">
            <w:pPr>
              <w:rPr>
                <w:rFonts w:ascii="宋体"/>
              </w:rPr>
            </w:pPr>
          </w:p>
        </w:tc>
        <w:tc>
          <w:tcPr>
            <w:tcW w:w="5" w:type="pct"/>
            <w:shd w:val="clear" w:color="auto" w:fill="auto"/>
            <w:vAlign w:val="bottom"/>
          </w:tcPr>
          <w:p w14:paraId="5A1B0CB0" w14:textId="77777777" w:rsidR="00960BB8" w:rsidRDefault="00960BB8">
            <w:pPr>
              <w:rPr>
                <w:rFonts w:ascii="宋体"/>
              </w:rPr>
            </w:pPr>
          </w:p>
        </w:tc>
        <w:tc>
          <w:tcPr>
            <w:tcW w:w="64" w:type="pct"/>
            <w:shd w:val="clear" w:color="auto" w:fill="auto"/>
            <w:vAlign w:val="bottom"/>
          </w:tcPr>
          <w:p w14:paraId="5A1B0CB1" w14:textId="77777777" w:rsidR="00960BB8" w:rsidRDefault="00960BB8">
            <w:pPr>
              <w:rPr>
                <w:rFonts w:ascii="宋体"/>
              </w:rPr>
            </w:pPr>
          </w:p>
        </w:tc>
        <w:tc>
          <w:tcPr>
            <w:tcW w:w="5" w:type="pct"/>
            <w:shd w:val="clear" w:color="auto" w:fill="auto"/>
            <w:vAlign w:val="bottom"/>
          </w:tcPr>
          <w:p w14:paraId="5A1B0CB2" w14:textId="77777777" w:rsidR="00960BB8" w:rsidRDefault="00960BB8">
            <w:pPr>
              <w:rPr>
                <w:rFonts w:ascii="宋体"/>
              </w:rPr>
            </w:pPr>
          </w:p>
        </w:tc>
      </w:tr>
      <w:tr w:rsidR="00960BB8" w14:paraId="5A1B0CB6" w14:textId="77777777">
        <w:tc>
          <w:tcPr>
            <w:tcW w:w="0" w:type="auto"/>
            <w:gridSpan w:val="3"/>
            <w:shd w:val="clear" w:color="auto" w:fill="004A86"/>
            <w:tcMar>
              <w:top w:w="40" w:type="dxa"/>
              <w:left w:w="20" w:type="dxa"/>
              <w:bottom w:w="40" w:type="dxa"/>
              <w:right w:w="20" w:type="dxa"/>
            </w:tcMar>
            <w:vAlign w:val="center"/>
          </w:tcPr>
          <w:p w14:paraId="5A1B0CB4" w14:textId="77777777" w:rsidR="00960BB8" w:rsidRDefault="00C06650">
            <w:pPr>
              <w:textAlignment w:val="center"/>
            </w:pPr>
            <w:r>
              <w:rPr>
                <w:rFonts w:ascii="Arial" w:eastAsia="宋体" w:hAnsi="Arial" w:cs="Arial"/>
                <w:color w:val="FFFFFF"/>
                <w:sz w:val="36"/>
                <w:szCs w:val="36"/>
              </w:rPr>
              <w:t>Consolidated Statements of Income</w:t>
            </w:r>
          </w:p>
        </w:tc>
        <w:tc>
          <w:tcPr>
            <w:tcW w:w="0" w:type="auto"/>
            <w:gridSpan w:val="3"/>
            <w:shd w:val="clear" w:color="auto" w:fill="auto"/>
            <w:tcMar>
              <w:top w:w="0" w:type="dxa"/>
              <w:left w:w="20" w:type="dxa"/>
              <w:bottom w:w="0" w:type="dxa"/>
              <w:right w:w="20" w:type="dxa"/>
            </w:tcMar>
            <w:vAlign w:val="bottom"/>
          </w:tcPr>
          <w:p w14:paraId="5A1B0CB5" w14:textId="77777777" w:rsidR="00960BB8" w:rsidRDefault="00960BB8">
            <w:pPr>
              <w:rPr>
                <w:rFonts w:ascii="宋体"/>
              </w:rPr>
            </w:pPr>
          </w:p>
        </w:tc>
      </w:tr>
      <w:tr w:rsidR="00960BB8" w14:paraId="5A1B0CB9" w14:textId="77777777">
        <w:trPr>
          <w:trHeight w:val="160"/>
        </w:trPr>
        <w:tc>
          <w:tcPr>
            <w:tcW w:w="0" w:type="auto"/>
            <w:gridSpan w:val="3"/>
            <w:shd w:val="clear" w:color="auto" w:fill="auto"/>
            <w:tcMar>
              <w:top w:w="0" w:type="dxa"/>
              <w:left w:w="20" w:type="dxa"/>
              <w:bottom w:w="0" w:type="dxa"/>
              <w:right w:w="20" w:type="dxa"/>
            </w:tcMar>
            <w:vAlign w:val="bottom"/>
          </w:tcPr>
          <w:p w14:paraId="5A1B0CB7"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0CB8" w14:textId="77777777" w:rsidR="00960BB8" w:rsidRDefault="00960BB8">
            <w:pPr>
              <w:rPr>
                <w:rFonts w:ascii="宋体"/>
              </w:rPr>
            </w:pPr>
          </w:p>
        </w:tc>
      </w:tr>
    </w:tbl>
    <w:p w14:paraId="5A1B0CBA"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047"/>
        <w:gridCol w:w="39"/>
        <w:gridCol w:w="36"/>
        <w:gridCol w:w="36"/>
        <w:gridCol w:w="36"/>
        <w:gridCol w:w="121"/>
        <w:gridCol w:w="805"/>
        <w:gridCol w:w="36"/>
        <w:gridCol w:w="36"/>
        <w:gridCol w:w="36"/>
        <w:gridCol w:w="36"/>
        <w:gridCol w:w="121"/>
        <w:gridCol w:w="805"/>
        <w:gridCol w:w="36"/>
        <w:gridCol w:w="36"/>
        <w:gridCol w:w="36"/>
        <w:gridCol w:w="36"/>
        <w:gridCol w:w="121"/>
        <w:gridCol w:w="805"/>
        <w:gridCol w:w="36"/>
      </w:tblGrid>
      <w:tr w:rsidR="00960BB8" w14:paraId="5A1B0CD0" w14:textId="77777777">
        <w:tc>
          <w:tcPr>
            <w:tcW w:w="50" w:type="pct"/>
            <w:shd w:val="clear" w:color="auto" w:fill="auto"/>
            <w:vAlign w:val="bottom"/>
          </w:tcPr>
          <w:p w14:paraId="5A1B0CBB" w14:textId="77777777" w:rsidR="00960BB8" w:rsidRDefault="00960BB8">
            <w:pPr>
              <w:rPr>
                <w:rFonts w:ascii="宋体"/>
              </w:rPr>
            </w:pPr>
          </w:p>
        </w:tc>
        <w:tc>
          <w:tcPr>
            <w:tcW w:w="3059" w:type="pct"/>
            <w:shd w:val="clear" w:color="auto" w:fill="auto"/>
            <w:vAlign w:val="bottom"/>
          </w:tcPr>
          <w:p w14:paraId="5A1B0CBC" w14:textId="77777777" w:rsidR="00960BB8" w:rsidRDefault="00960BB8">
            <w:pPr>
              <w:rPr>
                <w:rFonts w:ascii="宋体"/>
              </w:rPr>
            </w:pPr>
          </w:p>
        </w:tc>
        <w:tc>
          <w:tcPr>
            <w:tcW w:w="5" w:type="pct"/>
            <w:shd w:val="clear" w:color="auto" w:fill="auto"/>
            <w:vAlign w:val="bottom"/>
          </w:tcPr>
          <w:p w14:paraId="5A1B0CBD" w14:textId="77777777" w:rsidR="00960BB8" w:rsidRDefault="00960BB8">
            <w:pPr>
              <w:rPr>
                <w:rFonts w:ascii="宋体"/>
              </w:rPr>
            </w:pPr>
          </w:p>
        </w:tc>
        <w:tc>
          <w:tcPr>
            <w:tcW w:w="5" w:type="pct"/>
            <w:shd w:val="clear" w:color="auto" w:fill="auto"/>
            <w:vAlign w:val="bottom"/>
          </w:tcPr>
          <w:p w14:paraId="5A1B0CBE" w14:textId="77777777" w:rsidR="00960BB8" w:rsidRDefault="00960BB8">
            <w:pPr>
              <w:rPr>
                <w:rFonts w:ascii="宋体"/>
              </w:rPr>
            </w:pPr>
          </w:p>
        </w:tc>
        <w:tc>
          <w:tcPr>
            <w:tcW w:w="24" w:type="pct"/>
            <w:shd w:val="clear" w:color="auto" w:fill="auto"/>
            <w:vAlign w:val="bottom"/>
          </w:tcPr>
          <w:p w14:paraId="5A1B0CBF" w14:textId="77777777" w:rsidR="00960BB8" w:rsidRDefault="00960BB8">
            <w:pPr>
              <w:rPr>
                <w:rFonts w:ascii="宋体"/>
              </w:rPr>
            </w:pPr>
          </w:p>
        </w:tc>
        <w:tc>
          <w:tcPr>
            <w:tcW w:w="5" w:type="pct"/>
            <w:shd w:val="clear" w:color="auto" w:fill="auto"/>
            <w:vAlign w:val="bottom"/>
          </w:tcPr>
          <w:p w14:paraId="5A1B0CC0" w14:textId="77777777" w:rsidR="00960BB8" w:rsidRDefault="00960BB8">
            <w:pPr>
              <w:rPr>
                <w:rFonts w:ascii="宋体"/>
              </w:rPr>
            </w:pPr>
          </w:p>
        </w:tc>
        <w:tc>
          <w:tcPr>
            <w:tcW w:w="50" w:type="pct"/>
            <w:shd w:val="clear" w:color="auto" w:fill="auto"/>
            <w:vAlign w:val="bottom"/>
          </w:tcPr>
          <w:p w14:paraId="5A1B0CC1" w14:textId="77777777" w:rsidR="00960BB8" w:rsidRDefault="00960BB8">
            <w:pPr>
              <w:rPr>
                <w:rFonts w:ascii="宋体"/>
              </w:rPr>
            </w:pPr>
          </w:p>
        </w:tc>
        <w:tc>
          <w:tcPr>
            <w:tcW w:w="539" w:type="pct"/>
            <w:shd w:val="clear" w:color="auto" w:fill="auto"/>
            <w:vAlign w:val="bottom"/>
          </w:tcPr>
          <w:p w14:paraId="5A1B0CC2" w14:textId="77777777" w:rsidR="00960BB8" w:rsidRDefault="00960BB8">
            <w:pPr>
              <w:rPr>
                <w:rFonts w:ascii="宋体"/>
              </w:rPr>
            </w:pPr>
          </w:p>
        </w:tc>
        <w:tc>
          <w:tcPr>
            <w:tcW w:w="5" w:type="pct"/>
            <w:shd w:val="clear" w:color="auto" w:fill="auto"/>
            <w:vAlign w:val="bottom"/>
          </w:tcPr>
          <w:p w14:paraId="5A1B0CC3" w14:textId="77777777" w:rsidR="00960BB8" w:rsidRDefault="00960BB8">
            <w:pPr>
              <w:rPr>
                <w:rFonts w:ascii="宋体"/>
              </w:rPr>
            </w:pPr>
          </w:p>
        </w:tc>
        <w:tc>
          <w:tcPr>
            <w:tcW w:w="5" w:type="pct"/>
            <w:shd w:val="clear" w:color="auto" w:fill="auto"/>
            <w:vAlign w:val="bottom"/>
          </w:tcPr>
          <w:p w14:paraId="5A1B0CC4" w14:textId="77777777" w:rsidR="00960BB8" w:rsidRDefault="00960BB8">
            <w:pPr>
              <w:rPr>
                <w:rFonts w:ascii="宋体"/>
              </w:rPr>
            </w:pPr>
          </w:p>
        </w:tc>
        <w:tc>
          <w:tcPr>
            <w:tcW w:w="24" w:type="pct"/>
            <w:shd w:val="clear" w:color="auto" w:fill="auto"/>
            <w:vAlign w:val="bottom"/>
          </w:tcPr>
          <w:p w14:paraId="5A1B0CC5" w14:textId="77777777" w:rsidR="00960BB8" w:rsidRDefault="00960BB8">
            <w:pPr>
              <w:rPr>
                <w:rFonts w:ascii="宋体"/>
              </w:rPr>
            </w:pPr>
          </w:p>
        </w:tc>
        <w:tc>
          <w:tcPr>
            <w:tcW w:w="5" w:type="pct"/>
            <w:shd w:val="clear" w:color="auto" w:fill="auto"/>
            <w:vAlign w:val="bottom"/>
          </w:tcPr>
          <w:p w14:paraId="5A1B0CC6" w14:textId="77777777" w:rsidR="00960BB8" w:rsidRDefault="00960BB8">
            <w:pPr>
              <w:rPr>
                <w:rFonts w:ascii="宋体"/>
              </w:rPr>
            </w:pPr>
          </w:p>
        </w:tc>
        <w:tc>
          <w:tcPr>
            <w:tcW w:w="50" w:type="pct"/>
            <w:shd w:val="clear" w:color="auto" w:fill="auto"/>
            <w:vAlign w:val="bottom"/>
          </w:tcPr>
          <w:p w14:paraId="5A1B0CC7" w14:textId="77777777" w:rsidR="00960BB8" w:rsidRDefault="00960BB8">
            <w:pPr>
              <w:rPr>
                <w:rFonts w:ascii="宋体"/>
              </w:rPr>
            </w:pPr>
          </w:p>
        </w:tc>
        <w:tc>
          <w:tcPr>
            <w:tcW w:w="539" w:type="pct"/>
            <w:shd w:val="clear" w:color="auto" w:fill="auto"/>
            <w:vAlign w:val="bottom"/>
          </w:tcPr>
          <w:p w14:paraId="5A1B0CC8" w14:textId="77777777" w:rsidR="00960BB8" w:rsidRDefault="00960BB8">
            <w:pPr>
              <w:rPr>
                <w:rFonts w:ascii="宋体"/>
              </w:rPr>
            </w:pPr>
          </w:p>
        </w:tc>
        <w:tc>
          <w:tcPr>
            <w:tcW w:w="5" w:type="pct"/>
            <w:shd w:val="clear" w:color="auto" w:fill="auto"/>
            <w:vAlign w:val="bottom"/>
          </w:tcPr>
          <w:p w14:paraId="5A1B0CC9" w14:textId="77777777" w:rsidR="00960BB8" w:rsidRDefault="00960BB8">
            <w:pPr>
              <w:rPr>
                <w:rFonts w:ascii="宋体"/>
              </w:rPr>
            </w:pPr>
          </w:p>
        </w:tc>
        <w:tc>
          <w:tcPr>
            <w:tcW w:w="5" w:type="pct"/>
            <w:shd w:val="clear" w:color="auto" w:fill="auto"/>
            <w:vAlign w:val="bottom"/>
          </w:tcPr>
          <w:p w14:paraId="5A1B0CCA" w14:textId="77777777" w:rsidR="00960BB8" w:rsidRDefault="00960BB8">
            <w:pPr>
              <w:rPr>
                <w:rFonts w:ascii="宋体"/>
              </w:rPr>
            </w:pPr>
          </w:p>
        </w:tc>
        <w:tc>
          <w:tcPr>
            <w:tcW w:w="24" w:type="pct"/>
            <w:shd w:val="clear" w:color="auto" w:fill="auto"/>
            <w:vAlign w:val="bottom"/>
          </w:tcPr>
          <w:p w14:paraId="5A1B0CCB" w14:textId="77777777" w:rsidR="00960BB8" w:rsidRDefault="00960BB8">
            <w:pPr>
              <w:rPr>
                <w:rFonts w:ascii="宋体"/>
              </w:rPr>
            </w:pPr>
          </w:p>
        </w:tc>
        <w:tc>
          <w:tcPr>
            <w:tcW w:w="5" w:type="pct"/>
            <w:shd w:val="clear" w:color="auto" w:fill="auto"/>
            <w:vAlign w:val="bottom"/>
          </w:tcPr>
          <w:p w14:paraId="5A1B0CCC" w14:textId="77777777" w:rsidR="00960BB8" w:rsidRDefault="00960BB8">
            <w:pPr>
              <w:rPr>
                <w:rFonts w:ascii="宋体"/>
              </w:rPr>
            </w:pPr>
          </w:p>
        </w:tc>
        <w:tc>
          <w:tcPr>
            <w:tcW w:w="50" w:type="pct"/>
            <w:shd w:val="clear" w:color="auto" w:fill="auto"/>
            <w:vAlign w:val="bottom"/>
          </w:tcPr>
          <w:p w14:paraId="5A1B0CCD" w14:textId="77777777" w:rsidR="00960BB8" w:rsidRDefault="00960BB8">
            <w:pPr>
              <w:rPr>
                <w:rFonts w:ascii="宋体"/>
              </w:rPr>
            </w:pPr>
          </w:p>
        </w:tc>
        <w:tc>
          <w:tcPr>
            <w:tcW w:w="539" w:type="pct"/>
            <w:shd w:val="clear" w:color="auto" w:fill="auto"/>
            <w:vAlign w:val="bottom"/>
          </w:tcPr>
          <w:p w14:paraId="5A1B0CCE" w14:textId="77777777" w:rsidR="00960BB8" w:rsidRDefault="00960BB8">
            <w:pPr>
              <w:rPr>
                <w:rFonts w:ascii="宋体"/>
              </w:rPr>
            </w:pPr>
          </w:p>
        </w:tc>
        <w:tc>
          <w:tcPr>
            <w:tcW w:w="5" w:type="pct"/>
            <w:shd w:val="clear" w:color="auto" w:fill="auto"/>
            <w:vAlign w:val="bottom"/>
          </w:tcPr>
          <w:p w14:paraId="5A1B0CCF" w14:textId="77777777" w:rsidR="00960BB8" w:rsidRDefault="00960BB8">
            <w:pPr>
              <w:rPr>
                <w:rFonts w:ascii="宋体"/>
              </w:rPr>
            </w:pPr>
          </w:p>
        </w:tc>
      </w:tr>
      <w:tr w:rsidR="00960BB8" w14:paraId="5A1B0CD8" w14:textId="77777777">
        <w:tc>
          <w:tcPr>
            <w:tcW w:w="0" w:type="auto"/>
            <w:gridSpan w:val="3"/>
            <w:shd w:val="clear" w:color="auto" w:fill="auto"/>
            <w:tcMar>
              <w:top w:w="40" w:type="dxa"/>
              <w:left w:w="20" w:type="dxa"/>
              <w:bottom w:w="40" w:type="dxa"/>
              <w:right w:w="20" w:type="dxa"/>
            </w:tcMar>
            <w:vAlign w:val="bottom"/>
          </w:tcPr>
          <w:p w14:paraId="5A1B0CD1" w14:textId="77777777" w:rsidR="00960BB8" w:rsidRDefault="00C06650">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 Except Per Share Amounts)</w:t>
            </w:r>
          </w:p>
        </w:tc>
        <w:tc>
          <w:tcPr>
            <w:tcW w:w="0" w:type="auto"/>
            <w:gridSpan w:val="3"/>
            <w:shd w:val="clear" w:color="auto" w:fill="auto"/>
            <w:tcMar>
              <w:top w:w="0" w:type="dxa"/>
              <w:left w:w="20" w:type="dxa"/>
              <w:bottom w:w="0" w:type="dxa"/>
              <w:right w:w="20" w:type="dxa"/>
            </w:tcMar>
            <w:vAlign w:val="bottom"/>
          </w:tcPr>
          <w:p w14:paraId="5A1B0CD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CD3"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0CD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CD5"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0CD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CD7"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0CE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CD9" w14:textId="77777777" w:rsidR="00960BB8" w:rsidRDefault="00C06650">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5A1B0CDA"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CDB"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CDC" w14:textId="77777777" w:rsidR="00960BB8" w:rsidRDefault="00C06650">
            <w:pPr>
              <w:jc w:val="right"/>
              <w:textAlignment w:val="bottom"/>
            </w:pPr>
            <w:r>
              <w:rPr>
                <w:rFonts w:ascii="Arial" w:eastAsia="宋体" w:hAnsi="Arial" w:cs="Arial"/>
                <w:b/>
                <w:bCs/>
                <w:color w:val="0068B5"/>
                <w:sz w:val="18"/>
                <w:szCs w:val="18"/>
              </w:rPr>
              <w:t>63,054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CD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CDE"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CDF"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CE0" w14:textId="77777777" w:rsidR="00960BB8" w:rsidRDefault="00C06650">
            <w:pPr>
              <w:jc w:val="right"/>
              <w:textAlignment w:val="bottom"/>
            </w:pPr>
            <w:r>
              <w:rPr>
                <w:rFonts w:ascii="Arial" w:eastAsia="宋体" w:hAnsi="Arial" w:cs="Arial"/>
                <w:b/>
                <w:bCs/>
                <w:color w:val="262626"/>
                <w:sz w:val="18"/>
                <w:szCs w:val="18"/>
              </w:rPr>
              <w:t>79,024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CE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CE2"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CE3"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CE4" w14:textId="77777777" w:rsidR="00960BB8" w:rsidRDefault="00C06650">
            <w:pPr>
              <w:jc w:val="right"/>
              <w:textAlignment w:val="bottom"/>
            </w:pPr>
            <w:r>
              <w:rPr>
                <w:rFonts w:ascii="Arial" w:eastAsia="宋体" w:hAnsi="Arial" w:cs="Arial"/>
                <w:b/>
                <w:bCs/>
                <w:color w:val="262626"/>
                <w:sz w:val="18"/>
                <w:szCs w:val="18"/>
              </w:rPr>
              <w:t>77,867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CE5" w14:textId="77777777" w:rsidR="00960BB8" w:rsidRDefault="00960BB8">
            <w:pPr>
              <w:jc w:val="right"/>
              <w:rPr>
                <w:rFonts w:ascii="宋体"/>
              </w:rPr>
            </w:pPr>
          </w:p>
        </w:tc>
      </w:tr>
      <w:tr w:rsidR="00960BB8" w14:paraId="5A1B0CF1" w14:textId="77777777">
        <w:tc>
          <w:tcPr>
            <w:tcW w:w="0" w:type="auto"/>
            <w:gridSpan w:val="3"/>
            <w:shd w:val="clear" w:color="auto" w:fill="auto"/>
            <w:tcMar>
              <w:top w:w="40" w:type="dxa"/>
              <w:left w:w="20" w:type="dxa"/>
              <w:bottom w:w="40" w:type="dxa"/>
              <w:right w:w="20" w:type="dxa"/>
            </w:tcMar>
            <w:vAlign w:val="bottom"/>
          </w:tcPr>
          <w:p w14:paraId="5A1B0CE7" w14:textId="77777777" w:rsidR="00960BB8" w:rsidRDefault="00C06650">
            <w:pPr>
              <w:textAlignment w:val="bottom"/>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5A1B0CE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CE9" w14:textId="77777777" w:rsidR="00960BB8" w:rsidRDefault="00C06650">
            <w:pPr>
              <w:jc w:val="right"/>
              <w:textAlignment w:val="bottom"/>
            </w:pPr>
            <w:r>
              <w:rPr>
                <w:rFonts w:ascii="Arial" w:eastAsia="宋体" w:hAnsi="Arial" w:cs="Arial"/>
                <w:color w:val="0068B5"/>
                <w:sz w:val="18"/>
                <w:szCs w:val="18"/>
              </w:rPr>
              <w:t>36,188 </w:t>
            </w:r>
          </w:p>
        </w:tc>
        <w:tc>
          <w:tcPr>
            <w:tcW w:w="0" w:type="auto"/>
            <w:shd w:val="clear" w:color="auto" w:fill="auto"/>
            <w:tcMar>
              <w:top w:w="40" w:type="dxa"/>
              <w:left w:w="0" w:type="dxa"/>
              <w:bottom w:w="40" w:type="dxa"/>
              <w:right w:w="20" w:type="dxa"/>
            </w:tcMar>
            <w:vAlign w:val="bottom"/>
          </w:tcPr>
          <w:p w14:paraId="5A1B0CE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CE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CEC" w14:textId="77777777" w:rsidR="00960BB8" w:rsidRDefault="00C06650">
            <w:pPr>
              <w:jc w:val="right"/>
              <w:textAlignment w:val="bottom"/>
            </w:pPr>
            <w:r>
              <w:rPr>
                <w:rFonts w:ascii="Arial" w:eastAsia="宋体" w:hAnsi="Arial" w:cs="Arial"/>
                <w:color w:val="262626"/>
                <w:sz w:val="18"/>
                <w:szCs w:val="18"/>
              </w:rPr>
              <w:t>35,209 </w:t>
            </w:r>
          </w:p>
        </w:tc>
        <w:tc>
          <w:tcPr>
            <w:tcW w:w="0" w:type="auto"/>
            <w:shd w:val="clear" w:color="auto" w:fill="auto"/>
            <w:tcMar>
              <w:top w:w="40" w:type="dxa"/>
              <w:left w:w="0" w:type="dxa"/>
              <w:bottom w:w="40" w:type="dxa"/>
              <w:right w:w="20" w:type="dxa"/>
            </w:tcMar>
            <w:vAlign w:val="bottom"/>
          </w:tcPr>
          <w:p w14:paraId="5A1B0CE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CE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CEF" w14:textId="77777777" w:rsidR="00960BB8" w:rsidRDefault="00C06650">
            <w:pPr>
              <w:jc w:val="right"/>
              <w:textAlignment w:val="bottom"/>
            </w:pPr>
            <w:r>
              <w:rPr>
                <w:rFonts w:ascii="Arial" w:eastAsia="宋体" w:hAnsi="Arial" w:cs="Arial"/>
                <w:color w:val="262626"/>
                <w:sz w:val="18"/>
                <w:szCs w:val="18"/>
              </w:rPr>
              <w:t>34,255 </w:t>
            </w:r>
          </w:p>
        </w:tc>
        <w:tc>
          <w:tcPr>
            <w:tcW w:w="0" w:type="auto"/>
            <w:shd w:val="clear" w:color="auto" w:fill="auto"/>
            <w:tcMar>
              <w:top w:w="40" w:type="dxa"/>
              <w:left w:w="0" w:type="dxa"/>
              <w:bottom w:w="40" w:type="dxa"/>
              <w:right w:w="20" w:type="dxa"/>
            </w:tcMar>
            <w:vAlign w:val="bottom"/>
          </w:tcPr>
          <w:p w14:paraId="5A1B0CF0" w14:textId="77777777" w:rsidR="00960BB8" w:rsidRDefault="00960BB8">
            <w:pPr>
              <w:jc w:val="right"/>
              <w:rPr>
                <w:rFonts w:ascii="宋体"/>
              </w:rPr>
            </w:pPr>
          </w:p>
        </w:tc>
      </w:tr>
      <w:tr w:rsidR="00960BB8" w14:paraId="5A1B0CFC" w14:textId="77777777">
        <w:tc>
          <w:tcPr>
            <w:tcW w:w="0" w:type="auto"/>
            <w:gridSpan w:val="3"/>
            <w:shd w:val="clear" w:color="auto" w:fill="auto"/>
            <w:tcMar>
              <w:top w:w="40" w:type="dxa"/>
              <w:left w:w="20" w:type="dxa"/>
              <w:bottom w:w="40" w:type="dxa"/>
              <w:right w:w="20" w:type="dxa"/>
            </w:tcMar>
            <w:vAlign w:val="bottom"/>
          </w:tcPr>
          <w:p w14:paraId="5A1B0CF2" w14:textId="77777777" w:rsidR="00960BB8" w:rsidRDefault="00C06650">
            <w:pPr>
              <w:textAlignment w:val="bottom"/>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5A1B0CF3"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CF4" w14:textId="77777777" w:rsidR="00960BB8" w:rsidRDefault="00C06650">
            <w:pPr>
              <w:jc w:val="right"/>
              <w:textAlignment w:val="bottom"/>
            </w:pPr>
            <w:r>
              <w:rPr>
                <w:rFonts w:ascii="Arial" w:eastAsia="宋体" w:hAnsi="Arial" w:cs="Arial"/>
                <w:b/>
                <w:bCs/>
                <w:color w:val="0068B5"/>
                <w:sz w:val="18"/>
                <w:szCs w:val="18"/>
              </w:rPr>
              <w:t>26,866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CF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CF6"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CF7" w14:textId="77777777" w:rsidR="00960BB8" w:rsidRDefault="00C06650">
            <w:pPr>
              <w:jc w:val="right"/>
              <w:textAlignment w:val="bottom"/>
            </w:pPr>
            <w:r>
              <w:rPr>
                <w:rFonts w:ascii="Arial" w:eastAsia="宋体" w:hAnsi="Arial" w:cs="Arial"/>
                <w:b/>
                <w:bCs/>
                <w:color w:val="262626"/>
                <w:sz w:val="18"/>
                <w:szCs w:val="18"/>
              </w:rPr>
              <w:t>43,815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CF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CF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CFA" w14:textId="77777777" w:rsidR="00960BB8" w:rsidRDefault="00C06650">
            <w:pPr>
              <w:jc w:val="right"/>
              <w:textAlignment w:val="bottom"/>
            </w:pPr>
            <w:r>
              <w:rPr>
                <w:rFonts w:ascii="Arial" w:eastAsia="宋体" w:hAnsi="Arial" w:cs="Arial"/>
                <w:b/>
                <w:bCs/>
                <w:color w:val="262626"/>
                <w:sz w:val="18"/>
                <w:szCs w:val="18"/>
              </w:rPr>
              <w:t>43,612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CFB" w14:textId="77777777" w:rsidR="00960BB8" w:rsidRDefault="00960BB8">
            <w:pPr>
              <w:jc w:val="right"/>
              <w:rPr>
                <w:rFonts w:ascii="宋体"/>
              </w:rPr>
            </w:pPr>
          </w:p>
        </w:tc>
      </w:tr>
      <w:tr w:rsidR="00960BB8" w14:paraId="5A1B0D07" w14:textId="77777777">
        <w:tc>
          <w:tcPr>
            <w:tcW w:w="0" w:type="auto"/>
            <w:gridSpan w:val="3"/>
            <w:shd w:val="clear" w:color="auto" w:fill="auto"/>
            <w:tcMar>
              <w:top w:w="40" w:type="dxa"/>
              <w:left w:w="20" w:type="dxa"/>
              <w:bottom w:w="40" w:type="dxa"/>
              <w:right w:w="20" w:type="dxa"/>
            </w:tcMar>
            <w:vAlign w:val="bottom"/>
          </w:tcPr>
          <w:p w14:paraId="5A1B0CFD" w14:textId="77777777" w:rsidR="00960BB8" w:rsidRDefault="00C06650">
            <w:pPr>
              <w:textAlignment w:val="bottom"/>
            </w:pPr>
            <w:r>
              <w:rPr>
                <w:rFonts w:ascii="Arial" w:eastAsia="宋体" w:hAnsi="Arial" w:cs="Arial"/>
                <w:color w:val="262626"/>
                <w:sz w:val="18"/>
                <w:szCs w:val="18"/>
              </w:rPr>
              <w:t>R</w:t>
            </w:r>
            <w:r>
              <w:rPr>
                <w:rFonts w:ascii="Arial" w:eastAsia="宋体" w:hAnsi="Arial" w:cs="Arial"/>
                <w:color w:val="262626"/>
                <w:sz w:val="18"/>
                <w:szCs w:val="18"/>
              </w:rPr>
              <w:t>esearch and development</w:t>
            </w:r>
          </w:p>
        </w:tc>
        <w:tc>
          <w:tcPr>
            <w:tcW w:w="0" w:type="auto"/>
            <w:gridSpan w:val="3"/>
            <w:shd w:val="clear" w:color="auto" w:fill="auto"/>
            <w:tcMar>
              <w:top w:w="0" w:type="dxa"/>
              <w:left w:w="20" w:type="dxa"/>
              <w:bottom w:w="0" w:type="dxa"/>
              <w:right w:w="20" w:type="dxa"/>
            </w:tcMar>
            <w:vAlign w:val="bottom"/>
          </w:tcPr>
          <w:p w14:paraId="5A1B0CFE"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CFF" w14:textId="77777777" w:rsidR="00960BB8" w:rsidRDefault="00C06650">
            <w:pPr>
              <w:jc w:val="right"/>
              <w:textAlignment w:val="bottom"/>
            </w:pPr>
            <w:r>
              <w:rPr>
                <w:rFonts w:ascii="Arial" w:eastAsia="宋体" w:hAnsi="Arial" w:cs="Arial"/>
                <w:color w:val="0068B5"/>
                <w:sz w:val="18"/>
                <w:szCs w:val="18"/>
              </w:rPr>
              <w:t>17,528 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0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01"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02" w14:textId="77777777" w:rsidR="00960BB8" w:rsidRDefault="00C06650">
            <w:pPr>
              <w:jc w:val="right"/>
              <w:textAlignment w:val="bottom"/>
            </w:pPr>
            <w:r>
              <w:rPr>
                <w:rFonts w:ascii="Arial" w:eastAsia="宋体" w:hAnsi="Arial" w:cs="Arial"/>
                <w:color w:val="262626"/>
                <w:sz w:val="18"/>
                <w:szCs w:val="18"/>
              </w:rPr>
              <w:t>15,190 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0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04"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05" w14:textId="77777777" w:rsidR="00960BB8" w:rsidRDefault="00C06650">
            <w:pPr>
              <w:jc w:val="right"/>
              <w:textAlignment w:val="bottom"/>
            </w:pPr>
            <w:r>
              <w:rPr>
                <w:rFonts w:ascii="Arial" w:eastAsia="宋体" w:hAnsi="Arial" w:cs="Arial"/>
                <w:color w:val="262626"/>
                <w:sz w:val="18"/>
                <w:szCs w:val="18"/>
              </w:rPr>
              <w:t>13,556 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06" w14:textId="77777777" w:rsidR="00960BB8" w:rsidRDefault="00960BB8">
            <w:pPr>
              <w:jc w:val="right"/>
              <w:rPr>
                <w:rFonts w:ascii="宋体"/>
              </w:rPr>
            </w:pPr>
          </w:p>
        </w:tc>
      </w:tr>
      <w:tr w:rsidR="00960BB8" w14:paraId="5A1B0D12" w14:textId="77777777">
        <w:tc>
          <w:tcPr>
            <w:tcW w:w="0" w:type="auto"/>
            <w:gridSpan w:val="3"/>
            <w:shd w:val="clear" w:color="auto" w:fill="auto"/>
            <w:tcMar>
              <w:top w:w="40" w:type="dxa"/>
              <w:left w:w="20" w:type="dxa"/>
              <w:bottom w:w="40" w:type="dxa"/>
              <w:right w:w="20" w:type="dxa"/>
            </w:tcMar>
            <w:vAlign w:val="bottom"/>
          </w:tcPr>
          <w:p w14:paraId="5A1B0D08" w14:textId="77777777" w:rsidR="00960BB8" w:rsidRDefault="00C06650">
            <w:pPr>
              <w:textAlignment w:val="bottom"/>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5A1B0D0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0A" w14:textId="77777777" w:rsidR="00960BB8" w:rsidRDefault="00C06650">
            <w:pPr>
              <w:jc w:val="right"/>
              <w:textAlignment w:val="bottom"/>
            </w:pPr>
            <w:r>
              <w:rPr>
                <w:rFonts w:ascii="Arial" w:eastAsia="宋体" w:hAnsi="Arial" w:cs="Arial"/>
                <w:color w:val="0068B5"/>
                <w:sz w:val="18"/>
                <w:szCs w:val="18"/>
              </w:rPr>
              <w:t>7,002 </w:t>
            </w:r>
          </w:p>
        </w:tc>
        <w:tc>
          <w:tcPr>
            <w:tcW w:w="0" w:type="auto"/>
            <w:shd w:val="clear" w:color="auto" w:fill="auto"/>
            <w:tcMar>
              <w:top w:w="40" w:type="dxa"/>
              <w:left w:w="0" w:type="dxa"/>
              <w:bottom w:w="40" w:type="dxa"/>
              <w:right w:w="20" w:type="dxa"/>
            </w:tcMar>
            <w:vAlign w:val="bottom"/>
          </w:tcPr>
          <w:p w14:paraId="5A1B0D0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0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0D" w14:textId="77777777" w:rsidR="00960BB8" w:rsidRDefault="00C06650">
            <w:pPr>
              <w:jc w:val="right"/>
              <w:textAlignment w:val="bottom"/>
            </w:pPr>
            <w:r>
              <w:rPr>
                <w:rFonts w:ascii="Arial" w:eastAsia="宋体" w:hAnsi="Arial" w:cs="Arial"/>
                <w:color w:val="262626"/>
                <w:sz w:val="18"/>
                <w:szCs w:val="18"/>
              </w:rPr>
              <w:t>6,543 </w:t>
            </w:r>
          </w:p>
        </w:tc>
        <w:tc>
          <w:tcPr>
            <w:tcW w:w="0" w:type="auto"/>
            <w:shd w:val="clear" w:color="auto" w:fill="auto"/>
            <w:tcMar>
              <w:top w:w="40" w:type="dxa"/>
              <w:left w:w="0" w:type="dxa"/>
              <w:bottom w:w="40" w:type="dxa"/>
              <w:right w:w="20" w:type="dxa"/>
            </w:tcMar>
            <w:vAlign w:val="bottom"/>
          </w:tcPr>
          <w:p w14:paraId="5A1B0D0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0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10" w14:textId="77777777" w:rsidR="00960BB8" w:rsidRDefault="00C06650">
            <w:pPr>
              <w:jc w:val="right"/>
              <w:textAlignment w:val="bottom"/>
            </w:pPr>
            <w:r>
              <w:rPr>
                <w:rFonts w:ascii="Arial" w:eastAsia="宋体" w:hAnsi="Arial" w:cs="Arial"/>
                <w:color w:val="262626"/>
                <w:sz w:val="18"/>
                <w:szCs w:val="18"/>
              </w:rPr>
              <w:t>6,180 </w:t>
            </w:r>
          </w:p>
        </w:tc>
        <w:tc>
          <w:tcPr>
            <w:tcW w:w="0" w:type="auto"/>
            <w:shd w:val="clear" w:color="auto" w:fill="auto"/>
            <w:tcMar>
              <w:top w:w="40" w:type="dxa"/>
              <w:left w:w="0" w:type="dxa"/>
              <w:bottom w:w="40" w:type="dxa"/>
              <w:right w:w="20" w:type="dxa"/>
            </w:tcMar>
            <w:vAlign w:val="bottom"/>
          </w:tcPr>
          <w:p w14:paraId="5A1B0D11" w14:textId="77777777" w:rsidR="00960BB8" w:rsidRDefault="00960BB8">
            <w:pPr>
              <w:jc w:val="right"/>
              <w:rPr>
                <w:rFonts w:ascii="宋体"/>
              </w:rPr>
            </w:pPr>
          </w:p>
        </w:tc>
      </w:tr>
      <w:tr w:rsidR="00960BB8" w14:paraId="5A1B0D1D" w14:textId="77777777">
        <w:tc>
          <w:tcPr>
            <w:tcW w:w="0" w:type="auto"/>
            <w:gridSpan w:val="3"/>
            <w:shd w:val="clear" w:color="auto" w:fill="auto"/>
            <w:tcMar>
              <w:top w:w="40" w:type="dxa"/>
              <w:left w:w="20" w:type="dxa"/>
              <w:bottom w:w="40" w:type="dxa"/>
              <w:right w:w="20" w:type="dxa"/>
            </w:tcMar>
            <w:vAlign w:val="bottom"/>
          </w:tcPr>
          <w:p w14:paraId="5A1B0D13" w14:textId="77777777" w:rsidR="00960BB8" w:rsidRDefault="00C06650">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5A1B0D1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15" w14:textId="77777777" w:rsidR="00960BB8" w:rsidRDefault="00C06650">
            <w:pPr>
              <w:jc w:val="right"/>
              <w:textAlignment w:val="bottom"/>
            </w:pPr>
            <w:r>
              <w:rPr>
                <w:rFonts w:ascii="Arial" w:eastAsia="宋体" w:hAnsi="Arial" w:cs="Arial"/>
                <w:color w:val="0068B5"/>
                <w:sz w:val="18"/>
                <w:szCs w:val="18"/>
              </w:rPr>
              <w:t>2 </w:t>
            </w:r>
          </w:p>
        </w:tc>
        <w:tc>
          <w:tcPr>
            <w:tcW w:w="0" w:type="auto"/>
            <w:shd w:val="clear" w:color="auto" w:fill="auto"/>
            <w:tcMar>
              <w:top w:w="40" w:type="dxa"/>
              <w:left w:w="0" w:type="dxa"/>
              <w:bottom w:w="40" w:type="dxa"/>
              <w:right w:w="20" w:type="dxa"/>
            </w:tcMar>
            <w:vAlign w:val="bottom"/>
          </w:tcPr>
          <w:p w14:paraId="5A1B0D1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1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18" w14:textId="77777777" w:rsidR="00960BB8" w:rsidRDefault="00C06650">
            <w:pPr>
              <w:jc w:val="right"/>
              <w:textAlignment w:val="bottom"/>
            </w:pPr>
            <w:r>
              <w:rPr>
                <w:rFonts w:ascii="Arial" w:eastAsia="宋体" w:hAnsi="Arial" w:cs="Arial"/>
                <w:color w:val="262626"/>
                <w:sz w:val="18"/>
                <w:szCs w:val="18"/>
              </w:rPr>
              <w:t>2,626 </w:t>
            </w:r>
          </w:p>
        </w:tc>
        <w:tc>
          <w:tcPr>
            <w:tcW w:w="0" w:type="auto"/>
            <w:shd w:val="clear" w:color="auto" w:fill="auto"/>
            <w:tcMar>
              <w:top w:w="40" w:type="dxa"/>
              <w:left w:w="0" w:type="dxa"/>
              <w:bottom w:w="40" w:type="dxa"/>
              <w:right w:w="20" w:type="dxa"/>
            </w:tcMar>
            <w:vAlign w:val="bottom"/>
          </w:tcPr>
          <w:p w14:paraId="5A1B0D1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1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1B" w14:textId="77777777" w:rsidR="00960BB8" w:rsidRDefault="00C06650">
            <w:pPr>
              <w:jc w:val="right"/>
              <w:textAlignment w:val="bottom"/>
            </w:pPr>
            <w:r>
              <w:rPr>
                <w:rFonts w:ascii="Arial" w:eastAsia="宋体" w:hAnsi="Arial" w:cs="Arial"/>
                <w:color w:val="262626"/>
                <w:sz w:val="18"/>
                <w:szCs w:val="18"/>
              </w:rPr>
              <w:t>198 </w:t>
            </w:r>
          </w:p>
        </w:tc>
        <w:tc>
          <w:tcPr>
            <w:tcW w:w="0" w:type="auto"/>
            <w:shd w:val="clear" w:color="auto" w:fill="auto"/>
            <w:tcMar>
              <w:top w:w="40" w:type="dxa"/>
              <w:left w:w="0" w:type="dxa"/>
              <w:bottom w:w="40" w:type="dxa"/>
              <w:right w:w="20" w:type="dxa"/>
            </w:tcMar>
            <w:vAlign w:val="bottom"/>
          </w:tcPr>
          <w:p w14:paraId="5A1B0D1C" w14:textId="77777777" w:rsidR="00960BB8" w:rsidRDefault="00960BB8">
            <w:pPr>
              <w:jc w:val="right"/>
              <w:rPr>
                <w:rFonts w:ascii="宋体"/>
              </w:rPr>
            </w:pPr>
          </w:p>
        </w:tc>
      </w:tr>
      <w:tr w:rsidR="00960BB8" w14:paraId="5A1B0D25" w14:textId="77777777">
        <w:trPr>
          <w:hidden/>
        </w:trPr>
        <w:tc>
          <w:tcPr>
            <w:tcW w:w="0" w:type="auto"/>
            <w:gridSpan w:val="3"/>
            <w:shd w:val="clear" w:color="auto" w:fill="auto"/>
            <w:vAlign w:val="bottom"/>
          </w:tcPr>
          <w:p w14:paraId="5A1B0D1E" w14:textId="77777777" w:rsidR="00960BB8" w:rsidRDefault="00960BB8">
            <w:pPr>
              <w:rPr>
                <w:rFonts w:ascii="宋体"/>
                <w:vanish/>
              </w:rPr>
            </w:pPr>
          </w:p>
        </w:tc>
        <w:tc>
          <w:tcPr>
            <w:tcW w:w="0" w:type="auto"/>
            <w:gridSpan w:val="3"/>
            <w:shd w:val="clear" w:color="auto" w:fill="auto"/>
            <w:vAlign w:val="bottom"/>
          </w:tcPr>
          <w:p w14:paraId="5A1B0D1F" w14:textId="77777777" w:rsidR="00960BB8" w:rsidRDefault="00960BB8">
            <w:pPr>
              <w:rPr>
                <w:rFonts w:ascii="宋体"/>
                <w:vanish/>
              </w:rPr>
            </w:pPr>
          </w:p>
        </w:tc>
        <w:tc>
          <w:tcPr>
            <w:tcW w:w="0" w:type="auto"/>
            <w:gridSpan w:val="3"/>
            <w:shd w:val="clear" w:color="auto" w:fill="auto"/>
            <w:vAlign w:val="bottom"/>
          </w:tcPr>
          <w:p w14:paraId="5A1B0D20" w14:textId="77777777" w:rsidR="00960BB8" w:rsidRDefault="00960BB8">
            <w:pPr>
              <w:rPr>
                <w:rFonts w:ascii="宋体"/>
                <w:vanish/>
              </w:rPr>
            </w:pPr>
          </w:p>
        </w:tc>
        <w:tc>
          <w:tcPr>
            <w:tcW w:w="0" w:type="auto"/>
            <w:gridSpan w:val="3"/>
            <w:shd w:val="clear" w:color="auto" w:fill="auto"/>
            <w:vAlign w:val="bottom"/>
          </w:tcPr>
          <w:p w14:paraId="5A1B0D21" w14:textId="77777777" w:rsidR="00960BB8" w:rsidRDefault="00960BB8">
            <w:pPr>
              <w:rPr>
                <w:rFonts w:ascii="宋体"/>
                <w:vanish/>
              </w:rPr>
            </w:pPr>
          </w:p>
        </w:tc>
        <w:tc>
          <w:tcPr>
            <w:tcW w:w="0" w:type="auto"/>
            <w:gridSpan w:val="3"/>
            <w:shd w:val="clear" w:color="auto" w:fill="auto"/>
            <w:vAlign w:val="bottom"/>
          </w:tcPr>
          <w:p w14:paraId="5A1B0D22" w14:textId="77777777" w:rsidR="00960BB8" w:rsidRDefault="00960BB8">
            <w:pPr>
              <w:rPr>
                <w:rFonts w:ascii="宋体"/>
                <w:vanish/>
              </w:rPr>
            </w:pPr>
          </w:p>
        </w:tc>
        <w:tc>
          <w:tcPr>
            <w:tcW w:w="0" w:type="auto"/>
            <w:gridSpan w:val="3"/>
            <w:shd w:val="clear" w:color="auto" w:fill="auto"/>
            <w:vAlign w:val="bottom"/>
          </w:tcPr>
          <w:p w14:paraId="5A1B0D23" w14:textId="77777777" w:rsidR="00960BB8" w:rsidRDefault="00960BB8">
            <w:pPr>
              <w:rPr>
                <w:rFonts w:ascii="宋体"/>
                <w:vanish/>
              </w:rPr>
            </w:pPr>
          </w:p>
        </w:tc>
        <w:tc>
          <w:tcPr>
            <w:tcW w:w="0" w:type="auto"/>
            <w:gridSpan w:val="3"/>
            <w:shd w:val="clear" w:color="auto" w:fill="auto"/>
            <w:vAlign w:val="bottom"/>
          </w:tcPr>
          <w:p w14:paraId="5A1B0D24" w14:textId="77777777" w:rsidR="00960BB8" w:rsidRDefault="00960BB8">
            <w:pPr>
              <w:rPr>
                <w:rFonts w:ascii="宋体"/>
                <w:vanish/>
              </w:rPr>
            </w:pPr>
          </w:p>
        </w:tc>
      </w:tr>
      <w:tr w:rsidR="00960BB8" w14:paraId="5A1B0D30" w14:textId="77777777">
        <w:tc>
          <w:tcPr>
            <w:tcW w:w="0" w:type="auto"/>
            <w:gridSpan w:val="3"/>
            <w:shd w:val="clear" w:color="auto" w:fill="auto"/>
            <w:tcMar>
              <w:top w:w="40" w:type="dxa"/>
              <w:left w:w="20" w:type="dxa"/>
              <w:bottom w:w="40" w:type="dxa"/>
              <w:right w:w="20" w:type="dxa"/>
            </w:tcMar>
            <w:vAlign w:val="bottom"/>
          </w:tcPr>
          <w:p w14:paraId="5A1B0D26" w14:textId="77777777" w:rsidR="00960BB8" w:rsidRDefault="00C06650">
            <w:pPr>
              <w:textAlignment w:val="bottom"/>
            </w:pPr>
            <w:r>
              <w:rPr>
                <w:rFonts w:ascii="Arial" w:eastAsia="宋体" w:hAnsi="Arial" w:cs="Arial"/>
                <w:b/>
                <w:bCs/>
                <w:color w:val="262626"/>
                <w:sz w:val="18"/>
                <w:szCs w:val="18"/>
              </w:rPr>
              <w:t>Operating expenses</w:t>
            </w:r>
          </w:p>
        </w:tc>
        <w:tc>
          <w:tcPr>
            <w:tcW w:w="0" w:type="auto"/>
            <w:gridSpan w:val="3"/>
            <w:shd w:val="clear" w:color="auto" w:fill="auto"/>
            <w:tcMar>
              <w:top w:w="0" w:type="dxa"/>
              <w:left w:w="20" w:type="dxa"/>
              <w:bottom w:w="0" w:type="dxa"/>
              <w:right w:w="20" w:type="dxa"/>
            </w:tcMar>
            <w:vAlign w:val="bottom"/>
          </w:tcPr>
          <w:p w14:paraId="5A1B0D27"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28" w14:textId="77777777" w:rsidR="00960BB8" w:rsidRDefault="00C06650">
            <w:pPr>
              <w:jc w:val="right"/>
              <w:textAlignment w:val="bottom"/>
            </w:pPr>
            <w:r>
              <w:rPr>
                <w:rFonts w:ascii="Arial" w:eastAsia="宋体" w:hAnsi="Arial" w:cs="Arial"/>
                <w:b/>
                <w:bCs/>
                <w:color w:val="0068B5"/>
                <w:sz w:val="18"/>
                <w:szCs w:val="18"/>
              </w:rPr>
              <w:t>24,532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2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2A"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2B" w14:textId="77777777" w:rsidR="00960BB8" w:rsidRDefault="00C06650">
            <w:pPr>
              <w:jc w:val="right"/>
              <w:textAlignment w:val="bottom"/>
            </w:pPr>
            <w:r>
              <w:rPr>
                <w:rFonts w:ascii="Arial" w:eastAsia="宋体" w:hAnsi="Arial" w:cs="Arial"/>
                <w:b/>
                <w:bCs/>
                <w:color w:val="262626"/>
                <w:sz w:val="18"/>
                <w:szCs w:val="18"/>
              </w:rPr>
              <w:t>24,359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2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2D"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2E" w14:textId="77777777" w:rsidR="00960BB8" w:rsidRDefault="00C06650">
            <w:pPr>
              <w:jc w:val="right"/>
              <w:textAlignment w:val="bottom"/>
            </w:pPr>
            <w:r>
              <w:rPr>
                <w:rFonts w:ascii="Arial" w:eastAsia="宋体" w:hAnsi="Arial" w:cs="Arial"/>
                <w:b/>
                <w:bCs/>
                <w:color w:val="262626"/>
                <w:sz w:val="18"/>
                <w:szCs w:val="18"/>
              </w:rPr>
              <w:t>19,934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2F" w14:textId="77777777" w:rsidR="00960BB8" w:rsidRDefault="00960BB8">
            <w:pPr>
              <w:jc w:val="right"/>
              <w:rPr>
                <w:rFonts w:ascii="宋体"/>
              </w:rPr>
            </w:pPr>
          </w:p>
        </w:tc>
      </w:tr>
      <w:tr w:rsidR="00960BB8" w14:paraId="5A1B0D3B" w14:textId="77777777">
        <w:tc>
          <w:tcPr>
            <w:tcW w:w="0" w:type="auto"/>
            <w:gridSpan w:val="3"/>
            <w:shd w:val="clear" w:color="auto" w:fill="auto"/>
            <w:tcMar>
              <w:top w:w="40" w:type="dxa"/>
              <w:left w:w="20" w:type="dxa"/>
              <w:bottom w:w="40" w:type="dxa"/>
              <w:right w:w="20" w:type="dxa"/>
            </w:tcMar>
            <w:vAlign w:val="bottom"/>
          </w:tcPr>
          <w:p w14:paraId="5A1B0D31" w14:textId="77777777" w:rsidR="00960BB8" w:rsidRDefault="00C06650">
            <w:pPr>
              <w:textAlignment w:val="bottom"/>
            </w:pPr>
            <w:r>
              <w:rPr>
                <w:rFonts w:ascii="Arial" w:eastAsia="宋体" w:hAnsi="Arial" w:cs="Arial"/>
                <w:b/>
                <w:bCs/>
                <w:color w:val="262626"/>
                <w:sz w:val="18"/>
                <w:szCs w:val="18"/>
              </w:rPr>
              <w:t>O</w:t>
            </w:r>
            <w:r>
              <w:rPr>
                <w:rFonts w:ascii="Arial" w:eastAsia="宋体" w:hAnsi="Arial" w:cs="Arial"/>
                <w:b/>
                <w:bCs/>
                <w:color w:val="262626"/>
                <w:sz w:val="18"/>
                <w:szCs w:val="18"/>
              </w:rPr>
              <w:t>perating income</w:t>
            </w:r>
          </w:p>
        </w:tc>
        <w:tc>
          <w:tcPr>
            <w:tcW w:w="0" w:type="auto"/>
            <w:gridSpan w:val="3"/>
            <w:shd w:val="clear" w:color="auto" w:fill="auto"/>
            <w:tcMar>
              <w:top w:w="0" w:type="dxa"/>
              <w:left w:w="20" w:type="dxa"/>
              <w:bottom w:w="0" w:type="dxa"/>
              <w:right w:w="20" w:type="dxa"/>
            </w:tcMar>
            <w:vAlign w:val="bottom"/>
          </w:tcPr>
          <w:p w14:paraId="5A1B0D32"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33" w14:textId="77777777" w:rsidR="00960BB8" w:rsidRDefault="00C06650">
            <w:pPr>
              <w:jc w:val="right"/>
              <w:textAlignment w:val="bottom"/>
            </w:pPr>
            <w:r>
              <w:rPr>
                <w:rFonts w:ascii="Arial" w:eastAsia="宋体" w:hAnsi="Arial" w:cs="Arial"/>
                <w:b/>
                <w:bCs/>
                <w:color w:val="0068B5"/>
                <w:sz w:val="18"/>
                <w:szCs w:val="18"/>
              </w:rPr>
              <w:t>2,334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3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35"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36" w14:textId="77777777" w:rsidR="00960BB8" w:rsidRDefault="00C06650">
            <w:pPr>
              <w:jc w:val="right"/>
              <w:textAlignment w:val="bottom"/>
            </w:pPr>
            <w:r>
              <w:rPr>
                <w:rFonts w:ascii="Arial" w:eastAsia="宋体" w:hAnsi="Arial" w:cs="Arial"/>
                <w:b/>
                <w:bCs/>
                <w:color w:val="262626"/>
                <w:sz w:val="18"/>
                <w:szCs w:val="18"/>
              </w:rPr>
              <w:t>19,456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3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38"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39" w14:textId="77777777" w:rsidR="00960BB8" w:rsidRDefault="00C06650">
            <w:pPr>
              <w:jc w:val="right"/>
              <w:textAlignment w:val="bottom"/>
            </w:pPr>
            <w:r>
              <w:rPr>
                <w:rFonts w:ascii="Arial" w:eastAsia="宋体" w:hAnsi="Arial" w:cs="Arial"/>
                <w:b/>
                <w:bCs/>
                <w:color w:val="262626"/>
                <w:sz w:val="18"/>
                <w:szCs w:val="18"/>
              </w:rPr>
              <w:t>23,678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3A" w14:textId="77777777" w:rsidR="00960BB8" w:rsidRDefault="00960BB8">
            <w:pPr>
              <w:jc w:val="right"/>
              <w:rPr>
                <w:rFonts w:ascii="宋体"/>
              </w:rPr>
            </w:pPr>
          </w:p>
        </w:tc>
      </w:tr>
      <w:tr w:rsidR="00960BB8" w14:paraId="5A1B0D46" w14:textId="77777777">
        <w:tc>
          <w:tcPr>
            <w:tcW w:w="0" w:type="auto"/>
            <w:gridSpan w:val="3"/>
            <w:shd w:val="clear" w:color="auto" w:fill="auto"/>
            <w:tcMar>
              <w:top w:w="40" w:type="dxa"/>
              <w:left w:w="20" w:type="dxa"/>
              <w:bottom w:w="40" w:type="dxa"/>
              <w:right w:w="20" w:type="dxa"/>
            </w:tcMar>
            <w:vAlign w:val="bottom"/>
          </w:tcPr>
          <w:p w14:paraId="5A1B0D3C" w14:textId="77777777" w:rsidR="00960BB8" w:rsidRDefault="00C06650">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5A1B0D3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3E" w14:textId="77777777" w:rsidR="00960BB8" w:rsidRDefault="00C06650">
            <w:pPr>
              <w:jc w:val="right"/>
              <w:textAlignment w:val="bottom"/>
            </w:pPr>
            <w:r>
              <w:rPr>
                <w:rFonts w:ascii="Arial" w:eastAsia="宋体" w:hAnsi="Arial" w:cs="Arial"/>
                <w:color w:val="0068B5"/>
                <w:sz w:val="18"/>
                <w:szCs w:val="18"/>
              </w:rPr>
              <w:t>4,268 </w:t>
            </w:r>
          </w:p>
        </w:tc>
        <w:tc>
          <w:tcPr>
            <w:tcW w:w="0" w:type="auto"/>
            <w:shd w:val="clear" w:color="auto" w:fill="auto"/>
            <w:tcMar>
              <w:top w:w="40" w:type="dxa"/>
              <w:left w:w="0" w:type="dxa"/>
              <w:bottom w:w="40" w:type="dxa"/>
              <w:right w:w="20" w:type="dxa"/>
            </w:tcMar>
            <w:vAlign w:val="bottom"/>
          </w:tcPr>
          <w:p w14:paraId="5A1B0D3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4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41" w14:textId="77777777" w:rsidR="00960BB8" w:rsidRDefault="00C06650">
            <w:pPr>
              <w:jc w:val="right"/>
              <w:textAlignment w:val="bottom"/>
            </w:pPr>
            <w:r>
              <w:rPr>
                <w:rFonts w:ascii="Arial" w:eastAsia="宋体" w:hAnsi="Arial" w:cs="Arial"/>
                <w:color w:val="262626"/>
                <w:sz w:val="18"/>
                <w:szCs w:val="18"/>
              </w:rPr>
              <w:t>2,729 </w:t>
            </w:r>
          </w:p>
        </w:tc>
        <w:tc>
          <w:tcPr>
            <w:tcW w:w="0" w:type="auto"/>
            <w:shd w:val="clear" w:color="auto" w:fill="auto"/>
            <w:tcMar>
              <w:top w:w="40" w:type="dxa"/>
              <w:left w:w="0" w:type="dxa"/>
              <w:bottom w:w="40" w:type="dxa"/>
              <w:right w:w="20" w:type="dxa"/>
            </w:tcMar>
            <w:vAlign w:val="bottom"/>
          </w:tcPr>
          <w:p w14:paraId="5A1B0D4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4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44" w14:textId="77777777" w:rsidR="00960BB8" w:rsidRDefault="00C06650">
            <w:pPr>
              <w:jc w:val="right"/>
              <w:textAlignment w:val="bottom"/>
            </w:pPr>
            <w:r>
              <w:rPr>
                <w:rFonts w:ascii="Arial" w:eastAsia="宋体" w:hAnsi="Arial" w:cs="Arial"/>
                <w:color w:val="262626"/>
                <w:sz w:val="18"/>
                <w:szCs w:val="18"/>
              </w:rPr>
              <w:t>1,904 </w:t>
            </w:r>
          </w:p>
        </w:tc>
        <w:tc>
          <w:tcPr>
            <w:tcW w:w="0" w:type="auto"/>
            <w:shd w:val="clear" w:color="auto" w:fill="auto"/>
            <w:tcMar>
              <w:top w:w="40" w:type="dxa"/>
              <w:left w:w="0" w:type="dxa"/>
              <w:bottom w:w="40" w:type="dxa"/>
              <w:right w:w="20" w:type="dxa"/>
            </w:tcMar>
            <w:vAlign w:val="bottom"/>
          </w:tcPr>
          <w:p w14:paraId="5A1B0D45" w14:textId="77777777" w:rsidR="00960BB8" w:rsidRDefault="00960BB8">
            <w:pPr>
              <w:jc w:val="right"/>
              <w:rPr>
                <w:rFonts w:ascii="宋体"/>
              </w:rPr>
            </w:pPr>
          </w:p>
        </w:tc>
      </w:tr>
      <w:tr w:rsidR="00960BB8" w14:paraId="5A1B0D51" w14:textId="77777777">
        <w:tc>
          <w:tcPr>
            <w:tcW w:w="0" w:type="auto"/>
            <w:gridSpan w:val="3"/>
            <w:shd w:val="clear" w:color="auto" w:fill="auto"/>
            <w:tcMar>
              <w:top w:w="40" w:type="dxa"/>
              <w:left w:w="20" w:type="dxa"/>
              <w:bottom w:w="40" w:type="dxa"/>
              <w:right w:w="20" w:type="dxa"/>
            </w:tcMar>
            <w:vAlign w:val="bottom"/>
          </w:tcPr>
          <w:p w14:paraId="5A1B0D47" w14:textId="77777777" w:rsidR="00960BB8" w:rsidRDefault="00C06650">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5A1B0D4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49" w14:textId="77777777" w:rsidR="00960BB8" w:rsidRDefault="00C06650">
            <w:pPr>
              <w:jc w:val="right"/>
              <w:textAlignment w:val="bottom"/>
            </w:pPr>
            <w:r>
              <w:rPr>
                <w:rFonts w:ascii="Arial" w:eastAsia="宋体" w:hAnsi="Arial" w:cs="Arial"/>
                <w:color w:val="0068B5"/>
                <w:sz w:val="18"/>
                <w:szCs w:val="18"/>
              </w:rPr>
              <w:t>1,166 </w:t>
            </w:r>
          </w:p>
        </w:tc>
        <w:tc>
          <w:tcPr>
            <w:tcW w:w="0" w:type="auto"/>
            <w:shd w:val="clear" w:color="auto" w:fill="auto"/>
            <w:tcMar>
              <w:top w:w="40" w:type="dxa"/>
              <w:left w:w="0" w:type="dxa"/>
              <w:bottom w:w="40" w:type="dxa"/>
              <w:right w:w="20" w:type="dxa"/>
            </w:tcMar>
            <w:vAlign w:val="bottom"/>
          </w:tcPr>
          <w:p w14:paraId="5A1B0D4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4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4C" w14:textId="77777777" w:rsidR="00960BB8" w:rsidRDefault="00C06650">
            <w:pPr>
              <w:jc w:val="right"/>
              <w:textAlignment w:val="bottom"/>
            </w:pPr>
            <w:r>
              <w:rPr>
                <w:rFonts w:ascii="Arial" w:eastAsia="宋体" w:hAnsi="Arial" w:cs="Arial"/>
                <w:color w:val="262626"/>
                <w:sz w:val="18"/>
                <w:szCs w:val="18"/>
              </w:rPr>
              <w:t>(482)</w:t>
            </w:r>
          </w:p>
        </w:tc>
        <w:tc>
          <w:tcPr>
            <w:tcW w:w="0" w:type="auto"/>
            <w:shd w:val="clear" w:color="auto" w:fill="auto"/>
            <w:tcMar>
              <w:top w:w="40" w:type="dxa"/>
              <w:left w:w="0" w:type="dxa"/>
              <w:bottom w:w="40" w:type="dxa"/>
              <w:right w:w="20" w:type="dxa"/>
            </w:tcMar>
            <w:vAlign w:val="bottom"/>
          </w:tcPr>
          <w:p w14:paraId="5A1B0D4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4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4F" w14:textId="77777777" w:rsidR="00960BB8" w:rsidRDefault="00C06650">
            <w:pPr>
              <w:jc w:val="right"/>
              <w:textAlignment w:val="bottom"/>
            </w:pPr>
            <w:r>
              <w:rPr>
                <w:rFonts w:ascii="Arial" w:eastAsia="宋体" w:hAnsi="Arial" w:cs="Arial"/>
                <w:color w:val="262626"/>
                <w:sz w:val="18"/>
                <w:szCs w:val="18"/>
              </w:rPr>
              <w:t>(504)</w:t>
            </w:r>
          </w:p>
        </w:tc>
        <w:tc>
          <w:tcPr>
            <w:tcW w:w="0" w:type="auto"/>
            <w:shd w:val="clear" w:color="auto" w:fill="auto"/>
            <w:tcMar>
              <w:top w:w="40" w:type="dxa"/>
              <w:left w:w="0" w:type="dxa"/>
              <w:bottom w:w="40" w:type="dxa"/>
              <w:right w:w="20" w:type="dxa"/>
            </w:tcMar>
            <w:vAlign w:val="bottom"/>
          </w:tcPr>
          <w:p w14:paraId="5A1B0D50" w14:textId="77777777" w:rsidR="00960BB8" w:rsidRDefault="00960BB8">
            <w:pPr>
              <w:jc w:val="right"/>
              <w:rPr>
                <w:rFonts w:ascii="宋体"/>
              </w:rPr>
            </w:pPr>
          </w:p>
        </w:tc>
      </w:tr>
      <w:tr w:rsidR="00960BB8" w14:paraId="5A1B0D5C" w14:textId="77777777">
        <w:tc>
          <w:tcPr>
            <w:tcW w:w="0" w:type="auto"/>
            <w:gridSpan w:val="3"/>
            <w:shd w:val="clear" w:color="auto" w:fill="auto"/>
            <w:tcMar>
              <w:top w:w="40" w:type="dxa"/>
              <w:left w:w="20" w:type="dxa"/>
              <w:bottom w:w="40" w:type="dxa"/>
              <w:right w:w="20" w:type="dxa"/>
            </w:tcMar>
            <w:vAlign w:val="bottom"/>
          </w:tcPr>
          <w:p w14:paraId="5A1B0D52" w14:textId="77777777" w:rsidR="00960BB8" w:rsidRDefault="00C06650">
            <w:pPr>
              <w:textAlignment w:val="bottom"/>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5A1B0D53"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54" w14:textId="77777777" w:rsidR="00960BB8" w:rsidRDefault="00C06650">
            <w:pPr>
              <w:jc w:val="right"/>
              <w:textAlignment w:val="bottom"/>
            </w:pPr>
            <w:r>
              <w:rPr>
                <w:rFonts w:ascii="Arial" w:eastAsia="宋体" w:hAnsi="Arial" w:cs="Arial"/>
                <w:b/>
                <w:bCs/>
                <w:color w:val="0068B5"/>
                <w:sz w:val="18"/>
                <w:szCs w:val="18"/>
              </w:rPr>
              <w:t>7,768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5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56"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57" w14:textId="77777777" w:rsidR="00960BB8" w:rsidRDefault="00C06650">
            <w:pPr>
              <w:jc w:val="right"/>
              <w:textAlignment w:val="bottom"/>
            </w:pPr>
            <w:r>
              <w:rPr>
                <w:rFonts w:ascii="Arial" w:eastAsia="宋体" w:hAnsi="Arial" w:cs="Arial"/>
                <w:b/>
                <w:bCs/>
                <w:color w:val="262626"/>
                <w:sz w:val="18"/>
                <w:szCs w:val="18"/>
              </w:rPr>
              <w:t>21,703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5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5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5A" w14:textId="77777777" w:rsidR="00960BB8" w:rsidRDefault="00C06650">
            <w:pPr>
              <w:jc w:val="right"/>
              <w:textAlignment w:val="bottom"/>
            </w:pPr>
            <w:r>
              <w:rPr>
                <w:rFonts w:ascii="Arial" w:eastAsia="宋体" w:hAnsi="Arial" w:cs="Arial"/>
                <w:b/>
                <w:bCs/>
                <w:color w:val="262626"/>
                <w:sz w:val="18"/>
                <w:szCs w:val="18"/>
              </w:rPr>
              <w:t>25,078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5B" w14:textId="77777777" w:rsidR="00960BB8" w:rsidRDefault="00960BB8">
            <w:pPr>
              <w:jc w:val="right"/>
              <w:rPr>
                <w:rFonts w:ascii="宋体"/>
              </w:rPr>
            </w:pPr>
          </w:p>
        </w:tc>
      </w:tr>
      <w:tr w:rsidR="00960BB8" w14:paraId="5A1B0D67" w14:textId="77777777">
        <w:tc>
          <w:tcPr>
            <w:tcW w:w="0" w:type="auto"/>
            <w:gridSpan w:val="3"/>
            <w:shd w:val="clear" w:color="auto" w:fill="auto"/>
            <w:tcMar>
              <w:top w:w="40" w:type="dxa"/>
              <w:left w:w="20" w:type="dxa"/>
              <w:bottom w:w="40" w:type="dxa"/>
              <w:right w:w="20" w:type="dxa"/>
            </w:tcMar>
            <w:vAlign w:val="bottom"/>
          </w:tcPr>
          <w:p w14:paraId="5A1B0D5D" w14:textId="77777777" w:rsidR="00960BB8" w:rsidRDefault="00C06650">
            <w:pPr>
              <w:textAlignment w:val="bottom"/>
            </w:pPr>
            <w:r>
              <w:rPr>
                <w:rFonts w:ascii="Arial" w:eastAsia="宋体" w:hAnsi="Arial" w:cs="Arial"/>
                <w:color w:val="262626"/>
                <w:sz w:val="18"/>
                <w:szCs w:val="18"/>
              </w:rPr>
              <w:t>P</w:t>
            </w:r>
            <w:r>
              <w:rPr>
                <w:rFonts w:ascii="Arial" w:eastAsia="宋体" w:hAnsi="Arial" w:cs="Arial"/>
                <w:color w:val="262626"/>
                <w:sz w:val="18"/>
                <w:szCs w:val="18"/>
              </w:rPr>
              <w:t>rovision for (benefit from) taxes</w:t>
            </w:r>
          </w:p>
        </w:tc>
        <w:tc>
          <w:tcPr>
            <w:tcW w:w="0" w:type="auto"/>
            <w:gridSpan w:val="3"/>
            <w:shd w:val="clear" w:color="auto" w:fill="auto"/>
            <w:tcMar>
              <w:top w:w="0" w:type="dxa"/>
              <w:left w:w="20" w:type="dxa"/>
              <w:bottom w:w="0" w:type="dxa"/>
              <w:right w:w="20" w:type="dxa"/>
            </w:tcMar>
            <w:vAlign w:val="bottom"/>
          </w:tcPr>
          <w:p w14:paraId="5A1B0D5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5F" w14:textId="77777777" w:rsidR="00960BB8" w:rsidRDefault="00C06650">
            <w:pPr>
              <w:jc w:val="right"/>
              <w:textAlignment w:val="bottom"/>
            </w:pPr>
            <w:r>
              <w:rPr>
                <w:rFonts w:ascii="Arial" w:eastAsia="宋体" w:hAnsi="Arial" w:cs="Arial"/>
                <w:color w:val="0068B5"/>
                <w:sz w:val="18"/>
                <w:szCs w:val="18"/>
              </w:rPr>
              <w:t>(249)</w:t>
            </w:r>
          </w:p>
        </w:tc>
        <w:tc>
          <w:tcPr>
            <w:tcW w:w="0" w:type="auto"/>
            <w:shd w:val="clear" w:color="auto" w:fill="auto"/>
            <w:tcMar>
              <w:top w:w="40" w:type="dxa"/>
              <w:left w:w="0" w:type="dxa"/>
              <w:bottom w:w="40" w:type="dxa"/>
              <w:right w:w="20" w:type="dxa"/>
            </w:tcMar>
            <w:vAlign w:val="bottom"/>
          </w:tcPr>
          <w:p w14:paraId="5A1B0D6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6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62" w14:textId="77777777" w:rsidR="00960BB8" w:rsidRDefault="00C06650">
            <w:pPr>
              <w:jc w:val="right"/>
              <w:textAlignment w:val="bottom"/>
            </w:pPr>
            <w:r>
              <w:rPr>
                <w:rFonts w:ascii="Arial" w:eastAsia="宋体" w:hAnsi="Arial" w:cs="Arial"/>
                <w:color w:val="262626"/>
                <w:sz w:val="18"/>
                <w:szCs w:val="18"/>
              </w:rPr>
              <w:t>1,835 </w:t>
            </w:r>
          </w:p>
        </w:tc>
        <w:tc>
          <w:tcPr>
            <w:tcW w:w="0" w:type="auto"/>
            <w:shd w:val="clear" w:color="auto" w:fill="auto"/>
            <w:tcMar>
              <w:top w:w="40" w:type="dxa"/>
              <w:left w:w="0" w:type="dxa"/>
              <w:bottom w:w="40" w:type="dxa"/>
              <w:right w:w="20" w:type="dxa"/>
            </w:tcMar>
            <w:vAlign w:val="bottom"/>
          </w:tcPr>
          <w:p w14:paraId="5A1B0D6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6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65" w14:textId="77777777" w:rsidR="00960BB8" w:rsidRDefault="00C06650">
            <w:pPr>
              <w:jc w:val="right"/>
              <w:textAlignment w:val="bottom"/>
            </w:pPr>
            <w:r>
              <w:rPr>
                <w:rFonts w:ascii="Arial" w:eastAsia="宋体" w:hAnsi="Arial" w:cs="Arial"/>
                <w:color w:val="262626"/>
                <w:sz w:val="18"/>
                <w:szCs w:val="18"/>
              </w:rPr>
              <w:t>4,179 </w:t>
            </w:r>
          </w:p>
        </w:tc>
        <w:tc>
          <w:tcPr>
            <w:tcW w:w="0" w:type="auto"/>
            <w:shd w:val="clear" w:color="auto" w:fill="auto"/>
            <w:tcMar>
              <w:top w:w="40" w:type="dxa"/>
              <w:left w:w="0" w:type="dxa"/>
              <w:bottom w:w="40" w:type="dxa"/>
              <w:right w:w="20" w:type="dxa"/>
            </w:tcMar>
            <w:vAlign w:val="bottom"/>
          </w:tcPr>
          <w:p w14:paraId="5A1B0D66" w14:textId="77777777" w:rsidR="00960BB8" w:rsidRDefault="00960BB8">
            <w:pPr>
              <w:jc w:val="right"/>
              <w:rPr>
                <w:rFonts w:ascii="宋体"/>
              </w:rPr>
            </w:pPr>
          </w:p>
        </w:tc>
      </w:tr>
      <w:tr w:rsidR="00960BB8" w14:paraId="5A1B0D72" w14:textId="77777777">
        <w:tc>
          <w:tcPr>
            <w:tcW w:w="0" w:type="auto"/>
            <w:gridSpan w:val="3"/>
            <w:shd w:val="clear" w:color="auto" w:fill="auto"/>
            <w:tcMar>
              <w:top w:w="40" w:type="dxa"/>
              <w:left w:w="20" w:type="dxa"/>
              <w:bottom w:w="40" w:type="dxa"/>
              <w:right w:w="20" w:type="dxa"/>
            </w:tcMar>
            <w:vAlign w:val="bottom"/>
          </w:tcPr>
          <w:p w14:paraId="5A1B0D68" w14:textId="77777777" w:rsidR="00960BB8" w:rsidRDefault="00C06650">
            <w:pPr>
              <w:textAlignment w:val="bottom"/>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5A1B0D6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6A" w14:textId="77777777" w:rsidR="00960BB8" w:rsidRDefault="00C06650">
            <w:pPr>
              <w:jc w:val="right"/>
              <w:textAlignment w:val="bottom"/>
            </w:pPr>
            <w:r>
              <w:rPr>
                <w:rFonts w:ascii="Arial" w:eastAsia="宋体" w:hAnsi="Arial" w:cs="Arial"/>
                <w:b/>
                <w:bCs/>
                <w:color w:val="0068B5"/>
                <w:sz w:val="18"/>
                <w:szCs w:val="18"/>
              </w:rPr>
              <w:t>8,017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6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6C"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6D" w14:textId="77777777" w:rsidR="00960BB8" w:rsidRDefault="00C06650">
            <w:pPr>
              <w:jc w:val="right"/>
              <w:textAlignment w:val="bottom"/>
            </w:pPr>
            <w:r>
              <w:rPr>
                <w:rFonts w:ascii="Arial" w:eastAsia="宋体" w:hAnsi="Arial" w:cs="Arial"/>
                <w:b/>
                <w:bCs/>
                <w:color w:val="262626"/>
                <w:sz w:val="18"/>
                <w:szCs w:val="18"/>
              </w:rPr>
              <w:t>19,868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6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6F"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D70" w14:textId="77777777" w:rsidR="00960BB8" w:rsidRDefault="00C06650">
            <w:pPr>
              <w:jc w:val="right"/>
              <w:textAlignment w:val="bottom"/>
            </w:pPr>
            <w:r>
              <w:rPr>
                <w:rFonts w:ascii="Arial" w:eastAsia="宋体" w:hAnsi="Arial" w:cs="Arial"/>
                <w:b/>
                <w:bCs/>
                <w:color w:val="262626"/>
                <w:sz w:val="18"/>
                <w:szCs w:val="18"/>
              </w:rPr>
              <w:t>20,899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71" w14:textId="77777777" w:rsidR="00960BB8" w:rsidRDefault="00960BB8">
            <w:pPr>
              <w:jc w:val="right"/>
              <w:rPr>
                <w:rFonts w:ascii="宋体"/>
              </w:rPr>
            </w:pPr>
          </w:p>
        </w:tc>
      </w:tr>
      <w:tr w:rsidR="00960BB8" w14:paraId="5A1B0D7D" w14:textId="77777777">
        <w:tc>
          <w:tcPr>
            <w:tcW w:w="0" w:type="auto"/>
            <w:gridSpan w:val="3"/>
            <w:shd w:val="clear" w:color="auto" w:fill="auto"/>
            <w:tcMar>
              <w:top w:w="40" w:type="dxa"/>
              <w:left w:w="20" w:type="dxa"/>
              <w:bottom w:w="40" w:type="dxa"/>
              <w:right w:w="20" w:type="dxa"/>
            </w:tcMar>
            <w:vAlign w:val="bottom"/>
          </w:tcPr>
          <w:p w14:paraId="5A1B0D73" w14:textId="77777777" w:rsidR="00960BB8" w:rsidRDefault="00C06650">
            <w:pPr>
              <w:textAlignment w:val="bottom"/>
            </w:pPr>
            <w:r>
              <w:rPr>
                <w:rFonts w:ascii="Arial" w:eastAsia="宋体" w:hAnsi="Arial" w:cs="Arial"/>
                <w:color w:val="262626"/>
                <w:sz w:val="18"/>
                <w:szCs w:val="18"/>
              </w:rPr>
              <w:t>L</w:t>
            </w:r>
            <w:r>
              <w:rPr>
                <w:rFonts w:ascii="Arial" w:eastAsia="宋体" w:hAnsi="Arial" w:cs="Arial"/>
                <w:color w:val="262626"/>
                <w:sz w:val="18"/>
                <w:szCs w:val="18"/>
              </w:rPr>
              <w:t>ess: Net income attributable to non-controlling interests</w:t>
            </w:r>
          </w:p>
        </w:tc>
        <w:tc>
          <w:tcPr>
            <w:tcW w:w="0" w:type="auto"/>
            <w:gridSpan w:val="3"/>
            <w:shd w:val="clear" w:color="auto" w:fill="auto"/>
            <w:tcMar>
              <w:top w:w="0" w:type="dxa"/>
              <w:left w:w="20" w:type="dxa"/>
              <w:bottom w:w="0" w:type="dxa"/>
              <w:right w:w="20" w:type="dxa"/>
            </w:tcMar>
            <w:vAlign w:val="bottom"/>
          </w:tcPr>
          <w:p w14:paraId="5A1B0D7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75" w14:textId="77777777" w:rsidR="00960BB8" w:rsidRDefault="00C06650">
            <w:pPr>
              <w:jc w:val="right"/>
              <w:textAlignment w:val="bottom"/>
            </w:pPr>
            <w:r>
              <w:rPr>
                <w:rFonts w:ascii="Arial" w:eastAsia="宋体" w:hAnsi="Arial" w:cs="Arial"/>
                <w:color w:val="0068B5"/>
                <w:sz w:val="18"/>
                <w:szCs w:val="18"/>
              </w:rPr>
              <w:t>3 </w:t>
            </w:r>
          </w:p>
        </w:tc>
        <w:tc>
          <w:tcPr>
            <w:tcW w:w="0" w:type="auto"/>
            <w:shd w:val="clear" w:color="auto" w:fill="auto"/>
            <w:tcMar>
              <w:top w:w="40" w:type="dxa"/>
              <w:left w:w="0" w:type="dxa"/>
              <w:bottom w:w="40" w:type="dxa"/>
              <w:right w:w="20" w:type="dxa"/>
            </w:tcMar>
            <w:vAlign w:val="bottom"/>
          </w:tcPr>
          <w:p w14:paraId="5A1B0D7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7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78"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D7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7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7B"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D7C" w14:textId="77777777" w:rsidR="00960BB8" w:rsidRDefault="00960BB8">
            <w:pPr>
              <w:jc w:val="right"/>
              <w:rPr>
                <w:rFonts w:ascii="宋体"/>
              </w:rPr>
            </w:pPr>
          </w:p>
        </w:tc>
      </w:tr>
      <w:tr w:rsidR="00960BB8" w14:paraId="5A1B0D8B" w14:textId="77777777">
        <w:tc>
          <w:tcPr>
            <w:tcW w:w="0" w:type="auto"/>
            <w:gridSpan w:val="3"/>
            <w:shd w:val="clear" w:color="auto" w:fill="auto"/>
            <w:tcMar>
              <w:top w:w="40" w:type="dxa"/>
              <w:left w:w="20" w:type="dxa"/>
              <w:bottom w:w="40" w:type="dxa"/>
              <w:right w:w="20" w:type="dxa"/>
            </w:tcMar>
            <w:vAlign w:val="bottom"/>
          </w:tcPr>
          <w:p w14:paraId="5A1B0D7E" w14:textId="77777777" w:rsidR="00960BB8" w:rsidRDefault="00C06650">
            <w:pPr>
              <w:textAlignment w:val="bottom"/>
            </w:pPr>
            <w:r>
              <w:rPr>
                <w:rFonts w:ascii="Arial" w:eastAsia="宋体" w:hAnsi="Arial" w:cs="Arial"/>
                <w:b/>
                <w:bCs/>
                <w:color w:val="262626"/>
                <w:sz w:val="18"/>
                <w:szCs w:val="18"/>
              </w:rPr>
              <w:t>Net income attributable to Intel</w:t>
            </w:r>
          </w:p>
        </w:tc>
        <w:tc>
          <w:tcPr>
            <w:tcW w:w="0" w:type="auto"/>
            <w:gridSpan w:val="3"/>
            <w:shd w:val="clear" w:color="auto" w:fill="auto"/>
            <w:tcMar>
              <w:top w:w="0" w:type="dxa"/>
              <w:left w:w="20" w:type="dxa"/>
              <w:bottom w:w="0" w:type="dxa"/>
              <w:right w:w="20" w:type="dxa"/>
            </w:tcMar>
            <w:vAlign w:val="bottom"/>
          </w:tcPr>
          <w:p w14:paraId="5A1B0D7F"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D80"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D81" w14:textId="77777777" w:rsidR="00960BB8" w:rsidRDefault="00C06650">
            <w:pPr>
              <w:jc w:val="right"/>
              <w:textAlignment w:val="bottom"/>
            </w:pPr>
            <w:r>
              <w:rPr>
                <w:rFonts w:ascii="Arial" w:eastAsia="宋体" w:hAnsi="Arial" w:cs="Arial"/>
                <w:b/>
                <w:bCs/>
                <w:color w:val="0068B5"/>
                <w:sz w:val="18"/>
                <w:szCs w:val="18"/>
              </w:rPr>
              <w:t>8,014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8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83"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D84"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D85" w14:textId="77777777" w:rsidR="00960BB8" w:rsidRDefault="00C06650">
            <w:pPr>
              <w:jc w:val="right"/>
              <w:textAlignment w:val="bottom"/>
            </w:pPr>
            <w:r>
              <w:rPr>
                <w:rFonts w:ascii="Arial" w:eastAsia="宋体" w:hAnsi="Arial" w:cs="Arial"/>
                <w:b/>
                <w:bCs/>
                <w:color w:val="262626"/>
                <w:sz w:val="18"/>
                <w:szCs w:val="18"/>
              </w:rPr>
              <w:t>19,868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8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87"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D88"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D89" w14:textId="77777777" w:rsidR="00960BB8" w:rsidRDefault="00C06650">
            <w:pPr>
              <w:jc w:val="right"/>
              <w:textAlignment w:val="bottom"/>
            </w:pPr>
            <w:r>
              <w:rPr>
                <w:rFonts w:ascii="Arial" w:eastAsia="宋体" w:hAnsi="Arial" w:cs="Arial"/>
                <w:b/>
                <w:bCs/>
                <w:color w:val="262626"/>
                <w:sz w:val="18"/>
                <w:szCs w:val="18"/>
              </w:rPr>
              <w:t>20,899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D8A" w14:textId="77777777" w:rsidR="00960BB8" w:rsidRDefault="00960BB8">
            <w:pPr>
              <w:jc w:val="right"/>
              <w:rPr>
                <w:rFonts w:ascii="宋体"/>
              </w:rPr>
            </w:pPr>
          </w:p>
        </w:tc>
      </w:tr>
      <w:tr w:rsidR="00960BB8" w14:paraId="5A1B0D99" w14:textId="77777777">
        <w:tc>
          <w:tcPr>
            <w:tcW w:w="0" w:type="auto"/>
            <w:gridSpan w:val="3"/>
            <w:shd w:val="clear" w:color="auto" w:fill="auto"/>
            <w:tcMar>
              <w:top w:w="40" w:type="dxa"/>
              <w:left w:w="20" w:type="dxa"/>
              <w:bottom w:w="40" w:type="dxa"/>
              <w:right w:w="20" w:type="dxa"/>
            </w:tcMar>
            <w:vAlign w:val="bottom"/>
          </w:tcPr>
          <w:p w14:paraId="5A1B0D8C" w14:textId="77777777" w:rsidR="00960BB8" w:rsidRDefault="00C06650">
            <w:pPr>
              <w:textAlignment w:val="bottom"/>
            </w:pPr>
            <w:r>
              <w:rPr>
                <w:rFonts w:ascii="Arial" w:eastAsia="宋体" w:hAnsi="Arial" w:cs="Arial"/>
                <w:b/>
                <w:bCs/>
                <w:color w:val="262626"/>
                <w:sz w:val="18"/>
                <w:szCs w:val="18"/>
              </w:rPr>
              <w:t>Earnings per share attributable to Intel—basic</w:t>
            </w:r>
          </w:p>
        </w:tc>
        <w:tc>
          <w:tcPr>
            <w:tcW w:w="0" w:type="auto"/>
            <w:gridSpan w:val="3"/>
            <w:shd w:val="clear" w:color="auto" w:fill="auto"/>
            <w:tcMar>
              <w:top w:w="0" w:type="dxa"/>
              <w:left w:w="20" w:type="dxa"/>
              <w:bottom w:w="0" w:type="dxa"/>
              <w:right w:w="20" w:type="dxa"/>
            </w:tcMar>
            <w:vAlign w:val="bottom"/>
          </w:tcPr>
          <w:p w14:paraId="5A1B0D8D" w14:textId="77777777" w:rsidR="00960BB8" w:rsidRDefault="00960BB8">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A1B0D8E" w14:textId="77777777" w:rsidR="00960BB8" w:rsidRDefault="00C06650">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A1B0D8F" w14:textId="77777777" w:rsidR="00960BB8" w:rsidRDefault="00C06650">
            <w:pPr>
              <w:jc w:val="right"/>
              <w:textAlignment w:val="bottom"/>
            </w:pPr>
            <w:r>
              <w:rPr>
                <w:rFonts w:ascii="Arial" w:eastAsia="宋体" w:hAnsi="Arial" w:cs="Arial"/>
                <w:b/>
                <w:bCs/>
                <w:color w:val="0068B5"/>
                <w:sz w:val="18"/>
                <w:szCs w:val="18"/>
              </w:rPr>
              <w:t>1.95</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A1B0D9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91" w14:textId="77777777" w:rsidR="00960BB8" w:rsidRDefault="00960BB8">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A1B0D92" w14:textId="77777777" w:rsidR="00960BB8" w:rsidRDefault="00C06650">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A1B0D93" w14:textId="77777777" w:rsidR="00960BB8" w:rsidRDefault="00C06650">
            <w:pPr>
              <w:jc w:val="right"/>
              <w:textAlignment w:val="bottom"/>
            </w:pPr>
            <w:r>
              <w:rPr>
                <w:rFonts w:ascii="Arial" w:eastAsia="宋体" w:hAnsi="Arial" w:cs="Arial"/>
                <w:b/>
                <w:bCs/>
                <w:color w:val="262626"/>
                <w:sz w:val="18"/>
                <w:szCs w:val="18"/>
              </w:rPr>
              <w:t>4.89</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A1B0D9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95" w14:textId="77777777" w:rsidR="00960BB8" w:rsidRDefault="00960BB8">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A1B0D96" w14:textId="77777777" w:rsidR="00960BB8" w:rsidRDefault="00C06650">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A1B0D97" w14:textId="77777777" w:rsidR="00960BB8" w:rsidRDefault="00C06650">
            <w:pPr>
              <w:jc w:val="right"/>
              <w:textAlignment w:val="bottom"/>
            </w:pPr>
            <w:r>
              <w:rPr>
                <w:rFonts w:ascii="Arial" w:eastAsia="宋体" w:hAnsi="Arial" w:cs="Arial"/>
                <w:b/>
                <w:bCs/>
                <w:color w:val="262626"/>
                <w:sz w:val="18"/>
                <w:szCs w:val="18"/>
              </w:rPr>
              <w:t>4.98</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A1B0D98" w14:textId="77777777" w:rsidR="00960BB8" w:rsidRDefault="00960BB8">
            <w:pPr>
              <w:jc w:val="right"/>
              <w:rPr>
                <w:rFonts w:ascii="宋体"/>
              </w:rPr>
            </w:pPr>
          </w:p>
        </w:tc>
      </w:tr>
      <w:tr w:rsidR="00960BB8" w14:paraId="5A1B0DA7" w14:textId="77777777">
        <w:tc>
          <w:tcPr>
            <w:tcW w:w="0" w:type="auto"/>
            <w:gridSpan w:val="3"/>
            <w:shd w:val="clear" w:color="auto" w:fill="auto"/>
            <w:tcMar>
              <w:top w:w="40" w:type="dxa"/>
              <w:left w:w="20" w:type="dxa"/>
              <w:bottom w:w="40" w:type="dxa"/>
              <w:right w:w="20" w:type="dxa"/>
            </w:tcMar>
            <w:vAlign w:val="bottom"/>
          </w:tcPr>
          <w:p w14:paraId="5A1B0D9A" w14:textId="77777777" w:rsidR="00960BB8" w:rsidRDefault="00C06650">
            <w:pPr>
              <w:textAlignment w:val="bottom"/>
            </w:pPr>
            <w:r>
              <w:rPr>
                <w:rFonts w:ascii="Arial" w:eastAsia="宋体" w:hAnsi="Arial" w:cs="Arial"/>
                <w:b/>
                <w:bCs/>
                <w:color w:val="262626"/>
                <w:sz w:val="18"/>
                <w:szCs w:val="18"/>
              </w:rPr>
              <w:t>Earnings per share attributable to Intel—diluted</w:t>
            </w:r>
          </w:p>
        </w:tc>
        <w:tc>
          <w:tcPr>
            <w:tcW w:w="0" w:type="auto"/>
            <w:gridSpan w:val="3"/>
            <w:shd w:val="clear" w:color="auto" w:fill="auto"/>
            <w:tcMar>
              <w:top w:w="0" w:type="dxa"/>
              <w:left w:w="20" w:type="dxa"/>
              <w:bottom w:w="0" w:type="dxa"/>
              <w:right w:w="20" w:type="dxa"/>
            </w:tcMar>
            <w:vAlign w:val="bottom"/>
          </w:tcPr>
          <w:p w14:paraId="5A1B0D9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D9C" w14:textId="77777777" w:rsidR="00960BB8" w:rsidRDefault="00C06650">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A1B0D9D" w14:textId="77777777" w:rsidR="00960BB8" w:rsidRDefault="00C06650">
            <w:pPr>
              <w:jc w:val="right"/>
              <w:textAlignment w:val="bottom"/>
            </w:pPr>
            <w:r>
              <w:rPr>
                <w:rFonts w:ascii="Arial" w:eastAsia="宋体" w:hAnsi="Arial" w:cs="Arial"/>
                <w:b/>
                <w:bCs/>
                <w:color w:val="0068B5"/>
                <w:sz w:val="18"/>
                <w:szCs w:val="18"/>
              </w:rPr>
              <w:t>1.94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D9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9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DA0"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DA1" w14:textId="77777777" w:rsidR="00960BB8" w:rsidRDefault="00C06650">
            <w:pPr>
              <w:jc w:val="right"/>
              <w:textAlignment w:val="bottom"/>
            </w:pPr>
            <w:r>
              <w:rPr>
                <w:rFonts w:ascii="Arial" w:eastAsia="宋体" w:hAnsi="Arial" w:cs="Arial"/>
                <w:b/>
                <w:bCs/>
                <w:color w:val="262626"/>
                <w:sz w:val="18"/>
                <w:szCs w:val="18"/>
              </w:rPr>
              <w:t>4.86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DA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A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DA4"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0DA5" w14:textId="77777777" w:rsidR="00960BB8" w:rsidRDefault="00C06650">
            <w:pPr>
              <w:jc w:val="right"/>
              <w:textAlignment w:val="bottom"/>
            </w:pPr>
            <w:r>
              <w:rPr>
                <w:rFonts w:ascii="Arial" w:eastAsia="宋体" w:hAnsi="Arial" w:cs="Arial"/>
                <w:b/>
                <w:bCs/>
                <w:color w:val="262626"/>
                <w:sz w:val="18"/>
                <w:szCs w:val="18"/>
              </w:rPr>
              <w:t>4.94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DA6" w14:textId="77777777" w:rsidR="00960BB8" w:rsidRDefault="00960BB8">
            <w:pPr>
              <w:jc w:val="right"/>
              <w:rPr>
                <w:rFonts w:ascii="宋体"/>
              </w:rPr>
            </w:pPr>
          </w:p>
        </w:tc>
      </w:tr>
      <w:tr w:rsidR="00960BB8" w14:paraId="5A1B0DAF" w14:textId="77777777">
        <w:trPr>
          <w:hidden/>
        </w:trPr>
        <w:tc>
          <w:tcPr>
            <w:tcW w:w="0" w:type="auto"/>
            <w:gridSpan w:val="3"/>
            <w:shd w:val="clear" w:color="auto" w:fill="auto"/>
            <w:vAlign w:val="bottom"/>
          </w:tcPr>
          <w:p w14:paraId="5A1B0DA8" w14:textId="77777777" w:rsidR="00960BB8" w:rsidRDefault="00960BB8">
            <w:pPr>
              <w:rPr>
                <w:rFonts w:ascii="宋体"/>
                <w:vanish/>
              </w:rPr>
            </w:pPr>
          </w:p>
        </w:tc>
        <w:tc>
          <w:tcPr>
            <w:tcW w:w="0" w:type="auto"/>
            <w:gridSpan w:val="3"/>
            <w:shd w:val="clear" w:color="auto" w:fill="auto"/>
            <w:vAlign w:val="bottom"/>
          </w:tcPr>
          <w:p w14:paraId="5A1B0DA9" w14:textId="77777777" w:rsidR="00960BB8" w:rsidRDefault="00960BB8">
            <w:pPr>
              <w:rPr>
                <w:rFonts w:ascii="宋体"/>
                <w:vanish/>
              </w:rPr>
            </w:pPr>
          </w:p>
        </w:tc>
        <w:tc>
          <w:tcPr>
            <w:tcW w:w="0" w:type="auto"/>
            <w:gridSpan w:val="3"/>
            <w:shd w:val="clear" w:color="auto" w:fill="auto"/>
            <w:vAlign w:val="bottom"/>
          </w:tcPr>
          <w:p w14:paraId="5A1B0DAA" w14:textId="77777777" w:rsidR="00960BB8" w:rsidRDefault="00960BB8">
            <w:pPr>
              <w:rPr>
                <w:rFonts w:ascii="宋体"/>
                <w:vanish/>
              </w:rPr>
            </w:pPr>
          </w:p>
        </w:tc>
        <w:tc>
          <w:tcPr>
            <w:tcW w:w="0" w:type="auto"/>
            <w:gridSpan w:val="3"/>
            <w:shd w:val="clear" w:color="auto" w:fill="auto"/>
            <w:vAlign w:val="bottom"/>
          </w:tcPr>
          <w:p w14:paraId="5A1B0DAB" w14:textId="77777777" w:rsidR="00960BB8" w:rsidRDefault="00960BB8">
            <w:pPr>
              <w:rPr>
                <w:rFonts w:ascii="宋体"/>
                <w:vanish/>
              </w:rPr>
            </w:pPr>
          </w:p>
        </w:tc>
        <w:tc>
          <w:tcPr>
            <w:tcW w:w="0" w:type="auto"/>
            <w:gridSpan w:val="3"/>
            <w:shd w:val="clear" w:color="auto" w:fill="auto"/>
            <w:vAlign w:val="bottom"/>
          </w:tcPr>
          <w:p w14:paraId="5A1B0DAC" w14:textId="77777777" w:rsidR="00960BB8" w:rsidRDefault="00960BB8">
            <w:pPr>
              <w:rPr>
                <w:rFonts w:ascii="宋体"/>
                <w:vanish/>
              </w:rPr>
            </w:pPr>
          </w:p>
        </w:tc>
        <w:tc>
          <w:tcPr>
            <w:tcW w:w="0" w:type="auto"/>
            <w:gridSpan w:val="3"/>
            <w:shd w:val="clear" w:color="auto" w:fill="auto"/>
            <w:vAlign w:val="bottom"/>
          </w:tcPr>
          <w:p w14:paraId="5A1B0DAD" w14:textId="77777777" w:rsidR="00960BB8" w:rsidRDefault="00960BB8">
            <w:pPr>
              <w:rPr>
                <w:rFonts w:ascii="宋体"/>
                <w:vanish/>
              </w:rPr>
            </w:pPr>
          </w:p>
        </w:tc>
        <w:tc>
          <w:tcPr>
            <w:tcW w:w="0" w:type="auto"/>
            <w:gridSpan w:val="3"/>
            <w:shd w:val="clear" w:color="auto" w:fill="auto"/>
            <w:vAlign w:val="bottom"/>
          </w:tcPr>
          <w:p w14:paraId="5A1B0DAE" w14:textId="77777777" w:rsidR="00960BB8" w:rsidRDefault="00960BB8">
            <w:pPr>
              <w:rPr>
                <w:rFonts w:ascii="宋体"/>
                <w:vanish/>
              </w:rPr>
            </w:pPr>
          </w:p>
        </w:tc>
      </w:tr>
      <w:tr w:rsidR="00960BB8" w14:paraId="5A1B0DB7" w14:textId="77777777">
        <w:tc>
          <w:tcPr>
            <w:tcW w:w="0" w:type="auto"/>
            <w:gridSpan w:val="3"/>
            <w:shd w:val="clear" w:color="auto" w:fill="auto"/>
            <w:tcMar>
              <w:top w:w="40" w:type="dxa"/>
              <w:left w:w="20" w:type="dxa"/>
              <w:bottom w:w="40" w:type="dxa"/>
              <w:right w:w="20" w:type="dxa"/>
            </w:tcMar>
            <w:vAlign w:val="bottom"/>
          </w:tcPr>
          <w:p w14:paraId="5A1B0DB0" w14:textId="77777777" w:rsidR="00960BB8" w:rsidRDefault="00C06650">
            <w:pPr>
              <w:textAlignment w:val="bottom"/>
            </w:pPr>
            <w:r>
              <w:rPr>
                <w:rFonts w:ascii="Arial" w:eastAsia="宋体" w:hAnsi="Arial" w:cs="Arial"/>
                <w:color w:val="262626"/>
                <w:sz w:val="18"/>
                <w:szCs w:val="18"/>
              </w:rPr>
              <w:t>Weighted average shares of common stock outstanding:</w:t>
            </w:r>
          </w:p>
        </w:tc>
        <w:tc>
          <w:tcPr>
            <w:tcW w:w="0" w:type="auto"/>
            <w:gridSpan w:val="3"/>
            <w:shd w:val="clear" w:color="auto" w:fill="auto"/>
            <w:tcMar>
              <w:top w:w="0" w:type="dxa"/>
              <w:left w:w="20" w:type="dxa"/>
              <w:bottom w:w="0" w:type="dxa"/>
              <w:right w:w="20" w:type="dxa"/>
            </w:tcMar>
            <w:vAlign w:val="bottom"/>
          </w:tcPr>
          <w:p w14:paraId="5A1B0DB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DB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DB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DB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DB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DB6" w14:textId="77777777" w:rsidR="00960BB8" w:rsidRDefault="00960BB8">
            <w:pPr>
              <w:rPr>
                <w:rFonts w:ascii="宋体"/>
              </w:rPr>
            </w:pPr>
          </w:p>
        </w:tc>
      </w:tr>
      <w:tr w:rsidR="00960BB8" w14:paraId="5A1B0DC2" w14:textId="77777777">
        <w:tc>
          <w:tcPr>
            <w:tcW w:w="0" w:type="auto"/>
            <w:gridSpan w:val="3"/>
            <w:shd w:val="clear" w:color="auto" w:fill="auto"/>
            <w:tcMar>
              <w:top w:w="40" w:type="dxa"/>
              <w:left w:w="155" w:type="dxa"/>
              <w:bottom w:w="40" w:type="dxa"/>
              <w:right w:w="20" w:type="dxa"/>
            </w:tcMar>
            <w:vAlign w:val="bottom"/>
          </w:tcPr>
          <w:p w14:paraId="5A1B0DB8" w14:textId="77777777" w:rsidR="00960BB8" w:rsidRDefault="00C06650">
            <w:pPr>
              <w:textAlignment w:val="bottom"/>
            </w:pPr>
            <w:r>
              <w:rPr>
                <w:rFonts w:ascii="Arial" w:eastAsia="宋体" w:hAnsi="Arial" w:cs="Arial"/>
                <w:b/>
                <w:bCs/>
                <w:color w:val="262626"/>
                <w:sz w:val="18"/>
                <w:szCs w:val="18"/>
              </w:rPr>
              <w:t>Basic</w:t>
            </w:r>
          </w:p>
        </w:tc>
        <w:tc>
          <w:tcPr>
            <w:tcW w:w="0" w:type="auto"/>
            <w:gridSpan w:val="3"/>
            <w:shd w:val="clear" w:color="auto" w:fill="auto"/>
            <w:tcMar>
              <w:top w:w="0" w:type="dxa"/>
              <w:left w:w="20" w:type="dxa"/>
              <w:bottom w:w="0" w:type="dxa"/>
              <w:right w:w="20" w:type="dxa"/>
            </w:tcMar>
            <w:vAlign w:val="bottom"/>
          </w:tcPr>
          <w:p w14:paraId="5A1B0DB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BA" w14:textId="77777777" w:rsidR="00960BB8" w:rsidRDefault="00C06650">
            <w:pPr>
              <w:jc w:val="right"/>
              <w:textAlignment w:val="bottom"/>
            </w:pPr>
            <w:r>
              <w:rPr>
                <w:rFonts w:ascii="Arial" w:eastAsia="宋体" w:hAnsi="Arial" w:cs="Arial"/>
                <w:b/>
                <w:bCs/>
                <w:color w:val="0068B5"/>
                <w:sz w:val="18"/>
                <w:szCs w:val="18"/>
              </w:rPr>
              <w:t>4,108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DB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B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BD" w14:textId="77777777" w:rsidR="00960BB8" w:rsidRDefault="00C06650">
            <w:pPr>
              <w:jc w:val="right"/>
              <w:textAlignment w:val="bottom"/>
            </w:pPr>
            <w:r>
              <w:rPr>
                <w:rFonts w:ascii="Arial" w:eastAsia="宋体" w:hAnsi="Arial" w:cs="Arial"/>
                <w:b/>
                <w:bCs/>
                <w:color w:val="262626"/>
                <w:sz w:val="18"/>
                <w:szCs w:val="18"/>
              </w:rPr>
              <w:t>4,059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DB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B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DC0" w14:textId="77777777" w:rsidR="00960BB8" w:rsidRDefault="00C06650">
            <w:pPr>
              <w:jc w:val="right"/>
              <w:textAlignment w:val="bottom"/>
            </w:pPr>
            <w:r>
              <w:rPr>
                <w:rFonts w:ascii="Arial" w:eastAsia="宋体" w:hAnsi="Arial" w:cs="Arial"/>
                <w:b/>
                <w:bCs/>
                <w:color w:val="262626"/>
                <w:sz w:val="18"/>
                <w:szCs w:val="18"/>
              </w:rPr>
              <w:t>4,199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DC1" w14:textId="77777777" w:rsidR="00960BB8" w:rsidRDefault="00960BB8">
            <w:pPr>
              <w:jc w:val="right"/>
              <w:rPr>
                <w:rFonts w:ascii="宋体"/>
              </w:rPr>
            </w:pPr>
          </w:p>
        </w:tc>
      </w:tr>
      <w:tr w:rsidR="00960BB8" w14:paraId="5A1B0DCD" w14:textId="77777777">
        <w:tc>
          <w:tcPr>
            <w:tcW w:w="0" w:type="auto"/>
            <w:gridSpan w:val="3"/>
            <w:shd w:val="clear" w:color="auto" w:fill="auto"/>
            <w:tcMar>
              <w:top w:w="40" w:type="dxa"/>
              <w:left w:w="155" w:type="dxa"/>
              <w:bottom w:w="40" w:type="dxa"/>
              <w:right w:w="20" w:type="dxa"/>
            </w:tcMar>
            <w:vAlign w:val="bottom"/>
          </w:tcPr>
          <w:p w14:paraId="5A1B0DC3" w14:textId="77777777" w:rsidR="00960BB8" w:rsidRDefault="00C06650">
            <w:pPr>
              <w:textAlignment w:val="bottom"/>
            </w:pPr>
            <w:r>
              <w:rPr>
                <w:rFonts w:ascii="Arial" w:eastAsia="宋体" w:hAnsi="Arial" w:cs="Arial"/>
                <w:b/>
                <w:bCs/>
                <w:color w:val="262626"/>
                <w:sz w:val="18"/>
                <w:szCs w:val="18"/>
              </w:rPr>
              <w:t>Diluted</w:t>
            </w:r>
          </w:p>
        </w:tc>
        <w:tc>
          <w:tcPr>
            <w:tcW w:w="0" w:type="auto"/>
            <w:gridSpan w:val="3"/>
            <w:shd w:val="clear" w:color="auto" w:fill="auto"/>
            <w:tcMar>
              <w:top w:w="0" w:type="dxa"/>
              <w:left w:w="20" w:type="dxa"/>
              <w:bottom w:w="0" w:type="dxa"/>
              <w:right w:w="20" w:type="dxa"/>
            </w:tcMar>
            <w:vAlign w:val="bottom"/>
          </w:tcPr>
          <w:p w14:paraId="5A1B0DC4" w14:textId="77777777" w:rsidR="00960BB8" w:rsidRDefault="00960BB8">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5A1B0DC5" w14:textId="77777777" w:rsidR="00960BB8" w:rsidRDefault="00C06650">
            <w:pPr>
              <w:jc w:val="right"/>
              <w:textAlignment w:val="bottom"/>
            </w:pPr>
            <w:r>
              <w:rPr>
                <w:rFonts w:ascii="Arial" w:eastAsia="宋体" w:hAnsi="Arial" w:cs="Arial"/>
                <w:b/>
                <w:bCs/>
                <w:color w:val="0068B5"/>
                <w:sz w:val="18"/>
                <w:szCs w:val="18"/>
              </w:rPr>
              <w:t>4,123</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5A1B0DC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C7" w14:textId="77777777" w:rsidR="00960BB8" w:rsidRDefault="00960BB8">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5A1B0DC8" w14:textId="77777777" w:rsidR="00960BB8" w:rsidRDefault="00C06650">
            <w:pPr>
              <w:jc w:val="right"/>
              <w:textAlignment w:val="bottom"/>
            </w:pPr>
            <w:r>
              <w:rPr>
                <w:rFonts w:ascii="Arial" w:eastAsia="宋体" w:hAnsi="Arial" w:cs="Arial"/>
                <w:b/>
                <w:bCs/>
                <w:color w:val="262626"/>
                <w:sz w:val="18"/>
                <w:szCs w:val="18"/>
              </w:rPr>
              <w:t>4,090</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5A1B0DC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DCA" w14:textId="77777777" w:rsidR="00960BB8" w:rsidRDefault="00960BB8">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5A1B0DCB" w14:textId="77777777" w:rsidR="00960BB8" w:rsidRDefault="00C06650">
            <w:pPr>
              <w:jc w:val="right"/>
              <w:textAlignment w:val="bottom"/>
            </w:pPr>
            <w:r>
              <w:rPr>
                <w:rFonts w:ascii="Arial" w:eastAsia="宋体" w:hAnsi="Arial" w:cs="Arial"/>
                <w:b/>
                <w:bCs/>
                <w:color w:val="262626"/>
                <w:sz w:val="18"/>
                <w:szCs w:val="18"/>
              </w:rPr>
              <w:t>4,232</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5A1B0DCC" w14:textId="77777777" w:rsidR="00960BB8" w:rsidRDefault="00960BB8">
            <w:pPr>
              <w:jc w:val="right"/>
              <w:rPr>
                <w:rFonts w:ascii="宋体"/>
              </w:rPr>
            </w:pPr>
          </w:p>
        </w:tc>
      </w:tr>
    </w:tbl>
    <w:p w14:paraId="5A1B0DCE" w14:textId="77777777" w:rsidR="00960BB8" w:rsidRDefault="00C06650">
      <w:pPr>
        <w:spacing w:after="180"/>
      </w:pPr>
      <w:r>
        <w:rPr>
          <w:rFonts w:ascii="Arial" w:eastAsia="宋体" w:hAnsi="Arial" w:cs="Arial"/>
          <w:i/>
          <w:iCs/>
          <w:color w:val="262626"/>
          <w:sz w:val="16"/>
          <w:szCs w:val="16"/>
        </w:rPr>
        <w:t>See accompanying notes.</w:t>
      </w:r>
    </w:p>
    <w:p w14:paraId="5A1B0DCF"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5"/>
        <w:gridCol w:w="36"/>
        <w:gridCol w:w="61"/>
        <w:gridCol w:w="2762"/>
        <w:gridCol w:w="36"/>
        <w:gridCol w:w="62"/>
        <w:gridCol w:w="3138"/>
        <w:gridCol w:w="36"/>
      </w:tblGrid>
      <w:tr w:rsidR="00960BB8" w14:paraId="5A1B0DDC" w14:textId="77777777">
        <w:tc>
          <w:tcPr>
            <w:tcW w:w="50" w:type="pct"/>
            <w:shd w:val="clear" w:color="auto" w:fill="auto"/>
            <w:vAlign w:val="bottom"/>
          </w:tcPr>
          <w:p w14:paraId="5A1B0DD0" w14:textId="77777777" w:rsidR="00960BB8" w:rsidRDefault="00960BB8">
            <w:pPr>
              <w:rPr>
                <w:rFonts w:ascii="宋体"/>
              </w:rPr>
            </w:pPr>
          </w:p>
        </w:tc>
        <w:tc>
          <w:tcPr>
            <w:tcW w:w="276" w:type="pct"/>
            <w:shd w:val="clear" w:color="auto" w:fill="auto"/>
            <w:vAlign w:val="bottom"/>
          </w:tcPr>
          <w:p w14:paraId="5A1B0DD1" w14:textId="77777777" w:rsidR="00960BB8" w:rsidRDefault="00960BB8">
            <w:pPr>
              <w:rPr>
                <w:rFonts w:ascii="宋体"/>
              </w:rPr>
            </w:pPr>
          </w:p>
        </w:tc>
        <w:tc>
          <w:tcPr>
            <w:tcW w:w="5" w:type="pct"/>
            <w:shd w:val="clear" w:color="auto" w:fill="auto"/>
            <w:vAlign w:val="bottom"/>
          </w:tcPr>
          <w:p w14:paraId="5A1B0DD2" w14:textId="77777777" w:rsidR="00960BB8" w:rsidRDefault="00960BB8">
            <w:pPr>
              <w:rPr>
                <w:rFonts w:ascii="宋体"/>
              </w:rPr>
            </w:pPr>
          </w:p>
        </w:tc>
        <w:tc>
          <w:tcPr>
            <w:tcW w:w="50" w:type="pct"/>
            <w:shd w:val="clear" w:color="auto" w:fill="auto"/>
            <w:vAlign w:val="bottom"/>
          </w:tcPr>
          <w:p w14:paraId="5A1B0DD3" w14:textId="77777777" w:rsidR="00960BB8" w:rsidRDefault="00960BB8">
            <w:pPr>
              <w:rPr>
                <w:rFonts w:ascii="宋体"/>
              </w:rPr>
            </w:pPr>
          </w:p>
        </w:tc>
        <w:tc>
          <w:tcPr>
            <w:tcW w:w="940" w:type="pct"/>
            <w:shd w:val="clear" w:color="auto" w:fill="auto"/>
            <w:vAlign w:val="bottom"/>
          </w:tcPr>
          <w:p w14:paraId="5A1B0DD4" w14:textId="77777777" w:rsidR="00960BB8" w:rsidRDefault="00960BB8">
            <w:pPr>
              <w:rPr>
                <w:rFonts w:ascii="宋体"/>
              </w:rPr>
            </w:pPr>
          </w:p>
        </w:tc>
        <w:tc>
          <w:tcPr>
            <w:tcW w:w="5" w:type="pct"/>
            <w:shd w:val="clear" w:color="auto" w:fill="auto"/>
            <w:vAlign w:val="bottom"/>
          </w:tcPr>
          <w:p w14:paraId="5A1B0DD5" w14:textId="77777777" w:rsidR="00960BB8" w:rsidRDefault="00960BB8">
            <w:pPr>
              <w:rPr>
                <w:rFonts w:ascii="宋体"/>
              </w:rPr>
            </w:pPr>
          </w:p>
        </w:tc>
        <w:tc>
          <w:tcPr>
            <w:tcW w:w="50" w:type="pct"/>
            <w:shd w:val="clear" w:color="auto" w:fill="auto"/>
            <w:vAlign w:val="bottom"/>
          </w:tcPr>
          <w:p w14:paraId="5A1B0DD6" w14:textId="77777777" w:rsidR="00960BB8" w:rsidRDefault="00960BB8">
            <w:pPr>
              <w:rPr>
                <w:rFonts w:ascii="宋体"/>
              </w:rPr>
            </w:pPr>
          </w:p>
        </w:tc>
        <w:tc>
          <w:tcPr>
            <w:tcW w:w="1668" w:type="pct"/>
            <w:shd w:val="clear" w:color="auto" w:fill="auto"/>
            <w:vAlign w:val="bottom"/>
          </w:tcPr>
          <w:p w14:paraId="5A1B0DD7" w14:textId="77777777" w:rsidR="00960BB8" w:rsidRDefault="00960BB8">
            <w:pPr>
              <w:rPr>
                <w:rFonts w:ascii="宋体"/>
              </w:rPr>
            </w:pPr>
          </w:p>
        </w:tc>
        <w:tc>
          <w:tcPr>
            <w:tcW w:w="5" w:type="pct"/>
            <w:shd w:val="clear" w:color="auto" w:fill="auto"/>
            <w:vAlign w:val="bottom"/>
          </w:tcPr>
          <w:p w14:paraId="5A1B0DD8" w14:textId="77777777" w:rsidR="00960BB8" w:rsidRDefault="00960BB8">
            <w:pPr>
              <w:rPr>
                <w:rFonts w:ascii="宋体"/>
              </w:rPr>
            </w:pPr>
          </w:p>
        </w:tc>
        <w:tc>
          <w:tcPr>
            <w:tcW w:w="50" w:type="pct"/>
            <w:shd w:val="clear" w:color="auto" w:fill="auto"/>
            <w:vAlign w:val="bottom"/>
          </w:tcPr>
          <w:p w14:paraId="5A1B0DD9" w14:textId="77777777" w:rsidR="00960BB8" w:rsidRDefault="00960BB8">
            <w:pPr>
              <w:rPr>
                <w:rFonts w:ascii="宋体"/>
              </w:rPr>
            </w:pPr>
          </w:p>
        </w:tc>
        <w:tc>
          <w:tcPr>
            <w:tcW w:w="1894" w:type="pct"/>
            <w:shd w:val="clear" w:color="auto" w:fill="auto"/>
            <w:vAlign w:val="bottom"/>
          </w:tcPr>
          <w:p w14:paraId="5A1B0DDA" w14:textId="77777777" w:rsidR="00960BB8" w:rsidRDefault="00960BB8">
            <w:pPr>
              <w:rPr>
                <w:rFonts w:ascii="宋体"/>
              </w:rPr>
            </w:pPr>
          </w:p>
        </w:tc>
        <w:tc>
          <w:tcPr>
            <w:tcW w:w="5" w:type="pct"/>
            <w:shd w:val="clear" w:color="auto" w:fill="auto"/>
            <w:vAlign w:val="bottom"/>
          </w:tcPr>
          <w:p w14:paraId="5A1B0DDB" w14:textId="77777777" w:rsidR="00960BB8" w:rsidRDefault="00960BB8">
            <w:pPr>
              <w:rPr>
                <w:rFonts w:ascii="宋体"/>
              </w:rPr>
            </w:pPr>
          </w:p>
        </w:tc>
      </w:tr>
      <w:tr w:rsidR="00960BB8" w14:paraId="5A1B0DE1"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DDD"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66" wp14:editId="5A1B4467">
                  <wp:extent cx="304800" cy="304800"/>
                  <wp:effectExtent l="0" t="0" r="0" b="0"/>
                  <wp:docPr id="88" name="图片 24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4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DDE"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0DDF" w14:textId="77777777" w:rsidR="00960BB8" w:rsidRDefault="00C06650">
            <w:pPr>
              <w:textAlignment w:val="center"/>
            </w:pPr>
            <w:r>
              <w:rPr>
                <w:rFonts w:ascii="Arial" w:eastAsia="宋体" w:hAnsi="Arial" w:cs="Arial"/>
                <w:color w:val="262626"/>
                <w:sz w:val="16"/>
                <w:szCs w:val="16"/>
              </w:rPr>
              <w:t>Consolidated Statements of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DE0" w14:textId="77777777" w:rsidR="00960BB8" w:rsidRDefault="00C06650">
            <w:pPr>
              <w:jc w:val="right"/>
              <w:textAlignment w:val="center"/>
            </w:pPr>
            <w:r>
              <w:rPr>
                <w:rFonts w:ascii="Arial" w:eastAsia="宋体" w:hAnsi="Arial" w:cs="Arial"/>
                <w:color w:val="262626"/>
                <w:sz w:val="16"/>
                <w:szCs w:val="16"/>
              </w:rPr>
              <w:t>76</w:t>
            </w:r>
          </w:p>
        </w:tc>
      </w:tr>
    </w:tbl>
    <w:p w14:paraId="5A1B0DE2" w14:textId="77777777" w:rsidR="00960BB8" w:rsidRDefault="00C06650">
      <w:r>
        <w:pict w14:anchorId="5A1B4468">
          <v:rect id="_x0000_i1102" style="width:415.3pt;height:1.5pt" o:hralign="center" o:hrstd="t" o:hr="t" fillcolor="#a0a0a0" stroked="f"/>
        </w:pict>
      </w:r>
    </w:p>
    <w:p w14:paraId="5A1B0DE3" w14:textId="77777777" w:rsidR="00960BB8" w:rsidRDefault="00C06650">
      <w:pPr>
        <w:jc w:val="right"/>
      </w:pPr>
      <w:hyperlink r:id="rId125" w:anchor="i8aaa7b4dbd2e419ca0f5c30af85a11aa_16" w:history="1">
        <w:r>
          <w:rPr>
            <w:rStyle w:val="a5"/>
            <w:rFonts w:ascii="Arial" w:eastAsia="宋体" w:hAnsi="Arial" w:cs="Arial"/>
            <w:b/>
            <w:bCs/>
            <w:sz w:val="16"/>
            <w:szCs w:val="16"/>
          </w:rPr>
          <w:t>Table of Contents</w:t>
        </w:r>
      </w:hyperlink>
    </w:p>
    <w:p w14:paraId="5A1B0DE4"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0DEB" w14:textId="77777777">
        <w:tc>
          <w:tcPr>
            <w:tcW w:w="50" w:type="pct"/>
            <w:shd w:val="clear" w:color="auto" w:fill="auto"/>
            <w:vAlign w:val="bottom"/>
          </w:tcPr>
          <w:p w14:paraId="5A1B0DE5" w14:textId="77777777" w:rsidR="00960BB8" w:rsidRDefault="00960BB8">
            <w:pPr>
              <w:rPr>
                <w:rFonts w:ascii="宋体"/>
              </w:rPr>
            </w:pPr>
          </w:p>
        </w:tc>
        <w:tc>
          <w:tcPr>
            <w:tcW w:w="4870" w:type="pct"/>
            <w:shd w:val="clear" w:color="auto" w:fill="auto"/>
            <w:vAlign w:val="bottom"/>
          </w:tcPr>
          <w:p w14:paraId="5A1B0DE6" w14:textId="77777777" w:rsidR="00960BB8" w:rsidRDefault="00960BB8">
            <w:pPr>
              <w:rPr>
                <w:rFonts w:ascii="宋体"/>
              </w:rPr>
            </w:pPr>
          </w:p>
        </w:tc>
        <w:tc>
          <w:tcPr>
            <w:tcW w:w="5" w:type="pct"/>
            <w:shd w:val="clear" w:color="auto" w:fill="auto"/>
            <w:vAlign w:val="bottom"/>
          </w:tcPr>
          <w:p w14:paraId="5A1B0DE7" w14:textId="77777777" w:rsidR="00960BB8" w:rsidRDefault="00960BB8">
            <w:pPr>
              <w:rPr>
                <w:rFonts w:ascii="宋体"/>
              </w:rPr>
            </w:pPr>
          </w:p>
        </w:tc>
        <w:tc>
          <w:tcPr>
            <w:tcW w:w="5" w:type="pct"/>
            <w:shd w:val="clear" w:color="auto" w:fill="auto"/>
            <w:vAlign w:val="bottom"/>
          </w:tcPr>
          <w:p w14:paraId="5A1B0DE8" w14:textId="77777777" w:rsidR="00960BB8" w:rsidRDefault="00960BB8">
            <w:pPr>
              <w:rPr>
                <w:rFonts w:ascii="宋体"/>
              </w:rPr>
            </w:pPr>
          </w:p>
        </w:tc>
        <w:tc>
          <w:tcPr>
            <w:tcW w:w="64" w:type="pct"/>
            <w:shd w:val="clear" w:color="auto" w:fill="auto"/>
            <w:vAlign w:val="bottom"/>
          </w:tcPr>
          <w:p w14:paraId="5A1B0DE9" w14:textId="77777777" w:rsidR="00960BB8" w:rsidRDefault="00960BB8">
            <w:pPr>
              <w:rPr>
                <w:rFonts w:ascii="宋体"/>
              </w:rPr>
            </w:pPr>
          </w:p>
        </w:tc>
        <w:tc>
          <w:tcPr>
            <w:tcW w:w="5" w:type="pct"/>
            <w:shd w:val="clear" w:color="auto" w:fill="auto"/>
            <w:vAlign w:val="bottom"/>
          </w:tcPr>
          <w:p w14:paraId="5A1B0DEA" w14:textId="77777777" w:rsidR="00960BB8" w:rsidRDefault="00960BB8">
            <w:pPr>
              <w:rPr>
                <w:rFonts w:ascii="宋体"/>
              </w:rPr>
            </w:pPr>
          </w:p>
        </w:tc>
      </w:tr>
      <w:tr w:rsidR="00960BB8" w14:paraId="5A1B0DEE" w14:textId="77777777">
        <w:tc>
          <w:tcPr>
            <w:tcW w:w="0" w:type="auto"/>
            <w:gridSpan w:val="3"/>
            <w:shd w:val="clear" w:color="auto" w:fill="004A86"/>
            <w:tcMar>
              <w:top w:w="40" w:type="dxa"/>
              <w:left w:w="20" w:type="dxa"/>
              <w:bottom w:w="40" w:type="dxa"/>
              <w:right w:w="20" w:type="dxa"/>
            </w:tcMar>
            <w:vAlign w:val="center"/>
          </w:tcPr>
          <w:p w14:paraId="5A1B0DEC" w14:textId="77777777" w:rsidR="00960BB8" w:rsidRDefault="00C06650">
            <w:pPr>
              <w:textAlignment w:val="center"/>
            </w:pPr>
            <w:r>
              <w:rPr>
                <w:rFonts w:ascii="Arial" w:eastAsia="宋体" w:hAnsi="Arial" w:cs="Arial"/>
                <w:color w:val="FFFFFF"/>
                <w:sz w:val="36"/>
                <w:szCs w:val="36"/>
              </w:rPr>
              <w:t>Consolidated Statements of Comprehensive Income</w:t>
            </w:r>
          </w:p>
        </w:tc>
        <w:tc>
          <w:tcPr>
            <w:tcW w:w="0" w:type="auto"/>
            <w:gridSpan w:val="3"/>
            <w:shd w:val="clear" w:color="auto" w:fill="auto"/>
            <w:tcMar>
              <w:top w:w="0" w:type="dxa"/>
              <w:left w:w="20" w:type="dxa"/>
              <w:bottom w:w="0" w:type="dxa"/>
              <w:right w:w="20" w:type="dxa"/>
            </w:tcMar>
            <w:vAlign w:val="bottom"/>
          </w:tcPr>
          <w:p w14:paraId="5A1B0DED" w14:textId="77777777" w:rsidR="00960BB8" w:rsidRDefault="00960BB8">
            <w:pPr>
              <w:rPr>
                <w:rFonts w:ascii="宋体"/>
              </w:rPr>
            </w:pPr>
          </w:p>
        </w:tc>
      </w:tr>
      <w:tr w:rsidR="00960BB8" w14:paraId="5A1B0DF1" w14:textId="77777777">
        <w:trPr>
          <w:trHeight w:val="160"/>
        </w:trPr>
        <w:tc>
          <w:tcPr>
            <w:tcW w:w="0" w:type="auto"/>
            <w:gridSpan w:val="3"/>
            <w:shd w:val="clear" w:color="auto" w:fill="auto"/>
            <w:tcMar>
              <w:top w:w="0" w:type="dxa"/>
              <w:left w:w="20" w:type="dxa"/>
              <w:bottom w:w="0" w:type="dxa"/>
              <w:right w:w="20" w:type="dxa"/>
            </w:tcMar>
            <w:vAlign w:val="bottom"/>
          </w:tcPr>
          <w:p w14:paraId="5A1B0DEF"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0DF0" w14:textId="77777777" w:rsidR="00960BB8" w:rsidRDefault="00960BB8">
            <w:pPr>
              <w:rPr>
                <w:rFonts w:ascii="宋体"/>
              </w:rPr>
            </w:pPr>
          </w:p>
        </w:tc>
      </w:tr>
    </w:tbl>
    <w:p w14:paraId="5A1B0DF2"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048"/>
        <w:gridCol w:w="38"/>
        <w:gridCol w:w="36"/>
        <w:gridCol w:w="36"/>
        <w:gridCol w:w="36"/>
        <w:gridCol w:w="121"/>
        <w:gridCol w:w="805"/>
        <w:gridCol w:w="36"/>
        <w:gridCol w:w="36"/>
        <w:gridCol w:w="36"/>
        <w:gridCol w:w="36"/>
        <w:gridCol w:w="121"/>
        <w:gridCol w:w="805"/>
        <w:gridCol w:w="36"/>
        <w:gridCol w:w="36"/>
        <w:gridCol w:w="36"/>
        <w:gridCol w:w="36"/>
        <w:gridCol w:w="121"/>
        <w:gridCol w:w="806"/>
        <w:gridCol w:w="36"/>
      </w:tblGrid>
      <w:tr w:rsidR="00960BB8" w14:paraId="5A1B0E08" w14:textId="77777777">
        <w:tc>
          <w:tcPr>
            <w:tcW w:w="50" w:type="pct"/>
            <w:shd w:val="clear" w:color="auto" w:fill="auto"/>
            <w:vAlign w:val="bottom"/>
          </w:tcPr>
          <w:p w14:paraId="5A1B0DF3" w14:textId="77777777" w:rsidR="00960BB8" w:rsidRDefault="00960BB8">
            <w:pPr>
              <w:rPr>
                <w:rFonts w:ascii="宋体"/>
              </w:rPr>
            </w:pPr>
          </w:p>
        </w:tc>
        <w:tc>
          <w:tcPr>
            <w:tcW w:w="3059" w:type="pct"/>
            <w:shd w:val="clear" w:color="auto" w:fill="auto"/>
            <w:vAlign w:val="bottom"/>
          </w:tcPr>
          <w:p w14:paraId="5A1B0DF4" w14:textId="77777777" w:rsidR="00960BB8" w:rsidRDefault="00960BB8">
            <w:pPr>
              <w:rPr>
                <w:rFonts w:ascii="宋体"/>
              </w:rPr>
            </w:pPr>
          </w:p>
        </w:tc>
        <w:tc>
          <w:tcPr>
            <w:tcW w:w="5" w:type="pct"/>
            <w:shd w:val="clear" w:color="auto" w:fill="auto"/>
            <w:vAlign w:val="bottom"/>
          </w:tcPr>
          <w:p w14:paraId="5A1B0DF5" w14:textId="77777777" w:rsidR="00960BB8" w:rsidRDefault="00960BB8">
            <w:pPr>
              <w:rPr>
                <w:rFonts w:ascii="宋体"/>
              </w:rPr>
            </w:pPr>
          </w:p>
        </w:tc>
        <w:tc>
          <w:tcPr>
            <w:tcW w:w="5" w:type="pct"/>
            <w:shd w:val="clear" w:color="auto" w:fill="auto"/>
            <w:vAlign w:val="bottom"/>
          </w:tcPr>
          <w:p w14:paraId="5A1B0DF6" w14:textId="77777777" w:rsidR="00960BB8" w:rsidRDefault="00960BB8">
            <w:pPr>
              <w:rPr>
                <w:rFonts w:ascii="宋体"/>
              </w:rPr>
            </w:pPr>
          </w:p>
        </w:tc>
        <w:tc>
          <w:tcPr>
            <w:tcW w:w="24" w:type="pct"/>
            <w:shd w:val="clear" w:color="auto" w:fill="auto"/>
            <w:vAlign w:val="bottom"/>
          </w:tcPr>
          <w:p w14:paraId="5A1B0DF7" w14:textId="77777777" w:rsidR="00960BB8" w:rsidRDefault="00960BB8">
            <w:pPr>
              <w:rPr>
                <w:rFonts w:ascii="宋体"/>
              </w:rPr>
            </w:pPr>
          </w:p>
        </w:tc>
        <w:tc>
          <w:tcPr>
            <w:tcW w:w="5" w:type="pct"/>
            <w:shd w:val="clear" w:color="auto" w:fill="auto"/>
            <w:vAlign w:val="bottom"/>
          </w:tcPr>
          <w:p w14:paraId="5A1B0DF8" w14:textId="77777777" w:rsidR="00960BB8" w:rsidRDefault="00960BB8">
            <w:pPr>
              <w:rPr>
                <w:rFonts w:ascii="宋体"/>
              </w:rPr>
            </w:pPr>
          </w:p>
        </w:tc>
        <w:tc>
          <w:tcPr>
            <w:tcW w:w="50" w:type="pct"/>
            <w:shd w:val="clear" w:color="auto" w:fill="auto"/>
            <w:vAlign w:val="bottom"/>
          </w:tcPr>
          <w:p w14:paraId="5A1B0DF9" w14:textId="77777777" w:rsidR="00960BB8" w:rsidRDefault="00960BB8">
            <w:pPr>
              <w:rPr>
                <w:rFonts w:ascii="宋体"/>
              </w:rPr>
            </w:pPr>
          </w:p>
        </w:tc>
        <w:tc>
          <w:tcPr>
            <w:tcW w:w="539" w:type="pct"/>
            <w:shd w:val="clear" w:color="auto" w:fill="auto"/>
            <w:vAlign w:val="bottom"/>
          </w:tcPr>
          <w:p w14:paraId="5A1B0DFA" w14:textId="77777777" w:rsidR="00960BB8" w:rsidRDefault="00960BB8">
            <w:pPr>
              <w:rPr>
                <w:rFonts w:ascii="宋体"/>
              </w:rPr>
            </w:pPr>
          </w:p>
        </w:tc>
        <w:tc>
          <w:tcPr>
            <w:tcW w:w="5" w:type="pct"/>
            <w:shd w:val="clear" w:color="auto" w:fill="auto"/>
            <w:vAlign w:val="bottom"/>
          </w:tcPr>
          <w:p w14:paraId="5A1B0DFB" w14:textId="77777777" w:rsidR="00960BB8" w:rsidRDefault="00960BB8">
            <w:pPr>
              <w:rPr>
                <w:rFonts w:ascii="宋体"/>
              </w:rPr>
            </w:pPr>
          </w:p>
        </w:tc>
        <w:tc>
          <w:tcPr>
            <w:tcW w:w="5" w:type="pct"/>
            <w:shd w:val="clear" w:color="auto" w:fill="auto"/>
            <w:vAlign w:val="bottom"/>
          </w:tcPr>
          <w:p w14:paraId="5A1B0DFC" w14:textId="77777777" w:rsidR="00960BB8" w:rsidRDefault="00960BB8">
            <w:pPr>
              <w:rPr>
                <w:rFonts w:ascii="宋体"/>
              </w:rPr>
            </w:pPr>
          </w:p>
        </w:tc>
        <w:tc>
          <w:tcPr>
            <w:tcW w:w="24" w:type="pct"/>
            <w:shd w:val="clear" w:color="auto" w:fill="auto"/>
            <w:vAlign w:val="bottom"/>
          </w:tcPr>
          <w:p w14:paraId="5A1B0DFD" w14:textId="77777777" w:rsidR="00960BB8" w:rsidRDefault="00960BB8">
            <w:pPr>
              <w:rPr>
                <w:rFonts w:ascii="宋体"/>
              </w:rPr>
            </w:pPr>
          </w:p>
        </w:tc>
        <w:tc>
          <w:tcPr>
            <w:tcW w:w="5" w:type="pct"/>
            <w:shd w:val="clear" w:color="auto" w:fill="auto"/>
            <w:vAlign w:val="bottom"/>
          </w:tcPr>
          <w:p w14:paraId="5A1B0DFE" w14:textId="77777777" w:rsidR="00960BB8" w:rsidRDefault="00960BB8">
            <w:pPr>
              <w:rPr>
                <w:rFonts w:ascii="宋体"/>
              </w:rPr>
            </w:pPr>
          </w:p>
        </w:tc>
        <w:tc>
          <w:tcPr>
            <w:tcW w:w="50" w:type="pct"/>
            <w:shd w:val="clear" w:color="auto" w:fill="auto"/>
            <w:vAlign w:val="bottom"/>
          </w:tcPr>
          <w:p w14:paraId="5A1B0DFF" w14:textId="77777777" w:rsidR="00960BB8" w:rsidRDefault="00960BB8">
            <w:pPr>
              <w:rPr>
                <w:rFonts w:ascii="宋体"/>
              </w:rPr>
            </w:pPr>
          </w:p>
        </w:tc>
        <w:tc>
          <w:tcPr>
            <w:tcW w:w="539" w:type="pct"/>
            <w:shd w:val="clear" w:color="auto" w:fill="auto"/>
            <w:vAlign w:val="bottom"/>
          </w:tcPr>
          <w:p w14:paraId="5A1B0E00" w14:textId="77777777" w:rsidR="00960BB8" w:rsidRDefault="00960BB8">
            <w:pPr>
              <w:rPr>
                <w:rFonts w:ascii="宋体"/>
              </w:rPr>
            </w:pPr>
          </w:p>
        </w:tc>
        <w:tc>
          <w:tcPr>
            <w:tcW w:w="5" w:type="pct"/>
            <w:shd w:val="clear" w:color="auto" w:fill="auto"/>
            <w:vAlign w:val="bottom"/>
          </w:tcPr>
          <w:p w14:paraId="5A1B0E01" w14:textId="77777777" w:rsidR="00960BB8" w:rsidRDefault="00960BB8">
            <w:pPr>
              <w:rPr>
                <w:rFonts w:ascii="宋体"/>
              </w:rPr>
            </w:pPr>
          </w:p>
        </w:tc>
        <w:tc>
          <w:tcPr>
            <w:tcW w:w="5" w:type="pct"/>
            <w:shd w:val="clear" w:color="auto" w:fill="auto"/>
            <w:vAlign w:val="bottom"/>
          </w:tcPr>
          <w:p w14:paraId="5A1B0E02" w14:textId="77777777" w:rsidR="00960BB8" w:rsidRDefault="00960BB8">
            <w:pPr>
              <w:rPr>
                <w:rFonts w:ascii="宋体"/>
              </w:rPr>
            </w:pPr>
          </w:p>
        </w:tc>
        <w:tc>
          <w:tcPr>
            <w:tcW w:w="24" w:type="pct"/>
            <w:shd w:val="clear" w:color="auto" w:fill="auto"/>
            <w:vAlign w:val="bottom"/>
          </w:tcPr>
          <w:p w14:paraId="5A1B0E03" w14:textId="77777777" w:rsidR="00960BB8" w:rsidRDefault="00960BB8">
            <w:pPr>
              <w:rPr>
                <w:rFonts w:ascii="宋体"/>
              </w:rPr>
            </w:pPr>
          </w:p>
        </w:tc>
        <w:tc>
          <w:tcPr>
            <w:tcW w:w="5" w:type="pct"/>
            <w:shd w:val="clear" w:color="auto" w:fill="auto"/>
            <w:vAlign w:val="bottom"/>
          </w:tcPr>
          <w:p w14:paraId="5A1B0E04" w14:textId="77777777" w:rsidR="00960BB8" w:rsidRDefault="00960BB8">
            <w:pPr>
              <w:rPr>
                <w:rFonts w:ascii="宋体"/>
              </w:rPr>
            </w:pPr>
          </w:p>
        </w:tc>
        <w:tc>
          <w:tcPr>
            <w:tcW w:w="50" w:type="pct"/>
            <w:shd w:val="clear" w:color="auto" w:fill="auto"/>
            <w:vAlign w:val="bottom"/>
          </w:tcPr>
          <w:p w14:paraId="5A1B0E05" w14:textId="77777777" w:rsidR="00960BB8" w:rsidRDefault="00960BB8">
            <w:pPr>
              <w:rPr>
                <w:rFonts w:ascii="宋体"/>
              </w:rPr>
            </w:pPr>
          </w:p>
        </w:tc>
        <w:tc>
          <w:tcPr>
            <w:tcW w:w="539" w:type="pct"/>
            <w:shd w:val="clear" w:color="auto" w:fill="auto"/>
            <w:vAlign w:val="bottom"/>
          </w:tcPr>
          <w:p w14:paraId="5A1B0E06" w14:textId="77777777" w:rsidR="00960BB8" w:rsidRDefault="00960BB8">
            <w:pPr>
              <w:rPr>
                <w:rFonts w:ascii="宋体"/>
              </w:rPr>
            </w:pPr>
          </w:p>
        </w:tc>
        <w:tc>
          <w:tcPr>
            <w:tcW w:w="5" w:type="pct"/>
            <w:shd w:val="clear" w:color="auto" w:fill="auto"/>
            <w:vAlign w:val="bottom"/>
          </w:tcPr>
          <w:p w14:paraId="5A1B0E07" w14:textId="77777777" w:rsidR="00960BB8" w:rsidRDefault="00960BB8">
            <w:pPr>
              <w:rPr>
                <w:rFonts w:ascii="宋体"/>
              </w:rPr>
            </w:pPr>
          </w:p>
        </w:tc>
      </w:tr>
      <w:tr w:rsidR="00960BB8" w14:paraId="5A1B0E10" w14:textId="77777777">
        <w:tc>
          <w:tcPr>
            <w:tcW w:w="0" w:type="auto"/>
            <w:gridSpan w:val="3"/>
            <w:shd w:val="clear" w:color="auto" w:fill="auto"/>
            <w:tcMar>
              <w:top w:w="40" w:type="dxa"/>
              <w:left w:w="20" w:type="dxa"/>
              <w:bottom w:w="40" w:type="dxa"/>
              <w:right w:w="20" w:type="dxa"/>
            </w:tcMar>
            <w:vAlign w:val="bottom"/>
          </w:tcPr>
          <w:p w14:paraId="5A1B0E09" w14:textId="77777777" w:rsidR="00960BB8" w:rsidRDefault="00C06650">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5A1B0E0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E0B"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0E0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E0D"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0E0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E0F"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0E1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E11" w14:textId="77777777" w:rsidR="00960BB8" w:rsidRDefault="00C06650">
            <w:pPr>
              <w:textAlignment w:val="bottom"/>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5A1B0E12"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E13"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E14" w14:textId="77777777" w:rsidR="00960BB8" w:rsidRDefault="00C06650">
            <w:pPr>
              <w:jc w:val="right"/>
              <w:textAlignment w:val="bottom"/>
            </w:pPr>
            <w:r>
              <w:rPr>
                <w:rFonts w:ascii="Arial" w:eastAsia="宋体" w:hAnsi="Arial" w:cs="Arial"/>
                <w:b/>
                <w:bCs/>
                <w:color w:val="0068B5"/>
                <w:sz w:val="18"/>
                <w:szCs w:val="18"/>
              </w:rPr>
              <w:t>8,017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E1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16"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E17"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E18" w14:textId="77777777" w:rsidR="00960BB8" w:rsidRDefault="00C06650">
            <w:pPr>
              <w:jc w:val="right"/>
              <w:textAlignment w:val="bottom"/>
            </w:pPr>
            <w:r>
              <w:rPr>
                <w:rFonts w:ascii="Arial" w:eastAsia="宋体" w:hAnsi="Arial" w:cs="Arial"/>
                <w:b/>
                <w:bCs/>
                <w:color w:val="262626"/>
                <w:sz w:val="18"/>
                <w:szCs w:val="18"/>
              </w:rPr>
              <w:t>19,868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E1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1A"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0E1B"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0E1C" w14:textId="77777777" w:rsidR="00960BB8" w:rsidRDefault="00C06650">
            <w:pPr>
              <w:jc w:val="right"/>
              <w:textAlignment w:val="bottom"/>
            </w:pPr>
            <w:r>
              <w:rPr>
                <w:rFonts w:ascii="Arial" w:eastAsia="宋体" w:hAnsi="Arial" w:cs="Arial"/>
                <w:b/>
                <w:bCs/>
                <w:color w:val="262626"/>
                <w:sz w:val="18"/>
                <w:szCs w:val="18"/>
              </w:rPr>
              <w:t>20,899</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0E1D" w14:textId="77777777" w:rsidR="00960BB8" w:rsidRDefault="00960BB8">
            <w:pPr>
              <w:jc w:val="right"/>
              <w:rPr>
                <w:rFonts w:ascii="宋体"/>
              </w:rPr>
            </w:pPr>
          </w:p>
        </w:tc>
      </w:tr>
      <w:tr w:rsidR="00960BB8" w14:paraId="5A1B0E26" w14:textId="77777777">
        <w:tc>
          <w:tcPr>
            <w:tcW w:w="0" w:type="auto"/>
            <w:gridSpan w:val="3"/>
            <w:shd w:val="clear" w:color="auto" w:fill="auto"/>
            <w:tcMar>
              <w:top w:w="40" w:type="dxa"/>
              <w:left w:w="20" w:type="dxa"/>
              <w:bottom w:w="40" w:type="dxa"/>
              <w:right w:w="20" w:type="dxa"/>
            </w:tcMar>
            <w:vAlign w:val="bottom"/>
          </w:tcPr>
          <w:p w14:paraId="5A1B0E1F" w14:textId="77777777" w:rsidR="00960BB8" w:rsidRDefault="00C06650">
            <w:pPr>
              <w:textAlignment w:val="bottom"/>
            </w:pPr>
            <w:r>
              <w:rPr>
                <w:rFonts w:ascii="Arial" w:eastAsia="宋体" w:hAnsi="Arial" w:cs="Arial"/>
                <w:color w:val="262626"/>
                <w:sz w:val="18"/>
                <w:szCs w:val="18"/>
              </w:rPr>
              <w:t>Changes in other comprehensive income, net of tax:</w:t>
            </w:r>
          </w:p>
        </w:tc>
        <w:tc>
          <w:tcPr>
            <w:tcW w:w="0" w:type="auto"/>
            <w:gridSpan w:val="3"/>
            <w:shd w:val="clear" w:color="auto" w:fill="auto"/>
            <w:tcMar>
              <w:top w:w="0" w:type="dxa"/>
              <w:left w:w="20" w:type="dxa"/>
              <w:bottom w:w="0" w:type="dxa"/>
              <w:right w:w="20" w:type="dxa"/>
            </w:tcMar>
            <w:vAlign w:val="bottom"/>
          </w:tcPr>
          <w:p w14:paraId="5A1B0E20"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0E2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E22"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0E2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E24"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0E25" w14:textId="77777777" w:rsidR="00960BB8" w:rsidRDefault="00960BB8">
            <w:pPr>
              <w:rPr>
                <w:rFonts w:ascii="宋体"/>
              </w:rPr>
            </w:pPr>
          </w:p>
        </w:tc>
      </w:tr>
      <w:tr w:rsidR="00960BB8" w14:paraId="5A1B0E2E" w14:textId="77777777">
        <w:trPr>
          <w:hidden/>
        </w:trPr>
        <w:tc>
          <w:tcPr>
            <w:tcW w:w="0" w:type="auto"/>
            <w:gridSpan w:val="3"/>
            <w:shd w:val="clear" w:color="auto" w:fill="auto"/>
            <w:vAlign w:val="bottom"/>
          </w:tcPr>
          <w:p w14:paraId="5A1B0E27" w14:textId="77777777" w:rsidR="00960BB8" w:rsidRDefault="00960BB8">
            <w:pPr>
              <w:rPr>
                <w:rFonts w:ascii="宋体"/>
                <w:vanish/>
              </w:rPr>
            </w:pPr>
          </w:p>
        </w:tc>
        <w:tc>
          <w:tcPr>
            <w:tcW w:w="0" w:type="auto"/>
            <w:gridSpan w:val="3"/>
            <w:shd w:val="clear" w:color="auto" w:fill="auto"/>
            <w:vAlign w:val="bottom"/>
          </w:tcPr>
          <w:p w14:paraId="5A1B0E28" w14:textId="77777777" w:rsidR="00960BB8" w:rsidRDefault="00960BB8">
            <w:pPr>
              <w:rPr>
                <w:rFonts w:ascii="宋体"/>
                <w:vanish/>
              </w:rPr>
            </w:pPr>
          </w:p>
        </w:tc>
        <w:tc>
          <w:tcPr>
            <w:tcW w:w="0" w:type="auto"/>
            <w:gridSpan w:val="3"/>
            <w:shd w:val="clear" w:color="auto" w:fill="auto"/>
            <w:vAlign w:val="bottom"/>
          </w:tcPr>
          <w:p w14:paraId="5A1B0E29" w14:textId="77777777" w:rsidR="00960BB8" w:rsidRDefault="00960BB8">
            <w:pPr>
              <w:rPr>
                <w:rFonts w:ascii="宋体"/>
                <w:vanish/>
              </w:rPr>
            </w:pPr>
          </w:p>
        </w:tc>
        <w:tc>
          <w:tcPr>
            <w:tcW w:w="0" w:type="auto"/>
            <w:gridSpan w:val="3"/>
            <w:shd w:val="clear" w:color="auto" w:fill="auto"/>
            <w:vAlign w:val="bottom"/>
          </w:tcPr>
          <w:p w14:paraId="5A1B0E2A" w14:textId="77777777" w:rsidR="00960BB8" w:rsidRDefault="00960BB8">
            <w:pPr>
              <w:rPr>
                <w:rFonts w:ascii="宋体"/>
                <w:vanish/>
              </w:rPr>
            </w:pPr>
          </w:p>
        </w:tc>
        <w:tc>
          <w:tcPr>
            <w:tcW w:w="0" w:type="auto"/>
            <w:gridSpan w:val="3"/>
            <w:shd w:val="clear" w:color="auto" w:fill="auto"/>
            <w:vAlign w:val="bottom"/>
          </w:tcPr>
          <w:p w14:paraId="5A1B0E2B" w14:textId="77777777" w:rsidR="00960BB8" w:rsidRDefault="00960BB8">
            <w:pPr>
              <w:rPr>
                <w:rFonts w:ascii="宋体"/>
                <w:vanish/>
              </w:rPr>
            </w:pPr>
          </w:p>
        </w:tc>
        <w:tc>
          <w:tcPr>
            <w:tcW w:w="0" w:type="auto"/>
            <w:gridSpan w:val="3"/>
            <w:shd w:val="clear" w:color="auto" w:fill="auto"/>
            <w:vAlign w:val="bottom"/>
          </w:tcPr>
          <w:p w14:paraId="5A1B0E2C" w14:textId="77777777" w:rsidR="00960BB8" w:rsidRDefault="00960BB8">
            <w:pPr>
              <w:rPr>
                <w:rFonts w:ascii="宋体"/>
                <w:vanish/>
              </w:rPr>
            </w:pPr>
          </w:p>
        </w:tc>
        <w:tc>
          <w:tcPr>
            <w:tcW w:w="0" w:type="auto"/>
            <w:gridSpan w:val="3"/>
            <w:shd w:val="clear" w:color="auto" w:fill="auto"/>
            <w:vAlign w:val="bottom"/>
          </w:tcPr>
          <w:p w14:paraId="5A1B0E2D" w14:textId="77777777" w:rsidR="00960BB8" w:rsidRDefault="00960BB8">
            <w:pPr>
              <w:rPr>
                <w:rFonts w:ascii="宋体"/>
                <w:vanish/>
              </w:rPr>
            </w:pPr>
          </w:p>
        </w:tc>
      </w:tr>
      <w:tr w:rsidR="00960BB8" w14:paraId="5A1B0E36" w14:textId="77777777">
        <w:trPr>
          <w:hidden/>
        </w:trPr>
        <w:tc>
          <w:tcPr>
            <w:tcW w:w="0" w:type="auto"/>
            <w:gridSpan w:val="3"/>
            <w:shd w:val="clear" w:color="auto" w:fill="auto"/>
            <w:vAlign w:val="bottom"/>
          </w:tcPr>
          <w:p w14:paraId="5A1B0E2F" w14:textId="77777777" w:rsidR="00960BB8" w:rsidRDefault="00960BB8">
            <w:pPr>
              <w:rPr>
                <w:rFonts w:ascii="宋体"/>
                <w:vanish/>
              </w:rPr>
            </w:pPr>
          </w:p>
        </w:tc>
        <w:tc>
          <w:tcPr>
            <w:tcW w:w="0" w:type="auto"/>
            <w:gridSpan w:val="3"/>
            <w:shd w:val="clear" w:color="auto" w:fill="auto"/>
            <w:vAlign w:val="bottom"/>
          </w:tcPr>
          <w:p w14:paraId="5A1B0E30" w14:textId="77777777" w:rsidR="00960BB8" w:rsidRDefault="00960BB8">
            <w:pPr>
              <w:rPr>
                <w:rFonts w:ascii="宋体"/>
                <w:vanish/>
              </w:rPr>
            </w:pPr>
          </w:p>
        </w:tc>
        <w:tc>
          <w:tcPr>
            <w:tcW w:w="0" w:type="auto"/>
            <w:gridSpan w:val="3"/>
            <w:shd w:val="clear" w:color="auto" w:fill="auto"/>
            <w:vAlign w:val="bottom"/>
          </w:tcPr>
          <w:p w14:paraId="5A1B0E31" w14:textId="77777777" w:rsidR="00960BB8" w:rsidRDefault="00960BB8">
            <w:pPr>
              <w:rPr>
                <w:rFonts w:ascii="宋体"/>
                <w:vanish/>
              </w:rPr>
            </w:pPr>
          </w:p>
        </w:tc>
        <w:tc>
          <w:tcPr>
            <w:tcW w:w="0" w:type="auto"/>
            <w:gridSpan w:val="3"/>
            <w:shd w:val="clear" w:color="auto" w:fill="auto"/>
            <w:vAlign w:val="bottom"/>
          </w:tcPr>
          <w:p w14:paraId="5A1B0E32" w14:textId="77777777" w:rsidR="00960BB8" w:rsidRDefault="00960BB8">
            <w:pPr>
              <w:rPr>
                <w:rFonts w:ascii="宋体"/>
                <w:vanish/>
              </w:rPr>
            </w:pPr>
          </w:p>
        </w:tc>
        <w:tc>
          <w:tcPr>
            <w:tcW w:w="0" w:type="auto"/>
            <w:gridSpan w:val="3"/>
            <w:shd w:val="clear" w:color="auto" w:fill="auto"/>
            <w:vAlign w:val="bottom"/>
          </w:tcPr>
          <w:p w14:paraId="5A1B0E33" w14:textId="77777777" w:rsidR="00960BB8" w:rsidRDefault="00960BB8">
            <w:pPr>
              <w:rPr>
                <w:rFonts w:ascii="宋体"/>
                <w:vanish/>
              </w:rPr>
            </w:pPr>
          </w:p>
        </w:tc>
        <w:tc>
          <w:tcPr>
            <w:tcW w:w="0" w:type="auto"/>
            <w:gridSpan w:val="3"/>
            <w:shd w:val="clear" w:color="auto" w:fill="auto"/>
            <w:vAlign w:val="bottom"/>
          </w:tcPr>
          <w:p w14:paraId="5A1B0E34" w14:textId="77777777" w:rsidR="00960BB8" w:rsidRDefault="00960BB8">
            <w:pPr>
              <w:rPr>
                <w:rFonts w:ascii="宋体"/>
                <w:vanish/>
              </w:rPr>
            </w:pPr>
          </w:p>
        </w:tc>
        <w:tc>
          <w:tcPr>
            <w:tcW w:w="0" w:type="auto"/>
            <w:gridSpan w:val="3"/>
            <w:shd w:val="clear" w:color="auto" w:fill="auto"/>
            <w:vAlign w:val="bottom"/>
          </w:tcPr>
          <w:p w14:paraId="5A1B0E35" w14:textId="77777777" w:rsidR="00960BB8" w:rsidRDefault="00960BB8">
            <w:pPr>
              <w:rPr>
                <w:rFonts w:ascii="宋体"/>
                <w:vanish/>
              </w:rPr>
            </w:pPr>
          </w:p>
        </w:tc>
      </w:tr>
      <w:tr w:rsidR="00960BB8" w14:paraId="5A1B0E41" w14:textId="77777777">
        <w:tc>
          <w:tcPr>
            <w:tcW w:w="0" w:type="auto"/>
            <w:gridSpan w:val="3"/>
            <w:shd w:val="clear" w:color="auto" w:fill="auto"/>
            <w:tcMar>
              <w:top w:w="40" w:type="dxa"/>
              <w:left w:w="155" w:type="dxa"/>
              <w:bottom w:w="40" w:type="dxa"/>
              <w:right w:w="20" w:type="dxa"/>
            </w:tcMar>
            <w:vAlign w:val="bottom"/>
          </w:tcPr>
          <w:p w14:paraId="5A1B0E37" w14:textId="77777777" w:rsidR="00960BB8" w:rsidRDefault="00C06650">
            <w:pPr>
              <w:textAlignment w:val="bottom"/>
            </w:pPr>
            <w:r>
              <w:rPr>
                <w:rFonts w:ascii="Arial" w:eastAsia="宋体" w:hAnsi="Arial" w:cs="Arial"/>
                <w:color w:val="262626"/>
                <w:sz w:val="18"/>
                <w:szCs w:val="18"/>
              </w:rPr>
              <w:t>Net unrealized holding gains (losses) on derivatives</w:t>
            </w:r>
          </w:p>
        </w:tc>
        <w:tc>
          <w:tcPr>
            <w:tcW w:w="0" w:type="auto"/>
            <w:gridSpan w:val="3"/>
            <w:shd w:val="clear" w:color="auto" w:fill="auto"/>
            <w:tcMar>
              <w:top w:w="0" w:type="dxa"/>
              <w:left w:w="20" w:type="dxa"/>
              <w:bottom w:w="0" w:type="dxa"/>
              <w:right w:w="20" w:type="dxa"/>
            </w:tcMar>
            <w:vAlign w:val="bottom"/>
          </w:tcPr>
          <w:p w14:paraId="5A1B0E3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39" w14:textId="77777777" w:rsidR="00960BB8" w:rsidRDefault="00C06650">
            <w:pPr>
              <w:jc w:val="right"/>
              <w:textAlignment w:val="bottom"/>
            </w:pPr>
            <w:r>
              <w:rPr>
                <w:rFonts w:ascii="Arial" w:eastAsia="宋体" w:hAnsi="Arial" w:cs="Arial"/>
                <w:color w:val="0068B5"/>
                <w:sz w:val="18"/>
                <w:szCs w:val="18"/>
              </w:rPr>
              <w:t>(510)</w:t>
            </w:r>
          </w:p>
        </w:tc>
        <w:tc>
          <w:tcPr>
            <w:tcW w:w="0" w:type="auto"/>
            <w:shd w:val="clear" w:color="auto" w:fill="auto"/>
            <w:tcMar>
              <w:top w:w="40" w:type="dxa"/>
              <w:left w:w="0" w:type="dxa"/>
              <w:bottom w:w="40" w:type="dxa"/>
              <w:right w:w="20" w:type="dxa"/>
            </w:tcMar>
            <w:vAlign w:val="bottom"/>
          </w:tcPr>
          <w:p w14:paraId="5A1B0E3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3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3C" w14:textId="77777777" w:rsidR="00960BB8" w:rsidRDefault="00C06650">
            <w:pPr>
              <w:jc w:val="right"/>
              <w:textAlignment w:val="bottom"/>
            </w:pPr>
            <w:r>
              <w:rPr>
                <w:rFonts w:ascii="Arial" w:eastAsia="宋体" w:hAnsi="Arial" w:cs="Arial"/>
                <w:color w:val="262626"/>
                <w:sz w:val="18"/>
                <w:szCs w:val="18"/>
              </w:rPr>
              <w:t>(520)</w:t>
            </w:r>
          </w:p>
        </w:tc>
        <w:tc>
          <w:tcPr>
            <w:tcW w:w="0" w:type="auto"/>
            <w:shd w:val="clear" w:color="auto" w:fill="auto"/>
            <w:tcMar>
              <w:top w:w="40" w:type="dxa"/>
              <w:left w:w="0" w:type="dxa"/>
              <w:bottom w:w="40" w:type="dxa"/>
              <w:right w:w="20" w:type="dxa"/>
            </w:tcMar>
            <w:vAlign w:val="bottom"/>
          </w:tcPr>
          <w:p w14:paraId="5A1B0E3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3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3F" w14:textId="77777777" w:rsidR="00960BB8" w:rsidRDefault="00C06650">
            <w:pPr>
              <w:jc w:val="right"/>
              <w:textAlignment w:val="bottom"/>
            </w:pPr>
            <w:r>
              <w:rPr>
                <w:rFonts w:ascii="Arial" w:eastAsia="宋体" w:hAnsi="Arial" w:cs="Arial"/>
                <w:color w:val="262626"/>
                <w:sz w:val="18"/>
                <w:szCs w:val="18"/>
              </w:rPr>
              <w:t>677 </w:t>
            </w:r>
          </w:p>
        </w:tc>
        <w:tc>
          <w:tcPr>
            <w:tcW w:w="0" w:type="auto"/>
            <w:shd w:val="clear" w:color="auto" w:fill="auto"/>
            <w:tcMar>
              <w:top w:w="40" w:type="dxa"/>
              <w:left w:w="0" w:type="dxa"/>
              <w:bottom w:w="40" w:type="dxa"/>
              <w:right w:w="20" w:type="dxa"/>
            </w:tcMar>
            <w:vAlign w:val="bottom"/>
          </w:tcPr>
          <w:p w14:paraId="5A1B0E40" w14:textId="77777777" w:rsidR="00960BB8" w:rsidRDefault="00960BB8">
            <w:pPr>
              <w:jc w:val="right"/>
              <w:rPr>
                <w:rFonts w:ascii="宋体"/>
              </w:rPr>
            </w:pPr>
          </w:p>
        </w:tc>
      </w:tr>
      <w:tr w:rsidR="00960BB8" w14:paraId="5A1B0E4C" w14:textId="77777777">
        <w:tc>
          <w:tcPr>
            <w:tcW w:w="0" w:type="auto"/>
            <w:gridSpan w:val="3"/>
            <w:shd w:val="clear" w:color="auto" w:fill="auto"/>
            <w:tcMar>
              <w:top w:w="40" w:type="dxa"/>
              <w:left w:w="155" w:type="dxa"/>
              <w:bottom w:w="40" w:type="dxa"/>
              <w:right w:w="20" w:type="dxa"/>
            </w:tcMar>
            <w:vAlign w:val="bottom"/>
          </w:tcPr>
          <w:p w14:paraId="5A1B0E42" w14:textId="77777777" w:rsidR="00960BB8" w:rsidRDefault="00C06650">
            <w:pPr>
              <w:textAlignment w:val="bottom"/>
            </w:pPr>
            <w:r>
              <w:rPr>
                <w:rFonts w:ascii="Arial" w:eastAsia="宋体" w:hAnsi="Arial" w:cs="Arial"/>
                <w:color w:val="262626"/>
                <w:sz w:val="18"/>
                <w:szCs w:val="18"/>
              </w:rPr>
              <w:t xml:space="preserve">Actuarial valuation and other pension </w:t>
            </w:r>
            <w:r>
              <w:rPr>
                <w:rFonts w:ascii="Arial" w:eastAsia="宋体" w:hAnsi="Arial" w:cs="Arial"/>
                <w:color w:val="262626"/>
                <w:sz w:val="18"/>
                <w:szCs w:val="18"/>
              </w:rPr>
              <w:t>benefits (expenses), net</w:t>
            </w:r>
          </w:p>
        </w:tc>
        <w:tc>
          <w:tcPr>
            <w:tcW w:w="0" w:type="auto"/>
            <w:gridSpan w:val="3"/>
            <w:shd w:val="clear" w:color="auto" w:fill="auto"/>
            <w:tcMar>
              <w:top w:w="0" w:type="dxa"/>
              <w:left w:w="20" w:type="dxa"/>
              <w:bottom w:w="0" w:type="dxa"/>
              <w:right w:w="20" w:type="dxa"/>
            </w:tcMar>
            <w:vAlign w:val="bottom"/>
          </w:tcPr>
          <w:p w14:paraId="5A1B0E4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44" w14:textId="77777777" w:rsidR="00960BB8" w:rsidRDefault="00C06650">
            <w:pPr>
              <w:jc w:val="right"/>
              <w:textAlignment w:val="bottom"/>
            </w:pPr>
            <w:r>
              <w:rPr>
                <w:rFonts w:ascii="Arial" w:eastAsia="宋体" w:hAnsi="Arial" w:cs="Arial"/>
                <w:color w:val="0068B5"/>
                <w:sz w:val="18"/>
                <w:szCs w:val="18"/>
              </w:rPr>
              <w:t>855 </w:t>
            </w:r>
          </w:p>
        </w:tc>
        <w:tc>
          <w:tcPr>
            <w:tcW w:w="0" w:type="auto"/>
            <w:shd w:val="clear" w:color="auto" w:fill="auto"/>
            <w:tcMar>
              <w:top w:w="40" w:type="dxa"/>
              <w:left w:w="0" w:type="dxa"/>
              <w:bottom w:w="40" w:type="dxa"/>
              <w:right w:w="20" w:type="dxa"/>
            </w:tcMar>
            <w:vAlign w:val="bottom"/>
          </w:tcPr>
          <w:p w14:paraId="5A1B0E4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4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47" w14:textId="77777777" w:rsidR="00960BB8" w:rsidRDefault="00C06650">
            <w:pPr>
              <w:jc w:val="right"/>
              <w:textAlignment w:val="bottom"/>
            </w:pPr>
            <w:r>
              <w:rPr>
                <w:rFonts w:ascii="Arial" w:eastAsia="宋体" w:hAnsi="Arial" w:cs="Arial"/>
                <w:color w:val="262626"/>
                <w:sz w:val="18"/>
                <w:szCs w:val="18"/>
              </w:rPr>
              <w:t>451 </w:t>
            </w:r>
          </w:p>
        </w:tc>
        <w:tc>
          <w:tcPr>
            <w:tcW w:w="0" w:type="auto"/>
            <w:shd w:val="clear" w:color="auto" w:fill="auto"/>
            <w:tcMar>
              <w:top w:w="40" w:type="dxa"/>
              <w:left w:w="0" w:type="dxa"/>
              <w:bottom w:w="40" w:type="dxa"/>
              <w:right w:w="20" w:type="dxa"/>
            </w:tcMar>
            <w:vAlign w:val="bottom"/>
          </w:tcPr>
          <w:p w14:paraId="5A1B0E4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4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4A" w14:textId="77777777" w:rsidR="00960BB8" w:rsidRDefault="00C06650">
            <w:pPr>
              <w:jc w:val="right"/>
              <w:textAlignment w:val="bottom"/>
            </w:pPr>
            <w:r>
              <w:rPr>
                <w:rFonts w:ascii="Arial" w:eastAsia="宋体" w:hAnsi="Arial" w:cs="Arial"/>
                <w:color w:val="262626"/>
                <w:sz w:val="18"/>
                <w:szCs w:val="18"/>
              </w:rPr>
              <w:t>(183)</w:t>
            </w:r>
          </w:p>
        </w:tc>
        <w:tc>
          <w:tcPr>
            <w:tcW w:w="0" w:type="auto"/>
            <w:shd w:val="clear" w:color="auto" w:fill="auto"/>
            <w:tcMar>
              <w:top w:w="40" w:type="dxa"/>
              <w:left w:w="0" w:type="dxa"/>
              <w:bottom w:w="40" w:type="dxa"/>
              <w:right w:w="20" w:type="dxa"/>
            </w:tcMar>
            <w:vAlign w:val="bottom"/>
          </w:tcPr>
          <w:p w14:paraId="5A1B0E4B" w14:textId="77777777" w:rsidR="00960BB8" w:rsidRDefault="00960BB8">
            <w:pPr>
              <w:jc w:val="right"/>
              <w:rPr>
                <w:rFonts w:ascii="宋体"/>
              </w:rPr>
            </w:pPr>
          </w:p>
        </w:tc>
      </w:tr>
      <w:tr w:rsidR="00960BB8" w14:paraId="5A1B0E57" w14:textId="77777777">
        <w:tc>
          <w:tcPr>
            <w:tcW w:w="0" w:type="auto"/>
            <w:gridSpan w:val="3"/>
            <w:shd w:val="clear" w:color="auto" w:fill="auto"/>
            <w:tcMar>
              <w:top w:w="40" w:type="dxa"/>
              <w:left w:w="155" w:type="dxa"/>
              <w:bottom w:w="40" w:type="dxa"/>
              <w:right w:w="20" w:type="dxa"/>
            </w:tcMar>
            <w:vAlign w:val="bottom"/>
          </w:tcPr>
          <w:p w14:paraId="5A1B0E4D" w14:textId="77777777" w:rsidR="00960BB8" w:rsidRDefault="00C06650">
            <w:pPr>
              <w:textAlignment w:val="bottom"/>
            </w:pPr>
            <w:r>
              <w:rPr>
                <w:rFonts w:ascii="Arial" w:eastAsia="宋体" w:hAnsi="Arial" w:cs="Arial"/>
                <w:color w:val="262626"/>
                <w:sz w:val="18"/>
                <w:szCs w:val="18"/>
              </w:rPr>
              <w:t>Translation adjustments and other</w:t>
            </w:r>
          </w:p>
        </w:tc>
        <w:tc>
          <w:tcPr>
            <w:tcW w:w="0" w:type="auto"/>
            <w:gridSpan w:val="3"/>
            <w:shd w:val="clear" w:color="auto" w:fill="auto"/>
            <w:tcMar>
              <w:top w:w="0" w:type="dxa"/>
              <w:left w:w="20" w:type="dxa"/>
              <w:bottom w:w="0" w:type="dxa"/>
              <w:right w:w="20" w:type="dxa"/>
            </w:tcMar>
            <w:vAlign w:val="bottom"/>
          </w:tcPr>
          <w:p w14:paraId="5A1B0E4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4F" w14:textId="77777777" w:rsidR="00960BB8" w:rsidRDefault="00C06650">
            <w:pPr>
              <w:jc w:val="right"/>
              <w:textAlignment w:val="bottom"/>
            </w:pPr>
            <w:r>
              <w:rPr>
                <w:rFonts w:ascii="Arial" w:eastAsia="宋体" w:hAnsi="Arial" w:cs="Arial"/>
                <w:color w:val="0068B5"/>
                <w:sz w:val="18"/>
                <w:szCs w:val="18"/>
              </w:rPr>
              <w:t>(27)</w:t>
            </w:r>
          </w:p>
        </w:tc>
        <w:tc>
          <w:tcPr>
            <w:tcW w:w="0" w:type="auto"/>
            <w:shd w:val="clear" w:color="auto" w:fill="auto"/>
            <w:tcMar>
              <w:top w:w="40" w:type="dxa"/>
              <w:left w:w="0" w:type="dxa"/>
              <w:bottom w:w="40" w:type="dxa"/>
              <w:right w:w="20" w:type="dxa"/>
            </w:tcMar>
            <w:vAlign w:val="bottom"/>
          </w:tcPr>
          <w:p w14:paraId="5A1B0E5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5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52" w14:textId="77777777" w:rsidR="00960BB8" w:rsidRDefault="00C06650">
            <w:pPr>
              <w:jc w:val="right"/>
              <w:textAlignment w:val="bottom"/>
            </w:pPr>
            <w:r>
              <w:rPr>
                <w:rFonts w:ascii="Arial" w:eastAsia="宋体" w:hAnsi="Arial" w:cs="Arial"/>
                <w:color w:val="262626"/>
                <w:sz w:val="18"/>
                <w:szCs w:val="18"/>
              </w:rPr>
              <w:t>(60)</w:t>
            </w:r>
          </w:p>
        </w:tc>
        <w:tc>
          <w:tcPr>
            <w:tcW w:w="0" w:type="auto"/>
            <w:shd w:val="clear" w:color="auto" w:fill="auto"/>
            <w:tcMar>
              <w:top w:w="40" w:type="dxa"/>
              <w:left w:w="0" w:type="dxa"/>
              <w:bottom w:w="40" w:type="dxa"/>
              <w:right w:w="20" w:type="dxa"/>
            </w:tcMar>
            <w:vAlign w:val="bottom"/>
          </w:tcPr>
          <w:p w14:paraId="5A1B0E5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5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55" w14:textId="77777777" w:rsidR="00960BB8" w:rsidRDefault="00C06650">
            <w:pPr>
              <w:jc w:val="right"/>
              <w:textAlignment w:val="bottom"/>
            </w:pPr>
            <w:r>
              <w:rPr>
                <w:rFonts w:ascii="Arial" w:eastAsia="宋体" w:hAnsi="Arial" w:cs="Arial"/>
                <w:color w:val="262626"/>
                <w:sz w:val="18"/>
                <w:szCs w:val="18"/>
              </w:rPr>
              <w:t>35 </w:t>
            </w:r>
          </w:p>
        </w:tc>
        <w:tc>
          <w:tcPr>
            <w:tcW w:w="0" w:type="auto"/>
            <w:shd w:val="clear" w:color="auto" w:fill="auto"/>
            <w:tcMar>
              <w:top w:w="40" w:type="dxa"/>
              <w:left w:w="0" w:type="dxa"/>
              <w:bottom w:w="40" w:type="dxa"/>
              <w:right w:w="20" w:type="dxa"/>
            </w:tcMar>
            <w:vAlign w:val="bottom"/>
          </w:tcPr>
          <w:p w14:paraId="5A1B0E56" w14:textId="77777777" w:rsidR="00960BB8" w:rsidRDefault="00960BB8">
            <w:pPr>
              <w:jc w:val="right"/>
              <w:rPr>
                <w:rFonts w:ascii="宋体"/>
              </w:rPr>
            </w:pPr>
          </w:p>
        </w:tc>
      </w:tr>
      <w:tr w:rsidR="00960BB8" w14:paraId="5A1B0E62" w14:textId="77777777">
        <w:tc>
          <w:tcPr>
            <w:tcW w:w="0" w:type="auto"/>
            <w:gridSpan w:val="3"/>
            <w:shd w:val="clear" w:color="auto" w:fill="auto"/>
            <w:tcMar>
              <w:top w:w="40" w:type="dxa"/>
              <w:left w:w="20" w:type="dxa"/>
              <w:bottom w:w="40" w:type="dxa"/>
              <w:right w:w="20" w:type="dxa"/>
            </w:tcMar>
            <w:vAlign w:val="bottom"/>
          </w:tcPr>
          <w:p w14:paraId="5A1B0E58" w14:textId="77777777" w:rsidR="00960BB8" w:rsidRDefault="00C06650">
            <w:pPr>
              <w:textAlignment w:val="bottom"/>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5A1B0E5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E5A" w14:textId="77777777" w:rsidR="00960BB8" w:rsidRDefault="00C06650">
            <w:pPr>
              <w:jc w:val="right"/>
              <w:textAlignment w:val="bottom"/>
            </w:pPr>
            <w:r>
              <w:rPr>
                <w:rFonts w:ascii="Arial" w:eastAsia="宋体" w:hAnsi="Arial" w:cs="Arial"/>
                <w:b/>
                <w:bCs/>
                <w:color w:val="0068B5"/>
                <w:sz w:val="18"/>
                <w:szCs w:val="18"/>
              </w:rPr>
              <w:t>318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E5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5C"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E5D" w14:textId="77777777" w:rsidR="00960BB8" w:rsidRDefault="00C06650">
            <w:pPr>
              <w:jc w:val="right"/>
              <w:textAlignment w:val="bottom"/>
            </w:pPr>
            <w:r>
              <w:rPr>
                <w:rFonts w:ascii="Arial" w:eastAsia="宋体" w:hAnsi="Arial" w:cs="Arial"/>
                <w:b/>
                <w:bCs/>
                <w:color w:val="262626"/>
                <w:sz w:val="18"/>
                <w:szCs w:val="18"/>
              </w:rPr>
              <w:t>(129)</w:t>
            </w:r>
          </w:p>
        </w:tc>
        <w:tc>
          <w:tcPr>
            <w:tcW w:w="0" w:type="auto"/>
            <w:tcBorders>
              <w:top w:val="single" w:sz="4" w:space="0" w:color="262626"/>
            </w:tcBorders>
            <w:shd w:val="clear" w:color="auto" w:fill="auto"/>
            <w:tcMar>
              <w:top w:w="40" w:type="dxa"/>
              <w:left w:w="0" w:type="dxa"/>
              <w:bottom w:w="40" w:type="dxa"/>
              <w:right w:w="20" w:type="dxa"/>
            </w:tcMar>
            <w:vAlign w:val="bottom"/>
          </w:tcPr>
          <w:p w14:paraId="5A1B0E5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5F"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E60" w14:textId="77777777" w:rsidR="00960BB8" w:rsidRDefault="00C06650">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E61" w14:textId="77777777" w:rsidR="00960BB8" w:rsidRDefault="00960BB8">
            <w:pPr>
              <w:jc w:val="right"/>
              <w:rPr>
                <w:rFonts w:ascii="宋体"/>
              </w:rPr>
            </w:pPr>
          </w:p>
        </w:tc>
      </w:tr>
      <w:tr w:rsidR="00960BB8" w14:paraId="5A1B0E6D" w14:textId="77777777">
        <w:tc>
          <w:tcPr>
            <w:tcW w:w="0" w:type="auto"/>
            <w:gridSpan w:val="3"/>
            <w:shd w:val="clear" w:color="auto" w:fill="auto"/>
            <w:tcMar>
              <w:top w:w="40" w:type="dxa"/>
              <w:left w:w="20" w:type="dxa"/>
              <w:bottom w:w="40" w:type="dxa"/>
              <w:right w:w="20" w:type="dxa"/>
            </w:tcMar>
            <w:vAlign w:val="bottom"/>
          </w:tcPr>
          <w:p w14:paraId="5A1B0E63" w14:textId="77777777" w:rsidR="00960BB8" w:rsidRDefault="00C06650">
            <w:pPr>
              <w:textAlignment w:val="bottom"/>
            </w:pPr>
            <w:r>
              <w:rPr>
                <w:rFonts w:ascii="Arial" w:eastAsia="宋体" w:hAnsi="Arial" w:cs="Arial"/>
                <w:b/>
                <w:bCs/>
                <w:color w:val="262626"/>
                <w:sz w:val="18"/>
                <w:szCs w:val="18"/>
              </w:rPr>
              <w:t>T</w:t>
            </w:r>
            <w:r>
              <w:rPr>
                <w:rFonts w:ascii="Arial" w:eastAsia="宋体" w:hAnsi="Arial" w:cs="Arial"/>
                <w:b/>
                <w:bCs/>
                <w:color w:val="262626"/>
                <w:sz w:val="18"/>
                <w:szCs w:val="18"/>
              </w:rPr>
              <w:t>otal comprehensive income</w:t>
            </w:r>
          </w:p>
        </w:tc>
        <w:tc>
          <w:tcPr>
            <w:tcW w:w="0" w:type="auto"/>
            <w:gridSpan w:val="3"/>
            <w:shd w:val="clear" w:color="auto" w:fill="auto"/>
            <w:tcMar>
              <w:top w:w="0" w:type="dxa"/>
              <w:left w:w="20" w:type="dxa"/>
              <w:bottom w:w="0" w:type="dxa"/>
              <w:right w:w="20" w:type="dxa"/>
            </w:tcMar>
            <w:vAlign w:val="bottom"/>
          </w:tcPr>
          <w:p w14:paraId="5A1B0E64"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E65" w14:textId="77777777" w:rsidR="00960BB8" w:rsidRDefault="00C06650">
            <w:pPr>
              <w:jc w:val="right"/>
              <w:textAlignment w:val="bottom"/>
            </w:pPr>
            <w:r>
              <w:rPr>
                <w:rFonts w:ascii="Arial" w:eastAsia="宋体" w:hAnsi="Arial" w:cs="Arial"/>
                <w:b/>
                <w:bCs/>
                <w:color w:val="0068B5"/>
                <w:sz w:val="18"/>
                <w:szCs w:val="18"/>
              </w:rPr>
              <w:t>8,335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E6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67"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E68" w14:textId="77777777" w:rsidR="00960BB8" w:rsidRDefault="00C06650">
            <w:pPr>
              <w:jc w:val="right"/>
              <w:textAlignment w:val="bottom"/>
            </w:pPr>
            <w:r>
              <w:rPr>
                <w:rFonts w:ascii="Arial" w:eastAsia="宋体" w:hAnsi="Arial" w:cs="Arial"/>
                <w:b/>
                <w:bCs/>
                <w:color w:val="262626"/>
                <w:sz w:val="18"/>
                <w:szCs w:val="18"/>
              </w:rPr>
              <w:t>19,739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E6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6A"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E6B" w14:textId="77777777" w:rsidR="00960BB8" w:rsidRDefault="00C06650">
            <w:pPr>
              <w:jc w:val="right"/>
              <w:textAlignment w:val="bottom"/>
            </w:pPr>
            <w:r>
              <w:rPr>
                <w:rFonts w:ascii="Arial" w:eastAsia="宋体" w:hAnsi="Arial" w:cs="Arial"/>
                <w:b/>
                <w:bCs/>
                <w:color w:val="262626"/>
                <w:sz w:val="18"/>
                <w:szCs w:val="18"/>
              </w:rPr>
              <w:t>21,428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E6C" w14:textId="77777777" w:rsidR="00960BB8" w:rsidRDefault="00960BB8">
            <w:pPr>
              <w:jc w:val="right"/>
              <w:rPr>
                <w:rFonts w:ascii="宋体"/>
              </w:rPr>
            </w:pPr>
          </w:p>
        </w:tc>
      </w:tr>
      <w:tr w:rsidR="00960BB8" w14:paraId="5A1B0E78" w14:textId="77777777">
        <w:tc>
          <w:tcPr>
            <w:tcW w:w="0" w:type="auto"/>
            <w:gridSpan w:val="3"/>
            <w:shd w:val="clear" w:color="auto" w:fill="auto"/>
            <w:tcMar>
              <w:top w:w="40" w:type="dxa"/>
              <w:left w:w="20" w:type="dxa"/>
              <w:bottom w:w="40" w:type="dxa"/>
              <w:right w:w="20" w:type="dxa"/>
            </w:tcMar>
            <w:vAlign w:val="bottom"/>
          </w:tcPr>
          <w:p w14:paraId="5A1B0E6E" w14:textId="77777777" w:rsidR="00960BB8" w:rsidRDefault="00C06650">
            <w:pPr>
              <w:textAlignment w:val="bottom"/>
            </w:pPr>
            <w:r>
              <w:rPr>
                <w:rFonts w:ascii="Arial" w:eastAsia="宋体" w:hAnsi="Arial" w:cs="Arial"/>
                <w:color w:val="262626"/>
                <w:sz w:val="18"/>
                <w:szCs w:val="18"/>
              </w:rPr>
              <w:t>Less: Comprehensive income attributable to non-controlling interests</w:t>
            </w:r>
          </w:p>
        </w:tc>
        <w:tc>
          <w:tcPr>
            <w:tcW w:w="0" w:type="auto"/>
            <w:gridSpan w:val="3"/>
            <w:shd w:val="clear" w:color="auto" w:fill="auto"/>
            <w:tcMar>
              <w:top w:w="0" w:type="dxa"/>
              <w:left w:w="20" w:type="dxa"/>
              <w:bottom w:w="0" w:type="dxa"/>
              <w:right w:w="20" w:type="dxa"/>
            </w:tcMar>
            <w:vAlign w:val="bottom"/>
          </w:tcPr>
          <w:p w14:paraId="5A1B0E6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70" w14:textId="77777777" w:rsidR="00960BB8" w:rsidRDefault="00C06650">
            <w:pPr>
              <w:jc w:val="right"/>
              <w:textAlignment w:val="bottom"/>
            </w:pPr>
            <w:r>
              <w:rPr>
                <w:rFonts w:ascii="Arial" w:eastAsia="宋体" w:hAnsi="Arial" w:cs="Arial"/>
                <w:color w:val="0068B5"/>
                <w:sz w:val="18"/>
                <w:szCs w:val="18"/>
              </w:rPr>
              <w:t>3 </w:t>
            </w:r>
          </w:p>
        </w:tc>
        <w:tc>
          <w:tcPr>
            <w:tcW w:w="0" w:type="auto"/>
            <w:shd w:val="clear" w:color="auto" w:fill="auto"/>
            <w:tcMar>
              <w:top w:w="40" w:type="dxa"/>
              <w:left w:w="0" w:type="dxa"/>
              <w:bottom w:w="40" w:type="dxa"/>
              <w:right w:w="20" w:type="dxa"/>
            </w:tcMar>
            <w:vAlign w:val="bottom"/>
          </w:tcPr>
          <w:p w14:paraId="5A1B0E7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7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73"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E7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7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76"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E77" w14:textId="77777777" w:rsidR="00960BB8" w:rsidRDefault="00960BB8">
            <w:pPr>
              <w:jc w:val="right"/>
              <w:rPr>
                <w:rFonts w:ascii="宋体"/>
              </w:rPr>
            </w:pPr>
          </w:p>
        </w:tc>
      </w:tr>
      <w:tr w:rsidR="00960BB8" w14:paraId="5A1B0E86" w14:textId="77777777">
        <w:tc>
          <w:tcPr>
            <w:tcW w:w="0" w:type="auto"/>
            <w:gridSpan w:val="3"/>
            <w:shd w:val="clear" w:color="auto" w:fill="auto"/>
            <w:tcMar>
              <w:top w:w="40" w:type="dxa"/>
              <w:left w:w="20" w:type="dxa"/>
              <w:bottom w:w="40" w:type="dxa"/>
              <w:right w:w="20" w:type="dxa"/>
            </w:tcMar>
            <w:vAlign w:val="bottom"/>
          </w:tcPr>
          <w:p w14:paraId="5A1B0E79" w14:textId="77777777" w:rsidR="00960BB8" w:rsidRDefault="00C06650">
            <w:pPr>
              <w:textAlignment w:val="bottom"/>
            </w:pPr>
            <w:r>
              <w:rPr>
                <w:rFonts w:ascii="Arial" w:eastAsia="宋体" w:hAnsi="Arial" w:cs="Arial"/>
                <w:b/>
                <w:bCs/>
                <w:color w:val="262626"/>
                <w:sz w:val="18"/>
                <w:szCs w:val="18"/>
              </w:rPr>
              <w:t>Total comprehensive income attributable to Intel</w:t>
            </w:r>
          </w:p>
        </w:tc>
        <w:tc>
          <w:tcPr>
            <w:tcW w:w="0" w:type="auto"/>
            <w:gridSpan w:val="3"/>
            <w:shd w:val="clear" w:color="auto" w:fill="auto"/>
            <w:tcMar>
              <w:top w:w="0" w:type="dxa"/>
              <w:left w:w="20" w:type="dxa"/>
              <w:bottom w:w="0" w:type="dxa"/>
              <w:right w:w="20" w:type="dxa"/>
            </w:tcMar>
            <w:vAlign w:val="bottom"/>
          </w:tcPr>
          <w:p w14:paraId="5A1B0E7A" w14:textId="77777777" w:rsidR="00960BB8" w:rsidRDefault="00960BB8">
            <w:pPr>
              <w:rPr>
                <w:rFonts w:ascii="宋体"/>
              </w:rPr>
            </w:pPr>
          </w:p>
        </w:tc>
        <w:tc>
          <w:tcPr>
            <w:tcW w:w="0" w:type="auto"/>
            <w:tcBorders>
              <w:top w:val="single" w:sz="4" w:space="0" w:color="262626"/>
              <w:bottom w:val="double" w:sz="6" w:space="0" w:color="000000"/>
            </w:tcBorders>
            <w:shd w:val="clear" w:color="auto" w:fill="auto"/>
            <w:tcMar>
              <w:top w:w="40" w:type="dxa"/>
              <w:left w:w="20" w:type="dxa"/>
              <w:bottom w:w="40" w:type="dxa"/>
              <w:right w:w="0" w:type="dxa"/>
            </w:tcMar>
            <w:vAlign w:val="bottom"/>
          </w:tcPr>
          <w:p w14:paraId="5A1B0E7B"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000000"/>
            </w:tcBorders>
            <w:shd w:val="clear" w:color="auto" w:fill="auto"/>
            <w:tcMar>
              <w:top w:w="40" w:type="dxa"/>
              <w:left w:w="0" w:type="dxa"/>
              <w:bottom w:w="40" w:type="dxa"/>
              <w:right w:w="0" w:type="dxa"/>
            </w:tcMar>
            <w:vAlign w:val="bottom"/>
          </w:tcPr>
          <w:p w14:paraId="5A1B0E7C" w14:textId="77777777" w:rsidR="00960BB8" w:rsidRDefault="00C06650">
            <w:pPr>
              <w:jc w:val="right"/>
              <w:textAlignment w:val="bottom"/>
            </w:pPr>
            <w:r>
              <w:rPr>
                <w:rFonts w:ascii="Arial" w:eastAsia="宋体" w:hAnsi="Arial" w:cs="Arial"/>
                <w:b/>
                <w:bCs/>
                <w:color w:val="0068B5"/>
                <w:sz w:val="18"/>
                <w:szCs w:val="18"/>
              </w:rPr>
              <w:t>8,332</w:t>
            </w:r>
            <w:r>
              <w:rPr>
                <w:rFonts w:ascii="Arial" w:eastAsia="宋体" w:hAnsi="Arial" w:cs="Arial"/>
                <w:color w:val="0068B5"/>
                <w:sz w:val="18"/>
                <w:szCs w:val="18"/>
              </w:rPr>
              <w:t> </w:t>
            </w:r>
          </w:p>
        </w:tc>
        <w:tc>
          <w:tcPr>
            <w:tcW w:w="0" w:type="auto"/>
            <w:tcBorders>
              <w:top w:val="single" w:sz="4" w:space="0" w:color="262626"/>
              <w:bottom w:val="double" w:sz="6" w:space="0" w:color="000000"/>
            </w:tcBorders>
            <w:shd w:val="clear" w:color="auto" w:fill="auto"/>
            <w:tcMar>
              <w:top w:w="40" w:type="dxa"/>
              <w:left w:w="0" w:type="dxa"/>
              <w:bottom w:w="40" w:type="dxa"/>
              <w:right w:w="20" w:type="dxa"/>
            </w:tcMar>
            <w:vAlign w:val="bottom"/>
          </w:tcPr>
          <w:p w14:paraId="5A1B0E7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7E" w14:textId="77777777" w:rsidR="00960BB8" w:rsidRDefault="00960BB8">
            <w:pPr>
              <w:rPr>
                <w:rFonts w:ascii="宋体"/>
              </w:rPr>
            </w:pPr>
          </w:p>
        </w:tc>
        <w:tc>
          <w:tcPr>
            <w:tcW w:w="0" w:type="auto"/>
            <w:tcBorders>
              <w:top w:val="single" w:sz="4" w:space="0" w:color="262626"/>
              <w:bottom w:val="double" w:sz="6" w:space="0" w:color="000000"/>
            </w:tcBorders>
            <w:shd w:val="clear" w:color="auto" w:fill="auto"/>
            <w:tcMar>
              <w:top w:w="40" w:type="dxa"/>
              <w:left w:w="20" w:type="dxa"/>
              <w:bottom w:w="40" w:type="dxa"/>
              <w:right w:w="0" w:type="dxa"/>
            </w:tcMar>
            <w:vAlign w:val="bottom"/>
          </w:tcPr>
          <w:p w14:paraId="5A1B0E7F"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000000"/>
            </w:tcBorders>
            <w:shd w:val="clear" w:color="auto" w:fill="auto"/>
            <w:tcMar>
              <w:top w:w="40" w:type="dxa"/>
              <w:left w:w="0" w:type="dxa"/>
              <w:bottom w:w="40" w:type="dxa"/>
              <w:right w:w="0" w:type="dxa"/>
            </w:tcMar>
            <w:vAlign w:val="bottom"/>
          </w:tcPr>
          <w:p w14:paraId="5A1B0E80" w14:textId="77777777" w:rsidR="00960BB8" w:rsidRDefault="00C06650">
            <w:pPr>
              <w:jc w:val="right"/>
              <w:textAlignment w:val="bottom"/>
            </w:pPr>
            <w:r>
              <w:rPr>
                <w:rFonts w:ascii="Arial" w:eastAsia="宋体" w:hAnsi="Arial" w:cs="Arial"/>
                <w:b/>
                <w:bCs/>
                <w:color w:val="262626"/>
                <w:sz w:val="18"/>
                <w:szCs w:val="18"/>
              </w:rPr>
              <w:t>19,739</w:t>
            </w:r>
            <w:r>
              <w:rPr>
                <w:rFonts w:ascii="Arial" w:eastAsia="宋体" w:hAnsi="Arial" w:cs="Arial"/>
                <w:color w:val="262626"/>
                <w:sz w:val="18"/>
                <w:szCs w:val="18"/>
              </w:rPr>
              <w:t> </w:t>
            </w:r>
          </w:p>
        </w:tc>
        <w:tc>
          <w:tcPr>
            <w:tcW w:w="0" w:type="auto"/>
            <w:tcBorders>
              <w:top w:val="single" w:sz="4" w:space="0" w:color="262626"/>
              <w:bottom w:val="double" w:sz="6" w:space="0" w:color="000000"/>
            </w:tcBorders>
            <w:shd w:val="clear" w:color="auto" w:fill="auto"/>
            <w:tcMar>
              <w:top w:w="40" w:type="dxa"/>
              <w:left w:w="0" w:type="dxa"/>
              <w:bottom w:w="40" w:type="dxa"/>
              <w:right w:w="20" w:type="dxa"/>
            </w:tcMar>
            <w:vAlign w:val="bottom"/>
          </w:tcPr>
          <w:p w14:paraId="5A1B0E8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82" w14:textId="77777777" w:rsidR="00960BB8" w:rsidRDefault="00960BB8">
            <w:pPr>
              <w:rPr>
                <w:rFonts w:ascii="宋体"/>
              </w:rPr>
            </w:pPr>
          </w:p>
        </w:tc>
        <w:tc>
          <w:tcPr>
            <w:tcW w:w="0" w:type="auto"/>
            <w:tcBorders>
              <w:top w:val="single" w:sz="4" w:space="0" w:color="262626"/>
              <w:bottom w:val="double" w:sz="6" w:space="0" w:color="000000"/>
            </w:tcBorders>
            <w:shd w:val="clear" w:color="auto" w:fill="auto"/>
            <w:tcMar>
              <w:top w:w="40" w:type="dxa"/>
              <w:left w:w="20" w:type="dxa"/>
              <w:bottom w:w="40" w:type="dxa"/>
              <w:right w:w="0" w:type="dxa"/>
            </w:tcMar>
            <w:vAlign w:val="bottom"/>
          </w:tcPr>
          <w:p w14:paraId="5A1B0E83"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000000"/>
            </w:tcBorders>
            <w:shd w:val="clear" w:color="auto" w:fill="auto"/>
            <w:tcMar>
              <w:top w:w="40" w:type="dxa"/>
              <w:left w:w="0" w:type="dxa"/>
              <w:bottom w:w="40" w:type="dxa"/>
              <w:right w:w="0" w:type="dxa"/>
            </w:tcMar>
            <w:vAlign w:val="bottom"/>
          </w:tcPr>
          <w:p w14:paraId="5A1B0E84" w14:textId="77777777" w:rsidR="00960BB8" w:rsidRDefault="00C06650">
            <w:pPr>
              <w:jc w:val="right"/>
              <w:textAlignment w:val="bottom"/>
            </w:pPr>
            <w:r>
              <w:rPr>
                <w:rFonts w:ascii="Arial" w:eastAsia="宋体" w:hAnsi="Arial" w:cs="Arial"/>
                <w:b/>
                <w:bCs/>
                <w:color w:val="262626"/>
                <w:sz w:val="18"/>
                <w:szCs w:val="18"/>
              </w:rPr>
              <w:t>21,428</w:t>
            </w:r>
            <w:r>
              <w:rPr>
                <w:rFonts w:ascii="Arial" w:eastAsia="宋体" w:hAnsi="Arial" w:cs="Arial"/>
                <w:color w:val="262626"/>
                <w:sz w:val="18"/>
                <w:szCs w:val="18"/>
              </w:rPr>
              <w:t> </w:t>
            </w:r>
          </w:p>
        </w:tc>
        <w:tc>
          <w:tcPr>
            <w:tcW w:w="0" w:type="auto"/>
            <w:tcBorders>
              <w:top w:val="single" w:sz="4" w:space="0" w:color="262626"/>
              <w:bottom w:val="double" w:sz="6" w:space="0" w:color="000000"/>
            </w:tcBorders>
            <w:shd w:val="clear" w:color="auto" w:fill="auto"/>
            <w:tcMar>
              <w:top w:w="40" w:type="dxa"/>
              <w:left w:w="0" w:type="dxa"/>
              <w:bottom w:w="40" w:type="dxa"/>
              <w:right w:w="20" w:type="dxa"/>
            </w:tcMar>
            <w:vAlign w:val="bottom"/>
          </w:tcPr>
          <w:p w14:paraId="5A1B0E85" w14:textId="77777777" w:rsidR="00960BB8" w:rsidRDefault="00960BB8">
            <w:pPr>
              <w:jc w:val="right"/>
              <w:rPr>
                <w:rFonts w:ascii="宋体"/>
              </w:rPr>
            </w:pPr>
          </w:p>
        </w:tc>
      </w:tr>
    </w:tbl>
    <w:p w14:paraId="5A1B0E87" w14:textId="77777777" w:rsidR="00960BB8" w:rsidRDefault="00C06650">
      <w:pPr>
        <w:spacing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960BB8" w14:paraId="5A1B0E94" w14:textId="77777777">
        <w:tc>
          <w:tcPr>
            <w:tcW w:w="50" w:type="pct"/>
            <w:shd w:val="clear" w:color="auto" w:fill="auto"/>
            <w:vAlign w:val="bottom"/>
          </w:tcPr>
          <w:p w14:paraId="5A1B0E88" w14:textId="77777777" w:rsidR="00960BB8" w:rsidRDefault="00960BB8">
            <w:pPr>
              <w:rPr>
                <w:rFonts w:ascii="宋体"/>
              </w:rPr>
            </w:pPr>
          </w:p>
        </w:tc>
        <w:tc>
          <w:tcPr>
            <w:tcW w:w="276" w:type="pct"/>
            <w:shd w:val="clear" w:color="auto" w:fill="auto"/>
            <w:vAlign w:val="bottom"/>
          </w:tcPr>
          <w:p w14:paraId="5A1B0E89" w14:textId="77777777" w:rsidR="00960BB8" w:rsidRDefault="00960BB8">
            <w:pPr>
              <w:rPr>
                <w:rFonts w:ascii="宋体"/>
              </w:rPr>
            </w:pPr>
          </w:p>
        </w:tc>
        <w:tc>
          <w:tcPr>
            <w:tcW w:w="5" w:type="pct"/>
            <w:shd w:val="clear" w:color="auto" w:fill="auto"/>
            <w:vAlign w:val="bottom"/>
          </w:tcPr>
          <w:p w14:paraId="5A1B0E8A" w14:textId="77777777" w:rsidR="00960BB8" w:rsidRDefault="00960BB8">
            <w:pPr>
              <w:rPr>
                <w:rFonts w:ascii="宋体"/>
              </w:rPr>
            </w:pPr>
          </w:p>
        </w:tc>
        <w:tc>
          <w:tcPr>
            <w:tcW w:w="50" w:type="pct"/>
            <w:shd w:val="clear" w:color="auto" w:fill="auto"/>
            <w:vAlign w:val="bottom"/>
          </w:tcPr>
          <w:p w14:paraId="5A1B0E8B" w14:textId="77777777" w:rsidR="00960BB8" w:rsidRDefault="00960BB8">
            <w:pPr>
              <w:rPr>
                <w:rFonts w:ascii="宋体"/>
              </w:rPr>
            </w:pPr>
          </w:p>
        </w:tc>
        <w:tc>
          <w:tcPr>
            <w:tcW w:w="940" w:type="pct"/>
            <w:shd w:val="clear" w:color="auto" w:fill="auto"/>
            <w:vAlign w:val="bottom"/>
          </w:tcPr>
          <w:p w14:paraId="5A1B0E8C" w14:textId="77777777" w:rsidR="00960BB8" w:rsidRDefault="00960BB8">
            <w:pPr>
              <w:rPr>
                <w:rFonts w:ascii="宋体"/>
              </w:rPr>
            </w:pPr>
          </w:p>
        </w:tc>
        <w:tc>
          <w:tcPr>
            <w:tcW w:w="5" w:type="pct"/>
            <w:shd w:val="clear" w:color="auto" w:fill="auto"/>
            <w:vAlign w:val="bottom"/>
          </w:tcPr>
          <w:p w14:paraId="5A1B0E8D" w14:textId="77777777" w:rsidR="00960BB8" w:rsidRDefault="00960BB8">
            <w:pPr>
              <w:rPr>
                <w:rFonts w:ascii="宋体"/>
              </w:rPr>
            </w:pPr>
          </w:p>
        </w:tc>
        <w:tc>
          <w:tcPr>
            <w:tcW w:w="50" w:type="pct"/>
            <w:shd w:val="clear" w:color="auto" w:fill="auto"/>
            <w:vAlign w:val="bottom"/>
          </w:tcPr>
          <w:p w14:paraId="5A1B0E8E" w14:textId="77777777" w:rsidR="00960BB8" w:rsidRDefault="00960BB8">
            <w:pPr>
              <w:rPr>
                <w:rFonts w:ascii="宋体"/>
              </w:rPr>
            </w:pPr>
          </w:p>
        </w:tc>
        <w:tc>
          <w:tcPr>
            <w:tcW w:w="1837" w:type="pct"/>
            <w:shd w:val="clear" w:color="auto" w:fill="auto"/>
            <w:vAlign w:val="bottom"/>
          </w:tcPr>
          <w:p w14:paraId="5A1B0E8F" w14:textId="77777777" w:rsidR="00960BB8" w:rsidRDefault="00960BB8">
            <w:pPr>
              <w:rPr>
                <w:rFonts w:ascii="宋体"/>
              </w:rPr>
            </w:pPr>
          </w:p>
        </w:tc>
        <w:tc>
          <w:tcPr>
            <w:tcW w:w="5" w:type="pct"/>
            <w:shd w:val="clear" w:color="auto" w:fill="auto"/>
            <w:vAlign w:val="bottom"/>
          </w:tcPr>
          <w:p w14:paraId="5A1B0E90" w14:textId="77777777" w:rsidR="00960BB8" w:rsidRDefault="00960BB8">
            <w:pPr>
              <w:rPr>
                <w:rFonts w:ascii="宋体"/>
              </w:rPr>
            </w:pPr>
          </w:p>
        </w:tc>
        <w:tc>
          <w:tcPr>
            <w:tcW w:w="50" w:type="pct"/>
            <w:shd w:val="clear" w:color="auto" w:fill="auto"/>
            <w:vAlign w:val="bottom"/>
          </w:tcPr>
          <w:p w14:paraId="5A1B0E91" w14:textId="77777777" w:rsidR="00960BB8" w:rsidRDefault="00960BB8">
            <w:pPr>
              <w:rPr>
                <w:rFonts w:ascii="宋体"/>
              </w:rPr>
            </w:pPr>
          </w:p>
        </w:tc>
        <w:tc>
          <w:tcPr>
            <w:tcW w:w="1724" w:type="pct"/>
            <w:shd w:val="clear" w:color="auto" w:fill="auto"/>
            <w:vAlign w:val="bottom"/>
          </w:tcPr>
          <w:p w14:paraId="5A1B0E92" w14:textId="77777777" w:rsidR="00960BB8" w:rsidRDefault="00960BB8">
            <w:pPr>
              <w:rPr>
                <w:rFonts w:ascii="宋体"/>
              </w:rPr>
            </w:pPr>
          </w:p>
        </w:tc>
        <w:tc>
          <w:tcPr>
            <w:tcW w:w="5" w:type="pct"/>
            <w:shd w:val="clear" w:color="auto" w:fill="auto"/>
            <w:vAlign w:val="bottom"/>
          </w:tcPr>
          <w:p w14:paraId="5A1B0E93" w14:textId="77777777" w:rsidR="00960BB8" w:rsidRDefault="00960BB8">
            <w:pPr>
              <w:rPr>
                <w:rFonts w:ascii="宋体"/>
              </w:rPr>
            </w:pPr>
          </w:p>
        </w:tc>
      </w:tr>
      <w:tr w:rsidR="00960BB8" w14:paraId="5A1B0E99"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E95"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69" wp14:editId="5A1B446A">
                  <wp:extent cx="304800" cy="304800"/>
                  <wp:effectExtent l="0" t="0" r="0" b="0"/>
                  <wp:docPr id="93" name="图片 24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43"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E96"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0E97" w14:textId="77777777" w:rsidR="00960BB8" w:rsidRDefault="00C06650">
            <w:pPr>
              <w:textAlignment w:val="center"/>
            </w:pPr>
            <w:r>
              <w:rPr>
                <w:rFonts w:ascii="Arial" w:eastAsia="宋体" w:hAnsi="Arial" w:cs="Arial"/>
                <w:color w:val="262626"/>
                <w:sz w:val="16"/>
                <w:szCs w:val="16"/>
              </w:rPr>
              <w:t>Consolidated Statements of Comprehensive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0E98" w14:textId="77777777" w:rsidR="00960BB8" w:rsidRDefault="00C06650">
            <w:pPr>
              <w:jc w:val="right"/>
              <w:textAlignment w:val="center"/>
            </w:pPr>
            <w:r>
              <w:rPr>
                <w:rFonts w:ascii="Arial" w:eastAsia="宋体" w:hAnsi="Arial" w:cs="Arial"/>
                <w:color w:val="262626"/>
                <w:sz w:val="16"/>
                <w:szCs w:val="16"/>
              </w:rPr>
              <w:t>77</w:t>
            </w:r>
          </w:p>
        </w:tc>
      </w:tr>
    </w:tbl>
    <w:p w14:paraId="5A1B0E9A" w14:textId="77777777" w:rsidR="00960BB8" w:rsidRDefault="00C06650">
      <w:r>
        <w:pict w14:anchorId="5A1B446B">
          <v:rect id="_x0000_i1103" style="width:415.3pt;height:1.5pt" o:hralign="center" o:hrstd="t" o:hr="t" fillcolor="#a0a0a0" stroked="f"/>
        </w:pict>
      </w:r>
    </w:p>
    <w:p w14:paraId="5A1B0E9B" w14:textId="77777777" w:rsidR="00960BB8" w:rsidRDefault="00C06650">
      <w:pPr>
        <w:jc w:val="right"/>
      </w:pPr>
      <w:hyperlink r:id="rId126" w:anchor="i8aaa7b4dbd2e419ca0f5c30af85a11aa_16" w:history="1">
        <w:r>
          <w:rPr>
            <w:rStyle w:val="a5"/>
            <w:rFonts w:ascii="Arial" w:eastAsia="宋体" w:hAnsi="Arial" w:cs="Arial"/>
            <w:b/>
            <w:bCs/>
            <w:sz w:val="16"/>
            <w:szCs w:val="16"/>
          </w:rPr>
          <w:t>Table of Contents</w:t>
        </w:r>
      </w:hyperlink>
    </w:p>
    <w:p w14:paraId="5A1B0E9C"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0EA3" w14:textId="77777777">
        <w:tc>
          <w:tcPr>
            <w:tcW w:w="50" w:type="pct"/>
            <w:shd w:val="clear" w:color="auto" w:fill="auto"/>
            <w:vAlign w:val="bottom"/>
          </w:tcPr>
          <w:p w14:paraId="5A1B0E9D" w14:textId="77777777" w:rsidR="00960BB8" w:rsidRDefault="00960BB8">
            <w:pPr>
              <w:rPr>
                <w:rFonts w:ascii="宋体"/>
              </w:rPr>
            </w:pPr>
          </w:p>
        </w:tc>
        <w:tc>
          <w:tcPr>
            <w:tcW w:w="4870" w:type="pct"/>
            <w:shd w:val="clear" w:color="auto" w:fill="auto"/>
            <w:vAlign w:val="bottom"/>
          </w:tcPr>
          <w:p w14:paraId="5A1B0E9E" w14:textId="77777777" w:rsidR="00960BB8" w:rsidRDefault="00960BB8">
            <w:pPr>
              <w:rPr>
                <w:rFonts w:ascii="宋体"/>
              </w:rPr>
            </w:pPr>
          </w:p>
        </w:tc>
        <w:tc>
          <w:tcPr>
            <w:tcW w:w="5" w:type="pct"/>
            <w:shd w:val="clear" w:color="auto" w:fill="auto"/>
            <w:vAlign w:val="bottom"/>
          </w:tcPr>
          <w:p w14:paraId="5A1B0E9F" w14:textId="77777777" w:rsidR="00960BB8" w:rsidRDefault="00960BB8">
            <w:pPr>
              <w:rPr>
                <w:rFonts w:ascii="宋体"/>
              </w:rPr>
            </w:pPr>
          </w:p>
        </w:tc>
        <w:tc>
          <w:tcPr>
            <w:tcW w:w="5" w:type="pct"/>
            <w:shd w:val="clear" w:color="auto" w:fill="auto"/>
            <w:vAlign w:val="bottom"/>
          </w:tcPr>
          <w:p w14:paraId="5A1B0EA0" w14:textId="77777777" w:rsidR="00960BB8" w:rsidRDefault="00960BB8">
            <w:pPr>
              <w:rPr>
                <w:rFonts w:ascii="宋体"/>
              </w:rPr>
            </w:pPr>
          </w:p>
        </w:tc>
        <w:tc>
          <w:tcPr>
            <w:tcW w:w="64" w:type="pct"/>
            <w:shd w:val="clear" w:color="auto" w:fill="auto"/>
            <w:vAlign w:val="bottom"/>
          </w:tcPr>
          <w:p w14:paraId="5A1B0EA1" w14:textId="77777777" w:rsidR="00960BB8" w:rsidRDefault="00960BB8">
            <w:pPr>
              <w:rPr>
                <w:rFonts w:ascii="宋体"/>
              </w:rPr>
            </w:pPr>
          </w:p>
        </w:tc>
        <w:tc>
          <w:tcPr>
            <w:tcW w:w="5" w:type="pct"/>
            <w:shd w:val="clear" w:color="auto" w:fill="auto"/>
            <w:vAlign w:val="bottom"/>
          </w:tcPr>
          <w:p w14:paraId="5A1B0EA2" w14:textId="77777777" w:rsidR="00960BB8" w:rsidRDefault="00960BB8">
            <w:pPr>
              <w:rPr>
                <w:rFonts w:ascii="宋体"/>
              </w:rPr>
            </w:pPr>
          </w:p>
        </w:tc>
      </w:tr>
      <w:tr w:rsidR="00960BB8" w14:paraId="5A1B0EA6" w14:textId="77777777">
        <w:tc>
          <w:tcPr>
            <w:tcW w:w="0" w:type="auto"/>
            <w:gridSpan w:val="3"/>
            <w:shd w:val="clear" w:color="auto" w:fill="004A86"/>
            <w:tcMar>
              <w:top w:w="40" w:type="dxa"/>
              <w:left w:w="20" w:type="dxa"/>
              <w:bottom w:w="40" w:type="dxa"/>
              <w:right w:w="20" w:type="dxa"/>
            </w:tcMar>
            <w:vAlign w:val="center"/>
          </w:tcPr>
          <w:p w14:paraId="5A1B0EA4" w14:textId="77777777" w:rsidR="00960BB8" w:rsidRDefault="00C06650">
            <w:pPr>
              <w:textAlignment w:val="center"/>
            </w:pPr>
            <w:r>
              <w:rPr>
                <w:rFonts w:ascii="Arial" w:eastAsia="宋体" w:hAnsi="Arial" w:cs="Arial"/>
                <w:color w:val="FFFFFF"/>
                <w:sz w:val="36"/>
                <w:szCs w:val="36"/>
              </w:rPr>
              <w:t>Consolidated Balance Sheets</w:t>
            </w:r>
          </w:p>
        </w:tc>
        <w:tc>
          <w:tcPr>
            <w:tcW w:w="0" w:type="auto"/>
            <w:gridSpan w:val="3"/>
            <w:shd w:val="clear" w:color="auto" w:fill="auto"/>
            <w:tcMar>
              <w:top w:w="0" w:type="dxa"/>
              <w:left w:w="20" w:type="dxa"/>
              <w:bottom w:w="0" w:type="dxa"/>
              <w:right w:w="20" w:type="dxa"/>
            </w:tcMar>
            <w:vAlign w:val="bottom"/>
          </w:tcPr>
          <w:p w14:paraId="5A1B0EA5" w14:textId="77777777" w:rsidR="00960BB8" w:rsidRDefault="00960BB8">
            <w:pPr>
              <w:rPr>
                <w:rFonts w:ascii="宋体"/>
              </w:rPr>
            </w:pPr>
          </w:p>
        </w:tc>
      </w:tr>
      <w:tr w:rsidR="00960BB8" w14:paraId="5A1B0EA9" w14:textId="77777777">
        <w:trPr>
          <w:trHeight w:val="160"/>
        </w:trPr>
        <w:tc>
          <w:tcPr>
            <w:tcW w:w="0" w:type="auto"/>
            <w:gridSpan w:val="3"/>
            <w:shd w:val="clear" w:color="auto" w:fill="auto"/>
            <w:tcMar>
              <w:top w:w="0" w:type="dxa"/>
              <w:left w:w="20" w:type="dxa"/>
              <w:bottom w:w="0" w:type="dxa"/>
              <w:right w:w="20" w:type="dxa"/>
            </w:tcMar>
            <w:vAlign w:val="bottom"/>
          </w:tcPr>
          <w:p w14:paraId="5A1B0EA7"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0EA8" w14:textId="77777777" w:rsidR="00960BB8" w:rsidRDefault="00960BB8">
            <w:pPr>
              <w:rPr>
                <w:rFonts w:ascii="宋体"/>
              </w:rPr>
            </w:pPr>
          </w:p>
        </w:tc>
      </w:tr>
    </w:tbl>
    <w:p w14:paraId="5A1B0EAA"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6100"/>
        <w:gridCol w:w="40"/>
        <w:gridCol w:w="36"/>
        <w:gridCol w:w="36"/>
        <w:gridCol w:w="36"/>
        <w:gridCol w:w="121"/>
        <w:gridCol w:w="812"/>
        <w:gridCol w:w="36"/>
        <w:gridCol w:w="36"/>
        <w:gridCol w:w="36"/>
        <w:gridCol w:w="36"/>
        <w:gridCol w:w="121"/>
        <w:gridCol w:w="813"/>
        <w:gridCol w:w="36"/>
      </w:tblGrid>
      <w:tr w:rsidR="00960BB8" w14:paraId="5A1B0EBA" w14:textId="77777777">
        <w:tc>
          <w:tcPr>
            <w:tcW w:w="50" w:type="pct"/>
            <w:shd w:val="clear" w:color="auto" w:fill="auto"/>
            <w:vAlign w:val="bottom"/>
          </w:tcPr>
          <w:p w14:paraId="5A1B0EAB" w14:textId="77777777" w:rsidR="00960BB8" w:rsidRDefault="00960BB8">
            <w:pPr>
              <w:rPr>
                <w:rFonts w:ascii="宋体"/>
              </w:rPr>
            </w:pPr>
          </w:p>
        </w:tc>
        <w:tc>
          <w:tcPr>
            <w:tcW w:w="3688" w:type="pct"/>
            <w:shd w:val="clear" w:color="auto" w:fill="auto"/>
            <w:vAlign w:val="bottom"/>
          </w:tcPr>
          <w:p w14:paraId="5A1B0EAC" w14:textId="77777777" w:rsidR="00960BB8" w:rsidRDefault="00960BB8">
            <w:pPr>
              <w:rPr>
                <w:rFonts w:ascii="宋体"/>
              </w:rPr>
            </w:pPr>
          </w:p>
        </w:tc>
        <w:tc>
          <w:tcPr>
            <w:tcW w:w="5" w:type="pct"/>
            <w:shd w:val="clear" w:color="auto" w:fill="auto"/>
            <w:vAlign w:val="bottom"/>
          </w:tcPr>
          <w:p w14:paraId="5A1B0EAD" w14:textId="77777777" w:rsidR="00960BB8" w:rsidRDefault="00960BB8">
            <w:pPr>
              <w:rPr>
                <w:rFonts w:ascii="宋体"/>
              </w:rPr>
            </w:pPr>
          </w:p>
        </w:tc>
        <w:tc>
          <w:tcPr>
            <w:tcW w:w="5" w:type="pct"/>
            <w:shd w:val="clear" w:color="auto" w:fill="auto"/>
            <w:vAlign w:val="bottom"/>
          </w:tcPr>
          <w:p w14:paraId="5A1B0EAE" w14:textId="77777777" w:rsidR="00960BB8" w:rsidRDefault="00960BB8">
            <w:pPr>
              <w:rPr>
                <w:rFonts w:ascii="宋体"/>
              </w:rPr>
            </w:pPr>
          </w:p>
        </w:tc>
        <w:tc>
          <w:tcPr>
            <w:tcW w:w="24" w:type="pct"/>
            <w:shd w:val="clear" w:color="auto" w:fill="auto"/>
            <w:vAlign w:val="bottom"/>
          </w:tcPr>
          <w:p w14:paraId="5A1B0EAF" w14:textId="77777777" w:rsidR="00960BB8" w:rsidRDefault="00960BB8">
            <w:pPr>
              <w:rPr>
                <w:rFonts w:ascii="宋体"/>
              </w:rPr>
            </w:pPr>
          </w:p>
        </w:tc>
        <w:tc>
          <w:tcPr>
            <w:tcW w:w="5" w:type="pct"/>
            <w:shd w:val="clear" w:color="auto" w:fill="auto"/>
            <w:vAlign w:val="bottom"/>
          </w:tcPr>
          <w:p w14:paraId="5A1B0EB0" w14:textId="77777777" w:rsidR="00960BB8" w:rsidRDefault="00960BB8">
            <w:pPr>
              <w:rPr>
                <w:rFonts w:ascii="宋体"/>
              </w:rPr>
            </w:pPr>
          </w:p>
        </w:tc>
        <w:tc>
          <w:tcPr>
            <w:tcW w:w="50" w:type="pct"/>
            <w:shd w:val="clear" w:color="auto" w:fill="auto"/>
            <w:vAlign w:val="bottom"/>
          </w:tcPr>
          <w:p w14:paraId="5A1B0EB1" w14:textId="77777777" w:rsidR="00960BB8" w:rsidRDefault="00960BB8">
            <w:pPr>
              <w:rPr>
                <w:rFonts w:ascii="宋体"/>
              </w:rPr>
            </w:pPr>
          </w:p>
        </w:tc>
        <w:tc>
          <w:tcPr>
            <w:tcW w:w="539" w:type="pct"/>
            <w:shd w:val="clear" w:color="auto" w:fill="auto"/>
            <w:vAlign w:val="bottom"/>
          </w:tcPr>
          <w:p w14:paraId="5A1B0EB2" w14:textId="77777777" w:rsidR="00960BB8" w:rsidRDefault="00960BB8">
            <w:pPr>
              <w:rPr>
                <w:rFonts w:ascii="宋体"/>
              </w:rPr>
            </w:pPr>
          </w:p>
        </w:tc>
        <w:tc>
          <w:tcPr>
            <w:tcW w:w="5" w:type="pct"/>
            <w:shd w:val="clear" w:color="auto" w:fill="auto"/>
            <w:vAlign w:val="bottom"/>
          </w:tcPr>
          <w:p w14:paraId="5A1B0EB3" w14:textId="77777777" w:rsidR="00960BB8" w:rsidRDefault="00960BB8">
            <w:pPr>
              <w:rPr>
                <w:rFonts w:ascii="宋体"/>
              </w:rPr>
            </w:pPr>
          </w:p>
        </w:tc>
        <w:tc>
          <w:tcPr>
            <w:tcW w:w="5" w:type="pct"/>
            <w:shd w:val="clear" w:color="auto" w:fill="auto"/>
            <w:vAlign w:val="bottom"/>
          </w:tcPr>
          <w:p w14:paraId="5A1B0EB4" w14:textId="77777777" w:rsidR="00960BB8" w:rsidRDefault="00960BB8">
            <w:pPr>
              <w:rPr>
                <w:rFonts w:ascii="宋体"/>
              </w:rPr>
            </w:pPr>
          </w:p>
        </w:tc>
        <w:tc>
          <w:tcPr>
            <w:tcW w:w="24" w:type="pct"/>
            <w:shd w:val="clear" w:color="auto" w:fill="auto"/>
            <w:vAlign w:val="bottom"/>
          </w:tcPr>
          <w:p w14:paraId="5A1B0EB5" w14:textId="77777777" w:rsidR="00960BB8" w:rsidRDefault="00960BB8">
            <w:pPr>
              <w:rPr>
                <w:rFonts w:ascii="宋体"/>
              </w:rPr>
            </w:pPr>
          </w:p>
        </w:tc>
        <w:tc>
          <w:tcPr>
            <w:tcW w:w="5" w:type="pct"/>
            <w:shd w:val="clear" w:color="auto" w:fill="auto"/>
            <w:vAlign w:val="bottom"/>
          </w:tcPr>
          <w:p w14:paraId="5A1B0EB6" w14:textId="77777777" w:rsidR="00960BB8" w:rsidRDefault="00960BB8">
            <w:pPr>
              <w:rPr>
                <w:rFonts w:ascii="宋体"/>
              </w:rPr>
            </w:pPr>
          </w:p>
        </w:tc>
        <w:tc>
          <w:tcPr>
            <w:tcW w:w="50" w:type="pct"/>
            <w:shd w:val="clear" w:color="auto" w:fill="auto"/>
            <w:vAlign w:val="bottom"/>
          </w:tcPr>
          <w:p w14:paraId="5A1B0EB7" w14:textId="77777777" w:rsidR="00960BB8" w:rsidRDefault="00960BB8">
            <w:pPr>
              <w:rPr>
                <w:rFonts w:ascii="宋体"/>
              </w:rPr>
            </w:pPr>
          </w:p>
        </w:tc>
        <w:tc>
          <w:tcPr>
            <w:tcW w:w="539" w:type="pct"/>
            <w:shd w:val="clear" w:color="auto" w:fill="auto"/>
            <w:vAlign w:val="bottom"/>
          </w:tcPr>
          <w:p w14:paraId="5A1B0EB8" w14:textId="77777777" w:rsidR="00960BB8" w:rsidRDefault="00960BB8">
            <w:pPr>
              <w:rPr>
                <w:rFonts w:ascii="宋体"/>
              </w:rPr>
            </w:pPr>
          </w:p>
        </w:tc>
        <w:tc>
          <w:tcPr>
            <w:tcW w:w="5" w:type="pct"/>
            <w:shd w:val="clear" w:color="auto" w:fill="auto"/>
            <w:vAlign w:val="bottom"/>
          </w:tcPr>
          <w:p w14:paraId="5A1B0EB9" w14:textId="77777777" w:rsidR="00960BB8" w:rsidRDefault="00960BB8">
            <w:pPr>
              <w:rPr>
                <w:rFonts w:ascii="宋体"/>
              </w:rPr>
            </w:pPr>
          </w:p>
        </w:tc>
      </w:tr>
      <w:tr w:rsidR="00960BB8" w14:paraId="5A1B0EC0" w14:textId="77777777">
        <w:tc>
          <w:tcPr>
            <w:tcW w:w="0" w:type="auto"/>
            <w:gridSpan w:val="3"/>
            <w:shd w:val="clear" w:color="auto" w:fill="auto"/>
            <w:tcMar>
              <w:top w:w="40" w:type="dxa"/>
              <w:left w:w="20" w:type="dxa"/>
              <w:bottom w:w="40" w:type="dxa"/>
              <w:right w:w="20" w:type="dxa"/>
            </w:tcMar>
            <w:vAlign w:val="bottom"/>
          </w:tcPr>
          <w:p w14:paraId="5A1B0EBB" w14:textId="77777777" w:rsidR="00960BB8" w:rsidRDefault="00C06650">
            <w:pPr>
              <w:textAlignment w:val="bottom"/>
            </w:pPr>
            <w:r>
              <w:rPr>
                <w:rFonts w:ascii="Arial" w:eastAsia="宋体" w:hAnsi="Arial" w:cs="Arial"/>
                <w:b/>
                <w:bCs/>
                <w:color w:val="262626"/>
                <w:sz w:val="18"/>
                <w:szCs w:val="18"/>
              </w:rPr>
              <w:t xml:space="preserve">(In Millions, Except </w:t>
            </w:r>
            <w:r>
              <w:rPr>
                <w:rFonts w:ascii="Arial" w:eastAsia="宋体" w:hAnsi="Arial" w:cs="Arial"/>
                <w:b/>
                <w:bCs/>
                <w:color w:val="262626"/>
                <w:sz w:val="18"/>
                <w:szCs w:val="18"/>
              </w:rPr>
              <w:t>Par Value)</w:t>
            </w:r>
          </w:p>
        </w:tc>
        <w:tc>
          <w:tcPr>
            <w:tcW w:w="0" w:type="auto"/>
            <w:gridSpan w:val="3"/>
            <w:shd w:val="clear" w:color="auto" w:fill="auto"/>
            <w:tcMar>
              <w:top w:w="0" w:type="dxa"/>
              <w:left w:w="20" w:type="dxa"/>
              <w:bottom w:w="0" w:type="dxa"/>
              <w:right w:w="20" w:type="dxa"/>
            </w:tcMar>
            <w:vAlign w:val="bottom"/>
          </w:tcPr>
          <w:p w14:paraId="5A1B0EB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EBD"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0EB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0EBF"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0EC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0EC1" w14:textId="77777777" w:rsidR="00960BB8" w:rsidRDefault="00C06650">
            <w:pPr>
              <w:textAlignment w:val="bottom"/>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5A1B0EC2"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0EC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EC4"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0EC5" w14:textId="77777777" w:rsidR="00960BB8" w:rsidRDefault="00960BB8">
            <w:pPr>
              <w:rPr>
                <w:rFonts w:ascii="宋体"/>
              </w:rPr>
            </w:pPr>
          </w:p>
        </w:tc>
      </w:tr>
      <w:tr w:rsidR="00960BB8" w14:paraId="5A1B0ECC" w14:textId="77777777">
        <w:tc>
          <w:tcPr>
            <w:tcW w:w="0" w:type="auto"/>
            <w:gridSpan w:val="3"/>
            <w:shd w:val="clear" w:color="auto" w:fill="auto"/>
            <w:tcMar>
              <w:top w:w="40" w:type="dxa"/>
              <w:left w:w="20" w:type="dxa"/>
              <w:bottom w:w="40" w:type="dxa"/>
              <w:right w:w="20" w:type="dxa"/>
            </w:tcMar>
            <w:vAlign w:val="bottom"/>
          </w:tcPr>
          <w:p w14:paraId="5A1B0EC7" w14:textId="77777777" w:rsidR="00960BB8" w:rsidRDefault="00C06650">
            <w:pPr>
              <w:textAlignment w:val="bottom"/>
            </w:pPr>
            <w:r>
              <w:rPr>
                <w:rFonts w:ascii="Arial" w:eastAsia="宋体" w:hAnsi="Arial" w:cs="Arial"/>
                <w:color w:val="262626"/>
                <w:sz w:val="18"/>
                <w:szCs w:val="18"/>
              </w:rPr>
              <w:t>Current assets:</w:t>
            </w:r>
          </w:p>
        </w:tc>
        <w:tc>
          <w:tcPr>
            <w:tcW w:w="0" w:type="auto"/>
            <w:gridSpan w:val="3"/>
            <w:shd w:val="clear" w:color="auto" w:fill="auto"/>
            <w:tcMar>
              <w:top w:w="0" w:type="dxa"/>
              <w:left w:w="20" w:type="dxa"/>
              <w:bottom w:w="0" w:type="dxa"/>
              <w:right w:w="20" w:type="dxa"/>
            </w:tcMar>
            <w:vAlign w:val="bottom"/>
          </w:tcPr>
          <w:p w14:paraId="5A1B0EC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EC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EC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ECB" w14:textId="77777777" w:rsidR="00960BB8" w:rsidRDefault="00960BB8">
            <w:pPr>
              <w:rPr>
                <w:rFonts w:ascii="宋体"/>
              </w:rPr>
            </w:pPr>
          </w:p>
        </w:tc>
      </w:tr>
      <w:tr w:rsidR="00960BB8" w14:paraId="5A1B0ED6" w14:textId="77777777">
        <w:tc>
          <w:tcPr>
            <w:tcW w:w="0" w:type="auto"/>
            <w:gridSpan w:val="3"/>
            <w:shd w:val="clear" w:color="auto" w:fill="auto"/>
            <w:tcMar>
              <w:top w:w="40" w:type="dxa"/>
              <w:left w:w="155" w:type="dxa"/>
              <w:bottom w:w="40" w:type="dxa"/>
              <w:right w:w="20" w:type="dxa"/>
            </w:tcMar>
            <w:vAlign w:val="bottom"/>
          </w:tcPr>
          <w:p w14:paraId="5A1B0ECD" w14:textId="77777777" w:rsidR="00960BB8" w:rsidRDefault="00C06650">
            <w:pPr>
              <w:textAlignment w:val="bottom"/>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5A1B0ECE"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ECF"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0ED0" w14:textId="77777777" w:rsidR="00960BB8" w:rsidRDefault="00C06650">
            <w:pPr>
              <w:jc w:val="right"/>
              <w:textAlignment w:val="bottom"/>
            </w:pPr>
            <w:r>
              <w:rPr>
                <w:rFonts w:ascii="Arial" w:eastAsia="宋体" w:hAnsi="Arial" w:cs="Arial"/>
                <w:color w:val="0068B5"/>
                <w:sz w:val="18"/>
                <w:szCs w:val="18"/>
              </w:rPr>
              <w:t>11,144 </w:t>
            </w:r>
          </w:p>
        </w:tc>
        <w:tc>
          <w:tcPr>
            <w:tcW w:w="0" w:type="auto"/>
            <w:shd w:val="clear" w:color="auto" w:fill="auto"/>
            <w:tcMar>
              <w:top w:w="40" w:type="dxa"/>
              <w:left w:w="0" w:type="dxa"/>
              <w:bottom w:w="40" w:type="dxa"/>
              <w:right w:w="20" w:type="dxa"/>
            </w:tcMar>
            <w:vAlign w:val="bottom"/>
          </w:tcPr>
          <w:p w14:paraId="5A1B0ED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D2"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ED3"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ED4" w14:textId="77777777" w:rsidR="00960BB8" w:rsidRDefault="00C06650">
            <w:pPr>
              <w:jc w:val="right"/>
              <w:textAlignment w:val="bottom"/>
            </w:pPr>
            <w:r>
              <w:rPr>
                <w:rFonts w:ascii="Arial" w:eastAsia="宋体" w:hAnsi="Arial" w:cs="Arial"/>
                <w:color w:val="262626"/>
                <w:sz w:val="18"/>
                <w:szCs w:val="18"/>
              </w:rPr>
              <w:t>4,827 </w:t>
            </w:r>
          </w:p>
        </w:tc>
        <w:tc>
          <w:tcPr>
            <w:tcW w:w="0" w:type="auto"/>
            <w:shd w:val="clear" w:color="auto" w:fill="auto"/>
            <w:tcMar>
              <w:top w:w="40" w:type="dxa"/>
              <w:left w:w="0" w:type="dxa"/>
              <w:bottom w:w="40" w:type="dxa"/>
              <w:right w:w="20" w:type="dxa"/>
            </w:tcMar>
            <w:vAlign w:val="bottom"/>
          </w:tcPr>
          <w:p w14:paraId="5A1B0ED5" w14:textId="77777777" w:rsidR="00960BB8" w:rsidRDefault="00960BB8">
            <w:pPr>
              <w:jc w:val="right"/>
              <w:rPr>
                <w:rFonts w:ascii="宋体"/>
              </w:rPr>
            </w:pPr>
          </w:p>
        </w:tc>
      </w:tr>
      <w:tr w:rsidR="00960BB8" w14:paraId="5A1B0EDE" w14:textId="77777777">
        <w:tc>
          <w:tcPr>
            <w:tcW w:w="0" w:type="auto"/>
            <w:gridSpan w:val="3"/>
            <w:shd w:val="clear" w:color="auto" w:fill="auto"/>
            <w:tcMar>
              <w:top w:w="40" w:type="dxa"/>
              <w:left w:w="155" w:type="dxa"/>
              <w:bottom w:w="40" w:type="dxa"/>
              <w:right w:w="20" w:type="dxa"/>
            </w:tcMar>
            <w:vAlign w:val="bottom"/>
          </w:tcPr>
          <w:p w14:paraId="5A1B0ED7" w14:textId="77777777" w:rsidR="00960BB8" w:rsidRDefault="00C06650">
            <w:pPr>
              <w:textAlignment w:val="bottom"/>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5A1B0ED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D9" w14:textId="77777777" w:rsidR="00960BB8" w:rsidRDefault="00C06650">
            <w:pPr>
              <w:jc w:val="right"/>
              <w:textAlignment w:val="bottom"/>
            </w:pPr>
            <w:r>
              <w:rPr>
                <w:rFonts w:ascii="Arial" w:eastAsia="宋体" w:hAnsi="Arial" w:cs="Arial"/>
                <w:color w:val="0068B5"/>
                <w:sz w:val="18"/>
                <w:szCs w:val="18"/>
              </w:rPr>
              <w:t>17,194 </w:t>
            </w:r>
          </w:p>
        </w:tc>
        <w:tc>
          <w:tcPr>
            <w:tcW w:w="0" w:type="auto"/>
            <w:shd w:val="clear" w:color="auto" w:fill="auto"/>
            <w:tcMar>
              <w:top w:w="40" w:type="dxa"/>
              <w:left w:w="0" w:type="dxa"/>
              <w:bottom w:w="40" w:type="dxa"/>
              <w:right w:w="20" w:type="dxa"/>
            </w:tcMar>
            <w:vAlign w:val="bottom"/>
          </w:tcPr>
          <w:p w14:paraId="5A1B0ED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D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DC" w14:textId="77777777" w:rsidR="00960BB8" w:rsidRDefault="00C06650">
            <w:pPr>
              <w:jc w:val="right"/>
              <w:textAlignment w:val="bottom"/>
            </w:pPr>
            <w:r>
              <w:rPr>
                <w:rFonts w:ascii="Arial" w:eastAsia="宋体" w:hAnsi="Arial" w:cs="Arial"/>
                <w:color w:val="262626"/>
                <w:sz w:val="18"/>
                <w:szCs w:val="18"/>
              </w:rPr>
              <w:t>24,426 </w:t>
            </w:r>
          </w:p>
        </w:tc>
        <w:tc>
          <w:tcPr>
            <w:tcW w:w="0" w:type="auto"/>
            <w:shd w:val="clear" w:color="auto" w:fill="auto"/>
            <w:tcMar>
              <w:top w:w="40" w:type="dxa"/>
              <w:left w:w="0" w:type="dxa"/>
              <w:bottom w:w="40" w:type="dxa"/>
              <w:right w:w="20" w:type="dxa"/>
            </w:tcMar>
            <w:vAlign w:val="bottom"/>
          </w:tcPr>
          <w:p w14:paraId="5A1B0EDD" w14:textId="77777777" w:rsidR="00960BB8" w:rsidRDefault="00960BB8">
            <w:pPr>
              <w:jc w:val="right"/>
              <w:rPr>
                <w:rFonts w:ascii="宋体"/>
              </w:rPr>
            </w:pPr>
          </w:p>
        </w:tc>
      </w:tr>
      <w:tr w:rsidR="00960BB8" w14:paraId="5A1B0EE4" w14:textId="77777777">
        <w:trPr>
          <w:hidden/>
        </w:trPr>
        <w:tc>
          <w:tcPr>
            <w:tcW w:w="0" w:type="auto"/>
            <w:gridSpan w:val="3"/>
            <w:shd w:val="clear" w:color="auto" w:fill="auto"/>
            <w:vAlign w:val="bottom"/>
          </w:tcPr>
          <w:p w14:paraId="5A1B0EDF" w14:textId="77777777" w:rsidR="00960BB8" w:rsidRDefault="00960BB8">
            <w:pPr>
              <w:rPr>
                <w:rFonts w:ascii="宋体"/>
                <w:vanish/>
              </w:rPr>
            </w:pPr>
          </w:p>
        </w:tc>
        <w:tc>
          <w:tcPr>
            <w:tcW w:w="0" w:type="auto"/>
            <w:gridSpan w:val="3"/>
            <w:shd w:val="clear" w:color="auto" w:fill="auto"/>
            <w:vAlign w:val="bottom"/>
          </w:tcPr>
          <w:p w14:paraId="5A1B0EE0" w14:textId="77777777" w:rsidR="00960BB8" w:rsidRDefault="00960BB8">
            <w:pPr>
              <w:rPr>
                <w:rFonts w:ascii="宋体"/>
                <w:vanish/>
              </w:rPr>
            </w:pPr>
          </w:p>
        </w:tc>
        <w:tc>
          <w:tcPr>
            <w:tcW w:w="0" w:type="auto"/>
            <w:gridSpan w:val="3"/>
            <w:shd w:val="clear" w:color="auto" w:fill="auto"/>
            <w:vAlign w:val="bottom"/>
          </w:tcPr>
          <w:p w14:paraId="5A1B0EE1" w14:textId="77777777" w:rsidR="00960BB8" w:rsidRDefault="00960BB8">
            <w:pPr>
              <w:rPr>
                <w:rFonts w:ascii="宋体"/>
                <w:vanish/>
              </w:rPr>
            </w:pPr>
          </w:p>
        </w:tc>
        <w:tc>
          <w:tcPr>
            <w:tcW w:w="0" w:type="auto"/>
            <w:gridSpan w:val="3"/>
            <w:shd w:val="clear" w:color="auto" w:fill="auto"/>
            <w:vAlign w:val="bottom"/>
          </w:tcPr>
          <w:p w14:paraId="5A1B0EE2" w14:textId="77777777" w:rsidR="00960BB8" w:rsidRDefault="00960BB8">
            <w:pPr>
              <w:rPr>
                <w:rFonts w:ascii="宋体"/>
                <w:vanish/>
              </w:rPr>
            </w:pPr>
          </w:p>
        </w:tc>
        <w:tc>
          <w:tcPr>
            <w:tcW w:w="0" w:type="auto"/>
            <w:gridSpan w:val="3"/>
            <w:shd w:val="clear" w:color="auto" w:fill="auto"/>
            <w:vAlign w:val="bottom"/>
          </w:tcPr>
          <w:p w14:paraId="5A1B0EE3" w14:textId="77777777" w:rsidR="00960BB8" w:rsidRDefault="00960BB8">
            <w:pPr>
              <w:rPr>
                <w:rFonts w:ascii="宋体"/>
                <w:vanish/>
              </w:rPr>
            </w:pPr>
          </w:p>
        </w:tc>
      </w:tr>
      <w:tr w:rsidR="00960BB8" w14:paraId="5A1B0EEC" w14:textId="77777777">
        <w:tc>
          <w:tcPr>
            <w:tcW w:w="0" w:type="auto"/>
            <w:gridSpan w:val="3"/>
            <w:shd w:val="clear" w:color="auto" w:fill="auto"/>
            <w:tcMar>
              <w:top w:w="40" w:type="dxa"/>
              <w:left w:w="155" w:type="dxa"/>
              <w:bottom w:w="40" w:type="dxa"/>
              <w:right w:w="20" w:type="dxa"/>
            </w:tcMar>
            <w:vAlign w:val="bottom"/>
          </w:tcPr>
          <w:p w14:paraId="5A1B0EE5" w14:textId="77777777" w:rsidR="00960BB8" w:rsidRDefault="00C06650">
            <w:pPr>
              <w:textAlignment w:val="bottom"/>
            </w:pPr>
            <w:r>
              <w:rPr>
                <w:rFonts w:ascii="Arial" w:eastAsia="宋体" w:hAnsi="Arial" w:cs="Arial"/>
                <w:color w:val="262626"/>
                <w:sz w:val="18"/>
                <w:szCs w:val="18"/>
              </w:rPr>
              <w:t>Accounts receivable, net</w:t>
            </w:r>
          </w:p>
        </w:tc>
        <w:tc>
          <w:tcPr>
            <w:tcW w:w="0" w:type="auto"/>
            <w:gridSpan w:val="3"/>
            <w:shd w:val="clear" w:color="auto" w:fill="auto"/>
            <w:tcMar>
              <w:top w:w="0" w:type="dxa"/>
              <w:left w:w="20" w:type="dxa"/>
              <w:bottom w:w="0" w:type="dxa"/>
              <w:right w:w="20" w:type="dxa"/>
            </w:tcMar>
            <w:vAlign w:val="bottom"/>
          </w:tcPr>
          <w:p w14:paraId="5A1B0EE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E7" w14:textId="77777777" w:rsidR="00960BB8" w:rsidRDefault="00C06650">
            <w:pPr>
              <w:jc w:val="right"/>
              <w:textAlignment w:val="bottom"/>
            </w:pPr>
            <w:r>
              <w:rPr>
                <w:rFonts w:ascii="Arial" w:eastAsia="宋体" w:hAnsi="Arial" w:cs="Arial"/>
                <w:color w:val="0068B5"/>
                <w:sz w:val="18"/>
                <w:szCs w:val="18"/>
              </w:rPr>
              <w:t>4,133 </w:t>
            </w:r>
          </w:p>
        </w:tc>
        <w:tc>
          <w:tcPr>
            <w:tcW w:w="0" w:type="auto"/>
            <w:shd w:val="clear" w:color="auto" w:fill="auto"/>
            <w:tcMar>
              <w:top w:w="40" w:type="dxa"/>
              <w:left w:w="0" w:type="dxa"/>
              <w:bottom w:w="40" w:type="dxa"/>
              <w:right w:w="20" w:type="dxa"/>
            </w:tcMar>
            <w:vAlign w:val="bottom"/>
          </w:tcPr>
          <w:p w14:paraId="5A1B0EE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E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EA" w14:textId="77777777" w:rsidR="00960BB8" w:rsidRDefault="00C06650">
            <w:pPr>
              <w:jc w:val="right"/>
              <w:textAlignment w:val="bottom"/>
            </w:pPr>
            <w:r>
              <w:rPr>
                <w:rFonts w:ascii="Arial" w:eastAsia="宋体" w:hAnsi="Arial" w:cs="Arial"/>
                <w:color w:val="262626"/>
                <w:sz w:val="18"/>
                <w:szCs w:val="18"/>
              </w:rPr>
              <w:t>9,457 </w:t>
            </w:r>
          </w:p>
        </w:tc>
        <w:tc>
          <w:tcPr>
            <w:tcW w:w="0" w:type="auto"/>
            <w:shd w:val="clear" w:color="auto" w:fill="auto"/>
            <w:tcMar>
              <w:top w:w="40" w:type="dxa"/>
              <w:left w:w="0" w:type="dxa"/>
              <w:bottom w:w="40" w:type="dxa"/>
              <w:right w:w="20" w:type="dxa"/>
            </w:tcMar>
            <w:vAlign w:val="bottom"/>
          </w:tcPr>
          <w:p w14:paraId="5A1B0EEB" w14:textId="77777777" w:rsidR="00960BB8" w:rsidRDefault="00960BB8">
            <w:pPr>
              <w:jc w:val="right"/>
              <w:rPr>
                <w:rFonts w:ascii="宋体"/>
              </w:rPr>
            </w:pPr>
          </w:p>
        </w:tc>
      </w:tr>
      <w:tr w:rsidR="00960BB8" w14:paraId="5A1B0EF4" w14:textId="77777777">
        <w:tc>
          <w:tcPr>
            <w:tcW w:w="0" w:type="auto"/>
            <w:gridSpan w:val="3"/>
            <w:shd w:val="clear" w:color="auto" w:fill="auto"/>
            <w:tcMar>
              <w:top w:w="40" w:type="dxa"/>
              <w:left w:w="155" w:type="dxa"/>
              <w:bottom w:w="40" w:type="dxa"/>
              <w:right w:w="20" w:type="dxa"/>
            </w:tcMar>
            <w:vAlign w:val="bottom"/>
          </w:tcPr>
          <w:p w14:paraId="5A1B0EED" w14:textId="77777777" w:rsidR="00960BB8" w:rsidRDefault="00C06650">
            <w:pPr>
              <w:textAlignment w:val="bottom"/>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5A1B0EE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EF" w14:textId="77777777" w:rsidR="00960BB8" w:rsidRDefault="00C06650">
            <w:pPr>
              <w:jc w:val="right"/>
              <w:textAlignment w:val="bottom"/>
            </w:pPr>
            <w:r>
              <w:rPr>
                <w:rFonts w:ascii="Arial" w:eastAsia="宋体" w:hAnsi="Arial" w:cs="Arial"/>
                <w:color w:val="0068B5"/>
                <w:sz w:val="18"/>
                <w:szCs w:val="18"/>
              </w:rPr>
              <w:t>13,224 </w:t>
            </w:r>
          </w:p>
        </w:tc>
        <w:tc>
          <w:tcPr>
            <w:tcW w:w="0" w:type="auto"/>
            <w:shd w:val="clear" w:color="auto" w:fill="auto"/>
            <w:tcMar>
              <w:top w:w="40" w:type="dxa"/>
              <w:left w:w="0" w:type="dxa"/>
              <w:bottom w:w="40" w:type="dxa"/>
              <w:right w:w="20" w:type="dxa"/>
            </w:tcMar>
            <w:vAlign w:val="bottom"/>
          </w:tcPr>
          <w:p w14:paraId="5A1B0EF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F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F2" w14:textId="77777777" w:rsidR="00960BB8" w:rsidRDefault="00C06650">
            <w:pPr>
              <w:jc w:val="right"/>
              <w:textAlignment w:val="bottom"/>
            </w:pPr>
            <w:r>
              <w:rPr>
                <w:rFonts w:ascii="Arial" w:eastAsia="宋体" w:hAnsi="Arial" w:cs="Arial"/>
                <w:color w:val="262626"/>
                <w:sz w:val="18"/>
                <w:szCs w:val="18"/>
              </w:rPr>
              <w:t>10,776 </w:t>
            </w:r>
          </w:p>
        </w:tc>
        <w:tc>
          <w:tcPr>
            <w:tcW w:w="0" w:type="auto"/>
            <w:shd w:val="clear" w:color="auto" w:fill="auto"/>
            <w:tcMar>
              <w:top w:w="40" w:type="dxa"/>
              <w:left w:w="0" w:type="dxa"/>
              <w:bottom w:w="40" w:type="dxa"/>
              <w:right w:w="20" w:type="dxa"/>
            </w:tcMar>
            <w:vAlign w:val="bottom"/>
          </w:tcPr>
          <w:p w14:paraId="5A1B0EF3" w14:textId="77777777" w:rsidR="00960BB8" w:rsidRDefault="00960BB8">
            <w:pPr>
              <w:jc w:val="right"/>
              <w:rPr>
                <w:rFonts w:ascii="宋体"/>
              </w:rPr>
            </w:pPr>
          </w:p>
        </w:tc>
      </w:tr>
      <w:tr w:rsidR="00960BB8" w14:paraId="5A1B0EFA" w14:textId="77777777">
        <w:trPr>
          <w:hidden/>
        </w:trPr>
        <w:tc>
          <w:tcPr>
            <w:tcW w:w="0" w:type="auto"/>
            <w:gridSpan w:val="3"/>
            <w:shd w:val="clear" w:color="auto" w:fill="auto"/>
            <w:vAlign w:val="bottom"/>
          </w:tcPr>
          <w:p w14:paraId="5A1B0EF5" w14:textId="77777777" w:rsidR="00960BB8" w:rsidRDefault="00960BB8">
            <w:pPr>
              <w:rPr>
                <w:rFonts w:ascii="宋体"/>
                <w:vanish/>
              </w:rPr>
            </w:pPr>
          </w:p>
        </w:tc>
        <w:tc>
          <w:tcPr>
            <w:tcW w:w="0" w:type="auto"/>
            <w:gridSpan w:val="3"/>
            <w:shd w:val="clear" w:color="auto" w:fill="auto"/>
            <w:vAlign w:val="bottom"/>
          </w:tcPr>
          <w:p w14:paraId="5A1B0EF6" w14:textId="77777777" w:rsidR="00960BB8" w:rsidRDefault="00960BB8">
            <w:pPr>
              <w:rPr>
                <w:rFonts w:ascii="宋体"/>
                <w:vanish/>
              </w:rPr>
            </w:pPr>
          </w:p>
        </w:tc>
        <w:tc>
          <w:tcPr>
            <w:tcW w:w="0" w:type="auto"/>
            <w:gridSpan w:val="3"/>
            <w:shd w:val="clear" w:color="auto" w:fill="auto"/>
            <w:vAlign w:val="bottom"/>
          </w:tcPr>
          <w:p w14:paraId="5A1B0EF7" w14:textId="77777777" w:rsidR="00960BB8" w:rsidRDefault="00960BB8">
            <w:pPr>
              <w:rPr>
                <w:rFonts w:ascii="宋体"/>
                <w:vanish/>
              </w:rPr>
            </w:pPr>
          </w:p>
        </w:tc>
        <w:tc>
          <w:tcPr>
            <w:tcW w:w="0" w:type="auto"/>
            <w:gridSpan w:val="3"/>
            <w:shd w:val="clear" w:color="auto" w:fill="auto"/>
            <w:vAlign w:val="bottom"/>
          </w:tcPr>
          <w:p w14:paraId="5A1B0EF8" w14:textId="77777777" w:rsidR="00960BB8" w:rsidRDefault="00960BB8">
            <w:pPr>
              <w:rPr>
                <w:rFonts w:ascii="宋体"/>
                <w:vanish/>
              </w:rPr>
            </w:pPr>
          </w:p>
        </w:tc>
        <w:tc>
          <w:tcPr>
            <w:tcW w:w="0" w:type="auto"/>
            <w:gridSpan w:val="3"/>
            <w:shd w:val="clear" w:color="auto" w:fill="auto"/>
            <w:vAlign w:val="bottom"/>
          </w:tcPr>
          <w:p w14:paraId="5A1B0EF9" w14:textId="77777777" w:rsidR="00960BB8" w:rsidRDefault="00960BB8">
            <w:pPr>
              <w:rPr>
                <w:rFonts w:ascii="宋体"/>
                <w:vanish/>
              </w:rPr>
            </w:pPr>
          </w:p>
        </w:tc>
      </w:tr>
      <w:tr w:rsidR="00960BB8" w14:paraId="5A1B0F02" w14:textId="77777777">
        <w:tc>
          <w:tcPr>
            <w:tcW w:w="0" w:type="auto"/>
            <w:gridSpan w:val="3"/>
            <w:shd w:val="clear" w:color="auto" w:fill="auto"/>
            <w:tcMar>
              <w:top w:w="40" w:type="dxa"/>
              <w:left w:w="155" w:type="dxa"/>
              <w:bottom w:w="40" w:type="dxa"/>
              <w:right w:w="20" w:type="dxa"/>
            </w:tcMar>
            <w:vAlign w:val="bottom"/>
          </w:tcPr>
          <w:p w14:paraId="5A1B0EFB" w14:textId="77777777" w:rsidR="00960BB8" w:rsidRDefault="00C06650">
            <w:pPr>
              <w:textAlignment w:val="bottom"/>
            </w:pPr>
            <w:r>
              <w:rPr>
                <w:rFonts w:ascii="Arial" w:eastAsia="宋体" w:hAnsi="Arial" w:cs="Arial"/>
                <w:color w:val="262626"/>
                <w:sz w:val="18"/>
                <w:szCs w:val="18"/>
              </w:rPr>
              <w:t>Assets held for sale</w:t>
            </w:r>
          </w:p>
        </w:tc>
        <w:tc>
          <w:tcPr>
            <w:tcW w:w="0" w:type="auto"/>
            <w:gridSpan w:val="3"/>
            <w:shd w:val="clear" w:color="auto" w:fill="auto"/>
            <w:tcMar>
              <w:top w:w="0" w:type="dxa"/>
              <w:left w:w="20" w:type="dxa"/>
              <w:bottom w:w="0" w:type="dxa"/>
              <w:right w:w="20" w:type="dxa"/>
            </w:tcMar>
            <w:vAlign w:val="bottom"/>
          </w:tcPr>
          <w:p w14:paraId="5A1B0EF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EFD" w14:textId="77777777" w:rsidR="00960BB8" w:rsidRDefault="00C06650">
            <w:pPr>
              <w:jc w:val="right"/>
              <w:textAlignment w:val="bottom"/>
            </w:pPr>
            <w:r>
              <w:rPr>
                <w:rFonts w:ascii="Arial" w:eastAsia="宋体" w:hAnsi="Arial" w:cs="Arial"/>
                <w:color w:val="0068B5"/>
                <w:sz w:val="18"/>
                <w:szCs w:val="18"/>
              </w:rPr>
              <w:t>45 </w:t>
            </w:r>
          </w:p>
        </w:tc>
        <w:tc>
          <w:tcPr>
            <w:tcW w:w="0" w:type="auto"/>
            <w:shd w:val="clear" w:color="auto" w:fill="auto"/>
            <w:tcMar>
              <w:top w:w="40" w:type="dxa"/>
              <w:left w:w="0" w:type="dxa"/>
              <w:bottom w:w="40" w:type="dxa"/>
              <w:right w:w="20" w:type="dxa"/>
            </w:tcMar>
            <w:vAlign w:val="bottom"/>
          </w:tcPr>
          <w:p w14:paraId="5A1B0EF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EF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00" w14:textId="77777777" w:rsidR="00960BB8" w:rsidRDefault="00C06650">
            <w:pPr>
              <w:jc w:val="right"/>
              <w:textAlignment w:val="bottom"/>
            </w:pPr>
            <w:r>
              <w:rPr>
                <w:rFonts w:ascii="Arial" w:eastAsia="宋体" w:hAnsi="Arial" w:cs="Arial"/>
                <w:color w:val="262626"/>
                <w:sz w:val="18"/>
                <w:szCs w:val="18"/>
              </w:rPr>
              <w:t>6,942 </w:t>
            </w:r>
          </w:p>
        </w:tc>
        <w:tc>
          <w:tcPr>
            <w:tcW w:w="0" w:type="auto"/>
            <w:shd w:val="clear" w:color="auto" w:fill="auto"/>
            <w:tcMar>
              <w:top w:w="40" w:type="dxa"/>
              <w:left w:w="0" w:type="dxa"/>
              <w:bottom w:w="40" w:type="dxa"/>
              <w:right w:w="20" w:type="dxa"/>
            </w:tcMar>
            <w:vAlign w:val="bottom"/>
          </w:tcPr>
          <w:p w14:paraId="5A1B0F01" w14:textId="77777777" w:rsidR="00960BB8" w:rsidRDefault="00960BB8">
            <w:pPr>
              <w:jc w:val="right"/>
              <w:rPr>
                <w:rFonts w:ascii="宋体"/>
              </w:rPr>
            </w:pPr>
          </w:p>
        </w:tc>
      </w:tr>
      <w:tr w:rsidR="00960BB8" w14:paraId="5A1B0F0A" w14:textId="77777777">
        <w:tc>
          <w:tcPr>
            <w:tcW w:w="0" w:type="auto"/>
            <w:gridSpan w:val="3"/>
            <w:shd w:val="clear" w:color="auto" w:fill="auto"/>
            <w:tcMar>
              <w:top w:w="40" w:type="dxa"/>
              <w:left w:w="155" w:type="dxa"/>
              <w:bottom w:w="40" w:type="dxa"/>
              <w:right w:w="20" w:type="dxa"/>
            </w:tcMar>
            <w:vAlign w:val="bottom"/>
          </w:tcPr>
          <w:p w14:paraId="5A1B0F03" w14:textId="77777777" w:rsidR="00960BB8" w:rsidRDefault="00C06650">
            <w:pPr>
              <w:textAlignment w:val="bottom"/>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5A1B0F0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05" w14:textId="77777777" w:rsidR="00960BB8" w:rsidRDefault="00C06650">
            <w:pPr>
              <w:jc w:val="right"/>
              <w:textAlignment w:val="bottom"/>
            </w:pPr>
            <w:r>
              <w:rPr>
                <w:rFonts w:ascii="Arial" w:eastAsia="宋体" w:hAnsi="Arial" w:cs="Arial"/>
                <w:color w:val="0068B5"/>
                <w:sz w:val="18"/>
                <w:szCs w:val="18"/>
              </w:rPr>
              <w:t>4,667 </w:t>
            </w:r>
          </w:p>
        </w:tc>
        <w:tc>
          <w:tcPr>
            <w:tcW w:w="0" w:type="auto"/>
            <w:shd w:val="clear" w:color="auto" w:fill="auto"/>
            <w:tcMar>
              <w:top w:w="40" w:type="dxa"/>
              <w:left w:w="0" w:type="dxa"/>
              <w:bottom w:w="40" w:type="dxa"/>
              <w:right w:w="20" w:type="dxa"/>
            </w:tcMar>
            <w:vAlign w:val="bottom"/>
          </w:tcPr>
          <w:p w14:paraId="5A1B0F0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0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08" w14:textId="77777777" w:rsidR="00960BB8" w:rsidRDefault="00C06650">
            <w:pPr>
              <w:jc w:val="right"/>
              <w:textAlignment w:val="bottom"/>
            </w:pPr>
            <w:r>
              <w:rPr>
                <w:rFonts w:ascii="Arial" w:eastAsia="宋体" w:hAnsi="Arial" w:cs="Arial"/>
                <w:color w:val="262626"/>
                <w:sz w:val="18"/>
                <w:szCs w:val="18"/>
              </w:rPr>
              <w:t>2,130 </w:t>
            </w:r>
          </w:p>
        </w:tc>
        <w:tc>
          <w:tcPr>
            <w:tcW w:w="0" w:type="auto"/>
            <w:shd w:val="clear" w:color="auto" w:fill="auto"/>
            <w:tcMar>
              <w:top w:w="40" w:type="dxa"/>
              <w:left w:w="0" w:type="dxa"/>
              <w:bottom w:w="40" w:type="dxa"/>
              <w:right w:w="20" w:type="dxa"/>
            </w:tcMar>
            <w:vAlign w:val="bottom"/>
          </w:tcPr>
          <w:p w14:paraId="5A1B0F09" w14:textId="77777777" w:rsidR="00960BB8" w:rsidRDefault="00960BB8">
            <w:pPr>
              <w:jc w:val="right"/>
              <w:rPr>
                <w:rFonts w:ascii="宋体"/>
              </w:rPr>
            </w:pPr>
          </w:p>
        </w:tc>
      </w:tr>
      <w:tr w:rsidR="00960BB8" w14:paraId="5A1B0F12" w14:textId="77777777">
        <w:tc>
          <w:tcPr>
            <w:tcW w:w="0" w:type="auto"/>
            <w:gridSpan w:val="3"/>
            <w:shd w:val="clear" w:color="auto" w:fill="auto"/>
            <w:tcMar>
              <w:top w:w="40" w:type="dxa"/>
              <w:left w:w="20" w:type="dxa"/>
              <w:bottom w:w="40" w:type="dxa"/>
              <w:right w:w="20" w:type="dxa"/>
            </w:tcMar>
            <w:vAlign w:val="bottom"/>
          </w:tcPr>
          <w:p w14:paraId="5A1B0F0B" w14:textId="77777777" w:rsidR="00960BB8" w:rsidRDefault="00C06650">
            <w:pPr>
              <w:textAlignment w:val="bottom"/>
            </w:pPr>
            <w:r>
              <w:rPr>
                <w:rFonts w:ascii="Arial" w:eastAsia="宋体" w:hAnsi="Arial" w:cs="Arial"/>
                <w:b/>
                <w:bCs/>
                <w:color w:val="262626"/>
                <w:sz w:val="18"/>
                <w:szCs w:val="18"/>
              </w:rPr>
              <w:t>Total current assets</w:t>
            </w:r>
          </w:p>
        </w:tc>
        <w:tc>
          <w:tcPr>
            <w:tcW w:w="0" w:type="auto"/>
            <w:gridSpan w:val="3"/>
            <w:shd w:val="clear" w:color="auto" w:fill="auto"/>
            <w:tcMar>
              <w:top w:w="0" w:type="dxa"/>
              <w:left w:w="20" w:type="dxa"/>
              <w:bottom w:w="0" w:type="dxa"/>
              <w:right w:w="20" w:type="dxa"/>
            </w:tcMar>
            <w:vAlign w:val="bottom"/>
          </w:tcPr>
          <w:p w14:paraId="5A1B0F0C"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F0D" w14:textId="77777777" w:rsidR="00960BB8" w:rsidRDefault="00C06650">
            <w:pPr>
              <w:jc w:val="right"/>
              <w:textAlignment w:val="bottom"/>
            </w:pPr>
            <w:r>
              <w:rPr>
                <w:rFonts w:ascii="Arial" w:eastAsia="宋体" w:hAnsi="Arial" w:cs="Arial"/>
                <w:b/>
                <w:bCs/>
                <w:color w:val="0068B5"/>
                <w:sz w:val="18"/>
                <w:szCs w:val="18"/>
              </w:rPr>
              <w:t>50,407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F0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0F"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F10" w14:textId="77777777" w:rsidR="00960BB8" w:rsidRDefault="00C06650">
            <w:pPr>
              <w:jc w:val="right"/>
              <w:textAlignment w:val="bottom"/>
            </w:pPr>
            <w:r>
              <w:rPr>
                <w:rFonts w:ascii="Arial" w:eastAsia="宋体" w:hAnsi="Arial" w:cs="Arial"/>
                <w:b/>
                <w:bCs/>
                <w:color w:val="262626"/>
                <w:sz w:val="18"/>
                <w:szCs w:val="18"/>
              </w:rPr>
              <w:t>58,558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F11" w14:textId="77777777" w:rsidR="00960BB8" w:rsidRDefault="00960BB8">
            <w:pPr>
              <w:jc w:val="right"/>
              <w:rPr>
                <w:rFonts w:ascii="宋体"/>
              </w:rPr>
            </w:pPr>
          </w:p>
        </w:tc>
      </w:tr>
      <w:tr w:rsidR="00960BB8" w14:paraId="5A1B0F18" w14:textId="77777777">
        <w:trPr>
          <w:trHeight w:val="180"/>
        </w:trPr>
        <w:tc>
          <w:tcPr>
            <w:tcW w:w="0" w:type="auto"/>
            <w:gridSpan w:val="3"/>
            <w:shd w:val="clear" w:color="auto" w:fill="auto"/>
            <w:tcMar>
              <w:top w:w="0" w:type="dxa"/>
              <w:left w:w="20" w:type="dxa"/>
              <w:bottom w:w="0" w:type="dxa"/>
              <w:right w:w="20" w:type="dxa"/>
            </w:tcMar>
            <w:vAlign w:val="bottom"/>
          </w:tcPr>
          <w:p w14:paraId="5A1B0F1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1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1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1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17" w14:textId="77777777" w:rsidR="00960BB8" w:rsidRDefault="00960BB8">
            <w:pPr>
              <w:rPr>
                <w:rFonts w:ascii="宋体"/>
              </w:rPr>
            </w:pPr>
          </w:p>
        </w:tc>
      </w:tr>
      <w:tr w:rsidR="00960BB8" w14:paraId="5A1B0F20" w14:textId="77777777">
        <w:tc>
          <w:tcPr>
            <w:tcW w:w="0" w:type="auto"/>
            <w:gridSpan w:val="3"/>
            <w:shd w:val="clear" w:color="auto" w:fill="auto"/>
            <w:tcMar>
              <w:top w:w="40" w:type="dxa"/>
              <w:left w:w="20" w:type="dxa"/>
              <w:bottom w:w="40" w:type="dxa"/>
              <w:right w:w="20" w:type="dxa"/>
            </w:tcMar>
            <w:vAlign w:val="bottom"/>
          </w:tcPr>
          <w:p w14:paraId="5A1B0F19" w14:textId="77777777" w:rsidR="00960BB8" w:rsidRDefault="00C06650">
            <w:pPr>
              <w:textAlignment w:val="bottom"/>
            </w:pPr>
            <w:r>
              <w:rPr>
                <w:rFonts w:ascii="Arial" w:eastAsia="宋体" w:hAnsi="Arial" w:cs="Arial"/>
                <w:b/>
                <w:bCs/>
                <w:color w:val="262626"/>
                <w:sz w:val="18"/>
                <w:szCs w:val="18"/>
              </w:rPr>
              <w:t>Property, plant and equipment, net</w:t>
            </w:r>
          </w:p>
        </w:tc>
        <w:tc>
          <w:tcPr>
            <w:tcW w:w="0" w:type="auto"/>
            <w:gridSpan w:val="3"/>
            <w:shd w:val="clear" w:color="auto" w:fill="auto"/>
            <w:tcMar>
              <w:top w:w="0" w:type="dxa"/>
              <w:left w:w="20" w:type="dxa"/>
              <w:bottom w:w="0" w:type="dxa"/>
              <w:right w:w="20" w:type="dxa"/>
            </w:tcMar>
            <w:vAlign w:val="bottom"/>
          </w:tcPr>
          <w:p w14:paraId="5A1B0F1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1B" w14:textId="77777777" w:rsidR="00960BB8" w:rsidRDefault="00C06650">
            <w:pPr>
              <w:jc w:val="right"/>
              <w:textAlignment w:val="bottom"/>
            </w:pPr>
            <w:r>
              <w:rPr>
                <w:rFonts w:ascii="Arial" w:eastAsia="宋体" w:hAnsi="Arial" w:cs="Arial"/>
                <w:b/>
                <w:bCs/>
                <w:color w:val="0068B5"/>
                <w:sz w:val="18"/>
                <w:szCs w:val="18"/>
              </w:rPr>
              <w:t>80,860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F1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1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1E" w14:textId="77777777" w:rsidR="00960BB8" w:rsidRDefault="00C06650">
            <w:pPr>
              <w:jc w:val="right"/>
              <w:textAlignment w:val="bottom"/>
            </w:pPr>
            <w:r>
              <w:rPr>
                <w:rFonts w:ascii="Arial" w:eastAsia="宋体" w:hAnsi="Arial" w:cs="Arial"/>
                <w:b/>
                <w:bCs/>
                <w:color w:val="262626"/>
                <w:sz w:val="18"/>
                <w:szCs w:val="18"/>
              </w:rPr>
              <w:t>63,245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F1F" w14:textId="77777777" w:rsidR="00960BB8" w:rsidRDefault="00960BB8">
            <w:pPr>
              <w:jc w:val="right"/>
              <w:rPr>
                <w:rFonts w:ascii="宋体"/>
              </w:rPr>
            </w:pPr>
          </w:p>
        </w:tc>
      </w:tr>
      <w:tr w:rsidR="00960BB8" w14:paraId="5A1B0F28" w14:textId="77777777">
        <w:tc>
          <w:tcPr>
            <w:tcW w:w="0" w:type="auto"/>
            <w:gridSpan w:val="3"/>
            <w:shd w:val="clear" w:color="auto" w:fill="auto"/>
            <w:tcMar>
              <w:top w:w="40" w:type="dxa"/>
              <w:left w:w="20" w:type="dxa"/>
              <w:bottom w:w="40" w:type="dxa"/>
              <w:right w:w="20" w:type="dxa"/>
            </w:tcMar>
            <w:vAlign w:val="bottom"/>
          </w:tcPr>
          <w:p w14:paraId="5A1B0F21" w14:textId="77777777" w:rsidR="00960BB8" w:rsidRDefault="00C06650">
            <w:pPr>
              <w:textAlignment w:val="bottom"/>
            </w:pPr>
            <w:r>
              <w:rPr>
                <w:rFonts w:ascii="Arial" w:eastAsia="宋体" w:hAnsi="Arial" w:cs="Arial"/>
                <w:b/>
                <w:bCs/>
                <w:color w:val="262626"/>
                <w:sz w:val="18"/>
                <w:szCs w:val="18"/>
              </w:rPr>
              <w:t>Equity investments</w:t>
            </w:r>
          </w:p>
        </w:tc>
        <w:tc>
          <w:tcPr>
            <w:tcW w:w="0" w:type="auto"/>
            <w:gridSpan w:val="3"/>
            <w:shd w:val="clear" w:color="auto" w:fill="auto"/>
            <w:tcMar>
              <w:top w:w="0" w:type="dxa"/>
              <w:left w:w="20" w:type="dxa"/>
              <w:bottom w:w="0" w:type="dxa"/>
              <w:right w:w="20" w:type="dxa"/>
            </w:tcMar>
            <w:vAlign w:val="bottom"/>
          </w:tcPr>
          <w:p w14:paraId="5A1B0F2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23" w14:textId="77777777" w:rsidR="00960BB8" w:rsidRDefault="00C06650">
            <w:pPr>
              <w:jc w:val="right"/>
              <w:textAlignment w:val="bottom"/>
            </w:pPr>
            <w:r>
              <w:rPr>
                <w:rFonts w:ascii="Arial" w:eastAsia="宋体" w:hAnsi="Arial" w:cs="Arial"/>
                <w:b/>
                <w:bCs/>
                <w:color w:val="0068B5"/>
                <w:sz w:val="18"/>
                <w:szCs w:val="18"/>
              </w:rPr>
              <w:t>5,912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F2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2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26" w14:textId="77777777" w:rsidR="00960BB8" w:rsidRDefault="00C06650">
            <w:pPr>
              <w:jc w:val="right"/>
              <w:textAlignment w:val="bottom"/>
            </w:pPr>
            <w:r>
              <w:rPr>
                <w:rFonts w:ascii="Arial" w:eastAsia="宋体" w:hAnsi="Arial" w:cs="Arial"/>
                <w:b/>
                <w:bCs/>
                <w:color w:val="262626"/>
                <w:sz w:val="18"/>
                <w:szCs w:val="18"/>
              </w:rPr>
              <w:t>6,298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F27" w14:textId="77777777" w:rsidR="00960BB8" w:rsidRDefault="00960BB8">
            <w:pPr>
              <w:jc w:val="right"/>
              <w:rPr>
                <w:rFonts w:ascii="宋体"/>
              </w:rPr>
            </w:pPr>
          </w:p>
        </w:tc>
      </w:tr>
      <w:tr w:rsidR="00960BB8" w14:paraId="5A1B0F2E" w14:textId="77777777">
        <w:trPr>
          <w:hidden/>
        </w:trPr>
        <w:tc>
          <w:tcPr>
            <w:tcW w:w="0" w:type="auto"/>
            <w:gridSpan w:val="3"/>
            <w:shd w:val="clear" w:color="auto" w:fill="auto"/>
            <w:vAlign w:val="bottom"/>
          </w:tcPr>
          <w:p w14:paraId="5A1B0F29" w14:textId="77777777" w:rsidR="00960BB8" w:rsidRDefault="00960BB8">
            <w:pPr>
              <w:rPr>
                <w:rFonts w:ascii="宋体"/>
                <w:vanish/>
              </w:rPr>
            </w:pPr>
          </w:p>
        </w:tc>
        <w:tc>
          <w:tcPr>
            <w:tcW w:w="0" w:type="auto"/>
            <w:gridSpan w:val="3"/>
            <w:shd w:val="clear" w:color="auto" w:fill="auto"/>
            <w:vAlign w:val="bottom"/>
          </w:tcPr>
          <w:p w14:paraId="5A1B0F2A" w14:textId="77777777" w:rsidR="00960BB8" w:rsidRDefault="00960BB8">
            <w:pPr>
              <w:rPr>
                <w:rFonts w:ascii="宋体"/>
                <w:vanish/>
              </w:rPr>
            </w:pPr>
          </w:p>
        </w:tc>
        <w:tc>
          <w:tcPr>
            <w:tcW w:w="0" w:type="auto"/>
            <w:gridSpan w:val="3"/>
            <w:shd w:val="clear" w:color="auto" w:fill="auto"/>
            <w:vAlign w:val="bottom"/>
          </w:tcPr>
          <w:p w14:paraId="5A1B0F2B" w14:textId="77777777" w:rsidR="00960BB8" w:rsidRDefault="00960BB8">
            <w:pPr>
              <w:rPr>
                <w:rFonts w:ascii="宋体"/>
                <w:vanish/>
              </w:rPr>
            </w:pPr>
          </w:p>
        </w:tc>
        <w:tc>
          <w:tcPr>
            <w:tcW w:w="0" w:type="auto"/>
            <w:gridSpan w:val="3"/>
            <w:shd w:val="clear" w:color="auto" w:fill="auto"/>
            <w:vAlign w:val="bottom"/>
          </w:tcPr>
          <w:p w14:paraId="5A1B0F2C" w14:textId="77777777" w:rsidR="00960BB8" w:rsidRDefault="00960BB8">
            <w:pPr>
              <w:rPr>
                <w:rFonts w:ascii="宋体"/>
                <w:vanish/>
              </w:rPr>
            </w:pPr>
          </w:p>
        </w:tc>
        <w:tc>
          <w:tcPr>
            <w:tcW w:w="0" w:type="auto"/>
            <w:gridSpan w:val="3"/>
            <w:shd w:val="clear" w:color="auto" w:fill="auto"/>
            <w:vAlign w:val="bottom"/>
          </w:tcPr>
          <w:p w14:paraId="5A1B0F2D" w14:textId="77777777" w:rsidR="00960BB8" w:rsidRDefault="00960BB8">
            <w:pPr>
              <w:rPr>
                <w:rFonts w:ascii="宋体"/>
                <w:vanish/>
              </w:rPr>
            </w:pPr>
          </w:p>
        </w:tc>
      </w:tr>
      <w:tr w:rsidR="00960BB8" w14:paraId="5A1B0F36" w14:textId="77777777">
        <w:tc>
          <w:tcPr>
            <w:tcW w:w="0" w:type="auto"/>
            <w:gridSpan w:val="3"/>
            <w:shd w:val="clear" w:color="auto" w:fill="auto"/>
            <w:tcMar>
              <w:top w:w="40" w:type="dxa"/>
              <w:left w:w="20" w:type="dxa"/>
              <w:bottom w:w="40" w:type="dxa"/>
              <w:right w:w="20" w:type="dxa"/>
            </w:tcMar>
            <w:vAlign w:val="bottom"/>
          </w:tcPr>
          <w:p w14:paraId="5A1B0F2F" w14:textId="77777777" w:rsidR="00960BB8" w:rsidRDefault="00C06650">
            <w:pPr>
              <w:textAlignment w:val="bottom"/>
            </w:pPr>
            <w:r>
              <w:rPr>
                <w:rFonts w:ascii="Arial" w:eastAsia="宋体" w:hAnsi="Arial" w:cs="Arial"/>
                <w:b/>
                <w:bCs/>
                <w:color w:val="262626"/>
                <w:sz w:val="18"/>
                <w:szCs w:val="18"/>
              </w:rPr>
              <w:t>Goodwill</w:t>
            </w:r>
          </w:p>
        </w:tc>
        <w:tc>
          <w:tcPr>
            <w:tcW w:w="0" w:type="auto"/>
            <w:gridSpan w:val="3"/>
            <w:shd w:val="clear" w:color="auto" w:fill="auto"/>
            <w:tcMar>
              <w:top w:w="0" w:type="dxa"/>
              <w:left w:w="20" w:type="dxa"/>
              <w:bottom w:w="0" w:type="dxa"/>
              <w:right w:w="20" w:type="dxa"/>
            </w:tcMar>
            <w:vAlign w:val="bottom"/>
          </w:tcPr>
          <w:p w14:paraId="5A1B0F3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31" w14:textId="77777777" w:rsidR="00960BB8" w:rsidRDefault="00C06650">
            <w:pPr>
              <w:jc w:val="right"/>
              <w:textAlignment w:val="bottom"/>
            </w:pPr>
            <w:r>
              <w:rPr>
                <w:rFonts w:ascii="Arial" w:eastAsia="宋体" w:hAnsi="Arial" w:cs="Arial"/>
                <w:b/>
                <w:bCs/>
                <w:color w:val="0068B5"/>
                <w:sz w:val="18"/>
                <w:szCs w:val="18"/>
              </w:rPr>
              <w:t>27,591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F3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3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34" w14:textId="77777777" w:rsidR="00960BB8" w:rsidRDefault="00C06650">
            <w:pPr>
              <w:jc w:val="right"/>
              <w:textAlignment w:val="bottom"/>
            </w:pPr>
            <w:r>
              <w:rPr>
                <w:rFonts w:ascii="Arial" w:eastAsia="宋体" w:hAnsi="Arial" w:cs="Arial"/>
                <w:b/>
                <w:bCs/>
                <w:color w:val="262626"/>
                <w:sz w:val="18"/>
                <w:szCs w:val="18"/>
              </w:rPr>
              <w:t>26,963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F35" w14:textId="77777777" w:rsidR="00960BB8" w:rsidRDefault="00960BB8">
            <w:pPr>
              <w:jc w:val="right"/>
              <w:rPr>
                <w:rFonts w:ascii="宋体"/>
              </w:rPr>
            </w:pPr>
          </w:p>
        </w:tc>
      </w:tr>
      <w:tr w:rsidR="00960BB8" w14:paraId="5A1B0F3E" w14:textId="77777777">
        <w:tc>
          <w:tcPr>
            <w:tcW w:w="0" w:type="auto"/>
            <w:gridSpan w:val="3"/>
            <w:shd w:val="clear" w:color="auto" w:fill="auto"/>
            <w:tcMar>
              <w:top w:w="40" w:type="dxa"/>
              <w:left w:w="20" w:type="dxa"/>
              <w:bottom w:w="40" w:type="dxa"/>
              <w:right w:w="20" w:type="dxa"/>
            </w:tcMar>
            <w:vAlign w:val="bottom"/>
          </w:tcPr>
          <w:p w14:paraId="5A1B0F37" w14:textId="77777777" w:rsidR="00960BB8" w:rsidRDefault="00C06650">
            <w:pPr>
              <w:textAlignment w:val="bottom"/>
            </w:pPr>
            <w:r>
              <w:rPr>
                <w:rFonts w:ascii="Arial" w:eastAsia="宋体" w:hAnsi="Arial" w:cs="Arial"/>
                <w:b/>
                <w:bCs/>
                <w:color w:val="262626"/>
                <w:sz w:val="18"/>
                <w:szCs w:val="18"/>
              </w:rPr>
              <w:t>Identified intangible assets, net</w:t>
            </w:r>
          </w:p>
        </w:tc>
        <w:tc>
          <w:tcPr>
            <w:tcW w:w="0" w:type="auto"/>
            <w:gridSpan w:val="3"/>
            <w:shd w:val="clear" w:color="auto" w:fill="auto"/>
            <w:tcMar>
              <w:top w:w="0" w:type="dxa"/>
              <w:left w:w="20" w:type="dxa"/>
              <w:bottom w:w="0" w:type="dxa"/>
              <w:right w:w="20" w:type="dxa"/>
            </w:tcMar>
            <w:vAlign w:val="bottom"/>
          </w:tcPr>
          <w:p w14:paraId="5A1B0F3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39" w14:textId="77777777" w:rsidR="00960BB8" w:rsidRDefault="00C06650">
            <w:pPr>
              <w:jc w:val="right"/>
              <w:textAlignment w:val="bottom"/>
            </w:pPr>
            <w:r>
              <w:rPr>
                <w:rFonts w:ascii="Arial" w:eastAsia="宋体" w:hAnsi="Arial" w:cs="Arial"/>
                <w:b/>
                <w:bCs/>
                <w:color w:val="0068B5"/>
                <w:sz w:val="18"/>
                <w:szCs w:val="18"/>
              </w:rPr>
              <w:t>6,018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F3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3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3C" w14:textId="77777777" w:rsidR="00960BB8" w:rsidRDefault="00C06650">
            <w:pPr>
              <w:jc w:val="right"/>
              <w:textAlignment w:val="bottom"/>
            </w:pPr>
            <w:r>
              <w:rPr>
                <w:rFonts w:ascii="Arial" w:eastAsia="宋体" w:hAnsi="Arial" w:cs="Arial"/>
                <w:b/>
                <w:bCs/>
                <w:color w:val="262626"/>
                <w:sz w:val="18"/>
                <w:szCs w:val="18"/>
              </w:rPr>
              <w:t>7,270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F3D" w14:textId="77777777" w:rsidR="00960BB8" w:rsidRDefault="00960BB8">
            <w:pPr>
              <w:jc w:val="right"/>
              <w:rPr>
                <w:rFonts w:ascii="宋体"/>
              </w:rPr>
            </w:pPr>
          </w:p>
        </w:tc>
      </w:tr>
      <w:tr w:rsidR="00960BB8" w14:paraId="5A1B0F46" w14:textId="77777777">
        <w:tc>
          <w:tcPr>
            <w:tcW w:w="0" w:type="auto"/>
            <w:gridSpan w:val="3"/>
            <w:shd w:val="clear" w:color="auto" w:fill="auto"/>
            <w:tcMar>
              <w:top w:w="40" w:type="dxa"/>
              <w:left w:w="20" w:type="dxa"/>
              <w:bottom w:w="40" w:type="dxa"/>
              <w:right w:w="20" w:type="dxa"/>
            </w:tcMar>
            <w:vAlign w:val="bottom"/>
          </w:tcPr>
          <w:p w14:paraId="5A1B0F3F" w14:textId="77777777" w:rsidR="00960BB8" w:rsidRDefault="00C06650">
            <w:pPr>
              <w:textAlignment w:val="bottom"/>
            </w:pPr>
            <w:r>
              <w:rPr>
                <w:rFonts w:ascii="Arial" w:eastAsia="宋体" w:hAnsi="Arial" w:cs="Arial"/>
                <w:b/>
                <w:bCs/>
                <w:color w:val="262626"/>
                <w:sz w:val="18"/>
                <w:szCs w:val="18"/>
              </w:rPr>
              <w:t>Other long-term assets</w:t>
            </w:r>
          </w:p>
        </w:tc>
        <w:tc>
          <w:tcPr>
            <w:tcW w:w="0" w:type="auto"/>
            <w:gridSpan w:val="3"/>
            <w:shd w:val="clear" w:color="auto" w:fill="auto"/>
            <w:tcMar>
              <w:top w:w="0" w:type="dxa"/>
              <w:left w:w="20" w:type="dxa"/>
              <w:bottom w:w="0" w:type="dxa"/>
              <w:right w:w="20" w:type="dxa"/>
            </w:tcMar>
            <w:vAlign w:val="bottom"/>
          </w:tcPr>
          <w:p w14:paraId="5A1B0F4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41" w14:textId="77777777" w:rsidR="00960BB8" w:rsidRDefault="00C06650">
            <w:pPr>
              <w:jc w:val="right"/>
              <w:textAlignment w:val="bottom"/>
            </w:pPr>
            <w:r>
              <w:rPr>
                <w:rFonts w:ascii="Arial" w:eastAsia="宋体" w:hAnsi="Arial" w:cs="Arial"/>
                <w:b/>
                <w:bCs/>
                <w:color w:val="0068B5"/>
                <w:sz w:val="18"/>
                <w:szCs w:val="18"/>
              </w:rPr>
              <w:t>11,315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F4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4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44" w14:textId="77777777" w:rsidR="00960BB8" w:rsidRDefault="00C06650">
            <w:pPr>
              <w:jc w:val="right"/>
              <w:textAlignment w:val="bottom"/>
            </w:pPr>
            <w:r>
              <w:rPr>
                <w:rFonts w:ascii="Arial" w:eastAsia="宋体" w:hAnsi="Arial" w:cs="Arial"/>
                <w:b/>
                <w:bCs/>
                <w:color w:val="262626"/>
                <w:sz w:val="18"/>
                <w:szCs w:val="18"/>
              </w:rPr>
              <w:t>6,072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F45" w14:textId="77777777" w:rsidR="00960BB8" w:rsidRDefault="00960BB8">
            <w:pPr>
              <w:jc w:val="right"/>
              <w:rPr>
                <w:rFonts w:ascii="宋体"/>
              </w:rPr>
            </w:pPr>
          </w:p>
        </w:tc>
      </w:tr>
      <w:tr w:rsidR="00960BB8" w14:paraId="5A1B0F50" w14:textId="77777777">
        <w:tc>
          <w:tcPr>
            <w:tcW w:w="0" w:type="auto"/>
            <w:gridSpan w:val="3"/>
            <w:shd w:val="clear" w:color="auto" w:fill="auto"/>
            <w:tcMar>
              <w:top w:w="40" w:type="dxa"/>
              <w:left w:w="35" w:type="dxa"/>
              <w:bottom w:w="40" w:type="dxa"/>
              <w:right w:w="20" w:type="dxa"/>
            </w:tcMar>
            <w:vAlign w:val="bottom"/>
          </w:tcPr>
          <w:p w14:paraId="5A1B0F47" w14:textId="77777777" w:rsidR="00960BB8" w:rsidRDefault="00C06650">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5A1B0F48"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F49"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F4A" w14:textId="77777777" w:rsidR="00960BB8" w:rsidRDefault="00C06650">
            <w:pPr>
              <w:jc w:val="right"/>
              <w:textAlignment w:val="bottom"/>
            </w:pPr>
            <w:r>
              <w:rPr>
                <w:rFonts w:ascii="Arial" w:eastAsia="宋体" w:hAnsi="Arial" w:cs="Arial"/>
                <w:b/>
                <w:bCs/>
                <w:color w:val="0068B5"/>
                <w:sz w:val="18"/>
                <w:szCs w:val="18"/>
              </w:rPr>
              <w:t>182,103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F4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4C"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0F4D"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0F4E" w14:textId="77777777" w:rsidR="00960BB8" w:rsidRDefault="00C06650">
            <w:pPr>
              <w:jc w:val="right"/>
              <w:textAlignment w:val="bottom"/>
            </w:pPr>
            <w:r>
              <w:rPr>
                <w:rFonts w:ascii="Arial" w:eastAsia="宋体" w:hAnsi="Arial" w:cs="Arial"/>
                <w:b/>
                <w:bCs/>
                <w:color w:val="262626"/>
                <w:sz w:val="18"/>
                <w:szCs w:val="18"/>
              </w:rPr>
              <w:t>168,406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F4F" w14:textId="77777777" w:rsidR="00960BB8" w:rsidRDefault="00960BB8">
            <w:pPr>
              <w:jc w:val="right"/>
              <w:rPr>
                <w:rFonts w:ascii="宋体"/>
              </w:rPr>
            </w:pPr>
          </w:p>
        </w:tc>
      </w:tr>
      <w:tr w:rsidR="00960BB8" w14:paraId="5A1B0F56" w14:textId="77777777">
        <w:trPr>
          <w:trHeight w:val="180"/>
        </w:trPr>
        <w:tc>
          <w:tcPr>
            <w:tcW w:w="0" w:type="auto"/>
            <w:gridSpan w:val="3"/>
            <w:shd w:val="clear" w:color="auto" w:fill="auto"/>
            <w:tcMar>
              <w:top w:w="0" w:type="dxa"/>
              <w:left w:w="20" w:type="dxa"/>
              <w:bottom w:w="0" w:type="dxa"/>
              <w:right w:w="20" w:type="dxa"/>
            </w:tcMar>
            <w:vAlign w:val="bottom"/>
          </w:tcPr>
          <w:p w14:paraId="5A1B0F5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52"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0F5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54"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0F55" w14:textId="77777777" w:rsidR="00960BB8" w:rsidRDefault="00960BB8">
            <w:pPr>
              <w:rPr>
                <w:rFonts w:ascii="宋体"/>
              </w:rPr>
            </w:pPr>
          </w:p>
        </w:tc>
      </w:tr>
      <w:tr w:rsidR="00960BB8" w14:paraId="5A1B0F5C" w14:textId="77777777">
        <w:tc>
          <w:tcPr>
            <w:tcW w:w="0" w:type="auto"/>
            <w:gridSpan w:val="3"/>
            <w:shd w:val="clear" w:color="auto" w:fill="auto"/>
            <w:tcMar>
              <w:top w:w="40" w:type="dxa"/>
              <w:left w:w="20" w:type="dxa"/>
              <w:bottom w:w="40" w:type="dxa"/>
              <w:right w:w="20" w:type="dxa"/>
            </w:tcMar>
            <w:vAlign w:val="bottom"/>
          </w:tcPr>
          <w:p w14:paraId="5A1B0F57" w14:textId="77777777" w:rsidR="00960BB8" w:rsidRDefault="00C06650">
            <w:pPr>
              <w:textAlignment w:val="bottom"/>
            </w:pPr>
            <w:r>
              <w:rPr>
                <w:rFonts w:ascii="Arial" w:eastAsia="宋体" w:hAnsi="Arial" w:cs="Arial"/>
                <w:b/>
                <w:bCs/>
                <w:color w:val="262626"/>
                <w:sz w:val="18"/>
                <w:szCs w:val="18"/>
              </w:rPr>
              <w:t>Liabilities and stockholders' equity</w:t>
            </w:r>
          </w:p>
        </w:tc>
        <w:tc>
          <w:tcPr>
            <w:tcW w:w="0" w:type="auto"/>
            <w:gridSpan w:val="3"/>
            <w:shd w:val="clear" w:color="auto" w:fill="auto"/>
            <w:tcMar>
              <w:top w:w="0" w:type="dxa"/>
              <w:left w:w="20" w:type="dxa"/>
              <w:bottom w:w="0" w:type="dxa"/>
              <w:right w:w="20" w:type="dxa"/>
            </w:tcMar>
            <w:vAlign w:val="bottom"/>
          </w:tcPr>
          <w:p w14:paraId="5A1B0F5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5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5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5B" w14:textId="77777777" w:rsidR="00960BB8" w:rsidRDefault="00960BB8">
            <w:pPr>
              <w:rPr>
                <w:rFonts w:ascii="宋体"/>
              </w:rPr>
            </w:pPr>
          </w:p>
        </w:tc>
      </w:tr>
      <w:tr w:rsidR="00960BB8" w14:paraId="5A1B0F62" w14:textId="77777777">
        <w:tc>
          <w:tcPr>
            <w:tcW w:w="0" w:type="auto"/>
            <w:gridSpan w:val="3"/>
            <w:shd w:val="clear" w:color="auto" w:fill="auto"/>
            <w:tcMar>
              <w:top w:w="40" w:type="dxa"/>
              <w:left w:w="20" w:type="dxa"/>
              <w:bottom w:w="40" w:type="dxa"/>
              <w:right w:w="20" w:type="dxa"/>
            </w:tcMar>
            <w:vAlign w:val="bottom"/>
          </w:tcPr>
          <w:p w14:paraId="5A1B0F5D" w14:textId="77777777" w:rsidR="00960BB8" w:rsidRDefault="00C06650">
            <w:pPr>
              <w:textAlignment w:val="bottom"/>
            </w:pPr>
            <w:r>
              <w:rPr>
                <w:rFonts w:ascii="Arial" w:eastAsia="宋体" w:hAnsi="Arial" w:cs="Arial"/>
                <w:color w:val="262626"/>
                <w:sz w:val="18"/>
                <w:szCs w:val="18"/>
              </w:rPr>
              <w:t>Current liabilities:</w:t>
            </w:r>
          </w:p>
        </w:tc>
        <w:tc>
          <w:tcPr>
            <w:tcW w:w="0" w:type="auto"/>
            <w:gridSpan w:val="3"/>
            <w:shd w:val="clear" w:color="auto" w:fill="auto"/>
            <w:tcMar>
              <w:top w:w="0" w:type="dxa"/>
              <w:left w:w="20" w:type="dxa"/>
              <w:bottom w:w="0" w:type="dxa"/>
              <w:right w:w="20" w:type="dxa"/>
            </w:tcMar>
            <w:vAlign w:val="bottom"/>
          </w:tcPr>
          <w:p w14:paraId="5A1B0F5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5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6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61" w14:textId="77777777" w:rsidR="00960BB8" w:rsidRDefault="00960BB8">
            <w:pPr>
              <w:rPr>
                <w:rFonts w:ascii="宋体"/>
              </w:rPr>
            </w:pPr>
          </w:p>
        </w:tc>
      </w:tr>
      <w:tr w:rsidR="00960BB8" w14:paraId="5A1B0F6C" w14:textId="77777777">
        <w:tc>
          <w:tcPr>
            <w:tcW w:w="0" w:type="auto"/>
            <w:gridSpan w:val="3"/>
            <w:shd w:val="clear" w:color="auto" w:fill="auto"/>
            <w:tcMar>
              <w:top w:w="40" w:type="dxa"/>
              <w:left w:w="155" w:type="dxa"/>
              <w:bottom w:w="40" w:type="dxa"/>
              <w:right w:w="20" w:type="dxa"/>
            </w:tcMar>
            <w:vAlign w:val="bottom"/>
          </w:tcPr>
          <w:p w14:paraId="5A1B0F63" w14:textId="77777777" w:rsidR="00960BB8" w:rsidRDefault="00C06650">
            <w:pPr>
              <w:textAlignment w:val="bottom"/>
            </w:pPr>
            <w:r>
              <w:rPr>
                <w:rFonts w:ascii="Arial" w:eastAsia="宋体" w:hAnsi="Arial" w:cs="Arial"/>
                <w:color w:val="262626"/>
                <w:sz w:val="18"/>
                <w:szCs w:val="18"/>
              </w:rPr>
              <w:t>Short-term debt</w:t>
            </w:r>
          </w:p>
        </w:tc>
        <w:tc>
          <w:tcPr>
            <w:tcW w:w="0" w:type="auto"/>
            <w:gridSpan w:val="3"/>
            <w:shd w:val="clear" w:color="auto" w:fill="auto"/>
            <w:tcMar>
              <w:top w:w="0" w:type="dxa"/>
              <w:left w:w="20" w:type="dxa"/>
              <w:bottom w:w="0" w:type="dxa"/>
              <w:right w:w="20" w:type="dxa"/>
            </w:tcMar>
            <w:vAlign w:val="bottom"/>
          </w:tcPr>
          <w:p w14:paraId="5A1B0F64"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F65"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0F66" w14:textId="77777777" w:rsidR="00960BB8" w:rsidRDefault="00C06650">
            <w:pPr>
              <w:jc w:val="right"/>
              <w:textAlignment w:val="bottom"/>
            </w:pPr>
            <w:r>
              <w:rPr>
                <w:rFonts w:ascii="Arial" w:eastAsia="宋体" w:hAnsi="Arial" w:cs="Arial"/>
                <w:color w:val="0068B5"/>
                <w:sz w:val="18"/>
                <w:szCs w:val="18"/>
              </w:rPr>
              <w:t>4,367 </w:t>
            </w:r>
          </w:p>
        </w:tc>
        <w:tc>
          <w:tcPr>
            <w:tcW w:w="0" w:type="auto"/>
            <w:shd w:val="clear" w:color="auto" w:fill="auto"/>
            <w:tcMar>
              <w:top w:w="40" w:type="dxa"/>
              <w:left w:w="0" w:type="dxa"/>
              <w:bottom w:w="40" w:type="dxa"/>
              <w:right w:w="20" w:type="dxa"/>
            </w:tcMar>
            <w:vAlign w:val="bottom"/>
          </w:tcPr>
          <w:p w14:paraId="5A1B0F6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68"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0F69"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0F6A" w14:textId="77777777" w:rsidR="00960BB8" w:rsidRDefault="00C06650">
            <w:pPr>
              <w:jc w:val="right"/>
              <w:textAlignment w:val="bottom"/>
            </w:pPr>
            <w:r>
              <w:rPr>
                <w:rFonts w:ascii="Arial" w:eastAsia="宋体" w:hAnsi="Arial" w:cs="Arial"/>
                <w:color w:val="262626"/>
                <w:sz w:val="18"/>
                <w:szCs w:val="18"/>
              </w:rPr>
              <w:t>4,591 </w:t>
            </w:r>
          </w:p>
        </w:tc>
        <w:tc>
          <w:tcPr>
            <w:tcW w:w="0" w:type="auto"/>
            <w:shd w:val="clear" w:color="auto" w:fill="auto"/>
            <w:tcMar>
              <w:top w:w="40" w:type="dxa"/>
              <w:left w:w="0" w:type="dxa"/>
              <w:bottom w:w="40" w:type="dxa"/>
              <w:right w:w="20" w:type="dxa"/>
            </w:tcMar>
            <w:vAlign w:val="bottom"/>
          </w:tcPr>
          <w:p w14:paraId="5A1B0F6B" w14:textId="77777777" w:rsidR="00960BB8" w:rsidRDefault="00960BB8">
            <w:pPr>
              <w:jc w:val="right"/>
              <w:rPr>
                <w:rFonts w:ascii="宋体"/>
              </w:rPr>
            </w:pPr>
          </w:p>
        </w:tc>
      </w:tr>
      <w:tr w:rsidR="00960BB8" w14:paraId="5A1B0F74" w14:textId="77777777">
        <w:tc>
          <w:tcPr>
            <w:tcW w:w="0" w:type="auto"/>
            <w:gridSpan w:val="3"/>
            <w:shd w:val="clear" w:color="auto" w:fill="auto"/>
            <w:tcMar>
              <w:top w:w="40" w:type="dxa"/>
              <w:left w:w="155" w:type="dxa"/>
              <w:bottom w:w="40" w:type="dxa"/>
              <w:right w:w="20" w:type="dxa"/>
            </w:tcMar>
            <w:vAlign w:val="bottom"/>
          </w:tcPr>
          <w:p w14:paraId="5A1B0F6D" w14:textId="77777777" w:rsidR="00960BB8" w:rsidRDefault="00C06650">
            <w:pPr>
              <w:textAlignment w:val="bottom"/>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5A1B0F6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6F" w14:textId="77777777" w:rsidR="00960BB8" w:rsidRDefault="00C06650">
            <w:pPr>
              <w:jc w:val="right"/>
              <w:textAlignment w:val="bottom"/>
            </w:pPr>
            <w:r>
              <w:rPr>
                <w:rFonts w:ascii="Arial" w:eastAsia="宋体" w:hAnsi="Arial" w:cs="Arial"/>
                <w:color w:val="0068B5"/>
                <w:sz w:val="18"/>
                <w:szCs w:val="18"/>
              </w:rPr>
              <w:t>9,595 </w:t>
            </w:r>
          </w:p>
        </w:tc>
        <w:tc>
          <w:tcPr>
            <w:tcW w:w="0" w:type="auto"/>
            <w:shd w:val="clear" w:color="auto" w:fill="auto"/>
            <w:tcMar>
              <w:top w:w="40" w:type="dxa"/>
              <w:left w:w="0" w:type="dxa"/>
              <w:bottom w:w="40" w:type="dxa"/>
              <w:right w:w="20" w:type="dxa"/>
            </w:tcMar>
            <w:vAlign w:val="bottom"/>
          </w:tcPr>
          <w:p w14:paraId="5A1B0F7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7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72" w14:textId="77777777" w:rsidR="00960BB8" w:rsidRDefault="00C06650">
            <w:pPr>
              <w:jc w:val="right"/>
              <w:textAlignment w:val="bottom"/>
            </w:pPr>
            <w:r>
              <w:rPr>
                <w:rFonts w:ascii="Arial" w:eastAsia="宋体" w:hAnsi="Arial" w:cs="Arial"/>
                <w:color w:val="262626"/>
                <w:sz w:val="18"/>
                <w:szCs w:val="18"/>
              </w:rPr>
              <w:t>5,747 </w:t>
            </w:r>
          </w:p>
        </w:tc>
        <w:tc>
          <w:tcPr>
            <w:tcW w:w="0" w:type="auto"/>
            <w:shd w:val="clear" w:color="auto" w:fill="auto"/>
            <w:tcMar>
              <w:top w:w="40" w:type="dxa"/>
              <w:left w:w="0" w:type="dxa"/>
              <w:bottom w:w="40" w:type="dxa"/>
              <w:right w:w="20" w:type="dxa"/>
            </w:tcMar>
            <w:vAlign w:val="bottom"/>
          </w:tcPr>
          <w:p w14:paraId="5A1B0F73" w14:textId="77777777" w:rsidR="00960BB8" w:rsidRDefault="00960BB8">
            <w:pPr>
              <w:jc w:val="right"/>
              <w:rPr>
                <w:rFonts w:ascii="宋体"/>
              </w:rPr>
            </w:pPr>
          </w:p>
        </w:tc>
      </w:tr>
      <w:tr w:rsidR="00960BB8" w14:paraId="5A1B0F7C" w14:textId="77777777">
        <w:tc>
          <w:tcPr>
            <w:tcW w:w="0" w:type="auto"/>
            <w:gridSpan w:val="3"/>
            <w:shd w:val="clear" w:color="auto" w:fill="auto"/>
            <w:tcMar>
              <w:top w:w="40" w:type="dxa"/>
              <w:left w:w="155" w:type="dxa"/>
              <w:bottom w:w="40" w:type="dxa"/>
              <w:right w:w="20" w:type="dxa"/>
            </w:tcMar>
            <w:vAlign w:val="bottom"/>
          </w:tcPr>
          <w:p w14:paraId="5A1B0F75" w14:textId="77777777" w:rsidR="00960BB8" w:rsidRDefault="00C06650">
            <w:pPr>
              <w:textAlignment w:val="bottom"/>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vAlign w:val="bottom"/>
          </w:tcPr>
          <w:p w14:paraId="5A1B0F7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77" w14:textId="77777777" w:rsidR="00960BB8" w:rsidRDefault="00C06650">
            <w:pPr>
              <w:jc w:val="right"/>
              <w:textAlignment w:val="bottom"/>
            </w:pPr>
            <w:r>
              <w:rPr>
                <w:rFonts w:ascii="Arial" w:eastAsia="宋体" w:hAnsi="Arial" w:cs="Arial"/>
                <w:color w:val="0068B5"/>
                <w:sz w:val="18"/>
                <w:szCs w:val="18"/>
              </w:rPr>
              <w:t>4,084 </w:t>
            </w:r>
          </w:p>
        </w:tc>
        <w:tc>
          <w:tcPr>
            <w:tcW w:w="0" w:type="auto"/>
            <w:shd w:val="clear" w:color="auto" w:fill="auto"/>
            <w:tcMar>
              <w:top w:w="40" w:type="dxa"/>
              <w:left w:w="0" w:type="dxa"/>
              <w:bottom w:w="40" w:type="dxa"/>
              <w:right w:w="20" w:type="dxa"/>
            </w:tcMar>
            <w:vAlign w:val="bottom"/>
          </w:tcPr>
          <w:p w14:paraId="5A1B0F7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7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7A" w14:textId="77777777" w:rsidR="00960BB8" w:rsidRDefault="00C06650">
            <w:pPr>
              <w:jc w:val="right"/>
              <w:textAlignment w:val="bottom"/>
            </w:pPr>
            <w:r>
              <w:rPr>
                <w:rFonts w:ascii="Arial" w:eastAsia="宋体" w:hAnsi="Arial" w:cs="Arial"/>
                <w:color w:val="262626"/>
                <w:sz w:val="18"/>
                <w:szCs w:val="18"/>
              </w:rPr>
              <w:t>4,535 </w:t>
            </w:r>
          </w:p>
        </w:tc>
        <w:tc>
          <w:tcPr>
            <w:tcW w:w="0" w:type="auto"/>
            <w:shd w:val="clear" w:color="auto" w:fill="auto"/>
            <w:tcMar>
              <w:top w:w="40" w:type="dxa"/>
              <w:left w:w="0" w:type="dxa"/>
              <w:bottom w:w="40" w:type="dxa"/>
              <w:right w:w="20" w:type="dxa"/>
            </w:tcMar>
            <w:vAlign w:val="bottom"/>
          </w:tcPr>
          <w:p w14:paraId="5A1B0F7B" w14:textId="77777777" w:rsidR="00960BB8" w:rsidRDefault="00960BB8">
            <w:pPr>
              <w:jc w:val="right"/>
              <w:rPr>
                <w:rFonts w:ascii="宋体"/>
              </w:rPr>
            </w:pPr>
          </w:p>
        </w:tc>
      </w:tr>
      <w:tr w:rsidR="00960BB8" w14:paraId="5A1B0F82" w14:textId="77777777">
        <w:trPr>
          <w:hidden/>
        </w:trPr>
        <w:tc>
          <w:tcPr>
            <w:tcW w:w="0" w:type="auto"/>
            <w:gridSpan w:val="3"/>
            <w:shd w:val="clear" w:color="auto" w:fill="auto"/>
            <w:vAlign w:val="bottom"/>
          </w:tcPr>
          <w:p w14:paraId="5A1B0F7D" w14:textId="77777777" w:rsidR="00960BB8" w:rsidRDefault="00960BB8">
            <w:pPr>
              <w:rPr>
                <w:rFonts w:ascii="宋体"/>
                <w:vanish/>
              </w:rPr>
            </w:pPr>
          </w:p>
        </w:tc>
        <w:tc>
          <w:tcPr>
            <w:tcW w:w="0" w:type="auto"/>
            <w:gridSpan w:val="3"/>
            <w:shd w:val="clear" w:color="auto" w:fill="auto"/>
            <w:vAlign w:val="bottom"/>
          </w:tcPr>
          <w:p w14:paraId="5A1B0F7E" w14:textId="77777777" w:rsidR="00960BB8" w:rsidRDefault="00960BB8">
            <w:pPr>
              <w:rPr>
                <w:rFonts w:ascii="宋体"/>
                <w:vanish/>
              </w:rPr>
            </w:pPr>
          </w:p>
        </w:tc>
        <w:tc>
          <w:tcPr>
            <w:tcW w:w="0" w:type="auto"/>
            <w:gridSpan w:val="3"/>
            <w:shd w:val="clear" w:color="auto" w:fill="auto"/>
            <w:vAlign w:val="bottom"/>
          </w:tcPr>
          <w:p w14:paraId="5A1B0F7F" w14:textId="77777777" w:rsidR="00960BB8" w:rsidRDefault="00960BB8">
            <w:pPr>
              <w:rPr>
                <w:rFonts w:ascii="宋体"/>
                <w:vanish/>
              </w:rPr>
            </w:pPr>
          </w:p>
        </w:tc>
        <w:tc>
          <w:tcPr>
            <w:tcW w:w="0" w:type="auto"/>
            <w:gridSpan w:val="3"/>
            <w:shd w:val="clear" w:color="auto" w:fill="auto"/>
            <w:vAlign w:val="bottom"/>
          </w:tcPr>
          <w:p w14:paraId="5A1B0F80" w14:textId="77777777" w:rsidR="00960BB8" w:rsidRDefault="00960BB8">
            <w:pPr>
              <w:rPr>
                <w:rFonts w:ascii="宋体"/>
                <w:vanish/>
              </w:rPr>
            </w:pPr>
          </w:p>
        </w:tc>
        <w:tc>
          <w:tcPr>
            <w:tcW w:w="0" w:type="auto"/>
            <w:gridSpan w:val="3"/>
            <w:shd w:val="clear" w:color="auto" w:fill="auto"/>
            <w:vAlign w:val="bottom"/>
          </w:tcPr>
          <w:p w14:paraId="5A1B0F81" w14:textId="77777777" w:rsidR="00960BB8" w:rsidRDefault="00960BB8">
            <w:pPr>
              <w:rPr>
                <w:rFonts w:ascii="宋体"/>
                <w:vanish/>
              </w:rPr>
            </w:pPr>
          </w:p>
        </w:tc>
      </w:tr>
      <w:tr w:rsidR="00960BB8" w14:paraId="5A1B0F88" w14:textId="77777777">
        <w:trPr>
          <w:hidden/>
        </w:trPr>
        <w:tc>
          <w:tcPr>
            <w:tcW w:w="0" w:type="auto"/>
            <w:gridSpan w:val="3"/>
            <w:shd w:val="clear" w:color="auto" w:fill="auto"/>
            <w:vAlign w:val="bottom"/>
          </w:tcPr>
          <w:p w14:paraId="5A1B0F83" w14:textId="77777777" w:rsidR="00960BB8" w:rsidRDefault="00960BB8">
            <w:pPr>
              <w:rPr>
                <w:rFonts w:ascii="宋体"/>
                <w:vanish/>
              </w:rPr>
            </w:pPr>
          </w:p>
        </w:tc>
        <w:tc>
          <w:tcPr>
            <w:tcW w:w="0" w:type="auto"/>
            <w:gridSpan w:val="3"/>
            <w:shd w:val="clear" w:color="auto" w:fill="auto"/>
            <w:vAlign w:val="bottom"/>
          </w:tcPr>
          <w:p w14:paraId="5A1B0F84" w14:textId="77777777" w:rsidR="00960BB8" w:rsidRDefault="00960BB8">
            <w:pPr>
              <w:rPr>
                <w:rFonts w:ascii="宋体"/>
                <w:vanish/>
              </w:rPr>
            </w:pPr>
          </w:p>
        </w:tc>
        <w:tc>
          <w:tcPr>
            <w:tcW w:w="0" w:type="auto"/>
            <w:gridSpan w:val="3"/>
            <w:shd w:val="clear" w:color="auto" w:fill="auto"/>
            <w:vAlign w:val="bottom"/>
          </w:tcPr>
          <w:p w14:paraId="5A1B0F85" w14:textId="77777777" w:rsidR="00960BB8" w:rsidRDefault="00960BB8">
            <w:pPr>
              <w:rPr>
                <w:rFonts w:ascii="宋体"/>
                <w:vanish/>
              </w:rPr>
            </w:pPr>
          </w:p>
        </w:tc>
        <w:tc>
          <w:tcPr>
            <w:tcW w:w="0" w:type="auto"/>
            <w:gridSpan w:val="3"/>
            <w:shd w:val="clear" w:color="auto" w:fill="auto"/>
            <w:vAlign w:val="bottom"/>
          </w:tcPr>
          <w:p w14:paraId="5A1B0F86" w14:textId="77777777" w:rsidR="00960BB8" w:rsidRDefault="00960BB8">
            <w:pPr>
              <w:rPr>
                <w:rFonts w:ascii="宋体"/>
                <w:vanish/>
              </w:rPr>
            </w:pPr>
          </w:p>
        </w:tc>
        <w:tc>
          <w:tcPr>
            <w:tcW w:w="0" w:type="auto"/>
            <w:gridSpan w:val="3"/>
            <w:shd w:val="clear" w:color="auto" w:fill="auto"/>
            <w:vAlign w:val="bottom"/>
          </w:tcPr>
          <w:p w14:paraId="5A1B0F87" w14:textId="77777777" w:rsidR="00960BB8" w:rsidRDefault="00960BB8">
            <w:pPr>
              <w:rPr>
                <w:rFonts w:ascii="宋体"/>
                <w:vanish/>
              </w:rPr>
            </w:pPr>
          </w:p>
        </w:tc>
      </w:tr>
      <w:tr w:rsidR="00960BB8" w14:paraId="5A1B0F8E" w14:textId="77777777">
        <w:trPr>
          <w:hidden/>
        </w:trPr>
        <w:tc>
          <w:tcPr>
            <w:tcW w:w="0" w:type="auto"/>
            <w:gridSpan w:val="3"/>
            <w:shd w:val="clear" w:color="auto" w:fill="auto"/>
            <w:vAlign w:val="bottom"/>
          </w:tcPr>
          <w:p w14:paraId="5A1B0F89" w14:textId="77777777" w:rsidR="00960BB8" w:rsidRDefault="00960BB8">
            <w:pPr>
              <w:rPr>
                <w:rFonts w:ascii="宋体"/>
                <w:vanish/>
              </w:rPr>
            </w:pPr>
          </w:p>
        </w:tc>
        <w:tc>
          <w:tcPr>
            <w:tcW w:w="0" w:type="auto"/>
            <w:gridSpan w:val="3"/>
            <w:shd w:val="clear" w:color="auto" w:fill="auto"/>
            <w:vAlign w:val="bottom"/>
          </w:tcPr>
          <w:p w14:paraId="5A1B0F8A" w14:textId="77777777" w:rsidR="00960BB8" w:rsidRDefault="00960BB8">
            <w:pPr>
              <w:rPr>
                <w:rFonts w:ascii="宋体"/>
                <w:vanish/>
              </w:rPr>
            </w:pPr>
          </w:p>
        </w:tc>
        <w:tc>
          <w:tcPr>
            <w:tcW w:w="0" w:type="auto"/>
            <w:gridSpan w:val="3"/>
            <w:shd w:val="clear" w:color="auto" w:fill="auto"/>
            <w:vAlign w:val="bottom"/>
          </w:tcPr>
          <w:p w14:paraId="5A1B0F8B" w14:textId="77777777" w:rsidR="00960BB8" w:rsidRDefault="00960BB8">
            <w:pPr>
              <w:rPr>
                <w:rFonts w:ascii="宋体"/>
                <w:vanish/>
              </w:rPr>
            </w:pPr>
          </w:p>
        </w:tc>
        <w:tc>
          <w:tcPr>
            <w:tcW w:w="0" w:type="auto"/>
            <w:gridSpan w:val="3"/>
            <w:shd w:val="clear" w:color="auto" w:fill="auto"/>
            <w:vAlign w:val="bottom"/>
          </w:tcPr>
          <w:p w14:paraId="5A1B0F8C" w14:textId="77777777" w:rsidR="00960BB8" w:rsidRDefault="00960BB8">
            <w:pPr>
              <w:rPr>
                <w:rFonts w:ascii="宋体"/>
                <w:vanish/>
              </w:rPr>
            </w:pPr>
          </w:p>
        </w:tc>
        <w:tc>
          <w:tcPr>
            <w:tcW w:w="0" w:type="auto"/>
            <w:gridSpan w:val="3"/>
            <w:shd w:val="clear" w:color="auto" w:fill="auto"/>
            <w:vAlign w:val="bottom"/>
          </w:tcPr>
          <w:p w14:paraId="5A1B0F8D" w14:textId="77777777" w:rsidR="00960BB8" w:rsidRDefault="00960BB8">
            <w:pPr>
              <w:rPr>
                <w:rFonts w:ascii="宋体"/>
                <w:vanish/>
              </w:rPr>
            </w:pPr>
          </w:p>
        </w:tc>
      </w:tr>
      <w:tr w:rsidR="00960BB8" w14:paraId="5A1B0F96" w14:textId="77777777">
        <w:tc>
          <w:tcPr>
            <w:tcW w:w="0" w:type="auto"/>
            <w:gridSpan w:val="3"/>
            <w:shd w:val="clear" w:color="auto" w:fill="auto"/>
            <w:tcMar>
              <w:top w:w="40" w:type="dxa"/>
              <w:left w:w="155" w:type="dxa"/>
              <w:bottom w:w="40" w:type="dxa"/>
              <w:right w:w="20" w:type="dxa"/>
            </w:tcMar>
            <w:vAlign w:val="bottom"/>
          </w:tcPr>
          <w:p w14:paraId="5A1B0F8F" w14:textId="77777777" w:rsidR="00960BB8" w:rsidRDefault="00C06650">
            <w:pPr>
              <w:textAlignment w:val="bottom"/>
            </w:pPr>
            <w:r>
              <w:rPr>
                <w:rFonts w:ascii="Arial" w:eastAsia="宋体" w:hAnsi="Arial" w:cs="Arial"/>
                <w:color w:val="262626"/>
                <w:sz w:val="18"/>
                <w:szCs w:val="18"/>
              </w:rPr>
              <w:t>Income taxes payable</w:t>
            </w:r>
          </w:p>
        </w:tc>
        <w:tc>
          <w:tcPr>
            <w:tcW w:w="0" w:type="auto"/>
            <w:gridSpan w:val="3"/>
            <w:shd w:val="clear" w:color="auto" w:fill="auto"/>
            <w:tcMar>
              <w:top w:w="0" w:type="dxa"/>
              <w:left w:w="20" w:type="dxa"/>
              <w:bottom w:w="0" w:type="dxa"/>
              <w:right w:w="20" w:type="dxa"/>
            </w:tcMar>
            <w:vAlign w:val="bottom"/>
          </w:tcPr>
          <w:p w14:paraId="5A1B0F9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91" w14:textId="77777777" w:rsidR="00960BB8" w:rsidRDefault="00C06650">
            <w:pPr>
              <w:jc w:val="right"/>
              <w:textAlignment w:val="bottom"/>
            </w:pPr>
            <w:r>
              <w:rPr>
                <w:rFonts w:ascii="Arial" w:eastAsia="宋体" w:hAnsi="Arial" w:cs="Arial"/>
                <w:color w:val="0068B5"/>
                <w:sz w:val="18"/>
                <w:szCs w:val="18"/>
              </w:rPr>
              <w:t>2,251 </w:t>
            </w:r>
          </w:p>
        </w:tc>
        <w:tc>
          <w:tcPr>
            <w:tcW w:w="0" w:type="auto"/>
            <w:shd w:val="clear" w:color="auto" w:fill="auto"/>
            <w:tcMar>
              <w:top w:w="40" w:type="dxa"/>
              <w:left w:w="0" w:type="dxa"/>
              <w:bottom w:w="40" w:type="dxa"/>
              <w:right w:w="20" w:type="dxa"/>
            </w:tcMar>
            <w:vAlign w:val="bottom"/>
          </w:tcPr>
          <w:p w14:paraId="5A1B0F9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9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94" w14:textId="77777777" w:rsidR="00960BB8" w:rsidRDefault="00C06650">
            <w:pPr>
              <w:jc w:val="right"/>
              <w:textAlignment w:val="bottom"/>
            </w:pPr>
            <w:r>
              <w:rPr>
                <w:rFonts w:ascii="Arial" w:eastAsia="宋体" w:hAnsi="Arial" w:cs="Arial"/>
                <w:color w:val="262626"/>
                <w:sz w:val="18"/>
                <w:szCs w:val="18"/>
              </w:rPr>
              <w:t>1,076 </w:t>
            </w:r>
          </w:p>
        </w:tc>
        <w:tc>
          <w:tcPr>
            <w:tcW w:w="0" w:type="auto"/>
            <w:shd w:val="clear" w:color="auto" w:fill="auto"/>
            <w:tcMar>
              <w:top w:w="40" w:type="dxa"/>
              <w:left w:w="0" w:type="dxa"/>
              <w:bottom w:w="40" w:type="dxa"/>
              <w:right w:w="20" w:type="dxa"/>
            </w:tcMar>
            <w:vAlign w:val="bottom"/>
          </w:tcPr>
          <w:p w14:paraId="5A1B0F95" w14:textId="77777777" w:rsidR="00960BB8" w:rsidRDefault="00960BB8">
            <w:pPr>
              <w:jc w:val="right"/>
              <w:rPr>
                <w:rFonts w:ascii="宋体"/>
              </w:rPr>
            </w:pPr>
          </w:p>
        </w:tc>
      </w:tr>
      <w:tr w:rsidR="00960BB8" w14:paraId="5A1B0F9E" w14:textId="77777777">
        <w:tc>
          <w:tcPr>
            <w:tcW w:w="0" w:type="auto"/>
            <w:gridSpan w:val="3"/>
            <w:shd w:val="clear" w:color="auto" w:fill="auto"/>
            <w:tcMar>
              <w:top w:w="40" w:type="dxa"/>
              <w:left w:w="155" w:type="dxa"/>
              <w:bottom w:w="40" w:type="dxa"/>
              <w:right w:w="20" w:type="dxa"/>
            </w:tcMar>
            <w:vAlign w:val="bottom"/>
          </w:tcPr>
          <w:p w14:paraId="5A1B0F97" w14:textId="77777777" w:rsidR="00960BB8" w:rsidRDefault="00C06650">
            <w:pPr>
              <w:textAlignment w:val="bottom"/>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vAlign w:val="bottom"/>
          </w:tcPr>
          <w:p w14:paraId="5A1B0F9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99" w14:textId="77777777" w:rsidR="00960BB8" w:rsidRDefault="00C06650">
            <w:pPr>
              <w:jc w:val="right"/>
              <w:textAlignment w:val="bottom"/>
            </w:pPr>
            <w:r>
              <w:rPr>
                <w:rFonts w:ascii="Arial" w:eastAsia="宋体" w:hAnsi="Arial" w:cs="Arial"/>
                <w:color w:val="0068B5"/>
                <w:sz w:val="18"/>
                <w:szCs w:val="18"/>
              </w:rPr>
              <w:t>11,858 </w:t>
            </w:r>
          </w:p>
        </w:tc>
        <w:tc>
          <w:tcPr>
            <w:tcW w:w="0" w:type="auto"/>
            <w:shd w:val="clear" w:color="auto" w:fill="auto"/>
            <w:tcMar>
              <w:top w:w="40" w:type="dxa"/>
              <w:left w:w="0" w:type="dxa"/>
              <w:bottom w:w="40" w:type="dxa"/>
              <w:right w:w="20" w:type="dxa"/>
            </w:tcMar>
            <w:vAlign w:val="bottom"/>
          </w:tcPr>
          <w:p w14:paraId="5A1B0F9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9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9C" w14:textId="77777777" w:rsidR="00960BB8" w:rsidRDefault="00C06650">
            <w:pPr>
              <w:jc w:val="right"/>
              <w:textAlignment w:val="bottom"/>
            </w:pPr>
            <w:r>
              <w:rPr>
                <w:rFonts w:ascii="Arial" w:eastAsia="宋体" w:hAnsi="Arial" w:cs="Arial"/>
                <w:color w:val="262626"/>
                <w:sz w:val="18"/>
                <w:szCs w:val="18"/>
              </w:rPr>
              <w:t>11,513 </w:t>
            </w:r>
          </w:p>
        </w:tc>
        <w:tc>
          <w:tcPr>
            <w:tcW w:w="0" w:type="auto"/>
            <w:shd w:val="clear" w:color="auto" w:fill="auto"/>
            <w:tcMar>
              <w:top w:w="40" w:type="dxa"/>
              <w:left w:w="0" w:type="dxa"/>
              <w:bottom w:w="40" w:type="dxa"/>
              <w:right w:w="20" w:type="dxa"/>
            </w:tcMar>
            <w:vAlign w:val="bottom"/>
          </w:tcPr>
          <w:p w14:paraId="5A1B0F9D" w14:textId="77777777" w:rsidR="00960BB8" w:rsidRDefault="00960BB8">
            <w:pPr>
              <w:jc w:val="right"/>
              <w:rPr>
                <w:rFonts w:ascii="宋体"/>
              </w:rPr>
            </w:pPr>
          </w:p>
        </w:tc>
      </w:tr>
      <w:tr w:rsidR="00960BB8" w14:paraId="5A1B0FA6" w14:textId="77777777">
        <w:tc>
          <w:tcPr>
            <w:tcW w:w="0" w:type="auto"/>
            <w:gridSpan w:val="3"/>
            <w:shd w:val="clear" w:color="auto" w:fill="auto"/>
            <w:tcMar>
              <w:top w:w="40" w:type="dxa"/>
              <w:left w:w="20" w:type="dxa"/>
              <w:bottom w:w="40" w:type="dxa"/>
              <w:right w:w="20" w:type="dxa"/>
            </w:tcMar>
            <w:vAlign w:val="bottom"/>
          </w:tcPr>
          <w:p w14:paraId="5A1B0F9F" w14:textId="77777777" w:rsidR="00960BB8" w:rsidRDefault="00C06650">
            <w:pPr>
              <w:textAlignment w:val="bottom"/>
            </w:pPr>
            <w:r>
              <w:rPr>
                <w:rFonts w:ascii="Arial" w:eastAsia="宋体" w:hAnsi="Arial" w:cs="Arial"/>
                <w:b/>
                <w:bCs/>
                <w:color w:val="262626"/>
                <w:sz w:val="18"/>
                <w:szCs w:val="18"/>
              </w:rPr>
              <w:t>Total current liabilities</w:t>
            </w:r>
          </w:p>
        </w:tc>
        <w:tc>
          <w:tcPr>
            <w:tcW w:w="0" w:type="auto"/>
            <w:gridSpan w:val="3"/>
            <w:shd w:val="clear" w:color="auto" w:fill="auto"/>
            <w:tcMar>
              <w:top w:w="0" w:type="dxa"/>
              <w:left w:w="20" w:type="dxa"/>
              <w:bottom w:w="0" w:type="dxa"/>
              <w:right w:w="20" w:type="dxa"/>
            </w:tcMar>
            <w:vAlign w:val="bottom"/>
          </w:tcPr>
          <w:p w14:paraId="5A1B0FA0"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FA1" w14:textId="77777777" w:rsidR="00960BB8" w:rsidRDefault="00C06650">
            <w:pPr>
              <w:jc w:val="right"/>
              <w:textAlignment w:val="bottom"/>
            </w:pPr>
            <w:r>
              <w:rPr>
                <w:rFonts w:ascii="Arial" w:eastAsia="宋体" w:hAnsi="Arial" w:cs="Arial"/>
                <w:b/>
                <w:bCs/>
                <w:color w:val="0068B5"/>
                <w:sz w:val="18"/>
                <w:szCs w:val="18"/>
              </w:rPr>
              <w:t>32,155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FA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A3"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0FA4" w14:textId="77777777" w:rsidR="00960BB8" w:rsidRDefault="00C06650">
            <w:pPr>
              <w:jc w:val="right"/>
              <w:textAlignment w:val="bottom"/>
            </w:pPr>
            <w:r>
              <w:rPr>
                <w:rFonts w:ascii="Arial" w:eastAsia="宋体" w:hAnsi="Arial" w:cs="Arial"/>
                <w:b/>
                <w:bCs/>
                <w:color w:val="262626"/>
                <w:sz w:val="18"/>
                <w:szCs w:val="18"/>
              </w:rPr>
              <w:t>27,462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0FA5" w14:textId="77777777" w:rsidR="00960BB8" w:rsidRDefault="00960BB8">
            <w:pPr>
              <w:jc w:val="right"/>
              <w:rPr>
                <w:rFonts w:ascii="宋体"/>
              </w:rPr>
            </w:pPr>
          </w:p>
        </w:tc>
      </w:tr>
      <w:tr w:rsidR="00960BB8" w14:paraId="5A1B0FAC" w14:textId="77777777">
        <w:trPr>
          <w:trHeight w:val="180"/>
        </w:trPr>
        <w:tc>
          <w:tcPr>
            <w:tcW w:w="0" w:type="auto"/>
            <w:gridSpan w:val="3"/>
            <w:shd w:val="clear" w:color="auto" w:fill="auto"/>
            <w:tcMar>
              <w:top w:w="0" w:type="dxa"/>
              <w:left w:w="20" w:type="dxa"/>
              <w:bottom w:w="0" w:type="dxa"/>
              <w:right w:w="20" w:type="dxa"/>
            </w:tcMar>
            <w:vAlign w:val="bottom"/>
          </w:tcPr>
          <w:p w14:paraId="5A1B0FA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A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A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A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AB" w14:textId="77777777" w:rsidR="00960BB8" w:rsidRDefault="00960BB8">
            <w:pPr>
              <w:rPr>
                <w:rFonts w:ascii="宋体"/>
              </w:rPr>
            </w:pPr>
          </w:p>
        </w:tc>
      </w:tr>
      <w:tr w:rsidR="00960BB8" w14:paraId="5A1B0FB4" w14:textId="77777777">
        <w:tc>
          <w:tcPr>
            <w:tcW w:w="0" w:type="auto"/>
            <w:gridSpan w:val="3"/>
            <w:shd w:val="clear" w:color="auto" w:fill="auto"/>
            <w:tcMar>
              <w:top w:w="40" w:type="dxa"/>
              <w:left w:w="20" w:type="dxa"/>
              <w:bottom w:w="40" w:type="dxa"/>
              <w:right w:w="20" w:type="dxa"/>
            </w:tcMar>
            <w:vAlign w:val="bottom"/>
          </w:tcPr>
          <w:p w14:paraId="5A1B0FAD" w14:textId="77777777" w:rsidR="00960BB8" w:rsidRDefault="00C06650">
            <w:pPr>
              <w:textAlignment w:val="bottom"/>
            </w:pPr>
            <w:r>
              <w:rPr>
                <w:rFonts w:ascii="Arial" w:eastAsia="宋体" w:hAnsi="Arial" w:cs="Arial"/>
                <w:b/>
                <w:bCs/>
                <w:color w:val="262626"/>
                <w:sz w:val="18"/>
                <w:szCs w:val="18"/>
              </w:rPr>
              <w:t>Debt</w:t>
            </w:r>
          </w:p>
        </w:tc>
        <w:tc>
          <w:tcPr>
            <w:tcW w:w="0" w:type="auto"/>
            <w:gridSpan w:val="3"/>
            <w:shd w:val="clear" w:color="auto" w:fill="auto"/>
            <w:tcMar>
              <w:top w:w="0" w:type="dxa"/>
              <w:left w:w="20" w:type="dxa"/>
              <w:bottom w:w="0" w:type="dxa"/>
              <w:right w:w="20" w:type="dxa"/>
            </w:tcMar>
            <w:vAlign w:val="bottom"/>
          </w:tcPr>
          <w:p w14:paraId="5A1B0FA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AF" w14:textId="77777777" w:rsidR="00960BB8" w:rsidRDefault="00C06650">
            <w:pPr>
              <w:jc w:val="right"/>
              <w:textAlignment w:val="bottom"/>
            </w:pPr>
            <w:r>
              <w:rPr>
                <w:rFonts w:ascii="Arial" w:eastAsia="宋体" w:hAnsi="Arial" w:cs="Arial"/>
                <w:b/>
                <w:bCs/>
                <w:color w:val="0068B5"/>
                <w:sz w:val="18"/>
                <w:szCs w:val="18"/>
              </w:rPr>
              <w:t>37,684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FB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B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B2" w14:textId="77777777" w:rsidR="00960BB8" w:rsidRDefault="00C06650">
            <w:pPr>
              <w:jc w:val="right"/>
              <w:textAlignment w:val="bottom"/>
            </w:pPr>
            <w:r>
              <w:rPr>
                <w:rFonts w:ascii="Arial" w:eastAsia="宋体" w:hAnsi="Arial" w:cs="Arial"/>
                <w:b/>
                <w:bCs/>
                <w:color w:val="262626"/>
                <w:sz w:val="18"/>
                <w:szCs w:val="18"/>
              </w:rPr>
              <w:t>33,510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FB3" w14:textId="77777777" w:rsidR="00960BB8" w:rsidRDefault="00960BB8">
            <w:pPr>
              <w:jc w:val="right"/>
              <w:rPr>
                <w:rFonts w:ascii="宋体"/>
              </w:rPr>
            </w:pPr>
          </w:p>
        </w:tc>
      </w:tr>
      <w:tr w:rsidR="00960BB8" w14:paraId="5A1B0FBA" w14:textId="77777777">
        <w:trPr>
          <w:hidden/>
        </w:trPr>
        <w:tc>
          <w:tcPr>
            <w:tcW w:w="0" w:type="auto"/>
            <w:gridSpan w:val="3"/>
            <w:shd w:val="clear" w:color="auto" w:fill="auto"/>
            <w:vAlign w:val="bottom"/>
          </w:tcPr>
          <w:p w14:paraId="5A1B0FB5" w14:textId="77777777" w:rsidR="00960BB8" w:rsidRDefault="00960BB8">
            <w:pPr>
              <w:rPr>
                <w:rFonts w:ascii="宋体"/>
                <w:vanish/>
              </w:rPr>
            </w:pPr>
          </w:p>
        </w:tc>
        <w:tc>
          <w:tcPr>
            <w:tcW w:w="0" w:type="auto"/>
            <w:gridSpan w:val="3"/>
            <w:shd w:val="clear" w:color="auto" w:fill="auto"/>
            <w:vAlign w:val="bottom"/>
          </w:tcPr>
          <w:p w14:paraId="5A1B0FB6" w14:textId="77777777" w:rsidR="00960BB8" w:rsidRDefault="00960BB8">
            <w:pPr>
              <w:rPr>
                <w:rFonts w:ascii="宋体"/>
                <w:vanish/>
              </w:rPr>
            </w:pPr>
          </w:p>
        </w:tc>
        <w:tc>
          <w:tcPr>
            <w:tcW w:w="0" w:type="auto"/>
            <w:gridSpan w:val="3"/>
            <w:shd w:val="clear" w:color="auto" w:fill="auto"/>
            <w:vAlign w:val="bottom"/>
          </w:tcPr>
          <w:p w14:paraId="5A1B0FB7" w14:textId="77777777" w:rsidR="00960BB8" w:rsidRDefault="00960BB8">
            <w:pPr>
              <w:rPr>
                <w:rFonts w:ascii="宋体"/>
                <w:vanish/>
              </w:rPr>
            </w:pPr>
          </w:p>
        </w:tc>
        <w:tc>
          <w:tcPr>
            <w:tcW w:w="0" w:type="auto"/>
            <w:gridSpan w:val="3"/>
            <w:shd w:val="clear" w:color="auto" w:fill="auto"/>
            <w:vAlign w:val="bottom"/>
          </w:tcPr>
          <w:p w14:paraId="5A1B0FB8" w14:textId="77777777" w:rsidR="00960BB8" w:rsidRDefault="00960BB8">
            <w:pPr>
              <w:rPr>
                <w:rFonts w:ascii="宋体"/>
                <w:vanish/>
              </w:rPr>
            </w:pPr>
          </w:p>
        </w:tc>
        <w:tc>
          <w:tcPr>
            <w:tcW w:w="0" w:type="auto"/>
            <w:gridSpan w:val="3"/>
            <w:shd w:val="clear" w:color="auto" w:fill="auto"/>
            <w:vAlign w:val="bottom"/>
          </w:tcPr>
          <w:p w14:paraId="5A1B0FB9" w14:textId="77777777" w:rsidR="00960BB8" w:rsidRDefault="00960BB8">
            <w:pPr>
              <w:rPr>
                <w:rFonts w:ascii="宋体"/>
                <w:vanish/>
              </w:rPr>
            </w:pPr>
          </w:p>
        </w:tc>
      </w:tr>
      <w:tr w:rsidR="00960BB8" w14:paraId="5A1B0FC2" w14:textId="77777777">
        <w:tc>
          <w:tcPr>
            <w:tcW w:w="0" w:type="auto"/>
            <w:gridSpan w:val="3"/>
            <w:shd w:val="clear" w:color="auto" w:fill="auto"/>
            <w:tcMar>
              <w:top w:w="40" w:type="dxa"/>
              <w:left w:w="20" w:type="dxa"/>
              <w:bottom w:w="40" w:type="dxa"/>
              <w:right w:w="20" w:type="dxa"/>
            </w:tcMar>
            <w:vAlign w:val="bottom"/>
          </w:tcPr>
          <w:p w14:paraId="5A1B0FBB" w14:textId="77777777" w:rsidR="00960BB8" w:rsidRDefault="00C06650">
            <w:pPr>
              <w:textAlignment w:val="bottom"/>
            </w:pPr>
            <w:r>
              <w:rPr>
                <w:rFonts w:ascii="Arial" w:eastAsia="宋体" w:hAnsi="Arial" w:cs="Arial"/>
                <w:b/>
                <w:bCs/>
                <w:color w:val="262626"/>
                <w:sz w:val="18"/>
                <w:szCs w:val="18"/>
              </w:rPr>
              <w:t>Long-term income taxes payable</w:t>
            </w:r>
          </w:p>
        </w:tc>
        <w:tc>
          <w:tcPr>
            <w:tcW w:w="0" w:type="auto"/>
            <w:gridSpan w:val="3"/>
            <w:shd w:val="clear" w:color="auto" w:fill="auto"/>
            <w:tcMar>
              <w:top w:w="0" w:type="dxa"/>
              <w:left w:w="20" w:type="dxa"/>
              <w:bottom w:w="0" w:type="dxa"/>
              <w:right w:w="20" w:type="dxa"/>
            </w:tcMar>
            <w:vAlign w:val="bottom"/>
          </w:tcPr>
          <w:p w14:paraId="5A1B0FB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BD" w14:textId="77777777" w:rsidR="00960BB8" w:rsidRDefault="00C06650">
            <w:pPr>
              <w:jc w:val="right"/>
              <w:textAlignment w:val="bottom"/>
            </w:pPr>
            <w:r>
              <w:rPr>
                <w:rFonts w:ascii="Arial" w:eastAsia="宋体" w:hAnsi="Arial" w:cs="Arial"/>
                <w:b/>
                <w:bCs/>
                <w:color w:val="0068B5"/>
                <w:sz w:val="18"/>
                <w:szCs w:val="18"/>
              </w:rPr>
              <w:t>3,796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FB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B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C0" w14:textId="77777777" w:rsidR="00960BB8" w:rsidRDefault="00C06650">
            <w:pPr>
              <w:jc w:val="right"/>
              <w:textAlignment w:val="bottom"/>
            </w:pPr>
            <w:r>
              <w:rPr>
                <w:rFonts w:ascii="Arial" w:eastAsia="宋体" w:hAnsi="Arial" w:cs="Arial"/>
                <w:b/>
                <w:bCs/>
                <w:color w:val="262626"/>
                <w:sz w:val="18"/>
                <w:szCs w:val="18"/>
              </w:rPr>
              <w:t>4,305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FC1" w14:textId="77777777" w:rsidR="00960BB8" w:rsidRDefault="00960BB8">
            <w:pPr>
              <w:jc w:val="right"/>
              <w:rPr>
                <w:rFonts w:ascii="宋体"/>
              </w:rPr>
            </w:pPr>
          </w:p>
        </w:tc>
      </w:tr>
      <w:tr w:rsidR="00960BB8" w14:paraId="5A1B0FCA" w14:textId="77777777">
        <w:tc>
          <w:tcPr>
            <w:tcW w:w="0" w:type="auto"/>
            <w:gridSpan w:val="3"/>
            <w:shd w:val="clear" w:color="auto" w:fill="auto"/>
            <w:tcMar>
              <w:top w:w="40" w:type="dxa"/>
              <w:left w:w="20" w:type="dxa"/>
              <w:bottom w:w="40" w:type="dxa"/>
              <w:right w:w="20" w:type="dxa"/>
            </w:tcMar>
            <w:vAlign w:val="bottom"/>
          </w:tcPr>
          <w:p w14:paraId="5A1B0FC3" w14:textId="77777777" w:rsidR="00960BB8" w:rsidRDefault="00C06650">
            <w:pPr>
              <w:textAlignment w:val="bottom"/>
            </w:pPr>
            <w:r>
              <w:rPr>
                <w:rFonts w:ascii="Arial" w:eastAsia="宋体" w:hAnsi="Arial" w:cs="Arial"/>
                <w:b/>
                <w:bCs/>
                <w:color w:val="262626"/>
                <w:sz w:val="18"/>
                <w:szCs w:val="18"/>
              </w:rPr>
              <w:t>Deferred income taxes</w:t>
            </w:r>
          </w:p>
        </w:tc>
        <w:tc>
          <w:tcPr>
            <w:tcW w:w="0" w:type="auto"/>
            <w:gridSpan w:val="3"/>
            <w:shd w:val="clear" w:color="auto" w:fill="auto"/>
            <w:tcMar>
              <w:top w:w="0" w:type="dxa"/>
              <w:left w:w="20" w:type="dxa"/>
              <w:bottom w:w="0" w:type="dxa"/>
              <w:right w:w="20" w:type="dxa"/>
            </w:tcMar>
            <w:vAlign w:val="bottom"/>
          </w:tcPr>
          <w:p w14:paraId="5A1B0FC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C5" w14:textId="77777777" w:rsidR="00960BB8" w:rsidRDefault="00C06650">
            <w:pPr>
              <w:jc w:val="right"/>
              <w:textAlignment w:val="bottom"/>
            </w:pPr>
            <w:r>
              <w:rPr>
                <w:rFonts w:ascii="Arial" w:eastAsia="宋体" w:hAnsi="Arial" w:cs="Arial"/>
                <w:b/>
                <w:bCs/>
                <w:color w:val="0068B5"/>
                <w:sz w:val="18"/>
                <w:szCs w:val="18"/>
              </w:rPr>
              <w:t>202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FC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C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C8" w14:textId="77777777" w:rsidR="00960BB8" w:rsidRDefault="00C06650">
            <w:pPr>
              <w:jc w:val="right"/>
              <w:textAlignment w:val="bottom"/>
            </w:pPr>
            <w:r>
              <w:rPr>
                <w:rFonts w:ascii="Arial" w:eastAsia="宋体" w:hAnsi="Arial" w:cs="Arial"/>
                <w:b/>
                <w:bCs/>
                <w:color w:val="262626"/>
                <w:sz w:val="18"/>
                <w:szCs w:val="18"/>
              </w:rPr>
              <w:t>2,667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FC9" w14:textId="77777777" w:rsidR="00960BB8" w:rsidRDefault="00960BB8">
            <w:pPr>
              <w:jc w:val="right"/>
              <w:rPr>
                <w:rFonts w:ascii="宋体"/>
              </w:rPr>
            </w:pPr>
          </w:p>
        </w:tc>
      </w:tr>
      <w:tr w:rsidR="00960BB8" w14:paraId="5A1B0FD2" w14:textId="77777777">
        <w:tc>
          <w:tcPr>
            <w:tcW w:w="0" w:type="auto"/>
            <w:gridSpan w:val="3"/>
            <w:shd w:val="clear" w:color="auto" w:fill="auto"/>
            <w:tcMar>
              <w:top w:w="40" w:type="dxa"/>
              <w:left w:w="20" w:type="dxa"/>
              <w:bottom w:w="40" w:type="dxa"/>
              <w:right w:w="20" w:type="dxa"/>
            </w:tcMar>
            <w:vAlign w:val="bottom"/>
          </w:tcPr>
          <w:p w14:paraId="5A1B0FCB" w14:textId="77777777" w:rsidR="00960BB8" w:rsidRDefault="00C06650">
            <w:pPr>
              <w:textAlignment w:val="bottom"/>
            </w:pPr>
            <w:r>
              <w:rPr>
                <w:rFonts w:ascii="Arial" w:eastAsia="宋体" w:hAnsi="Arial" w:cs="Arial"/>
                <w:b/>
                <w:bCs/>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5A1B0FC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CD" w14:textId="77777777" w:rsidR="00960BB8" w:rsidRDefault="00C06650">
            <w:pPr>
              <w:jc w:val="right"/>
              <w:textAlignment w:val="bottom"/>
            </w:pPr>
            <w:r>
              <w:rPr>
                <w:rFonts w:ascii="Arial" w:eastAsia="宋体" w:hAnsi="Arial" w:cs="Arial"/>
                <w:b/>
                <w:bCs/>
                <w:color w:val="0068B5"/>
                <w:sz w:val="18"/>
                <w:szCs w:val="18"/>
              </w:rPr>
              <w:t>4,980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FC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C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D0" w14:textId="77777777" w:rsidR="00960BB8" w:rsidRDefault="00C06650">
            <w:pPr>
              <w:jc w:val="right"/>
              <w:textAlignment w:val="bottom"/>
            </w:pPr>
            <w:r>
              <w:rPr>
                <w:rFonts w:ascii="Arial" w:eastAsia="宋体" w:hAnsi="Arial" w:cs="Arial"/>
                <w:b/>
                <w:bCs/>
                <w:color w:val="262626"/>
                <w:sz w:val="18"/>
                <w:szCs w:val="18"/>
              </w:rPr>
              <w:t>5,071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FD1" w14:textId="77777777" w:rsidR="00960BB8" w:rsidRDefault="00960BB8">
            <w:pPr>
              <w:jc w:val="right"/>
              <w:rPr>
                <w:rFonts w:ascii="宋体"/>
              </w:rPr>
            </w:pPr>
          </w:p>
        </w:tc>
      </w:tr>
      <w:tr w:rsidR="00960BB8" w14:paraId="5A1B0FD8" w14:textId="77777777">
        <w:tc>
          <w:tcPr>
            <w:tcW w:w="0" w:type="auto"/>
            <w:gridSpan w:val="3"/>
            <w:shd w:val="clear" w:color="auto" w:fill="auto"/>
            <w:tcMar>
              <w:top w:w="40" w:type="dxa"/>
              <w:left w:w="20" w:type="dxa"/>
              <w:bottom w:w="40" w:type="dxa"/>
              <w:right w:w="20" w:type="dxa"/>
            </w:tcMar>
            <w:vAlign w:val="bottom"/>
          </w:tcPr>
          <w:p w14:paraId="5A1B0FD3" w14:textId="77777777" w:rsidR="00960BB8" w:rsidRDefault="00C06650">
            <w:pPr>
              <w:textAlignment w:val="bottom"/>
            </w:pPr>
            <w:r>
              <w:rPr>
                <w:rFonts w:ascii="Arial" w:eastAsia="宋体" w:hAnsi="Arial" w:cs="Arial"/>
                <w:b/>
                <w:bCs/>
                <w:color w:val="262626"/>
                <w:sz w:val="18"/>
                <w:szCs w:val="18"/>
              </w:rPr>
              <w:t>Commitments and Contingencies (Note 19)</w:t>
            </w:r>
          </w:p>
        </w:tc>
        <w:tc>
          <w:tcPr>
            <w:tcW w:w="0" w:type="auto"/>
            <w:gridSpan w:val="3"/>
            <w:shd w:val="clear" w:color="auto" w:fill="auto"/>
            <w:tcMar>
              <w:top w:w="0" w:type="dxa"/>
              <w:left w:w="20" w:type="dxa"/>
              <w:bottom w:w="0" w:type="dxa"/>
              <w:right w:w="20" w:type="dxa"/>
            </w:tcMar>
            <w:vAlign w:val="bottom"/>
          </w:tcPr>
          <w:p w14:paraId="5A1B0FD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D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D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D7" w14:textId="77777777" w:rsidR="00960BB8" w:rsidRDefault="00960BB8">
            <w:pPr>
              <w:rPr>
                <w:rFonts w:ascii="宋体"/>
              </w:rPr>
            </w:pPr>
          </w:p>
        </w:tc>
      </w:tr>
      <w:tr w:rsidR="00960BB8" w14:paraId="5A1B0FDE" w14:textId="77777777">
        <w:trPr>
          <w:hidden/>
        </w:trPr>
        <w:tc>
          <w:tcPr>
            <w:tcW w:w="0" w:type="auto"/>
            <w:gridSpan w:val="3"/>
            <w:shd w:val="clear" w:color="auto" w:fill="auto"/>
            <w:vAlign w:val="bottom"/>
          </w:tcPr>
          <w:p w14:paraId="5A1B0FD9" w14:textId="77777777" w:rsidR="00960BB8" w:rsidRDefault="00960BB8">
            <w:pPr>
              <w:rPr>
                <w:rFonts w:ascii="宋体"/>
                <w:vanish/>
              </w:rPr>
            </w:pPr>
          </w:p>
        </w:tc>
        <w:tc>
          <w:tcPr>
            <w:tcW w:w="0" w:type="auto"/>
            <w:gridSpan w:val="3"/>
            <w:shd w:val="clear" w:color="auto" w:fill="auto"/>
            <w:vAlign w:val="bottom"/>
          </w:tcPr>
          <w:p w14:paraId="5A1B0FDA" w14:textId="77777777" w:rsidR="00960BB8" w:rsidRDefault="00960BB8">
            <w:pPr>
              <w:rPr>
                <w:rFonts w:ascii="宋体"/>
                <w:vanish/>
              </w:rPr>
            </w:pPr>
          </w:p>
        </w:tc>
        <w:tc>
          <w:tcPr>
            <w:tcW w:w="0" w:type="auto"/>
            <w:gridSpan w:val="3"/>
            <w:shd w:val="clear" w:color="auto" w:fill="auto"/>
            <w:vAlign w:val="bottom"/>
          </w:tcPr>
          <w:p w14:paraId="5A1B0FDB" w14:textId="77777777" w:rsidR="00960BB8" w:rsidRDefault="00960BB8">
            <w:pPr>
              <w:rPr>
                <w:rFonts w:ascii="宋体"/>
                <w:vanish/>
              </w:rPr>
            </w:pPr>
          </w:p>
        </w:tc>
        <w:tc>
          <w:tcPr>
            <w:tcW w:w="0" w:type="auto"/>
            <w:gridSpan w:val="3"/>
            <w:shd w:val="clear" w:color="auto" w:fill="auto"/>
            <w:vAlign w:val="bottom"/>
          </w:tcPr>
          <w:p w14:paraId="5A1B0FDC" w14:textId="77777777" w:rsidR="00960BB8" w:rsidRDefault="00960BB8">
            <w:pPr>
              <w:rPr>
                <w:rFonts w:ascii="宋体"/>
                <w:vanish/>
              </w:rPr>
            </w:pPr>
          </w:p>
        </w:tc>
        <w:tc>
          <w:tcPr>
            <w:tcW w:w="0" w:type="auto"/>
            <w:gridSpan w:val="3"/>
            <w:shd w:val="clear" w:color="auto" w:fill="auto"/>
            <w:vAlign w:val="bottom"/>
          </w:tcPr>
          <w:p w14:paraId="5A1B0FDD" w14:textId="77777777" w:rsidR="00960BB8" w:rsidRDefault="00960BB8">
            <w:pPr>
              <w:rPr>
                <w:rFonts w:ascii="宋体"/>
                <w:vanish/>
              </w:rPr>
            </w:pPr>
          </w:p>
        </w:tc>
      </w:tr>
      <w:tr w:rsidR="00960BB8" w14:paraId="5A1B0FE4" w14:textId="77777777">
        <w:tc>
          <w:tcPr>
            <w:tcW w:w="0" w:type="auto"/>
            <w:gridSpan w:val="3"/>
            <w:shd w:val="clear" w:color="auto" w:fill="auto"/>
            <w:tcMar>
              <w:top w:w="40" w:type="dxa"/>
              <w:left w:w="20" w:type="dxa"/>
              <w:bottom w:w="40" w:type="dxa"/>
              <w:right w:w="20" w:type="dxa"/>
            </w:tcMar>
            <w:vAlign w:val="bottom"/>
          </w:tcPr>
          <w:p w14:paraId="5A1B0FDF" w14:textId="77777777" w:rsidR="00960BB8" w:rsidRDefault="00C06650">
            <w:pPr>
              <w:textAlignment w:val="bottom"/>
            </w:pPr>
            <w:r>
              <w:rPr>
                <w:rFonts w:ascii="Arial" w:eastAsia="宋体" w:hAnsi="Arial" w:cs="Arial"/>
                <w:color w:val="262626"/>
                <w:sz w:val="18"/>
                <w:szCs w:val="18"/>
              </w:rPr>
              <w:t>Stockholders' equity:</w:t>
            </w:r>
          </w:p>
        </w:tc>
        <w:tc>
          <w:tcPr>
            <w:tcW w:w="0" w:type="auto"/>
            <w:gridSpan w:val="3"/>
            <w:shd w:val="clear" w:color="auto" w:fill="auto"/>
            <w:tcMar>
              <w:top w:w="0" w:type="dxa"/>
              <w:left w:w="20" w:type="dxa"/>
              <w:bottom w:w="0" w:type="dxa"/>
              <w:right w:w="20" w:type="dxa"/>
            </w:tcMar>
            <w:vAlign w:val="bottom"/>
          </w:tcPr>
          <w:p w14:paraId="5A1B0FE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E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E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0FE3" w14:textId="77777777" w:rsidR="00960BB8" w:rsidRDefault="00960BB8">
            <w:pPr>
              <w:rPr>
                <w:rFonts w:ascii="宋体"/>
              </w:rPr>
            </w:pPr>
          </w:p>
        </w:tc>
      </w:tr>
      <w:tr w:rsidR="00960BB8" w14:paraId="5A1B0FEC" w14:textId="77777777">
        <w:tc>
          <w:tcPr>
            <w:tcW w:w="0" w:type="auto"/>
            <w:gridSpan w:val="3"/>
            <w:shd w:val="clear" w:color="auto" w:fill="auto"/>
            <w:tcMar>
              <w:top w:w="40" w:type="dxa"/>
              <w:left w:w="155" w:type="dxa"/>
              <w:bottom w:w="40" w:type="dxa"/>
              <w:right w:w="20" w:type="dxa"/>
            </w:tcMar>
            <w:vAlign w:val="bottom"/>
          </w:tcPr>
          <w:p w14:paraId="5A1B0FE5" w14:textId="77777777" w:rsidR="00960BB8" w:rsidRDefault="00C06650">
            <w:pPr>
              <w:textAlignment w:val="bottom"/>
            </w:pPr>
            <w:r>
              <w:rPr>
                <w:rFonts w:ascii="Arial" w:eastAsia="宋体" w:hAnsi="Arial" w:cs="Arial"/>
                <w:color w:val="262626"/>
                <w:sz w:val="18"/>
                <w:szCs w:val="18"/>
              </w:rPr>
              <w:t>Preferred stock, $0.001 par value, 50 shares authorized; none issued</w:t>
            </w:r>
          </w:p>
        </w:tc>
        <w:tc>
          <w:tcPr>
            <w:tcW w:w="0" w:type="auto"/>
            <w:gridSpan w:val="3"/>
            <w:shd w:val="clear" w:color="auto" w:fill="auto"/>
            <w:tcMar>
              <w:top w:w="0" w:type="dxa"/>
              <w:left w:w="20" w:type="dxa"/>
              <w:bottom w:w="0" w:type="dxa"/>
              <w:right w:w="20" w:type="dxa"/>
            </w:tcMar>
            <w:vAlign w:val="bottom"/>
          </w:tcPr>
          <w:p w14:paraId="5A1B0FE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E7"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0FE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E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EA"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0FEB" w14:textId="77777777" w:rsidR="00960BB8" w:rsidRDefault="00960BB8">
            <w:pPr>
              <w:jc w:val="right"/>
              <w:rPr>
                <w:rFonts w:ascii="宋体"/>
              </w:rPr>
            </w:pPr>
          </w:p>
        </w:tc>
      </w:tr>
      <w:tr w:rsidR="00960BB8" w14:paraId="5A1B0FF4" w14:textId="77777777">
        <w:tc>
          <w:tcPr>
            <w:tcW w:w="0" w:type="auto"/>
            <w:gridSpan w:val="3"/>
            <w:shd w:val="clear" w:color="auto" w:fill="auto"/>
            <w:tcMar>
              <w:top w:w="40" w:type="dxa"/>
              <w:left w:w="140" w:type="dxa"/>
              <w:bottom w:w="40" w:type="dxa"/>
              <w:right w:w="20" w:type="dxa"/>
            </w:tcMar>
            <w:vAlign w:val="bottom"/>
          </w:tcPr>
          <w:p w14:paraId="5A1B0FED" w14:textId="77777777" w:rsidR="00960BB8" w:rsidRDefault="00C06650">
            <w:pPr>
              <w:textAlignment w:val="bottom"/>
            </w:pPr>
            <w:r>
              <w:rPr>
                <w:rFonts w:ascii="Arial" w:eastAsia="宋体" w:hAnsi="Arial" w:cs="Arial"/>
                <w:color w:val="262626"/>
                <w:sz w:val="18"/>
                <w:szCs w:val="18"/>
              </w:rPr>
              <w:t>Common stock, $0.001 par value, 10,000 shares authorized; 4,137 shares issued and outstanding (4,070 issued and outstanding in 2021) and capital in excess of par value</w:t>
            </w:r>
          </w:p>
        </w:tc>
        <w:tc>
          <w:tcPr>
            <w:tcW w:w="0" w:type="auto"/>
            <w:gridSpan w:val="3"/>
            <w:shd w:val="clear" w:color="auto" w:fill="auto"/>
            <w:tcMar>
              <w:top w:w="0" w:type="dxa"/>
              <w:left w:w="20" w:type="dxa"/>
              <w:bottom w:w="0" w:type="dxa"/>
              <w:right w:w="20" w:type="dxa"/>
            </w:tcMar>
            <w:vAlign w:val="bottom"/>
          </w:tcPr>
          <w:p w14:paraId="5A1B0FE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EF" w14:textId="77777777" w:rsidR="00960BB8" w:rsidRDefault="00C06650">
            <w:pPr>
              <w:jc w:val="right"/>
              <w:textAlignment w:val="bottom"/>
            </w:pPr>
            <w:r>
              <w:rPr>
                <w:rFonts w:ascii="Arial" w:eastAsia="宋体" w:hAnsi="Arial" w:cs="Arial"/>
                <w:color w:val="0068B5"/>
                <w:sz w:val="18"/>
                <w:szCs w:val="18"/>
              </w:rPr>
              <w:t>31,580 </w:t>
            </w:r>
          </w:p>
        </w:tc>
        <w:tc>
          <w:tcPr>
            <w:tcW w:w="0" w:type="auto"/>
            <w:shd w:val="clear" w:color="auto" w:fill="auto"/>
            <w:tcMar>
              <w:top w:w="40" w:type="dxa"/>
              <w:left w:w="0" w:type="dxa"/>
              <w:bottom w:w="40" w:type="dxa"/>
              <w:right w:w="20" w:type="dxa"/>
            </w:tcMar>
            <w:vAlign w:val="bottom"/>
          </w:tcPr>
          <w:p w14:paraId="5A1B0FF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F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F2" w14:textId="77777777" w:rsidR="00960BB8" w:rsidRDefault="00C06650">
            <w:pPr>
              <w:jc w:val="right"/>
              <w:textAlignment w:val="bottom"/>
            </w:pPr>
            <w:r>
              <w:rPr>
                <w:rFonts w:ascii="Arial" w:eastAsia="宋体" w:hAnsi="Arial" w:cs="Arial"/>
                <w:color w:val="262626"/>
                <w:sz w:val="18"/>
                <w:szCs w:val="18"/>
              </w:rPr>
              <w:t>28,006 </w:t>
            </w:r>
          </w:p>
        </w:tc>
        <w:tc>
          <w:tcPr>
            <w:tcW w:w="0" w:type="auto"/>
            <w:shd w:val="clear" w:color="auto" w:fill="auto"/>
            <w:tcMar>
              <w:top w:w="40" w:type="dxa"/>
              <w:left w:w="0" w:type="dxa"/>
              <w:bottom w:w="40" w:type="dxa"/>
              <w:right w:w="20" w:type="dxa"/>
            </w:tcMar>
            <w:vAlign w:val="bottom"/>
          </w:tcPr>
          <w:p w14:paraId="5A1B0FF3" w14:textId="77777777" w:rsidR="00960BB8" w:rsidRDefault="00960BB8">
            <w:pPr>
              <w:jc w:val="right"/>
              <w:rPr>
                <w:rFonts w:ascii="宋体"/>
              </w:rPr>
            </w:pPr>
          </w:p>
        </w:tc>
      </w:tr>
      <w:tr w:rsidR="00960BB8" w14:paraId="5A1B0FFC" w14:textId="77777777">
        <w:tc>
          <w:tcPr>
            <w:tcW w:w="0" w:type="auto"/>
            <w:gridSpan w:val="3"/>
            <w:shd w:val="clear" w:color="auto" w:fill="auto"/>
            <w:tcMar>
              <w:top w:w="40" w:type="dxa"/>
              <w:left w:w="155" w:type="dxa"/>
              <w:bottom w:w="40" w:type="dxa"/>
              <w:right w:w="20" w:type="dxa"/>
            </w:tcMar>
            <w:vAlign w:val="bottom"/>
          </w:tcPr>
          <w:p w14:paraId="5A1B0FF5" w14:textId="77777777" w:rsidR="00960BB8" w:rsidRDefault="00C06650">
            <w:pPr>
              <w:textAlignment w:val="bottom"/>
            </w:pPr>
            <w:r>
              <w:rPr>
                <w:rFonts w:ascii="Arial" w:eastAsia="宋体" w:hAnsi="Arial" w:cs="Arial"/>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5A1B0FF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F7" w14:textId="77777777" w:rsidR="00960BB8" w:rsidRDefault="00C06650">
            <w:pPr>
              <w:jc w:val="right"/>
              <w:textAlignment w:val="bottom"/>
            </w:pPr>
            <w:r>
              <w:rPr>
                <w:rFonts w:ascii="Arial" w:eastAsia="宋体" w:hAnsi="Arial" w:cs="Arial"/>
                <w:color w:val="0068B5"/>
                <w:sz w:val="18"/>
                <w:szCs w:val="18"/>
              </w:rPr>
              <w:t>(562)</w:t>
            </w:r>
          </w:p>
        </w:tc>
        <w:tc>
          <w:tcPr>
            <w:tcW w:w="0" w:type="auto"/>
            <w:shd w:val="clear" w:color="auto" w:fill="auto"/>
            <w:tcMar>
              <w:top w:w="40" w:type="dxa"/>
              <w:left w:w="0" w:type="dxa"/>
              <w:bottom w:w="40" w:type="dxa"/>
              <w:right w:w="20" w:type="dxa"/>
            </w:tcMar>
            <w:vAlign w:val="bottom"/>
          </w:tcPr>
          <w:p w14:paraId="5A1B0FF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0FF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FA" w14:textId="77777777" w:rsidR="00960BB8" w:rsidRDefault="00C06650">
            <w:pPr>
              <w:jc w:val="right"/>
              <w:textAlignment w:val="bottom"/>
            </w:pPr>
            <w:r>
              <w:rPr>
                <w:rFonts w:ascii="Arial" w:eastAsia="宋体" w:hAnsi="Arial" w:cs="Arial"/>
                <w:color w:val="262626"/>
                <w:sz w:val="18"/>
                <w:szCs w:val="18"/>
              </w:rPr>
              <w:t>(880)</w:t>
            </w:r>
          </w:p>
        </w:tc>
        <w:tc>
          <w:tcPr>
            <w:tcW w:w="0" w:type="auto"/>
            <w:shd w:val="clear" w:color="auto" w:fill="auto"/>
            <w:tcMar>
              <w:top w:w="40" w:type="dxa"/>
              <w:left w:w="0" w:type="dxa"/>
              <w:bottom w:w="40" w:type="dxa"/>
              <w:right w:w="20" w:type="dxa"/>
            </w:tcMar>
            <w:vAlign w:val="bottom"/>
          </w:tcPr>
          <w:p w14:paraId="5A1B0FFB" w14:textId="77777777" w:rsidR="00960BB8" w:rsidRDefault="00960BB8">
            <w:pPr>
              <w:jc w:val="right"/>
              <w:rPr>
                <w:rFonts w:ascii="宋体"/>
              </w:rPr>
            </w:pPr>
          </w:p>
        </w:tc>
      </w:tr>
      <w:tr w:rsidR="00960BB8" w14:paraId="5A1B1004" w14:textId="77777777">
        <w:tc>
          <w:tcPr>
            <w:tcW w:w="0" w:type="auto"/>
            <w:gridSpan w:val="3"/>
            <w:shd w:val="clear" w:color="auto" w:fill="auto"/>
            <w:tcMar>
              <w:top w:w="40" w:type="dxa"/>
              <w:left w:w="155" w:type="dxa"/>
              <w:bottom w:w="40" w:type="dxa"/>
              <w:right w:w="20" w:type="dxa"/>
            </w:tcMar>
            <w:vAlign w:val="bottom"/>
          </w:tcPr>
          <w:p w14:paraId="5A1B0FFD" w14:textId="77777777" w:rsidR="00960BB8" w:rsidRDefault="00C06650">
            <w:pPr>
              <w:textAlignment w:val="bottom"/>
            </w:pPr>
            <w:r>
              <w:rPr>
                <w:rFonts w:ascii="Arial" w:eastAsia="宋体" w:hAnsi="Arial" w:cs="Arial"/>
                <w:color w:val="262626"/>
                <w:sz w:val="18"/>
                <w:szCs w:val="18"/>
              </w:rPr>
              <w:t>Retained earnings</w:t>
            </w:r>
          </w:p>
        </w:tc>
        <w:tc>
          <w:tcPr>
            <w:tcW w:w="0" w:type="auto"/>
            <w:gridSpan w:val="3"/>
            <w:shd w:val="clear" w:color="auto" w:fill="auto"/>
            <w:tcMar>
              <w:top w:w="0" w:type="dxa"/>
              <w:left w:w="20" w:type="dxa"/>
              <w:bottom w:w="0" w:type="dxa"/>
              <w:right w:w="20" w:type="dxa"/>
            </w:tcMar>
            <w:vAlign w:val="bottom"/>
          </w:tcPr>
          <w:p w14:paraId="5A1B0FF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0FFF" w14:textId="77777777" w:rsidR="00960BB8" w:rsidRDefault="00C06650">
            <w:pPr>
              <w:jc w:val="right"/>
              <w:textAlignment w:val="bottom"/>
            </w:pPr>
            <w:r>
              <w:rPr>
                <w:rFonts w:ascii="Arial" w:eastAsia="宋体" w:hAnsi="Arial" w:cs="Arial"/>
                <w:color w:val="0068B5"/>
                <w:sz w:val="18"/>
                <w:szCs w:val="18"/>
              </w:rPr>
              <w:t>70,405 </w:t>
            </w:r>
          </w:p>
        </w:tc>
        <w:tc>
          <w:tcPr>
            <w:tcW w:w="0" w:type="auto"/>
            <w:shd w:val="clear" w:color="auto" w:fill="auto"/>
            <w:tcMar>
              <w:top w:w="40" w:type="dxa"/>
              <w:left w:w="0" w:type="dxa"/>
              <w:bottom w:w="40" w:type="dxa"/>
              <w:right w:w="20" w:type="dxa"/>
            </w:tcMar>
            <w:vAlign w:val="bottom"/>
          </w:tcPr>
          <w:p w14:paraId="5A1B100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0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02" w14:textId="77777777" w:rsidR="00960BB8" w:rsidRDefault="00C06650">
            <w:pPr>
              <w:jc w:val="right"/>
              <w:textAlignment w:val="bottom"/>
            </w:pPr>
            <w:r>
              <w:rPr>
                <w:rFonts w:ascii="Arial" w:eastAsia="宋体" w:hAnsi="Arial" w:cs="Arial"/>
                <w:color w:val="262626"/>
                <w:sz w:val="18"/>
                <w:szCs w:val="18"/>
              </w:rPr>
              <w:t>68,265 </w:t>
            </w:r>
          </w:p>
        </w:tc>
        <w:tc>
          <w:tcPr>
            <w:tcW w:w="0" w:type="auto"/>
            <w:shd w:val="clear" w:color="auto" w:fill="auto"/>
            <w:tcMar>
              <w:top w:w="40" w:type="dxa"/>
              <w:left w:w="0" w:type="dxa"/>
              <w:bottom w:w="40" w:type="dxa"/>
              <w:right w:w="20" w:type="dxa"/>
            </w:tcMar>
            <w:vAlign w:val="bottom"/>
          </w:tcPr>
          <w:p w14:paraId="5A1B1003" w14:textId="77777777" w:rsidR="00960BB8" w:rsidRDefault="00960BB8">
            <w:pPr>
              <w:jc w:val="right"/>
              <w:rPr>
                <w:rFonts w:ascii="宋体"/>
              </w:rPr>
            </w:pPr>
          </w:p>
        </w:tc>
      </w:tr>
      <w:tr w:rsidR="00960BB8" w14:paraId="5A1B100C" w14:textId="77777777">
        <w:tc>
          <w:tcPr>
            <w:tcW w:w="0" w:type="auto"/>
            <w:gridSpan w:val="3"/>
            <w:shd w:val="clear" w:color="auto" w:fill="auto"/>
            <w:tcMar>
              <w:top w:w="40" w:type="dxa"/>
              <w:left w:w="20" w:type="dxa"/>
              <w:bottom w:w="40" w:type="dxa"/>
              <w:right w:w="20" w:type="dxa"/>
            </w:tcMar>
            <w:vAlign w:val="bottom"/>
          </w:tcPr>
          <w:p w14:paraId="5A1B1005" w14:textId="77777777" w:rsidR="00960BB8" w:rsidRDefault="00C06650">
            <w:pPr>
              <w:textAlignment w:val="bottom"/>
            </w:pPr>
            <w:r>
              <w:rPr>
                <w:rFonts w:ascii="Arial" w:eastAsia="宋体" w:hAnsi="Arial" w:cs="Arial"/>
                <w:b/>
                <w:bCs/>
                <w:color w:val="262626"/>
                <w:sz w:val="18"/>
                <w:szCs w:val="18"/>
              </w:rPr>
              <w:t>Total Intel stockholders' equity</w:t>
            </w:r>
          </w:p>
        </w:tc>
        <w:tc>
          <w:tcPr>
            <w:tcW w:w="0" w:type="auto"/>
            <w:gridSpan w:val="3"/>
            <w:shd w:val="clear" w:color="auto" w:fill="auto"/>
            <w:tcMar>
              <w:top w:w="0" w:type="dxa"/>
              <w:left w:w="20" w:type="dxa"/>
              <w:bottom w:w="0" w:type="dxa"/>
              <w:right w:w="20" w:type="dxa"/>
            </w:tcMar>
            <w:vAlign w:val="bottom"/>
          </w:tcPr>
          <w:p w14:paraId="5A1B1006"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007" w14:textId="77777777" w:rsidR="00960BB8" w:rsidRDefault="00C06650">
            <w:pPr>
              <w:jc w:val="right"/>
              <w:textAlignment w:val="bottom"/>
            </w:pPr>
            <w:r>
              <w:rPr>
                <w:rFonts w:ascii="Arial" w:eastAsia="宋体" w:hAnsi="Arial" w:cs="Arial"/>
                <w:b/>
                <w:bCs/>
                <w:color w:val="0068B5"/>
                <w:sz w:val="18"/>
                <w:szCs w:val="18"/>
              </w:rPr>
              <w:t>101,423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00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0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00A" w14:textId="77777777" w:rsidR="00960BB8" w:rsidRDefault="00C06650">
            <w:pPr>
              <w:jc w:val="right"/>
              <w:textAlignment w:val="bottom"/>
            </w:pPr>
            <w:r>
              <w:rPr>
                <w:rFonts w:ascii="Arial" w:eastAsia="宋体" w:hAnsi="Arial" w:cs="Arial"/>
                <w:b/>
                <w:bCs/>
                <w:color w:val="262626"/>
                <w:sz w:val="18"/>
                <w:szCs w:val="18"/>
              </w:rPr>
              <w:t>95,391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00B" w14:textId="77777777" w:rsidR="00960BB8" w:rsidRDefault="00960BB8">
            <w:pPr>
              <w:jc w:val="right"/>
              <w:rPr>
                <w:rFonts w:ascii="宋体"/>
              </w:rPr>
            </w:pPr>
          </w:p>
        </w:tc>
      </w:tr>
      <w:tr w:rsidR="00960BB8" w14:paraId="5A1B1014" w14:textId="77777777">
        <w:tc>
          <w:tcPr>
            <w:tcW w:w="0" w:type="auto"/>
            <w:gridSpan w:val="3"/>
            <w:shd w:val="clear" w:color="auto" w:fill="auto"/>
            <w:tcMar>
              <w:top w:w="40" w:type="dxa"/>
              <w:left w:w="20" w:type="dxa"/>
              <w:bottom w:w="40" w:type="dxa"/>
              <w:right w:w="20" w:type="dxa"/>
            </w:tcMar>
            <w:vAlign w:val="bottom"/>
          </w:tcPr>
          <w:p w14:paraId="5A1B100D" w14:textId="77777777" w:rsidR="00960BB8" w:rsidRDefault="00C06650">
            <w:pPr>
              <w:textAlignment w:val="bottom"/>
            </w:pPr>
            <w:r>
              <w:rPr>
                <w:rFonts w:ascii="Arial" w:eastAsia="宋体" w:hAnsi="Arial" w:cs="Arial"/>
                <w:b/>
                <w:bCs/>
                <w:color w:val="262626"/>
                <w:sz w:val="18"/>
                <w:szCs w:val="18"/>
              </w:rPr>
              <w:t>Non-controlling interests</w:t>
            </w:r>
          </w:p>
        </w:tc>
        <w:tc>
          <w:tcPr>
            <w:tcW w:w="0" w:type="auto"/>
            <w:gridSpan w:val="3"/>
            <w:shd w:val="clear" w:color="auto" w:fill="auto"/>
            <w:tcMar>
              <w:top w:w="0" w:type="dxa"/>
              <w:left w:w="20" w:type="dxa"/>
              <w:bottom w:w="0" w:type="dxa"/>
              <w:right w:w="20" w:type="dxa"/>
            </w:tcMar>
            <w:vAlign w:val="bottom"/>
          </w:tcPr>
          <w:p w14:paraId="5A1B100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0F" w14:textId="77777777" w:rsidR="00960BB8" w:rsidRDefault="00C06650">
            <w:pPr>
              <w:jc w:val="right"/>
              <w:textAlignment w:val="bottom"/>
            </w:pPr>
            <w:r>
              <w:rPr>
                <w:rFonts w:ascii="Arial" w:eastAsia="宋体" w:hAnsi="Arial" w:cs="Arial"/>
                <w:b/>
                <w:bCs/>
                <w:color w:val="0068B5"/>
                <w:sz w:val="18"/>
                <w:szCs w:val="18"/>
              </w:rPr>
              <w:t>1,863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01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1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12" w14:textId="77777777" w:rsidR="00960BB8" w:rsidRDefault="00C06650">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013" w14:textId="77777777" w:rsidR="00960BB8" w:rsidRDefault="00960BB8">
            <w:pPr>
              <w:jc w:val="right"/>
              <w:rPr>
                <w:rFonts w:ascii="宋体"/>
              </w:rPr>
            </w:pPr>
          </w:p>
        </w:tc>
      </w:tr>
      <w:tr w:rsidR="00960BB8" w14:paraId="5A1B101C" w14:textId="77777777">
        <w:tc>
          <w:tcPr>
            <w:tcW w:w="0" w:type="auto"/>
            <w:gridSpan w:val="3"/>
            <w:shd w:val="clear" w:color="auto" w:fill="auto"/>
            <w:tcMar>
              <w:top w:w="40" w:type="dxa"/>
              <w:left w:w="20" w:type="dxa"/>
              <w:bottom w:w="40" w:type="dxa"/>
              <w:right w:w="20" w:type="dxa"/>
            </w:tcMar>
            <w:vAlign w:val="bottom"/>
          </w:tcPr>
          <w:p w14:paraId="5A1B1015" w14:textId="77777777" w:rsidR="00960BB8" w:rsidRDefault="00C06650">
            <w:pPr>
              <w:textAlignment w:val="bottom"/>
            </w:pPr>
            <w:r>
              <w:rPr>
                <w:rFonts w:ascii="Arial" w:eastAsia="宋体" w:hAnsi="Arial" w:cs="Arial"/>
                <w:b/>
                <w:bCs/>
                <w:color w:val="262626"/>
                <w:sz w:val="18"/>
                <w:szCs w:val="18"/>
              </w:rPr>
              <w:t>Total stockholders’ equity</w:t>
            </w:r>
          </w:p>
        </w:tc>
        <w:tc>
          <w:tcPr>
            <w:tcW w:w="0" w:type="auto"/>
            <w:gridSpan w:val="3"/>
            <w:shd w:val="clear" w:color="auto" w:fill="auto"/>
            <w:tcMar>
              <w:top w:w="0" w:type="dxa"/>
              <w:left w:w="20" w:type="dxa"/>
              <w:bottom w:w="0" w:type="dxa"/>
              <w:right w:w="20" w:type="dxa"/>
            </w:tcMar>
            <w:vAlign w:val="bottom"/>
          </w:tcPr>
          <w:p w14:paraId="5A1B1016"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017" w14:textId="77777777" w:rsidR="00960BB8" w:rsidRDefault="00C06650">
            <w:pPr>
              <w:jc w:val="right"/>
              <w:textAlignment w:val="bottom"/>
            </w:pPr>
            <w:r>
              <w:rPr>
                <w:rFonts w:ascii="Arial" w:eastAsia="宋体" w:hAnsi="Arial" w:cs="Arial"/>
                <w:b/>
                <w:bCs/>
                <w:color w:val="0068B5"/>
                <w:sz w:val="18"/>
                <w:szCs w:val="18"/>
              </w:rPr>
              <w:t>103,286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01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1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01A" w14:textId="77777777" w:rsidR="00960BB8" w:rsidRDefault="00C06650">
            <w:pPr>
              <w:jc w:val="right"/>
              <w:textAlignment w:val="bottom"/>
            </w:pPr>
            <w:r>
              <w:rPr>
                <w:rFonts w:ascii="Arial" w:eastAsia="宋体" w:hAnsi="Arial" w:cs="Arial"/>
                <w:b/>
                <w:bCs/>
                <w:color w:val="262626"/>
                <w:sz w:val="18"/>
                <w:szCs w:val="18"/>
              </w:rPr>
              <w:t>95,391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01B" w14:textId="77777777" w:rsidR="00960BB8" w:rsidRDefault="00960BB8">
            <w:pPr>
              <w:jc w:val="right"/>
              <w:rPr>
                <w:rFonts w:ascii="宋体"/>
              </w:rPr>
            </w:pPr>
          </w:p>
        </w:tc>
      </w:tr>
      <w:tr w:rsidR="00960BB8" w14:paraId="5A1B1026" w14:textId="77777777">
        <w:tc>
          <w:tcPr>
            <w:tcW w:w="0" w:type="auto"/>
            <w:gridSpan w:val="3"/>
            <w:shd w:val="clear" w:color="auto" w:fill="auto"/>
            <w:tcMar>
              <w:top w:w="40" w:type="dxa"/>
              <w:left w:w="35" w:type="dxa"/>
              <w:bottom w:w="40" w:type="dxa"/>
              <w:right w:w="20" w:type="dxa"/>
            </w:tcMar>
            <w:vAlign w:val="bottom"/>
          </w:tcPr>
          <w:p w14:paraId="5A1B101D" w14:textId="77777777" w:rsidR="00960BB8" w:rsidRDefault="00C06650">
            <w:pPr>
              <w:textAlignment w:val="bottom"/>
            </w:pPr>
            <w:r>
              <w:rPr>
                <w:rFonts w:ascii="Arial" w:eastAsia="宋体" w:hAnsi="Arial" w:cs="Arial"/>
                <w:b/>
                <w:bCs/>
                <w:color w:val="262626"/>
                <w:sz w:val="18"/>
                <w:szCs w:val="18"/>
              </w:rPr>
              <w:t>Total liabilities and stockholders' equity</w:t>
            </w:r>
          </w:p>
        </w:tc>
        <w:tc>
          <w:tcPr>
            <w:tcW w:w="0" w:type="auto"/>
            <w:gridSpan w:val="3"/>
            <w:shd w:val="clear" w:color="auto" w:fill="auto"/>
            <w:tcMar>
              <w:top w:w="0" w:type="dxa"/>
              <w:left w:w="20" w:type="dxa"/>
              <w:bottom w:w="0" w:type="dxa"/>
              <w:right w:w="20" w:type="dxa"/>
            </w:tcMar>
            <w:vAlign w:val="bottom"/>
          </w:tcPr>
          <w:p w14:paraId="5A1B101E"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01F"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020" w14:textId="77777777" w:rsidR="00960BB8" w:rsidRDefault="00C06650">
            <w:pPr>
              <w:jc w:val="right"/>
              <w:textAlignment w:val="bottom"/>
            </w:pPr>
            <w:r>
              <w:rPr>
                <w:rFonts w:ascii="Arial" w:eastAsia="宋体" w:hAnsi="Arial" w:cs="Arial"/>
                <w:b/>
                <w:bCs/>
                <w:color w:val="0068B5"/>
                <w:sz w:val="18"/>
                <w:szCs w:val="18"/>
              </w:rPr>
              <w:t>182,103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02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22"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023"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024" w14:textId="77777777" w:rsidR="00960BB8" w:rsidRDefault="00C06650">
            <w:pPr>
              <w:jc w:val="right"/>
              <w:textAlignment w:val="bottom"/>
            </w:pPr>
            <w:r>
              <w:rPr>
                <w:rFonts w:ascii="Arial" w:eastAsia="宋体" w:hAnsi="Arial" w:cs="Arial"/>
                <w:b/>
                <w:bCs/>
                <w:color w:val="262626"/>
                <w:sz w:val="18"/>
                <w:szCs w:val="18"/>
              </w:rPr>
              <w:t>168,406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025" w14:textId="77777777" w:rsidR="00960BB8" w:rsidRDefault="00960BB8">
            <w:pPr>
              <w:jc w:val="right"/>
              <w:rPr>
                <w:rFonts w:ascii="宋体"/>
              </w:rPr>
            </w:pPr>
          </w:p>
        </w:tc>
      </w:tr>
    </w:tbl>
    <w:p w14:paraId="5A1B1027" w14:textId="77777777" w:rsidR="00960BB8" w:rsidRDefault="00C06650">
      <w:pPr>
        <w:spacing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960BB8" w14:paraId="5A1B1034" w14:textId="77777777">
        <w:tc>
          <w:tcPr>
            <w:tcW w:w="50" w:type="pct"/>
            <w:shd w:val="clear" w:color="auto" w:fill="auto"/>
            <w:vAlign w:val="bottom"/>
          </w:tcPr>
          <w:p w14:paraId="5A1B1028" w14:textId="77777777" w:rsidR="00960BB8" w:rsidRDefault="00960BB8">
            <w:pPr>
              <w:rPr>
                <w:rFonts w:ascii="宋体"/>
              </w:rPr>
            </w:pPr>
          </w:p>
        </w:tc>
        <w:tc>
          <w:tcPr>
            <w:tcW w:w="276" w:type="pct"/>
            <w:shd w:val="clear" w:color="auto" w:fill="auto"/>
            <w:vAlign w:val="bottom"/>
          </w:tcPr>
          <w:p w14:paraId="5A1B1029" w14:textId="77777777" w:rsidR="00960BB8" w:rsidRDefault="00960BB8">
            <w:pPr>
              <w:rPr>
                <w:rFonts w:ascii="宋体"/>
              </w:rPr>
            </w:pPr>
          </w:p>
        </w:tc>
        <w:tc>
          <w:tcPr>
            <w:tcW w:w="5" w:type="pct"/>
            <w:shd w:val="clear" w:color="auto" w:fill="auto"/>
            <w:vAlign w:val="bottom"/>
          </w:tcPr>
          <w:p w14:paraId="5A1B102A" w14:textId="77777777" w:rsidR="00960BB8" w:rsidRDefault="00960BB8">
            <w:pPr>
              <w:rPr>
                <w:rFonts w:ascii="宋体"/>
              </w:rPr>
            </w:pPr>
          </w:p>
        </w:tc>
        <w:tc>
          <w:tcPr>
            <w:tcW w:w="50" w:type="pct"/>
            <w:shd w:val="clear" w:color="auto" w:fill="auto"/>
            <w:vAlign w:val="bottom"/>
          </w:tcPr>
          <w:p w14:paraId="5A1B102B" w14:textId="77777777" w:rsidR="00960BB8" w:rsidRDefault="00960BB8">
            <w:pPr>
              <w:rPr>
                <w:rFonts w:ascii="宋体"/>
              </w:rPr>
            </w:pPr>
          </w:p>
        </w:tc>
        <w:tc>
          <w:tcPr>
            <w:tcW w:w="940" w:type="pct"/>
            <w:shd w:val="clear" w:color="auto" w:fill="auto"/>
            <w:vAlign w:val="bottom"/>
          </w:tcPr>
          <w:p w14:paraId="5A1B102C" w14:textId="77777777" w:rsidR="00960BB8" w:rsidRDefault="00960BB8">
            <w:pPr>
              <w:rPr>
                <w:rFonts w:ascii="宋体"/>
              </w:rPr>
            </w:pPr>
          </w:p>
        </w:tc>
        <w:tc>
          <w:tcPr>
            <w:tcW w:w="5" w:type="pct"/>
            <w:shd w:val="clear" w:color="auto" w:fill="auto"/>
            <w:vAlign w:val="bottom"/>
          </w:tcPr>
          <w:p w14:paraId="5A1B102D" w14:textId="77777777" w:rsidR="00960BB8" w:rsidRDefault="00960BB8">
            <w:pPr>
              <w:rPr>
                <w:rFonts w:ascii="宋体"/>
              </w:rPr>
            </w:pPr>
          </w:p>
        </w:tc>
        <w:tc>
          <w:tcPr>
            <w:tcW w:w="50" w:type="pct"/>
            <w:shd w:val="clear" w:color="auto" w:fill="auto"/>
            <w:vAlign w:val="bottom"/>
          </w:tcPr>
          <w:p w14:paraId="5A1B102E" w14:textId="77777777" w:rsidR="00960BB8" w:rsidRDefault="00960BB8">
            <w:pPr>
              <w:rPr>
                <w:rFonts w:ascii="宋体"/>
              </w:rPr>
            </w:pPr>
          </w:p>
        </w:tc>
        <w:tc>
          <w:tcPr>
            <w:tcW w:w="1837" w:type="pct"/>
            <w:shd w:val="clear" w:color="auto" w:fill="auto"/>
            <w:vAlign w:val="bottom"/>
          </w:tcPr>
          <w:p w14:paraId="5A1B102F" w14:textId="77777777" w:rsidR="00960BB8" w:rsidRDefault="00960BB8">
            <w:pPr>
              <w:rPr>
                <w:rFonts w:ascii="宋体"/>
              </w:rPr>
            </w:pPr>
          </w:p>
        </w:tc>
        <w:tc>
          <w:tcPr>
            <w:tcW w:w="5" w:type="pct"/>
            <w:shd w:val="clear" w:color="auto" w:fill="auto"/>
            <w:vAlign w:val="bottom"/>
          </w:tcPr>
          <w:p w14:paraId="5A1B1030" w14:textId="77777777" w:rsidR="00960BB8" w:rsidRDefault="00960BB8">
            <w:pPr>
              <w:rPr>
                <w:rFonts w:ascii="宋体"/>
              </w:rPr>
            </w:pPr>
          </w:p>
        </w:tc>
        <w:tc>
          <w:tcPr>
            <w:tcW w:w="50" w:type="pct"/>
            <w:shd w:val="clear" w:color="auto" w:fill="auto"/>
            <w:vAlign w:val="bottom"/>
          </w:tcPr>
          <w:p w14:paraId="5A1B1031" w14:textId="77777777" w:rsidR="00960BB8" w:rsidRDefault="00960BB8">
            <w:pPr>
              <w:rPr>
                <w:rFonts w:ascii="宋体"/>
              </w:rPr>
            </w:pPr>
          </w:p>
        </w:tc>
        <w:tc>
          <w:tcPr>
            <w:tcW w:w="1724" w:type="pct"/>
            <w:shd w:val="clear" w:color="auto" w:fill="auto"/>
            <w:vAlign w:val="bottom"/>
          </w:tcPr>
          <w:p w14:paraId="5A1B1032" w14:textId="77777777" w:rsidR="00960BB8" w:rsidRDefault="00960BB8">
            <w:pPr>
              <w:rPr>
                <w:rFonts w:ascii="宋体"/>
              </w:rPr>
            </w:pPr>
          </w:p>
        </w:tc>
        <w:tc>
          <w:tcPr>
            <w:tcW w:w="5" w:type="pct"/>
            <w:shd w:val="clear" w:color="auto" w:fill="auto"/>
            <w:vAlign w:val="bottom"/>
          </w:tcPr>
          <w:p w14:paraId="5A1B1033" w14:textId="77777777" w:rsidR="00960BB8" w:rsidRDefault="00960BB8">
            <w:pPr>
              <w:rPr>
                <w:rFonts w:ascii="宋体"/>
              </w:rPr>
            </w:pPr>
          </w:p>
        </w:tc>
      </w:tr>
      <w:tr w:rsidR="00960BB8" w14:paraId="5A1B1039"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035"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6C" wp14:editId="5A1B446D">
                  <wp:extent cx="304800" cy="304800"/>
                  <wp:effectExtent l="0" t="0" r="0" b="0"/>
                  <wp:docPr id="63" name="图片 24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4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036"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037" w14:textId="77777777" w:rsidR="00960BB8" w:rsidRDefault="00C06650">
            <w:pPr>
              <w:textAlignment w:val="center"/>
            </w:pPr>
            <w:r>
              <w:rPr>
                <w:rFonts w:ascii="Arial" w:eastAsia="宋体" w:hAnsi="Arial" w:cs="Arial"/>
                <w:color w:val="262626"/>
                <w:sz w:val="16"/>
                <w:szCs w:val="16"/>
              </w:rPr>
              <w:t>Consolidated Balance Sheets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038" w14:textId="77777777" w:rsidR="00960BB8" w:rsidRDefault="00C06650">
            <w:pPr>
              <w:jc w:val="right"/>
              <w:textAlignment w:val="center"/>
            </w:pPr>
            <w:r>
              <w:rPr>
                <w:rFonts w:ascii="Arial" w:eastAsia="宋体" w:hAnsi="Arial" w:cs="Arial"/>
                <w:color w:val="262626"/>
                <w:sz w:val="16"/>
                <w:szCs w:val="16"/>
              </w:rPr>
              <w:t>78</w:t>
            </w:r>
          </w:p>
        </w:tc>
      </w:tr>
    </w:tbl>
    <w:p w14:paraId="5A1B103A" w14:textId="77777777" w:rsidR="00960BB8" w:rsidRDefault="00C06650">
      <w:r>
        <w:pict w14:anchorId="5A1B446E">
          <v:rect id="_x0000_i1104" style="width:415.3pt;height:1.5pt" o:hralign="center" o:hrstd="t" o:hr="t" fillcolor="#a0a0a0" stroked="f"/>
        </w:pict>
      </w:r>
    </w:p>
    <w:p w14:paraId="5A1B103B" w14:textId="77777777" w:rsidR="00960BB8" w:rsidRDefault="00C06650">
      <w:pPr>
        <w:jc w:val="right"/>
      </w:pPr>
      <w:hyperlink r:id="rId127" w:anchor="i8aaa7b4dbd2e419ca0f5c30af85a11aa_16" w:history="1">
        <w:r>
          <w:rPr>
            <w:rStyle w:val="a5"/>
            <w:rFonts w:ascii="Arial" w:eastAsia="宋体" w:hAnsi="Arial" w:cs="Arial"/>
            <w:b/>
            <w:bCs/>
            <w:sz w:val="16"/>
            <w:szCs w:val="16"/>
          </w:rPr>
          <w:t>Table of Contents</w:t>
        </w:r>
      </w:hyperlink>
    </w:p>
    <w:p w14:paraId="5A1B103C"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1043" w14:textId="77777777">
        <w:tc>
          <w:tcPr>
            <w:tcW w:w="50" w:type="pct"/>
            <w:shd w:val="clear" w:color="auto" w:fill="auto"/>
            <w:vAlign w:val="bottom"/>
          </w:tcPr>
          <w:p w14:paraId="5A1B103D" w14:textId="77777777" w:rsidR="00960BB8" w:rsidRDefault="00960BB8">
            <w:pPr>
              <w:rPr>
                <w:rFonts w:ascii="宋体"/>
              </w:rPr>
            </w:pPr>
          </w:p>
        </w:tc>
        <w:tc>
          <w:tcPr>
            <w:tcW w:w="4870" w:type="pct"/>
            <w:shd w:val="clear" w:color="auto" w:fill="auto"/>
            <w:vAlign w:val="bottom"/>
          </w:tcPr>
          <w:p w14:paraId="5A1B103E" w14:textId="77777777" w:rsidR="00960BB8" w:rsidRDefault="00960BB8">
            <w:pPr>
              <w:rPr>
                <w:rFonts w:ascii="宋体"/>
              </w:rPr>
            </w:pPr>
          </w:p>
        </w:tc>
        <w:tc>
          <w:tcPr>
            <w:tcW w:w="5" w:type="pct"/>
            <w:shd w:val="clear" w:color="auto" w:fill="auto"/>
            <w:vAlign w:val="bottom"/>
          </w:tcPr>
          <w:p w14:paraId="5A1B103F" w14:textId="77777777" w:rsidR="00960BB8" w:rsidRDefault="00960BB8">
            <w:pPr>
              <w:rPr>
                <w:rFonts w:ascii="宋体"/>
              </w:rPr>
            </w:pPr>
          </w:p>
        </w:tc>
        <w:tc>
          <w:tcPr>
            <w:tcW w:w="5" w:type="pct"/>
            <w:shd w:val="clear" w:color="auto" w:fill="auto"/>
            <w:vAlign w:val="bottom"/>
          </w:tcPr>
          <w:p w14:paraId="5A1B1040" w14:textId="77777777" w:rsidR="00960BB8" w:rsidRDefault="00960BB8">
            <w:pPr>
              <w:rPr>
                <w:rFonts w:ascii="宋体"/>
              </w:rPr>
            </w:pPr>
          </w:p>
        </w:tc>
        <w:tc>
          <w:tcPr>
            <w:tcW w:w="64" w:type="pct"/>
            <w:shd w:val="clear" w:color="auto" w:fill="auto"/>
            <w:vAlign w:val="bottom"/>
          </w:tcPr>
          <w:p w14:paraId="5A1B1041" w14:textId="77777777" w:rsidR="00960BB8" w:rsidRDefault="00960BB8">
            <w:pPr>
              <w:rPr>
                <w:rFonts w:ascii="宋体"/>
              </w:rPr>
            </w:pPr>
          </w:p>
        </w:tc>
        <w:tc>
          <w:tcPr>
            <w:tcW w:w="5" w:type="pct"/>
            <w:shd w:val="clear" w:color="auto" w:fill="auto"/>
            <w:vAlign w:val="bottom"/>
          </w:tcPr>
          <w:p w14:paraId="5A1B1042" w14:textId="77777777" w:rsidR="00960BB8" w:rsidRDefault="00960BB8">
            <w:pPr>
              <w:rPr>
                <w:rFonts w:ascii="宋体"/>
              </w:rPr>
            </w:pPr>
          </w:p>
        </w:tc>
      </w:tr>
      <w:tr w:rsidR="00960BB8" w14:paraId="5A1B1046" w14:textId="77777777">
        <w:tc>
          <w:tcPr>
            <w:tcW w:w="0" w:type="auto"/>
            <w:gridSpan w:val="3"/>
            <w:shd w:val="clear" w:color="auto" w:fill="004A86"/>
            <w:tcMar>
              <w:top w:w="40" w:type="dxa"/>
              <w:left w:w="20" w:type="dxa"/>
              <w:bottom w:w="40" w:type="dxa"/>
              <w:right w:w="20" w:type="dxa"/>
            </w:tcMar>
            <w:vAlign w:val="center"/>
          </w:tcPr>
          <w:p w14:paraId="5A1B1044" w14:textId="77777777" w:rsidR="00960BB8" w:rsidRDefault="00C06650">
            <w:pPr>
              <w:textAlignment w:val="center"/>
            </w:pPr>
            <w:r>
              <w:rPr>
                <w:rFonts w:ascii="Arial" w:eastAsia="宋体" w:hAnsi="Arial" w:cs="Arial"/>
                <w:color w:val="FFFFFF"/>
                <w:sz w:val="36"/>
                <w:szCs w:val="36"/>
              </w:rPr>
              <w:t>Consolidated Statements of Cash Flows</w:t>
            </w:r>
          </w:p>
        </w:tc>
        <w:tc>
          <w:tcPr>
            <w:tcW w:w="0" w:type="auto"/>
            <w:gridSpan w:val="3"/>
            <w:shd w:val="clear" w:color="auto" w:fill="auto"/>
            <w:tcMar>
              <w:top w:w="0" w:type="dxa"/>
              <w:left w:w="20" w:type="dxa"/>
              <w:bottom w:w="0" w:type="dxa"/>
              <w:right w:w="20" w:type="dxa"/>
            </w:tcMar>
            <w:vAlign w:val="bottom"/>
          </w:tcPr>
          <w:p w14:paraId="5A1B1045" w14:textId="77777777" w:rsidR="00960BB8" w:rsidRDefault="00960BB8">
            <w:pPr>
              <w:rPr>
                <w:rFonts w:ascii="宋体"/>
              </w:rPr>
            </w:pPr>
          </w:p>
        </w:tc>
      </w:tr>
      <w:tr w:rsidR="00960BB8" w14:paraId="5A1B1049" w14:textId="77777777">
        <w:trPr>
          <w:trHeight w:val="160"/>
        </w:trPr>
        <w:tc>
          <w:tcPr>
            <w:tcW w:w="0" w:type="auto"/>
            <w:gridSpan w:val="3"/>
            <w:shd w:val="clear" w:color="auto" w:fill="auto"/>
            <w:tcMar>
              <w:top w:w="0" w:type="dxa"/>
              <w:left w:w="20" w:type="dxa"/>
              <w:bottom w:w="0" w:type="dxa"/>
              <w:right w:w="20" w:type="dxa"/>
            </w:tcMar>
            <w:vAlign w:val="bottom"/>
          </w:tcPr>
          <w:p w14:paraId="5A1B1047"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1048" w14:textId="77777777" w:rsidR="00960BB8" w:rsidRDefault="00960BB8">
            <w:pPr>
              <w:rPr>
                <w:rFonts w:ascii="宋体"/>
              </w:rPr>
            </w:pPr>
          </w:p>
        </w:tc>
      </w:tr>
    </w:tbl>
    <w:p w14:paraId="5A1B104A"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5043"/>
        <w:gridCol w:w="41"/>
        <w:gridCol w:w="36"/>
        <w:gridCol w:w="36"/>
        <w:gridCol w:w="36"/>
        <w:gridCol w:w="121"/>
        <w:gridCol w:w="803"/>
        <w:gridCol w:w="36"/>
        <w:gridCol w:w="36"/>
        <w:gridCol w:w="36"/>
        <w:gridCol w:w="36"/>
        <w:gridCol w:w="122"/>
        <w:gridCol w:w="805"/>
        <w:gridCol w:w="36"/>
        <w:gridCol w:w="36"/>
        <w:gridCol w:w="36"/>
        <w:gridCol w:w="36"/>
        <w:gridCol w:w="122"/>
        <w:gridCol w:w="805"/>
        <w:gridCol w:w="36"/>
      </w:tblGrid>
      <w:tr w:rsidR="00960BB8" w14:paraId="5A1B1060" w14:textId="77777777">
        <w:tc>
          <w:tcPr>
            <w:tcW w:w="50" w:type="pct"/>
            <w:shd w:val="clear" w:color="auto" w:fill="auto"/>
            <w:vAlign w:val="bottom"/>
          </w:tcPr>
          <w:p w14:paraId="5A1B104B" w14:textId="77777777" w:rsidR="00960BB8" w:rsidRDefault="00960BB8">
            <w:pPr>
              <w:rPr>
                <w:rFonts w:ascii="宋体"/>
              </w:rPr>
            </w:pPr>
          </w:p>
        </w:tc>
        <w:tc>
          <w:tcPr>
            <w:tcW w:w="3059" w:type="pct"/>
            <w:shd w:val="clear" w:color="auto" w:fill="auto"/>
            <w:vAlign w:val="bottom"/>
          </w:tcPr>
          <w:p w14:paraId="5A1B104C" w14:textId="77777777" w:rsidR="00960BB8" w:rsidRDefault="00960BB8">
            <w:pPr>
              <w:rPr>
                <w:rFonts w:ascii="宋体"/>
              </w:rPr>
            </w:pPr>
          </w:p>
        </w:tc>
        <w:tc>
          <w:tcPr>
            <w:tcW w:w="5" w:type="pct"/>
            <w:shd w:val="clear" w:color="auto" w:fill="auto"/>
            <w:vAlign w:val="bottom"/>
          </w:tcPr>
          <w:p w14:paraId="5A1B104D" w14:textId="77777777" w:rsidR="00960BB8" w:rsidRDefault="00960BB8">
            <w:pPr>
              <w:rPr>
                <w:rFonts w:ascii="宋体"/>
              </w:rPr>
            </w:pPr>
          </w:p>
        </w:tc>
        <w:tc>
          <w:tcPr>
            <w:tcW w:w="5" w:type="pct"/>
            <w:shd w:val="clear" w:color="auto" w:fill="auto"/>
            <w:vAlign w:val="bottom"/>
          </w:tcPr>
          <w:p w14:paraId="5A1B104E" w14:textId="77777777" w:rsidR="00960BB8" w:rsidRDefault="00960BB8">
            <w:pPr>
              <w:rPr>
                <w:rFonts w:ascii="宋体"/>
              </w:rPr>
            </w:pPr>
          </w:p>
        </w:tc>
        <w:tc>
          <w:tcPr>
            <w:tcW w:w="24" w:type="pct"/>
            <w:shd w:val="clear" w:color="auto" w:fill="auto"/>
            <w:vAlign w:val="bottom"/>
          </w:tcPr>
          <w:p w14:paraId="5A1B104F" w14:textId="77777777" w:rsidR="00960BB8" w:rsidRDefault="00960BB8">
            <w:pPr>
              <w:rPr>
                <w:rFonts w:ascii="宋体"/>
              </w:rPr>
            </w:pPr>
          </w:p>
        </w:tc>
        <w:tc>
          <w:tcPr>
            <w:tcW w:w="5" w:type="pct"/>
            <w:shd w:val="clear" w:color="auto" w:fill="auto"/>
            <w:vAlign w:val="bottom"/>
          </w:tcPr>
          <w:p w14:paraId="5A1B1050" w14:textId="77777777" w:rsidR="00960BB8" w:rsidRDefault="00960BB8">
            <w:pPr>
              <w:rPr>
                <w:rFonts w:ascii="宋体"/>
              </w:rPr>
            </w:pPr>
          </w:p>
        </w:tc>
        <w:tc>
          <w:tcPr>
            <w:tcW w:w="50" w:type="pct"/>
            <w:shd w:val="clear" w:color="auto" w:fill="auto"/>
            <w:vAlign w:val="bottom"/>
          </w:tcPr>
          <w:p w14:paraId="5A1B1051" w14:textId="77777777" w:rsidR="00960BB8" w:rsidRDefault="00960BB8">
            <w:pPr>
              <w:rPr>
                <w:rFonts w:ascii="宋体"/>
              </w:rPr>
            </w:pPr>
          </w:p>
        </w:tc>
        <w:tc>
          <w:tcPr>
            <w:tcW w:w="539" w:type="pct"/>
            <w:shd w:val="clear" w:color="auto" w:fill="auto"/>
            <w:vAlign w:val="bottom"/>
          </w:tcPr>
          <w:p w14:paraId="5A1B1052" w14:textId="77777777" w:rsidR="00960BB8" w:rsidRDefault="00960BB8">
            <w:pPr>
              <w:rPr>
                <w:rFonts w:ascii="宋体"/>
              </w:rPr>
            </w:pPr>
          </w:p>
        </w:tc>
        <w:tc>
          <w:tcPr>
            <w:tcW w:w="5" w:type="pct"/>
            <w:shd w:val="clear" w:color="auto" w:fill="auto"/>
            <w:vAlign w:val="bottom"/>
          </w:tcPr>
          <w:p w14:paraId="5A1B1053" w14:textId="77777777" w:rsidR="00960BB8" w:rsidRDefault="00960BB8">
            <w:pPr>
              <w:rPr>
                <w:rFonts w:ascii="宋体"/>
              </w:rPr>
            </w:pPr>
          </w:p>
        </w:tc>
        <w:tc>
          <w:tcPr>
            <w:tcW w:w="5" w:type="pct"/>
            <w:shd w:val="clear" w:color="auto" w:fill="auto"/>
            <w:vAlign w:val="bottom"/>
          </w:tcPr>
          <w:p w14:paraId="5A1B1054" w14:textId="77777777" w:rsidR="00960BB8" w:rsidRDefault="00960BB8">
            <w:pPr>
              <w:rPr>
                <w:rFonts w:ascii="宋体"/>
              </w:rPr>
            </w:pPr>
          </w:p>
        </w:tc>
        <w:tc>
          <w:tcPr>
            <w:tcW w:w="24" w:type="pct"/>
            <w:shd w:val="clear" w:color="auto" w:fill="auto"/>
            <w:vAlign w:val="bottom"/>
          </w:tcPr>
          <w:p w14:paraId="5A1B1055" w14:textId="77777777" w:rsidR="00960BB8" w:rsidRDefault="00960BB8">
            <w:pPr>
              <w:rPr>
                <w:rFonts w:ascii="宋体"/>
              </w:rPr>
            </w:pPr>
          </w:p>
        </w:tc>
        <w:tc>
          <w:tcPr>
            <w:tcW w:w="5" w:type="pct"/>
            <w:shd w:val="clear" w:color="auto" w:fill="auto"/>
            <w:vAlign w:val="bottom"/>
          </w:tcPr>
          <w:p w14:paraId="5A1B1056" w14:textId="77777777" w:rsidR="00960BB8" w:rsidRDefault="00960BB8">
            <w:pPr>
              <w:rPr>
                <w:rFonts w:ascii="宋体"/>
              </w:rPr>
            </w:pPr>
          </w:p>
        </w:tc>
        <w:tc>
          <w:tcPr>
            <w:tcW w:w="50" w:type="pct"/>
            <w:shd w:val="clear" w:color="auto" w:fill="auto"/>
            <w:vAlign w:val="bottom"/>
          </w:tcPr>
          <w:p w14:paraId="5A1B1057" w14:textId="77777777" w:rsidR="00960BB8" w:rsidRDefault="00960BB8">
            <w:pPr>
              <w:rPr>
                <w:rFonts w:ascii="宋体"/>
              </w:rPr>
            </w:pPr>
          </w:p>
        </w:tc>
        <w:tc>
          <w:tcPr>
            <w:tcW w:w="539" w:type="pct"/>
            <w:shd w:val="clear" w:color="auto" w:fill="auto"/>
            <w:vAlign w:val="bottom"/>
          </w:tcPr>
          <w:p w14:paraId="5A1B1058" w14:textId="77777777" w:rsidR="00960BB8" w:rsidRDefault="00960BB8">
            <w:pPr>
              <w:rPr>
                <w:rFonts w:ascii="宋体"/>
              </w:rPr>
            </w:pPr>
          </w:p>
        </w:tc>
        <w:tc>
          <w:tcPr>
            <w:tcW w:w="5" w:type="pct"/>
            <w:shd w:val="clear" w:color="auto" w:fill="auto"/>
            <w:vAlign w:val="bottom"/>
          </w:tcPr>
          <w:p w14:paraId="5A1B1059" w14:textId="77777777" w:rsidR="00960BB8" w:rsidRDefault="00960BB8">
            <w:pPr>
              <w:rPr>
                <w:rFonts w:ascii="宋体"/>
              </w:rPr>
            </w:pPr>
          </w:p>
        </w:tc>
        <w:tc>
          <w:tcPr>
            <w:tcW w:w="5" w:type="pct"/>
            <w:shd w:val="clear" w:color="auto" w:fill="auto"/>
            <w:vAlign w:val="bottom"/>
          </w:tcPr>
          <w:p w14:paraId="5A1B105A" w14:textId="77777777" w:rsidR="00960BB8" w:rsidRDefault="00960BB8">
            <w:pPr>
              <w:rPr>
                <w:rFonts w:ascii="宋体"/>
              </w:rPr>
            </w:pPr>
          </w:p>
        </w:tc>
        <w:tc>
          <w:tcPr>
            <w:tcW w:w="24" w:type="pct"/>
            <w:shd w:val="clear" w:color="auto" w:fill="auto"/>
            <w:vAlign w:val="bottom"/>
          </w:tcPr>
          <w:p w14:paraId="5A1B105B" w14:textId="77777777" w:rsidR="00960BB8" w:rsidRDefault="00960BB8">
            <w:pPr>
              <w:rPr>
                <w:rFonts w:ascii="宋体"/>
              </w:rPr>
            </w:pPr>
          </w:p>
        </w:tc>
        <w:tc>
          <w:tcPr>
            <w:tcW w:w="5" w:type="pct"/>
            <w:shd w:val="clear" w:color="auto" w:fill="auto"/>
            <w:vAlign w:val="bottom"/>
          </w:tcPr>
          <w:p w14:paraId="5A1B105C" w14:textId="77777777" w:rsidR="00960BB8" w:rsidRDefault="00960BB8">
            <w:pPr>
              <w:rPr>
                <w:rFonts w:ascii="宋体"/>
              </w:rPr>
            </w:pPr>
          </w:p>
        </w:tc>
        <w:tc>
          <w:tcPr>
            <w:tcW w:w="50" w:type="pct"/>
            <w:shd w:val="clear" w:color="auto" w:fill="auto"/>
            <w:vAlign w:val="bottom"/>
          </w:tcPr>
          <w:p w14:paraId="5A1B105D" w14:textId="77777777" w:rsidR="00960BB8" w:rsidRDefault="00960BB8">
            <w:pPr>
              <w:rPr>
                <w:rFonts w:ascii="宋体"/>
              </w:rPr>
            </w:pPr>
          </w:p>
        </w:tc>
        <w:tc>
          <w:tcPr>
            <w:tcW w:w="539" w:type="pct"/>
            <w:shd w:val="clear" w:color="auto" w:fill="auto"/>
            <w:vAlign w:val="bottom"/>
          </w:tcPr>
          <w:p w14:paraId="5A1B105E" w14:textId="77777777" w:rsidR="00960BB8" w:rsidRDefault="00960BB8">
            <w:pPr>
              <w:rPr>
                <w:rFonts w:ascii="宋体"/>
              </w:rPr>
            </w:pPr>
          </w:p>
        </w:tc>
        <w:tc>
          <w:tcPr>
            <w:tcW w:w="5" w:type="pct"/>
            <w:shd w:val="clear" w:color="auto" w:fill="auto"/>
            <w:vAlign w:val="bottom"/>
          </w:tcPr>
          <w:p w14:paraId="5A1B105F" w14:textId="77777777" w:rsidR="00960BB8" w:rsidRDefault="00960BB8">
            <w:pPr>
              <w:rPr>
                <w:rFonts w:ascii="宋体"/>
              </w:rPr>
            </w:pPr>
          </w:p>
        </w:tc>
      </w:tr>
      <w:tr w:rsidR="00960BB8" w14:paraId="5A1B1068" w14:textId="77777777">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061" w14:textId="77777777" w:rsidR="00960BB8" w:rsidRDefault="00C06650">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5A1B1062" w14:textId="77777777" w:rsidR="00960BB8" w:rsidRDefault="00960BB8">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063" w14:textId="77777777" w:rsidR="00960BB8" w:rsidRDefault="00C06650">
            <w:pPr>
              <w:jc w:val="center"/>
              <w:textAlignment w:val="bottom"/>
            </w:pPr>
            <w:r>
              <w:rPr>
                <w:rFonts w:ascii="Arial" w:eastAsia="宋体" w:hAnsi="Arial" w:cs="Arial"/>
                <w:b/>
                <w:bCs/>
                <w:color w:val="0068B5"/>
                <w:sz w:val="18"/>
                <w:szCs w:val="18"/>
              </w:rPr>
              <w:t>Dec 31, 2022</w:t>
            </w:r>
          </w:p>
        </w:tc>
        <w:tc>
          <w:tcPr>
            <w:tcW w:w="0" w:type="auto"/>
            <w:gridSpan w:val="3"/>
            <w:shd w:val="clear" w:color="auto" w:fill="auto"/>
            <w:tcMar>
              <w:top w:w="0" w:type="dxa"/>
              <w:left w:w="20" w:type="dxa"/>
              <w:bottom w:w="0" w:type="dxa"/>
              <w:right w:w="20" w:type="dxa"/>
            </w:tcMar>
            <w:vAlign w:val="bottom"/>
          </w:tcPr>
          <w:p w14:paraId="5A1B1064" w14:textId="77777777" w:rsidR="00960BB8" w:rsidRDefault="00960BB8">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065"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1066" w14:textId="77777777" w:rsidR="00960BB8" w:rsidRDefault="00960BB8">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067"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107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069" w14:textId="77777777" w:rsidR="00960BB8" w:rsidRDefault="00C06650">
            <w:pPr>
              <w:textAlignment w:val="bottom"/>
            </w:pPr>
            <w:r>
              <w:rPr>
                <w:rFonts w:ascii="Arial" w:eastAsia="宋体" w:hAnsi="Arial" w:cs="Arial"/>
                <w:b/>
                <w:bCs/>
                <w:color w:val="262626"/>
                <w:sz w:val="18"/>
                <w:szCs w:val="18"/>
              </w:rPr>
              <w:t>Cash and cash equivalents, beginning of period</w:t>
            </w:r>
          </w:p>
        </w:tc>
        <w:tc>
          <w:tcPr>
            <w:tcW w:w="0" w:type="auto"/>
            <w:gridSpan w:val="3"/>
            <w:shd w:val="clear" w:color="auto" w:fill="auto"/>
            <w:tcMar>
              <w:top w:w="0" w:type="dxa"/>
              <w:left w:w="20" w:type="dxa"/>
              <w:bottom w:w="0" w:type="dxa"/>
              <w:right w:w="20" w:type="dxa"/>
            </w:tcMar>
            <w:vAlign w:val="bottom"/>
          </w:tcPr>
          <w:p w14:paraId="5A1B106A"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06B"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06C" w14:textId="77777777" w:rsidR="00960BB8" w:rsidRDefault="00C06650">
            <w:pPr>
              <w:jc w:val="right"/>
              <w:textAlignment w:val="bottom"/>
            </w:pPr>
            <w:r>
              <w:rPr>
                <w:rFonts w:ascii="Arial" w:eastAsia="宋体" w:hAnsi="Arial" w:cs="Arial"/>
                <w:b/>
                <w:bCs/>
                <w:color w:val="0068B5"/>
                <w:sz w:val="18"/>
                <w:szCs w:val="18"/>
              </w:rPr>
              <w:t>4,827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06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6E"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06F"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070" w14:textId="77777777" w:rsidR="00960BB8" w:rsidRDefault="00C06650">
            <w:pPr>
              <w:jc w:val="right"/>
              <w:textAlignment w:val="bottom"/>
            </w:pPr>
            <w:r>
              <w:rPr>
                <w:rFonts w:ascii="Arial" w:eastAsia="宋体" w:hAnsi="Arial" w:cs="Arial"/>
                <w:b/>
                <w:bCs/>
                <w:color w:val="262626"/>
                <w:sz w:val="18"/>
                <w:szCs w:val="18"/>
              </w:rPr>
              <w:t>5,865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07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72"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073"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074" w14:textId="77777777" w:rsidR="00960BB8" w:rsidRDefault="00C06650">
            <w:pPr>
              <w:jc w:val="right"/>
              <w:textAlignment w:val="bottom"/>
            </w:pPr>
            <w:r>
              <w:rPr>
                <w:rFonts w:ascii="Arial" w:eastAsia="宋体" w:hAnsi="Arial" w:cs="Arial"/>
                <w:b/>
                <w:bCs/>
                <w:color w:val="262626"/>
                <w:sz w:val="18"/>
                <w:szCs w:val="18"/>
              </w:rPr>
              <w:t>4,194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075" w14:textId="77777777" w:rsidR="00960BB8" w:rsidRDefault="00960BB8">
            <w:pPr>
              <w:jc w:val="right"/>
              <w:rPr>
                <w:rFonts w:ascii="宋体"/>
              </w:rPr>
            </w:pPr>
          </w:p>
        </w:tc>
      </w:tr>
      <w:tr w:rsidR="00960BB8" w14:paraId="5A1B107E" w14:textId="77777777">
        <w:tc>
          <w:tcPr>
            <w:tcW w:w="0" w:type="auto"/>
            <w:gridSpan w:val="3"/>
            <w:shd w:val="clear" w:color="auto" w:fill="auto"/>
            <w:tcMar>
              <w:top w:w="40" w:type="dxa"/>
              <w:left w:w="20" w:type="dxa"/>
              <w:bottom w:w="40" w:type="dxa"/>
              <w:right w:w="20" w:type="dxa"/>
            </w:tcMar>
            <w:vAlign w:val="bottom"/>
          </w:tcPr>
          <w:p w14:paraId="5A1B1077" w14:textId="77777777" w:rsidR="00960BB8" w:rsidRDefault="00C06650">
            <w:pPr>
              <w:textAlignment w:val="bottom"/>
            </w:pPr>
            <w:r>
              <w:rPr>
                <w:rFonts w:ascii="Arial" w:eastAsia="宋体" w:hAnsi="Arial" w:cs="Arial"/>
                <w:color w:val="262626"/>
                <w:sz w:val="18"/>
                <w:szCs w:val="18"/>
              </w:rPr>
              <w:t>Cash flows provided by (used for) operating activities:</w:t>
            </w:r>
          </w:p>
        </w:tc>
        <w:tc>
          <w:tcPr>
            <w:tcW w:w="0" w:type="auto"/>
            <w:gridSpan w:val="3"/>
            <w:shd w:val="clear" w:color="auto" w:fill="auto"/>
            <w:tcMar>
              <w:top w:w="0" w:type="dxa"/>
              <w:left w:w="20" w:type="dxa"/>
              <w:bottom w:w="0" w:type="dxa"/>
              <w:right w:w="20" w:type="dxa"/>
            </w:tcMar>
            <w:vAlign w:val="bottom"/>
          </w:tcPr>
          <w:p w14:paraId="5A1B1078"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07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7A"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07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7C"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07D" w14:textId="77777777" w:rsidR="00960BB8" w:rsidRDefault="00960BB8">
            <w:pPr>
              <w:rPr>
                <w:rFonts w:ascii="宋体"/>
              </w:rPr>
            </w:pPr>
          </w:p>
        </w:tc>
      </w:tr>
      <w:tr w:rsidR="00960BB8" w14:paraId="5A1B1089" w14:textId="77777777">
        <w:tc>
          <w:tcPr>
            <w:tcW w:w="0" w:type="auto"/>
            <w:gridSpan w:val="3"/>
            <w:shd w:val="clear" w:color="auto" w:fill="auto"/>
            <w:tcMar>
              <w:top w:w="40" w:type="dxa"/>
              <w:left w:w="140" w:type="dxa"/>
              <w:bottom w:w="40" w:type="dxa"/>
              <w:right w:w="20" w:type="dxa"/>
            </w:tcMar>
            <w:vAlign w:val="bottom"/>
          </w:tcPr>
          <w:p w14:paraId="5A1B107F" w14:textId="77777777" w:rsidR="00960BB8" w:rsidRDefault="00C06650">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5A1B108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81" w14:textId="77777777" w:rsidR="00960BB8" w:rsidRDefault="00C06650">
            <w:pPr>
              <w:jc w:val="right"/>
              <w:textAlignment w:val="bottom"/>
            </w:pPr>
            <w:r>
              <w:rPr>
                <w:rFonts w:ascii="Arial" w:eastAsia="宋体" w:hAnsi="Arial" w:cs="Arial"/>
                <w:color w:val="0068B5"/>
                <w:sz w:val="18"/>
                <w:szCs w:val="18"/>
              </w:rPr>
              <w:t>8,017 </w:t>
            </w:r>
          </w:p>
        </w:tc>
        <w:tc>
          <w:tcPr>
            <w:tcW w:w="0" w:type="auto"/>
            <w:shd w:val="clear" w:color="auto" w:fill="auto"/>
            <w:tcMar>
              <w:top w:w="40" w:type="dxa"/>
              <w:left w:w="0" w:type="dxa"/>
              <w:bottom w:w="40" w:type="dxa"/>
              <w:right w:w="20" w:type="dxa"/>
            </w:tcMar>
            <w:vAlign w:val="bottom"/>
          </w:tcPr>
          <w:p w14:paraId="5A1B108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8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84" w14:textId="77777777" w:rsidR="00960BB8" w:rsidRDefault="00C06650">
            <w:pPr>
              <w:jc w:val="right"/>
              <w:textAlignment w:val="bottom"/>
            </w:pPr>
            <w:r>
              <w:rPr>
                <w:rFonts w:ascii="Arial" w:eastAsia="宋体" w:hAnsi="Arial" w:cs="Arial"/>
                <w:color w:val="262626"/>
                <w:sz w:val="18"/>
                <w:szCs w:val="18"/>
              </w:rPr>
              <w:t>19,868 </w:t>
            </w:r>
          </w:p>
        </w:tc>
        <w:tc>
          <w:tcPr>
            <w:tcW w:w="0" w:type="auto"/>
            <w:shd w:val="clear" w:color="auto" w:fill="auto"/>
            <w:tcMar>
              <w:top w:w="40" w:type="dxa"/>
              <w:left w:w="0" w:type="dxa"/>
              <w:bottom w:w="40" w:type="dxa"/>
              <w:right w:w="20" w:type="dxa"/>
            </w:tcMar>
            <w:vAlign w:val="bottom"/>
          </w:tcPr>
          <w:p w14:paraId="5A1B108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8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87" w14:textId="77777777" w:rsidR="00960BB8" w:rsidRDefault="00C06650">
            <w:pPr>
              <w:jc w:val="right"/>
              <w:textAlignment w:val="bottom"/>
            </w:pPr>
            <w:r>
              <w:rPr>
                <w:rFonts w:ascii="Arial" w:eastAsia="宋体" w:hAnsi="Arial" w:cs="Arial"/>
                <w:color w:val="262626"/>
                <w:sz w:val="18"/>
                <w:szCs w:val="18"/>
              </w:rPr>
              <w:t>20,899 </w:t>
            </w:r>
          </w:p>
        </w:tc>
        <w:tc>
          <w:tcPr>
            <w:tcW w:w="0" w:type="auto"/>
            <w:shd w:val="clear" w:color="auto" w:fill="auto"/>
            <w:tcMar>
              <w:top w:w="40" w:type="dxa"/>
              <w:left w:w="0" w:type="dxa"/>
              <w:bottom w:w="40" w:type="dxa"/>
              <w:right w:w="20" w:type="dxa"/>
            </w:tcMar>
            <w:vAlign w:val="bottom"/>
          </w:tcPr>
          <w:p w14:paraId="5A1B1088" w14:textId="77777777" w:rsidR="00960BB8" w:rsidRDefault="00960BB8">
            <w:pPr>
              <w:jc w:val="right"/>
              <w:rPr>
                <w:rFonts w:ascii="宋体"/>
              </w:rPr>
            </w:pPr>
          </w:p>
        </w:tc>
      </w:tr>
      <w:tr w:rsidR="00960BB8" w14:paraId="5A1B1091" w14:textId="77777777">
        <w:tc>
          <w:tcPr>
            <w:tcW w:w="0" w:type="auto"/>
            <w:gridSpan w:val="3"/>
            <w:shd w:val="clear" w:color="auto" w:fill="auto"/>
            <w:tcMar>
              <w:top w:w="40" w:type="dxa"/>
              <w:left w:w="140" w:type="dxa"/>
              <w:bottom w:w="40" w:type="dxa"/>
              <w:right w:w="20" w:type="dxa"/>
            </w:tcMar>
            <w:vAlign w:val="bottom"/>
          </w:tcPr>
          <w:p w14:paraId="5A1B108A" w14:textId="77777777" w:rsidR="00960BB8" w:rsidRDefault="00C06650">
            <w:pPr>
              <w:textAlignment w:val="bottom"/>
            </w:pPr>
            <w:r>
              <w:rPr>
                <w:rFonts w:ascii="Arial" w:eastAsia="宋体" w:hAnsi="Arial" w:cs="Arial"/>
                <w:color w:val="262626"/>
                <w:sz w:val="18"/>
                <w:szCs w:val="18"/>
              </w:rPr>
              <w:t>Adjustments to reconcile net income to net cash provided by operating activities:</w:t>
            </w:r>
          </w:p>
        </w:tc>
        <w:tc>
          <w:tcPr>
            <w:tcW w:w="0" w:type="auto"/>
            <w:gridSpan w:val="3"/>
            <w:shd w:val="clear" w:color="auto" w:fill="auto"/>
            <w:tcMar>
              <w:top w:w="0" w:type="dxa"/>
              <w:left w:w="20" w:type="dxa"/>
              <w:bottom w:w="0" w:type="dxa"/>
              <w:right w:w="20" w:type="dxa"/>
            </w:tcMar>
            <w:vAlign w:val="bottom"/>
          </w:tcPr>
          <w:p w14:paraId="5A1B108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8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8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8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8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90" w14:textId="77777777" w:rsidR="00960BB8" w:rsidRDefault="00960BB8">
            <w:pPr>
              <w:rPr>
                <w:rFonts w:ascii="宋体"/>
              </w:rPr>
            </w:pPr>
          </w:p>
        </w:tc>
      </w:tr>
      <w:tr w:rsidR="00960BB8" w14:paraId="5A1B109C" w14:textId="77777777">
        <w:tc>
          <w:tcPr>
            <w:tcW w:w="0" w:type="auto"/>
            <w:gridSpan w:val="3"/>
            <w:shd w:val="clear" w:color="auto" w:fill="auto"/>
            <w:tcMar>
              <w:top w:w="40" w:type="dxa"/>
              <w:left w:w="260" w:type="dxa"/>
              <w:bottom w:w="40" w:type="dxa"/>
              <w:right w:w="20" w:type="dxa"/>
            </w:tcMar>
            <w:vAlign w:val="bottom"/>
          </w:tcPr>
          <w:p w14:paraId="5A1B1092" w14:textId="77777777" w:rsidR="00960BB8" w:rsidRDefault="00C06650">
            <w:pPr>
              <w:textAlignment w:val="bottom"/>
            </w:pPr>
            <w:r>
              <w:rPr>
                <w:rFonts w:ascii="Arial" w:eastAsia="宋体" w:hAnsi="Arial" w:cs="Arial"/>
                <w:color w:val="262626"/>
                <w:sz w:val="18"/>
                <w:szCs w:val="18"/>
              </w:rPr>
              <w:t>Depreciation</w:t>
            </w:r>
          </w:p>
        </w:tc>
        <w:tc>
          <w:tcPr>
            <w:tcW w:w="0" w:type="auto"/>
            <w:gridSpan w:val="3"/>
            <w:shd w:val="clear" w:color="auto" w:fill="auto"/>
            <w:tcMar>
              <w:top w:w="0" w:type="dxa"/>
              <w:left w:w="20" w:type="dxa"/>
              <w:bottom w:w="0" w:type="dxa"/>
              <w:right w:w="20" w:type="dxa"/>
            </w:tcMar>
            <w:vAlign w:val="bottom"/>
          </w:tcPr>
          <w:p w14:paraId="5A1B109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94" w14:textId="77777777" w:rsidR="00960BB8" w:rsidRDefault="00C06650">
            <w:pPr>
              <w:jc w:val="right"/>
              <w:textAlignment w:val="bottom"/>
            </w:pPr>
            <w:r>
              <w:rPr>
                <w:rFonts w:ascii="Arial" w:eastAsia="宋体" w:hAnsi="Arial" w:cs="Arial"/>
                <w:color w:val="0068B5"/>
                <w:sz w:val="18"/>
                <w:szCs w:val="18"/>
              </w:rPr>
              <w:t>11,128 </w:t>
            </w:r>
          </w:p>
        </w:tc>
        <w:tc>
          <w:tcPr>
            <w:tcW w:w="0" w:type="auto"/>
            <w:shd w:val="clear" w:color="auto" w:fill="auto"/>
            <w:tcMar>
              <w:top w:w="40" w:type="dxa"/>
              <w:left w:w="0" w:type="dxa"/>
              <w:bottom w:w="40" w:type="dxa"/>
              <w:right w:w="20" w:type="dxa"/>
            </w:tcMar>
            <w:vAlign w:val="bottom"/>
          </w:tcPr>
          <w:p w14:paraId="5A1B109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9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97" w14:textId="77777777" w:rsidR="00960BB8" w:rsidRDefault="00C06650">
            <w:pPr>
              <w:jc w:val="right"/>
              <w:textAlignment w:val="bottom"/>
            </w:pPr>
            <w:r>
              <w:rPr>
                <w:rFonts w:ascii="Arial" w:eastAsia="宋体" w:hAnsi="Arial" w:cs="Arial"/>
                <w:color w:val="262626"/>
                <w:sz w:val="18"/>
                <w:szCs w:val="18"/>
              </w:rPr>
              <w:t>9,953 </w:t>
            </w:r>
          </w:p>
        </w:tc>
        <w:tc>
          <w:tcPr>
            <w:tcW w:w="0" w:type="auto"/>
            <w:shd w:val="clear" w:color="auto" w:fill="auto"/>
            <w:tcMar>
              <w:top w:w="40" w:type="dxa"/>
              <w:left w:w="0" w:type="dxa"/>
              <w:bottom w:w="40" w:type="dxa"/>
              <w:right w:w="20" w:type="dxa"/>
            </w:tcMar>
            <w:vAlign w:val="bottom"/>
          </w:tcPr>
          <w:p w14:paraId="5A1B109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9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9A" w14:textId="77777777" w:rsidR="00960BB8" w:rsidRDefault="00C06650">
            <w:pPr>
              <w:jc w:val="right"/>
              <w:textAlignment w:val="bottom"/>
            </w:pPr>
            <w:r>
              <w:rPr>
                <w:rFonts w:ascii="Arial" w:eastAsia="宋体" w:hAnsi="Arial" w:cs="Arial"/>
                <w:color w:val="262626"/>
                <w:sz w:val="18"/>
                <w:szCs w:val="18"/>
              </w:rPr>
              <w:t>10,482 </w:t>
            </w:r>
          </w:p>
        </w:tc>
        <w:tc>
          <w:tcPr>
            <w:tcW w:w="0" w:type="auto"/>
            <w:shd w:val="clear" w:color="auto" w:fill="auto"/>
            <w:tcMar>
              <w:top w:w="40" w:type="dxa"/>
              <w:left w:w="0" w:type="dxa"/>
              <w:bottom w:w="40" w:type="dxa"/>
              <w:right w:w="20" w:type="dxa"/>
            </w:tcMar>
            <w:vAlign w:val="bottom"/>
          </w:tcPr>
          <w:p w14:paraId="5A1B109B" w14:textId="77777777" w:rsidR="00960BB8" w:rsidRDefault="00960BB8">
            <w:pPr>
              <w:jc w:val="right"/>
              <w:rPr>
                <w:rFonts w:ascii="宋体"/>
              </w:rPr>
            </w:pPr>
          </w:p>
        </w:tc>
      </w:tr>
      <w:tr w:rsidR="00960BB8" w14:paraId="5A1B10A7" w14:textId="77777777">
        <w:tc>
          <w:tcPr>
            <w:tcW w:w="0" w:type="auto"/>
            <w:gridSpan w:val="3"/>
            <w:shd w:val="clear" w:color="auto" w:fill="auto"/>
            <w:tcMar>
              <w:top w:w="40" w:type="dxa"/>
              <w:left w:w="260" w:type="dxa"/>
              <w:bottom w:w="40" w:type="dxa"/>
              <w:right w:w="20" w:type="dxa"/>
            </w:tcMar>
            <w:vAlign w:val="bottom"/>
          </w:tcPr>
          <w:p w14:paraId="5A1B109D" w14:textId="77777777" w:rsidR="00960BB8" w:rsidRDefault="00C06650">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5A1B109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9F" w14:textId="77777777" w:rsidR="00960BB8" w:rsidRDefault="00C06650">
            <w:pPr>
              <w:jc w:val="right"/>
              <w:textAlignment w:val="bottom"/>
            </w:pPr>
            <w:r>
              <w:rPr>
                <w:rFonts w:ascii="Arial" w:eastAsia="宋体" w:hAnsi="Arial" w:cs="Arial"/>
                <w:color w:val="0068B5"/>
                <w:sz w:val="18"/>
                <w:szCs w:val="18"/>
              </w:rPr>
              <w:t>3,128 </w:t>
            </w:r>
          </w:p>
        </w:tc>
        <w:tc>
          <w:tcPr>
            <w:tcW w:w="0" w:type="auto"/>
            <w:shd w:val="clear" w:color="auto" w:fill="auto"/>
            <w:tcMar>
              <w:top w:w="40" w:type="dxa"/>
              <w:left w:w="0" w:type="dxa"/>
              <w:bottom w:w="40" w:type="dxa"/>
              <w:right w:w="20" w:type="dxa"/>
            </w:tcMar>
            <w:vAlign w:val="bottom"/>
          </w:tcPr>
          <w:p w14:paraId="5A1B10A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A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A2" w14:textId="77777777" w:rsidR="00960BB8" w:rsidRDefault="00C06650">
            <w:pPr>
              <w:jc w:val="right"/>
              <w:textAlignment w:val="bottom"/>
            </w:pPr>
            <w:r>
              <w:rPr>
                <w:rFonts w:ascii="Arial" w:eastAsia="宋体" w:hAnsi="Arial" w:cs="Arial"/>
                <w:color w:val="262626"/>
                <w:sz w:val="18"/>
                <w:szCs w:val="18"/>
              </w:rPr>
              <w:t>2,036 </w:t>
            </w:r>
          </w:p>
        </w:tc>
        <w:tc>
          <w:tcPr>
            <w:tcW w:w="0" w:type="auto"/>
            <w:shd w:val="clear" w:color="auto" w:fill="auto"/>
            <w:tcMar>
              <w:top w:w="40" w:type="dxa"/>
              <w:left w:w="0" w:type="dxa"/>
              <w:bottom w:w="40" w:type="dxa"/>
              <w:right w:w="20" w:type="dxa"/>
            </w:tcMar>
            <w:vAlign w:val="bottom"/>
          </w:tcPr>
          <w:p w14:paraId="5A1B10A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A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A5" w14:textId="77777777" w:rsidR="00960BB8" w:rsidRDefault="00C06650">
            <w:pPr>
              <w:jc w:val="right"/>
              <w:textAlignment w:val="bottom"/>
            </w:pPr>
            <w:r>
              <w:rPr>
                <w:rFonts w:ascii="Arial" w:eastAsia="宋体" w:hAnsi="Arial" w:cs="Arial"/>
                <w:color w:val="262626"/>
                <w:sz w:val="18"/>
                <w:szCs w:val="18"/>
              </w:rPr>
              <w:t>1,854 </w:t>
            </w:r>
          </w:p>
        </w:tc>
        <w:tc>
          <w:tcPr>
            <w:tcW w:w="0" w:type="auto"/>
            <w:shd w:val="clear" w:color="auto" w:fill="auto"/>
            <w:tcMar>
              <w:top w:w="40" w:type="dxa"/>
              <w:left w:w="0" w:type="dxa"/>
              <w:bottom w:w="40" w:type="dxa"/>
              <w:right w:w="20" w:type="dxa"/>
            </w:tcMar>
            <w:vAlign w:val="bottom"/>
          </w:tcPr>
          <w:p w14:paraId="5A1B10A6" w14:textId="77777777" w:rsidR="00960BB8" w:rsidRDefault="00960BB8">
            <w:pPr>
              <w:jc w:val="right"/>
              <w:rPr>
                <w:rFonts w:ascii="宋体"/>
              </w:rPr>
            </w:pPr>
          </w:p>
        </w:tc>
      </w:tr>
      <w:tr w:rsidR="00960BB8" w14:paraId="5A1B10AF" w14:textId="77777777">
        <w:trPr>
          <w:hidden/>
        </w:trPr>
        <w:tc>
          <w:tcPr>
            <w:tcW w:w="0" w:type="auto"/>
            <w:gridSpan w:val="3"/>
            <w:shd w:val="clear" w:color="auto" w:fill="auto"/>
            <w:vAlign w:val="bottom"/>
          </w:tcPr>
          <w:p w14:paraId="5A1B10A8" w14:textId="77777777" w:rsidR="00960BB8" w:rsidRDefault="00960BB8">
            <w:pPr>
              <w:rPr>
                <w:rFonts w:ascii="宋体"/>
                <w:vanish/>
              </w:rPr>
            </w:pPr>
          </w:p>
        </w:tc>
        <w:tc>
          <w:tcPr>
            <w:tcW w:w="0" w:type="auto"/>
            <w:gridSpan w:val="3"/>
            <w:shd w:val="clear" w:color="auto" w:fill="auto"/>
            <w:vAlign w:val="bottom"/>
          </w:tcPr>
          <w:p w14:paraId="5A1B10A9" w14:textId="77777777" w:rsidR="00960BB8" w:rsidRDefault="00960BB8">
            <w:pPr>
              <w:rPr>
                <w:rFonts w:ascii="宋体"/>
                <w:vanish/>
              </w:rPr>
            </w:pPr>
          </w:p>
        </w:tc>
        <w:tc>
          <w:tcPr>
            <w:tcW w:w="0" w:type="auto"/>
            <w:gridSpan w:val="3"/>
            <w:shd w:val="clear" w:color="auto" w:fill="auto"/>
            <w:vAlign w:val="bottom"/>
          </w:tcPr>
          <w:p w14:paraId="5A1B10AA" w14:textId="77777777" w:rsidR="00960BB8" w:rsidRDefault="00960BB8">
            <w:pPr>
              <w:rPr>
                <w:rFonts w:ascii="宋体"/>
                <w:vanish/>
              </w:rPr>
            </w:pPr>
          </w:p>
        </w:tc>
        <w:tc>
          <w:tcPr>
            <w:tcW w:w="0" w:type="auto"/>
            <w:gridSpan w:val="3"/>
            <w:shd w:val="clear" w:color="auto" w:fill="auto"/>
            <w:vAlign w:val="bottom"/>
          </w:tcPr>
          <w:p w14:paraId="5A1B10AB" w14:textId="77777777" w:rsidR="00960BB8" w:rsidRDefault="00960BB8">
            <w:pPr>
              <w:rPr>
                <w:rFonts w:ascii="宋体"/>
                <w:vanish/>
              </w:rPr>
            </w:pPr>
          </w:p>
        </w:tc>
        <w:tc>
          <w:tcPr>
            <w:tcW w:w="0" w:type="auto"/>
            <w:gridSpan w:val="3"/>
            <w:shd w:val="clear" w:color="auto" w:fill="auto"/>
            <w:vAlign w:val="bottom"/>
          </w:tcPr>
          <w:p w14:paraId="5A1B10AC" w14:textId="77777777" w:rsidR="00960BB8" w:rsidRDefault="00960BB8">
            <w:pPr>
              <w:rPr>
                <w:rFonts w:ascii="宋体"/>
                <w:vanish/>
              </w:rPr>
            </w:pPr>
          </w:p>
        </w:tc>
        <w:tc>
          <w:tcPr>
            <w:tcW w:w="0" w:type="auto"/>
            <w:gridSpan w:val="3"/>
            <w:shd w:val="clear" w:color="auto" w:fill="auto"/>
            <w:vAlign w:val="bottom"/>
          </w:tcPr>
          <w:p w14:paraId="5A1B10AD" w14:textId="77777777" w:rsidR="00960BB8" w:rsidRDefault="00960BB8">
            <w:pPr>
              <w:rPr>
                <w:rFonts w:ascii="宋体"/>
                <w:vanish/>
              </w:rPr>
            </w:pPr>
          </w:p>
        </w:tc>
        <w:tc>
          <w:tcPr>
            <w:tcW w:w="0" w:type="auto"/>
            <w:gridSpan w:val="3"/>
            <w:shd w:val="clear" w:color="auto" w:fill="auto"/>
            <w:vAlign w:val="bottom"/>
          </w:tcPr>
          <w:p w14:paraId="5A1B10AE" w14:textId="77777777" w:rsidR="00960BB8" w:rsidRDefault="00960BB8">
            <w:pPr>
              <w:rPr>
                <w:rFonts w:ascii="宋体"/>
                <w:vanish/>
              </w:rPr>
            </w:pPr>
          </w:p>
        </w:tc>
      </w:tr>
      <w:tr w:rsidR="00960BB8" w14:paraId="5A1B10BA" w14:textId="77777777">
        <w:tc>
          <w:tcPr>
            <w:tcW w:w="0" w:type="auto"/>
            <w:gridSpan w:val="3"/>
            <w:shd w:val="clear" w:color="auto" w:fill="auto"/>
            <w:tcMar>
              <w:top w:w="40" w:type="dxa"/>
              <w:left w:w="260" w:type="dxa"/>
              <w:bottom w:w="40" w:type="dxa"/>
              <w:right w:w="20" w:type="dxa"/>
            </w:tcMar>
            <w:vAlign w:val="bottom"/>
          </w:tcPr>
          <w:p w14:paraId="5A1B10B0" w14:textId="77777777" w:rsidR="00960BB8" w:rsidRDefault="00C06650">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5A1B10B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B2" w14:textId="77777777" w:rsidR="00960BB8" w:rsidRDefault="00C06650">
            <w:pPr>
              <w:jc w:val="right"/>
              <w:textAlignment w:val="bottom"/>
            </w:pPr>
            <w:r>
              <w:rPr>
                <w:rFonts w:ascii="Arial" w:eastAsia="宋体" w:hAnsi="Arial" w:cs="Arial"/>
                <w:color w:val="0068B5"/>
                <w:sz w:val="18"/>
                <w:szCs w:val="18"/>
              </w:rPr>
              <w:t>1,074 </w:t>
            </w:r>
          </w:p>
        </w:tc>
        <w:tc>
          <w:tcPr>
            <w:tcW w:w="0" w:type="auto"/>
            <w:shd w:val="clear" w:color="auto" w:fill="auto"/>
            <w:tcMar>
              <w:top w:w="40" w:type="dxa"/>
              <w:left w:w="0" w:type="dxa"/>
              <w:bottom w:w="40" w:type="dxa"/>
              <w:right w:w="20" w:type="dxa"/>
            </w:tcMar>
            <w:vAlign w:val="bottom"/>
          </w:tcPr>
          <w:p w14:paraId="5A1B10B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B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B5" w14:textId="77777777" w:rsidR="00960BB8" w:rsidRDefault="00C06650">
            <w:pPr>
              <w:jc w:val="right"/>
              <w:textAlignment w:val="bottom"/>
            </w:pPr>
            <w:r>
              <w:rPr>
                <w:rFonts w:ascii="Arial" w:eastAsia="宋体" w:hAnsi="Arial" w:cs="Arial"/>
                <w:color w:val="262626"/>
                <w:sz w:val="18"/>
                <w:szCs w:val="18"/>
              </w:rPr>
              <w:t>2,626 </w:t>
            </w:r>
          </w:p>
        </w:tc>
        <w:tc>
          <w:tcPr>
            <w:tcW w:w="0" w:type="auto"/>
            <w:shd w:val="clear" w:color="auto" w:fill="auto"/>
            <w:tcMar>
              <w:top w:w="40" w:type="dxa"/>
              <w:left w:w="0" w:type="dxa"/>
              <w:bottom w:w="40" w:type="dxa"/>
              <w:right w:w="20" w:type="dxa"/>
            </w:tcMar>
            <w:vAlign w:val="bottom"/>
          </w:tcPr>
          <w:p w14:paraId="5A1B10B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B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B8" w14:textId="77777777" w:rsidR="00960BB8" w:rsidRDefault="00C06650">
            <w:pPr>
              <w:jc w:val="right"/>
              <w:textAlignment w:val="bottom"/>
            </w:pPr>
            <w:r>
              <w:rPr>
                <w:rFonts w:ascii="Arial" w:eastAsia="宋体" w:hAnsi="Arial" w:cs="Arial"/>
                <w:color w:val="262626"/>
                <w:sz w:val="18"/>
                <w:szCs w:val="18"/>
              </w:rPr>
              <w:t>198 </w:t>
            </w:r>
          </w:p>
        </w:tc>
        <w:tc>
          <w:tcPr>
            <w:tcW w:w="0" w:type="auto"/>
            <w:shd w:val="clear" w:color="auto" w:fill="auto"/>
            <w:tcMar>
              <w:top w:w="40" w:type="dxa"/>
              <w:left w:w="0" w:type="dxa"/>
              <w:bottom w:w="40" w:type="dxa"/>
              <w:right w:w="20" w:type="dxa"/>
            </w:tcMar>
            <w:vAlign w:val="bottom"/>
          </w:tcPr>
          <w:p w14:paraId="5A1B10B9" w14:textId="77777777" w:rsidR="00960BB8" w:rsidRDefault="00960BB8">
            <w:pPr>
              <w:jc w:val="right"/>
              <w:rPr>
                <w:rFonts w:ascii="宋体"/>
              </w:rPr>
            </w:pPr>
          </w:p>
        </w:tc>
      </w:tr>
      <w:tr w:rsidR="00960BB8" w14:paraId="5A1B10C5" w14:textId="77777777">
        <w:tc>
          <w:tcPr>
            <w:tcW w:w="0" w:type="auto"/>
            <w:gridSpan w:val="3"/>
            <w:shd w:val="clear" w:color="auto" w:fill="auto"/>
            <w:tcMar>
              <w:top w:w="40" w:type="dxa"/>
              <w:left w:w="260" w:type="dxa"/>
              <w:bottom w:w="40" w:type="dxa"/>
              <w:right w:w="20" w:type="dxa"/>
            </w:tcMar>
            <w:vAlign w:val="bottom"/>
          </w:tcPr>
          <w:p w14:paraId="5A1B10BB" w14:textId="77777777" w:rsidR="00960BB8" w:rsidRDefault="00C06650">
            <w:pPr>
              <w:textAlignment w:val="bottom"/>
            </w:pPr>
            <w:r>
              <w:rPr>
                <w:rFonts w:ascii="Arial" w:eastAsia="宋体" w:hAnsi="Arial" w:cs="Arial"/>
                <w:color w:val="262626"/>
                <w:sz w:val="18"/>
                <w:szCs w:val="18"/>
              </w:rPr>
              <w:t>Amortization of intangibles</w:t>
            </w:r>
          </w:p>
        </w:tc>
        <w:tc>
          <w:tcPr>
            <w:tcW w:w="0" w:type="auto"/>
            <w:gridSpan w:val="3"/>
            <w:shd w:val="clear" w:color="auto" w:fill="auto"/>
            <w:tcMar>
              <w:top w:w="0" w:type="dxa"/>
              <w:left w:w="20" w:type="dxa"/>
              <w:bottom w:w="0" w:type="dxa"/>
              <w:right w:w="20" w:type="dxa"/>
            </w:tcMar>
            <w:vAlign w:val="bottom"/>
          </w:tcPr>
          <w:p w14:paraId="5A1B10B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BD" w14:textId="77777777" w:rsidR="00960BB8" w:rsidRDefault="00C06650">
            <w:pPr>
              <w:jc w:val="right"/>
              <w:textAlignment w:val="bottom"/>
            </w:pPr>
            <w:r>
              <w:rPr>
                <w:rFonts w:ascii="Arial" w:eastAsia="宋体" w:hAnsi="Arial" w:cs="Arial"/>
                <w:color w:val="0068B5"/>
                <w:sz w:val="18"/>
                <w:szCs w:val="18"/>
              </w:rPr>
              <w:t>1,907 </w:t>
            </w:r>
          </w:p>
        </w:tc>
        <w:tc>
          <w:tcPr>
            <w:tcW w:w="0" w:type="auto"/>
            <w:shd w:val="clear" w:color="auto" w:fill="auto"/>
            <w:tcMar>
              <w:top w:w="40" w:type="dxa"/>
              <w:left w:w="0" w:type="dxa"/>
              <w:bottom w:w="40" w:type="dxa"/>
              <w:right w:w="20" w:type="dxa"/>
            </w:tcMar>
            <w:vAlign w:val="bottom"/>
          </w:tcPr>
          <w:p w14:paraId="5A1B10B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B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C0" w14:textId="77777777" w:rsidR="00960BB8" w:rsidRDefault="00C06650">
            <w:pPr>
              <w:jc w:val="right"/>
              <w:textAlignment w:val="bottom"/>
            </w:pPr>
            <w:r>
              <w:rPr>
                <w:rFonts w:ascii="Arial" w:eastAsia="宋体" w:hAnsi="Arial" w:cs="Arial"/>
                <w:color w:val="262626"/>
                <w:sz w:val="18"/>
                <w:szCs w:val="18"/>
              </w:rPr>
              <w:t>1,839 </w:t>
            </w:r>
          </w:p>
        </w:tc>
        <w:tc>
          <w:tcPr>
            <w:tcW w:w="0" w:type="auto"/>
            <w:shd w:val="clear" w:color="auto" w:fill="auto"/>
            <w:tcMar>
              <w:top w:w="40" w:type="dxa"/>
              <w:left w:w="0" w:type="dxa"/>
              <w:bottom w:w="40" w:type="dxa"/>
              <w:right w:w="20" w:type="dxa"/>
            </w:tcMar>
            <w:vAlign w:val="bottom"/>
          </w:tcPr>
          <w:p w14:paraId="5A1B10C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C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C3" w14:textId="77777777" w:rsidR="00960BB8" w:rsidRDefault="00C06650">
            <w:pPr>
              <w:jc w:val="right"/>
              <w:textAlignment w:val="bottom"/>
            </w:pPr>
            <w:r>
              <w:rPr>
                <w:rFonts w:ascii="Arial" w:eastAsia="宋体" w:hAnsi="Arial" w:cs="Arial"/>
                <w:color w:val="262626"/>
                <w:sz w:val="18"/>
                <w:szCs w:val="18"/>
              </w:rPr>
              <w:t>1,757 </w:t>
            </w:r>
          </w:p>
        </w:tc>
        <w:tc>
          <w:tcPr>
            <w:tcW w:w="0" w:type="auto"/>
            <w:shd w:val="clear" w:color="auto" w:fill="auto"/>
            <w:tcMar>
              <w:top w:w="40" w:type="dxa"/>
              <w:left w:w="0" w:type="dxa"/>
              <w:bottom w:w="40" w:type="dxa"/>
              <w:right w:w="20" w:type="dxa"/>
            </w:tcMar>
            <w:vAlign w:val="bottom"/>
          </w:tcPr>
          <w:p w14:paraId="5A1B10C4" w14:textId="77777777" w:rsidR="00960BB8" w:rsidRDefault="00960BB8">
            <w:pPr>
              <w:jc w:val="right"/>
              <w:rPr>
                <w:rFonts w:ascii="宋体"/>
              </w:rPr>
            </w:pPr>
          </w:p>
        </w:tc>
      </w:tr>
      <w:tr w:rsidR="00960BB8" w14:paraId="5A1B10D0" w14:textId="77777777">
        <w:tc>
          <w:tcPr>
            <w:tcW w:w="0" w:type="auto"/>
            <w:gridSpan w:val="3"/>
            <w:shd w:val="clear" w:color="auto" w:fill="auto"/>
            <w:tcMar>
              <w:top w:w="40" w:type="dxa"/>
              <w:left w:w="260" w:type="dxa"/>
              <w:bottom w:w="40" w:type="dxa"/>
              <w:right w:w="20" w:type="dxa"/>
            </w:tcMar>
            <w:vAlign w:val="bottom"/>
          </w:tcPr>
          <w:p w14:paraId="5A1B10C6" w14:textId="77777777" w:rsidR="00960BB8" w:rsidRDefault="00C06650">
            <w:pPr>
              <w:textAlignment w:val="bottom"/>
            </w:pPr>
            <w:r>
              <w:rPr>
                <w:rFonts w:ascii="Arial" w:eastAsia="宋体" w:hAnsi="Arial" w:cs="Arial"/>
                <w:color w:val="262626"/>
                <w:sz w:val="18"/>
                <w:szCs w:val="18"/>
              </w:rPr>
              <w:t xml:space="preserve">(Gains) losses on equity </w:t>
            </w:r>
            <w:r>
              <w:rPr>
                <w:rFonts w:ascii="Arial" w:eastAsia="宋体" w:hAnsi="Arial" w:cs="Arial"/>
                <w:color w:val="262626"/>
                <w:sz w:val="18"/>
                <w:szCs w:val="18"/>
              </w:rPr>
              <w:t>investments, net</w:t>
            </w:r>
          </w:p>
        </w:tc>
        <w:tc>
          <w:tcPr>
            <w:tcW w:w="0" w:type="auto"/>
            <w:gridSpan w:val="3"/>
            <w:shd w:val="clear" w:color="auto" w:fill="auto"/>
            <w:tcMar>
              <w:top w:w="0" w:type="dxa"/>
              <w:left w:w="20" w:type="dxa"/>
              <w:bottom w:w="0" w:type="dxa"/>
              <w:right w:w="20" w:type="dxa"/>
            </w:tcMar>
            <w:vAlign w:val="bottom"/>
          </w:tcPr>
          <w:p w14:paraId="5A1B10C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C8" w14:textId="77777777" w:rsidR="00960BB8" w:rsidRDefault="00C06650">
            <w:pPr>
              <w:jc w:val="right"/>
              <w:textAlignment w:val="bottom"/>
            </w:pPr>
            <w:r>
              <w:rPr>
                <w:rFonts w:ascii="Arial" w:eastAsia="宋体" w:hAnsi="Arial" w:cs="Arial"/>
                <w:color w:val="0068B5"/>
                <w:sz w:val="18"/>
                <w:szCs w:val="18"/>
              </w:rPr>
              <w:t>(4,254)</w:t>
            </w:r>
          </w:p>
        </w:tc>
        <w:tc>
          <w:tcPr>
            <w:tcW w:w="0" w:type="auto"/>
            <w:shd w:val="clear" w:color="auto" w:fill="auto"/>
            <w:tcMar>
              <w:top w:w="40" w:type="dxa"/>
              <w:left w:w="0" w:type="dxa"/>
              <w:bottom w:w="40" w:type="dxa"/>
              <w:right w:w="20" w:type="dxa"/>
            </w:tcMar>
            <w:vAlign w:val="bottom"/>
          </w:tcPr>
          <w:p w14:paraId="5A1B10C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C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CB" w14:textId="77777777" w:rsidR="00960BB8" w:rsidRDefault="00C06650">
            <w:pPr>
              <w:jc w:val="right"/>
              <w:textAlignment w:val="bottom"/>
            </w:pPr>
            <w:r>
              <w:rPr>
                <w:rFonts w:ascii="Arial" w:eastAsia="宋体" w:hAnsi="Arial" w:cs="Arial"/>
                <w:color w:val="262626"/>
                <w:sz w:val="18"/>
                <w:szCs w:val="18"/>
              </w:rPr>
              <w:t>(1,458)</w:t>
            </w:r>
          </w:p>
        </w:tc>
        <w:tc>
          <w:tcPr>
            <w:tcW w:w="0" w:type="auto"/>
            <w:shd w:val="clear" w:color="auto" w:fill="auto"/>
            <w:tcMar>
              <w:top w:w="40" w:type="dxa"/>
              <w:left w:w="0" w:type="dxa"/>
              <w:bottom w:w="40" w:type="dxa"/>
              <w:right w:w="20" w:type="dxa"/>
            </w:tcMar>
            <w:vAlign w:val="bottom"/>
          </w:tcPr>
          <w:p w14:paraId="5A1B10C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C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CE" w14:textId="77777777" w:rsidR="00960BB8" w:rsidRDefault="00C06650">
            <w:pPr>
              <w:jc w:val="right"/>
              <w:textAlignment w:val="bottom"/>
            </w:pPr>
            <w:r>
              <w:rPr>
                <w:rFonts w:ascii="Arial" w:eastAsia="宋体" w:hAnsi="Arial" w:cs="Arial"/>
                <w:color w:val="262626"/>
                <w:sz w:val="18"/>
                <w:szCs w:val="18"/>
              </w:rPr>
              <w:t>(1,757)</w:t>
            </w:r>
          </w:p>
        </w:tc>
        <w:tc>
          <w:tcPr>
            <w:tcW w:w="0" w:type="auto"/>
            <w:shd w:val="clear" w:color="auto" w:fill="auto"/>
            <w:tcMar>
              <w:top w:w="40" w:type="dxa"/>
              <w:left w:w="0" w:type="dxa"/>
              <w:bottom w:w="40" w:type="dxa"/>
              <w:right w:w="20" w:type="dxa"/>
            </w:tcMar>
            <w:vAlign w:val="bottom"/>
          </w:tcPr>
          <w:p w14:paraId="5A1B10CF" w14:textId="77777777" w:rsidR="00960BB8" w:rsidRDefault="00960BB8">
            <w:pPr>
              <w:jc w:val="right"/>
              <w:rPr>
                <w:rFonts w:ascii="宋体"/>
              </w:rPr>
            </w:pPr>
          </w:p>
        </w:tc>
      </w:tr>
      <w:tr w:rsidR="00960BB8" w14:paraId="5A1B10D8" w14:textId="77777777">
        <w:trPr>
          <w:hidden/>
        </w:trPr>
        <w:tc>
          <w:tcPr>
            <w:tcW w:w="0" w:type="auto"/>
            <w:gridSpan w:val="3"/>
            <w:shd w:val="clear" w:color="auto" w:fill="auto"/>
            <w:vAlign w:val="bottom"/>
          </w:tcPr>
          <w:p w14:paraId="5A1B10D1" w14:textId="77777777" w:rsidR="00960BB8" w:rsidRDefault="00960BB8">
            <w:pPr>
              <w:rPr>
                <w:rFonts w:ascii="宋体"/>
                <w:vanish/>
              </w:rPr>
            </w:pPr>
          </w:p>
        </w:tc>
        <w:tc>
          <w:tcPr>
            <w:tcW w:w="0" w:type="auto"/>
            <w:gridSpan w:val="3"/>
            <w:shd w:val="clear" w:color="auto" w:fill="auto"/>
            <w:vAlign w:val="bottom"/>
          </w:tcPr>
          <w:p w14:paraId="5A1B10D2" w14:textId="77777777" w:rsidR="00960BB8" w:rsidRDefault="00960BB8">
            <w:pPr>
              <w:rPr>
                <w:rFonts w:ascii="宋体"/>
                <w:vanish/>
              </w:rPr>
            </w:pPr>
          </w:p>
        </w:tc>
        <w:tc>
          <w:tcPr>
            <w:tcW w:w="0" w:type="auto"/>
            <w:gridSpan w:val="3"/>
            <w:shd w:val="clear" w:color="auto" w:fill="auto"/>
            <w:vAlign w:val="bottom"/>
          </w:tcPr>
          <w:p w14:paraId="5A1B10D3" w14:textId="77777777" w:rsidR="00960BB8" w:rsidRDefault="00960BB8">
            <w:pPr>
              <w:rPr>
                <w:rFonts w:ascii="宋体"/>
                <w:vanish/>
              </w:rPr>
            </w:pPr>
          </w:p>
        </w:tc>
        <w:tc>
          <w:tcPr>
            <w:tcW w:w="0" w:type="auto"/>
            <w:gridSpan w:val="3"/>
            <w:shd w:val="clear" w:color="auto" w:fill="auto"/>
            <w:vAlign w:val="bottom"/>
          </w:tcPr>
          <w:p w14:paraId="5A1B10D4" w14:textId="77777777" w:rsidR="00960BB8" w:rsidRDefault="00960BB8">
            <w:pPr>
              <w:rPr>
                <w:rFonts w:ascii="宋体"/>
                <w:vanish/>
              </w:rPr>
            </w:pPr>
          </w:p>
        </w:tc>
        <w:tc>
          <w:tcPr>
            <w:tcW w:w="0" w:type="auto"/>
            <w:gridSpan w:val="3"/>
            <w:shd w:val="clear" w:color="auto" w:fill="auto"/>
            <w:vAlign w:val="bottom"/>
          </w:tcPr>
          <w:p w14:paraId="5A1B10D5" w14:textId="77777777" w:rsidR="00960BB8" w:rsidRDefault="00960BB8">
            <w:pPr>
              <w:rPr>
                <w:rFonts w:ascii="宋体"/>
                <w:vanish/>
              </w:rPr>
            </w:pPr>
          </w:p>
        </w:tc>
        <w:tc>
          <w:tcPr>
            <w:tcW w:w="0" w:type="auto"/>
            <w:gridSpan w:val="3"/>
            <w:shd w:val="clear" w:color="auto" w:fill="auto"/>
            <w:vAlign w:val="bottom"/>
          </w:tcPr>
          <w:p w14:paraId="5A1B10D6" w14:textId="77777777" w:rsidR="00960BB8" w:rsidRDefault="00960BB8">
            <w:pPr>
              <w:rPr>
                <w:rFonts w:ascii="宋体"/>
                <w:vanish/>
              </w:rPr>
            </w:pPr>
          </w:p>
        </w:tc>
        <w:tc>
          <w:tcPr>
            <w:tcW w:w="0" w:type="auto"/>
            <w:gridSpan w:val="3"/>
            <w:shd w:val="clear" w:color="auto" w:fill="auto"/>
            <w:vAlign w:val="bottom"/>
          </w:tcPr>
          <w:p w14:paraId="5A1B10D7" w14:textId="77777777" w:rsidR="00960BB8" w:rsidRDefault="00960BB8">
            <w:pPr>
              <w:rPr>
                <w:rFonts w:ascii="宋体"/>
                <w:vanish/>
              </w:rPr>
            </w:pPr>
          </w:p>
        </w:tc>
      </w:tr>
      <w:tr w:rsidR="00960BB8" w14:paraId="5A1B10E3" w14:textId="77777777">
        <w:tc>
          <w:tcPr>
            <w:tcW w:w="0" w:type="auto"/>
            <w:gridSpan w:val="3"/>
            <w:shd w:val="clear" w:color="auto" w:fill="auto"/>
            <w:tcMar>
              <w:top w:w="40" w:type="dxa"/>
              <w:left w:w="260" w:type="dxa"/>
              <w:bottom w:w="40" w:type="dxa"/>
              <w:right w:w="20" w:type="dxa"/>
            </w:tcMar>
            <w:vAlign w:val="bottom"/>
          </w:tcPr>
          <w:p w14:paraId="5A1B10D9" w14:textId="77777777" w:rsidR="00960BB8" w:rsidRDefault="00C06650">
            <w:pPr>
              <w:textAlignment w:val="bottom"/>
            </w:pPr>
            <w:r>
              <w:rPr>
                <w:rFonts w:ascii="Arial" w:eastAsia="宋体" w:hAnsi="Arial" w:cs="Arial"/>
                <w:color w:val="262626"/>
                <w:sz w:val="18"/>
                <w:szCs w:val="18"/>
              </w:rPr>
              <w:t>(Gains) losses on divestitures</w:t>
            </w:r>
          </w:p>
        </w:tc>
        <w:tc>
          <w:tcPr>
            <w:tcW w:w="0" w:type="auto"/>
            <w:gridSpan w:val="3"/>
            <w:shd w:val="clear" w:color="auto" w:fill="auto"/>
            <w:tcMar>
              <w:top w:w="0" w:type="dxa"/>
              <w:left w:w="20" w:type="dxa"/>
              <w:bottom w:w="0" w:type="dxa"/>
              <w:right w:w="20" w:type="dxa"/>
            </w:tcMar>
            <w:vAlign w:val="bottom"/>
          </w:tcPr>
          <w:p w14:paraId="5A1B10D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DB" w14:textId="77777777" w:rsidR="00960BB8" w:rsidRDefault="00C06650">
            <w:pPr>
              <w:jc w:val="right"/>
              <w:textAlignment w:val="bottom"/>
            </w:pPr>
            <w:r>
              <w:rPr>
                <w:rFonts w:ascii="Arial" w:eastAsia="宋体" w:hAnsi="Arial" w:cs="Arial"/>
                <w:color w:val="0068B5"/>
                <w:sz w:val="18"/>
                <w:szCs w:val="18"/>
              </w:rPr>
              <w:t>(1,059)</w:t>
            </w:r>
          </w:p>
        </w:tc>
        <w:tc>
          <w:tcPr>
            <w:tcW w:w="0" w:type="auto"/>
            <w:shd w:val="clear" w:color="auto" w:fill="auto"/>
            <w:tcMar>
              <w:top w:w="40" w:type="dxa"/>
              <w:left w:w="0" w:type="dxa"/>
              <w:bottom w:w="40" w:type="dxa"/>
              <w:right w:w="20" w:type="dxa"/>
            </w:tcMar>
            <w:vAlign w:val="bottom"/>
          </w:tcPr>
          <w:p w14:paraId="5A1B10D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D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DE"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0D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E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E1" w14:textId="77777777" w:rsidR="00960BB8" w:rsidRDefault="00C06650">
            <w:pPr>
              <w:jc w:val="right"/>
              <w:textAlignment w:val="bottom"/>
            </w:pPr>
            <w:r>
              <w:rPr>
                <w:rFonts w:ascii="Arial" w:eastAsia="宋体" w:hAnsi="Arial" w:cs="Arial"/>
                <w:color w:val="262626"/>
                <w:sz w:val="18"/>
                <w:szCs w:val="18"/>
              </w:rPr>
              <w:t>(30)</w:t>
            </w:r>
          </w:p>
        </w:tc>
        <w:tc>
          <w:tcPr>
            <w:tcW w:w="0" w:type="auto"/>
            <w:shd w:val="clear" w:color="auto" w:fill="auto"/>
            <w:tcMar>
              <w:top w:w="40" w:type="dxa"/>
              <w:left w:w="0" w:type="dxa"/>
              <w:bottom w:w="40" w:type="dxa"/>
              <w:right w:w="20" w:type="dxa"/>
            </w:tcMar>
            <w:vAlign w:val="bottom"/>
          </w:tcPr>
          <w:p w14:paraId="5A1B10E2" w14:textId="77777777" w:rsidR="00960BB8" w:rsidRDefault="00960BB8">
            <w:pPr>
              <w:jc w:val="right"/>
              <w:rPr>
                <w:rFonts w:ascii="宋体"/>
              </w:rPr>
            </w:pPr>
          </w:p>
        </w:tc>
      </w:tr>
      <w:tr w:rsidR="00960BB8" w14:paraId="5A1B10EB" w14:textId="77777777">
        <w:trPr>
          <w:hidden/>
        </w:trPr>
        <w:tc>
          <w:tcPr>
            <w:tcW w:w="0" w:type="auto"/>
            <w:gridSpan w:val="3"/>
            <w:shd w:val="clear" w:color="auto" w:fill="auto"/>
            <w:vAlign w:val="bottom"/>
          </w:tcPr>
          <w:p w14:paraId="5A1B10E4" w14:textId="77777777" w:rsidR="00960BB8" w:rsidRDefault="00960BB8">
            <w:pPr>
              <w:rPr>
                <w:rFonts w:ascii="宋体"/>
                <w:vanish/>
              </w:rPr>
            </w:pPr>
          </w:p>
        </w:tc>
        <w:tc>
          <w:tcPr>
            <w:tcW w:w="0" w:type="auto"/>
            <w:gridSpan w:val="3"/>
            <w:shd w:val="clear" w:color="auto" w:fill="auto"/>
            <w:vAlign w:val="bottom"/>
          </w:tcPr>
          <w:p w14:paraId="5A1B10E5" w14:textId="77777777" w:rsidR="00960BB8" w:rsidRDefault="00960BB8">
            <w:pPr>
              <w:rPr>
                <w:rFonts w:ascii="宋体"/>
                <w:vanish/>
              </w:rPr>
            </w:pPr>
          </w:p>
        </w:tc>
        <w:tc>
          <w:tcPr>
            <w:tcW w:w="0" w:type="auto"/>
            <w:gridSpan w:val="3"/>
            <w:shd w:val="clear" w:color="auto" w:fill="auto"/>
            <w:vAlign w:val="bottom"/>
          </w:tcPr>
          <w:p w14:paraId="5A1B10E6" w14:textId="77777777" w:rsidR="00960BB8" w:rsidRDefault="00960BB8">
            <w:pPr>
              <w:rPr>
                <w:rFonts w:ascii="宋体"/>
                <w:vanish/>
              </w:rPr>
            </w:pPr>
          </w:p>
        </w:tc>
        <w:tc>
          <w:tcPr>
            <w:tcW w:w="0" w:type="auto"/>
            <w:gridSpan w:val="3"/>
            <w:shd w:val="clear" w:color="auto" w:fill="auto"/>
            <w:vAlign w:val="bottom"/>
          </w:tcPr>
          <w:p w14:paraId="5A1B10E7" w14:textId="77777777" w:rsidR="00960BB8" w:rsidRDefault="00960BB8">
            <w:pPr>
              <w:rPr>
                <w:rFonts w:ascii="宋体"/>
                <w:vanish/>
              </w:rPr>
            </w:pPr>
          </w:p>
        </w:tc>
        <w:tc>
          <w:tcPr>
            <w:tcW w:w="0" w:type="auto"/>
            <w:gridSpan w:val="3"/>
            <w:shd w:val="clear" w:color="auto" w:fill="auto"/>
            <w:vAlign w:val="bottom"/>
          </w:tcPr>
          <w:p w14:paraId="5A1B10E8" w14:textId="77777777" w:rsidR="00960BB8" w:rsidRDefault="00960BB8">
            <w:pPr>
              <w:rPr>
                <w:rFonts w:ascii="宋体"/>
                <w:vanish/>
              </w:rPr>
            </w:pPr>
          </w:p>
        </w:tc>
        <w:tc>
          <w:tcPr>
            <w:tcW w:w="0" w:type="auto"/>
            <w:gridSpan w:val="3"/>
            <w:shd w:val="clear" w:color="auto" w:fill="auto"/>
            <w:vAlign w:val="bottom"/>
          </w:tcPr>
          <w:p w14:paraId="5A1B10E9" w14:textId="77777777" w:rsidR="00960BB8" w:rsidRDefault="00960BB8">
            <w:pPr>
              <w:rPr>
                <w:rFonts w:ascii="宋体"/>
                <w:vanish/>
              </w:rPr>
            </w:pPr>
          </w:p>
        </w:tc>
        <w:tc>
          <w:tcPr>
            <w:tcW w:w="0" w:type="auto"/>
            <w:gridSpan w:val="3"/>
            <w:shd w:val="clear" w:color="auto" w:fill="auto"/>
            <w:vAlign w:val="bottom"/>
          </w:tcPr>
          <w:p w14:paraId="5A1B10EA" w14:textId="77777777" w:rsidR="00960BB8" w:rsidRDefault="00960BB8">
            <w:pPr>
              <w:rPr>
                <w:rFonts w:ascii="宋体"/>
                <w:vanish/>
              </w:rPr>
            </w:pPr>
          </w:p>
        </w:tc>
      </w:tr>
      <w:tr w:rsidR="00960BB8" w14:paraId="5A1B10F3" w14:textId="77777777">
        <w:tc>
          <w:tcPr>
            <w:tcW w:w="0" w:type="auto"/>
            <w:gridSpan w:val="3"/>
            <w:shd w:val="clear" w:color="auto" w:fill="auto"/>
            <w:tcMar>
              <w:top w:w="40" w:type="dxa"/>
              <w:left w:w="260" w:type="dxa"/>
              <w:bottom w:w="40" w:type="dxa"/>
              <w:right w:w="20" w:type="dxa"/>
            </w:tcMar>
            <w:vAlign w:val="bottom"/>
          </w:tcPr>
          <w:p w14:paraId="5A1B10EC" w14:textId="77777777" w:rsidR="00960BB8" w:rsidRDefault="00C06650">
            <w:pPr>
              <w:textAlignment w:val="bottom"/>
            </w:pPr>
            <w:r>
              <w:rPr>
                <w:rFonts w:ascii="Arial" w:eastAsia="宋体" w:hAnsi="Arial" w:cs="Arial"/>
                <w:color w:val="262626"/>
                <w:sz w:val="18"/>
                <w:szCs w:val="18"/>
              </w:rPr>
              <w:t>Changes in assets and liabilities:</w:t>
            </w:r>
          </w:p>
        </w:tc>
        <w:tc>
          <w:tcPr>
            <w:tcW w:w="0" w:type="auto"/>
            <w:gridSpan w:val="3"/>
            <w:shd w:val="clear" w:color="auto" w:fill="auto"/>
            <w:tcMar>
              <w:top w:w="0" w:type="dxa"/>
              <w:left w:w="20" w:type="dxa"/>
              <w:bottom w:w="0" w:type="dxa"/>
              <w:right w:w="20" w:type="dxa"/>
            </w:tcMar>
            <w:vAlign w:val="bottom"/>
          </w:tcPr>
          <w:p w14:paraId="5A1B10E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E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E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F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F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0F2" w14:textId="77777777" w:rsidR="00960BB8" w:rsidRDefault="00960BB8">
            <w:pPr>
              <w:rPr>
                <w:rFonts w:ascii="宋体"/>
              </w:rPr>
            </w:pPr>
          </w:p>
        </w:tc>
      </w:tr>
      <w:tr w:rsidR="00960BB8" w14:paraId="5A1B10FE" w14:textId="77777777">
        <w:tc>
          <w:tcPr>
            <w:tcW w:w="0" w:type="auto"/>
            <w:gridSpan w:val="3"/>
            <w:shd w:val="clear" w:color="auto" w:fill="auto"/>
            <w:tcMar>
              <w:top w:w="40" w:type="dxa"/>
              <w:left w:w="365" w:type="dxa"/>
              <w:bottom w:w="40" w:type="dxa"/>
              <w:right w:w="20" w:type="dxa"/>
            </w:tcMar>
            <w:vAlign w:val="bottom"/>
          </w:tcPr>
          <w:p w14:paraId="5A1B10F4" w14:textId="77777777" w:rsidR="00960BB8" w:rsidRDefault="00C06650">
            <w:pPr>
              <w:textAlignment w:val="bottom"/>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5A1B10F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F6" w14:textId="77777777" w:rsidR="00960BB8" w:rsidRDefault="00C06650">
            <w:pPr>
              <w:jc w:val="right"/>
              <w:textAlignment w:val="bottom"/>
            </w:pPr>
            <w:r>
              <w:rPr>
                <w:rFonts w:ascii="Arial" w:eastAsia="宋体" w:hAnsi="Arial" w:cs="Arial"/>
                <w:color w:val="0068B5"/>
                <w:sz w:val="18"/>
                <w:szCs w:val="18"/>
              </w:rPr>
              <w:t>5,327 </w:t>
            </w:r>
          </w:p>
        </w:tc>
        <w:tc>
          <w:tcPr>
            <w:tcW w:w="0" w:type="auto"/>
            <w:shd w:val="clear" w:color="auto" w:fill="auto"/>
            <w:tcMar>
              <w:top w:w="40" w:type="dxa"/>
              <w:left w:w="0" w:type="dxa"/>
              <w:bottom w:w="40" w:type="dxa"/>
              <w:right w:w="20" w:type="dxa"/>
            </w:tcMar>
            <w:vAlign w:val="bottom"/>
          </w:tcPr>
          <w:p w14:paraId="5A1B10F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F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F9" w14:textId="77777777" w:rsidR="00960BB8" w:rsidRDefault="00C06650">
            <w:pPr>
              <w:jc w:val="right"/>
              <w:textAlignment w:val="bottom"/>
            </w:pPr>
            <w:r>
              <w:rPr>
                <w:rFonts w:ascii="Arial" w:eastAsia="宋体" w:hAnsi="Arial" w:cs="Arial"/>
                <w:color w:val="262626"/>
                <w:sz w:val="18"/>
                <w:szCs w:val="18"/>
              </w:rPr>
              <w:t>(2,674)</w:t>
            </w:r>
          </w:p>
        </w:tc>
        <w:tc>
          <w:tcPr>
            <w:tcW w:w="0" w:type="auto"/>
            <w:shd w:val="clear" w:color="auto" w:fill="auto"/>
            <w:tcMar>
              <w:top w:w="40" w:type="dxa"/>
              <w:left w:w="0" w:type="dxa"/>
              <w:bottom w:w="40" w:type="dxa"/>
              <w:right w:w="20" w:type="dxa"/>
            </w:tcMar>
            <w:vAlign w:val="bottom"/>
          </w:tcPr>
          <w:p w14:paraId="5A1B10F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0F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0FC" w14:textId="77777777" w:rsidR="00960BB8" w:rsidRDefault="00C06650">
            <w:pPr>
              <w:jc w:val="right"/>
              <w:textAlignment w:val="bottom"/>
            </w:pPr>
            <w:r>
              <w:rPr>
                <w:rFonts w:ascii="Arial" w:eastAsia="宋体" w:hAnsi="Arial" w:cs="Arial"/>
                <w:color w:val="262626"/>
                <w:sz w:val="18"/>
                <w:szCs w:val="18"/>
              </w:rPr>
              <w:t>883 </w:t>
            </w:r>
          </w:p>
        </w:tc>
        <w:tc>
          <w:tcPr>
            <w:tcW w:w="0" w:type="auto"/>
            <w:shd w:val="clear" w:color="auto" w:fill="auto"/>
            <w:tcMar>
              <w:top w:w="40" w:type="dxa"/>
              <w:left w:w="0" w:type="dxa"/>
              <w:bottom w:w="40" w:type="dxa"/>
              <w:right w:w="20" w:type="dxa"/>
            </w:tcMar>
            <w:vAlign w:val="bottom"/>
          </w:tcPr>
          <w:p w14:paraId="5A1B10FD" w14:textId="77777777" w:rsidR="00960BB8" w:rsidRDefault="00960BB8">
            <w:pPr>
              <w:jc w:val="right"/>
              <w:rPr>
                <w:rFonts w:ascii="宋体"/>
              </w:rPr>
            </w:pPr>
          </w:p>
        </w:tc>
      </w:tr>
      <w:tr w:rsidR="00960BB8" w14:paraId="5A1B1109" w14:textId="77777777">
        <w:tc>
          <w:tcPr>
            <w:tcW w:w="0" w:type="auto"/>
            <w:gridSpan w:val="3"/>
            <w:shd w:val="clear" w:color="auto" w:fill="auto"/>
            <w:tcMar>
              <w:top w:w="40" w:type="dxa"/>
              <w:left w:w="365" w:type="dxa"/>
              <w:bottom w:w="40" w:type="dxa"/>
              <w:right w:w="20" w:type="dxa"/>
            </w:tcMar>
            <w:vAlign w:val="bottom"/>
          </w:tcPr>
          <w:p w14:paraId="5A1B10FF" w14:textId="77777777" w:rsidR="00960BB8" w:rsidRDefault="00C06650">
            <w:pPr>
              <w:textAlignment w:val="bottom"/>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5A1B110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01" w14:textId="77777777" w:rsidR="00960BB8" w:rsidRDefault="00C06650">
            <w:pPr>
              <w:jc w:val="right"/>
              <w:textAlignment w:val="bottom"/>
            </w:pPr>
            <w:r>
              <w:rPr>
                <w:rFonts w:ascii="Arial" w:eastAsia="宋体" w:hAnsi="Arial" w:cs="Arial"/>
                <w:color w:val="0068B5"/>
                <w:sz w:val="18"/>
                <w:szCs w:val="18"/>
              </w:rPr>
              <w:t>(2,436)</w:t>
            </w:r>
          </w:p>
        </w:tc>
        <w:tc>
          <w:tcPr>
            <w:tcW w:w="0" w:type="auto"/>
            <w:shd w:val="clear" w:color="auto" w:fill="auto"/>
            <w:tcMar>
              <w:top w:w="40" w:type="dxa"/>
              <w:left w:w="0" w:type="dxa"/>
              <w:bottom w:w="40" w:type="dxa"/>
              <w:right w:w="20" w:type="dxa"/>
            </w:tcMar>
            <w:vAlign w:val="bottom"/>
          </w:tcPr>
          <w:p w14:paraId="5A1B110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0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04" w14:textId="77777777" w:rsidR="00960BB8" w:rsidRDefault="00C06650">
            <w:pPr>
              <w:jc w:val="right"/>
              <w:textAlignment w:val="bottom"/>
            </w:pPr>
            <w:r>
              <w:rPr>
                <w:rFonts w:ascii="Arial" w:eastAsia="宋体" w:hAnsi="Arial" w:cs="Arial"/>
                <w:color w:val="262626"/>
                <w:sz w:val="18"/>
                <w:szCs w:val="18"/>
              </w:rPr>
              <w:t>(2,339)</w:t>
            </w:r>
          </w:p>
        </w:tc>
        <w:tc>
          <w:tcPr>
            <w:tcW w:w="0" w:type="auto"/>
            <w:shd w:val="clear" w:color="auto" w:fill="auto"/>
            <w:tcMar>
              <w:top w:w="40" w:type="dxa"/>
              <w:left w:w="0" w:type="dxa"/>
              <w:bottom w:w="40" w:type="dxa"/>
              <w:right w:w="20" w:type="dxa"/>
            </w:tcMar>
            <w:vAlign w:val="bottom"/>
          </w:tcPr>
          <w:p w14:paraId="5A1B110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0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07" w14:textId="77777777" w:rsidR="00960BB8" w:rsidRDefault="00C06650">
            <w:pPr>
              <w:jc w:val="right"/>
              <w:textAlignment w:val="bottom"/>
            </w:pPr>
            <w:r>
              <w:rPr>
                <w:rFonts w:ascii="Arial" w:eastAsia="宋体" w:hAnsi="Arial" w:cs="Arial"/>
                <w:color w:val="262626"/>
                <w:sz w:val="18"/>
                <w:szCs w:val="18"/>
              </w:rPr>
              <w:t>(687)</w:t>
            </w:r>
          </w:p>
        </w:tc>
        <w:tc>
          <w:tcPr>
            <w:tcW w:w="0" w:type="auto"/>
            <w:shd w:val="clear" w:color="auto" w:fill="auto"/>
            <w:tcMar>
              <w:top w:w="40" w:type="dxa"/>
              <w:left w:w="0" w:type="dxa"/>
              <w:bottom w:w="40" w:type="dxa"/>
              <w:right w:w="20" w:type="dxa"/>
            </w:tcMar>
            <w:vAlign w:val="bottom"/>
          </w:tcPr>
          <w:p w14:paraId="5A1B1108" w14:textId="77777777" w:rsidR="00960BB8" w:rsidRDefault="00960BB8">
            <w:pPr>
              <w:jc w:val="right"/>
              <w:rPr>
                <w:rFonts w:ascii="宋体"/>
              </w:rPr>
            </w:pPr>
          </w:p>
        </w:tc>
      </w:tr>
      <w:tr w:rsidR="00960BB8" w14:paraId="5A1B1114" w14:textId="77777777">
        <w:tc>
          <w:tcPr>
            <w:tcW w:w="0" w:type="auto"/>
            <w:gridSpan w:val="3"/>
            <w:shd w:val="clear" w:color="auto" w:fill="auto"/>
            <w:tcMar>
              <w:top w:w="40" w:type="dxa"/>
              <w:left w:w="365" w:type="dxa"/>
              <w:bottom w:w="40" w:type="dxa"/>
              <w:right w:w="20" w:type="dxa"/>
            </w:tcMar>
            <w:vAlign w:val="bottom"/>
          </w:tcPr>
          <w:p w14:paraId="5A1B110A" w14:textId="77777777" w:rsidR="00960BB8" w:rsidRDefault="00C06650">
            <w:pPr>
              <w:textAlignment w:val="bottom"/>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5A1B110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0C" w14:textId="77777777" w:rsidR="00960BB8" w:rsidRDefault="00C06650">
            <w:pPr>
              <w:jc w:val="right"/>
              <w:textAlignment w:val="bottom"/>
            </w:pPr>
            <w:r>
              <w:rPr>
                <w:rFonts w:ascii="Arial" w:eastAsia="宋体" w:hAnsi="Arial" w:cs="Arial"/>
                <w:color w:val="0068B5"/>
                <w:sz w:val="18"/>
                <w:szCs w:val="18"/>
              </w:rPr>
              <w:t>(29)</w:t>
            </w:r>
          </w:p>
        </w:tc>
        <w:tc>
          <w:tcPr>
            <w:tcW w:w="0" w:type="auto"/>
            <w:shd w:val="clear" w:color="auto" w:fill="auto"/>
            <w:tcMar>
              <w:top w:w="40" w:type="dxa"/>
              <w:left w:w="0" w:type="dxa"/>
              <w:bottom w:w="40" w:type="dxa"/>
              <w:right w:w="20" w:type="dxa"/>
            </w:tcMar>
            <w:vAlign w:val="bottom"/>
          </w:tcPr>
          <w:p w14:paraId="5A1B110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0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0F" w14:textId="77777777" w:rsidR="00960BB8" w:rsidRDefault="00C06650">
            <w:pPr>
              <w:jc w:val="right"/>
              <w:textAlignment w:val="bottom"/>
            </w:pPr>
            <w:r>
              <w:rPr>
                <w:rFonts w:ascii="Arial" w:eastAsia="宋体" w:hAnsi="Arial" w:cs="Arial"/>
                <w:color w:val="262626"/>
                <w:sz w:val="18"/>
                <w:szCs w:val="18"/>
              </w:rPr>
              <w:t>1,190 </w:t>
            </w:r>
          </w:p>
        </w:tc>
        <w:tc>
          <w:tcPr>
            <w:tcW w:w="0" w:type="auto"/>
            <w:shd w:val="clear" w:color="auto" w:fill="auto"/>
            <w:tcMar>
              <w:top w:w="40" w:type="dxa"/>
              <w:left w:w="0" w:type="dxa"/>
              <w:bottom w:w="40" w:type="dxa"/>
              <w:right w:w="20" w:type="dxa"/>
            </w:tcMar>
            <w:vAlign w:val="bottom"/>
          </w:tcPr>
          <w:p w14:paraId="5A1B111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1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12" w14:textId="77777777" w:rsidR="00960BB8" w:rsidRDefault="00C06650">
            <w:pPr>
              <w:jc w:val="right"/>
              <w:textAlignment w:val="bottom"/>
            </w:pPr>
            <w:r>
              <w:rPr>
                <w:rFonts w:ascii="Arial" w:eastAsia="宋体" w:hAnsi="Arial" w:cs="Arial"/>
                <w:color w:val="262626"/>
                <w:sz w:val="18"/>
                <w:szCs w:val="18"/>
              </w:rPr>
              <w:t>405 </w:t>
            </w:r>
          </w:p>
        </w:tc>
        <w:tc>
          <w:tcPr>
            <w:tcW w:w="0" w:type="auto"/>
            <w:shd w:val="clear" w:color="auto" w:fill="auto"/>
            <w:tcMar>
              <w:top w:w="40" w:type="dxa"/>
              <w:left w:w="0" w:type="dxa"/>
              <w:bottom w:w="40" w:type="dxa"/>
              <w:right w:w="20" w:type="dxa"/>
            </w:tcMar>
            <w:vAlign w:val="bottom"/>
          </w:tcPr>
          <w:p w14:paraId="5A1B1113" w14:textId="77777777" w:rsidR="00960BB8" w:rsidRDefault="00960BB8">
            <w:pPr>
              <w:jc w:val="right"/>
              <w:rPr>
                <w:rFonts w:ascii="宋体"/>
              </w:rPr>
            </w:pPr>
          </w:p>
        </w:tc>
      </w:tr>
      <w:tr w:rsidR="00960BB8" w14:paraId="5A1B111F" w14:textId="77777777">
        <w:tc>
          <w:tcPr>
            <w:tcW w:w="0" w:type="auto"/>
            <w:gridSpan w:val="3"/>
            <w:shd w:val="clear" w:color="auto" w:fill="auto"/>
            <w:tcMar>
              <w:top w:w="40" w:type="dxa"/>
              <w:left w:w="365" w:type="dxa"/>
              <w:bottom w:w="40" w:type="dxa"/>
              <w:right w:w="20" w:type="dxa"/>
            </w:tcMar>
            <w:vAlign w:val="bottom"/>
          </w:tcPr>
          <w:p w14:paraId="5A1B1115" w14:textId="77777777" w:rsidR="00960BB8" w:rsidRDefault="00C06650">
            <w:pPr>
              <w:textAlignment w:val="bottom"/>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vAlign w:val="bottom"/>
          </w:tcPr>
          <w:p w14:paraId="5A1B111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17" w14:textId="77777777" w:rsidR="00960BB8" w:rsidRDefault="00C06650">
            <w:pPr>
              <w:jc w:val="right"/>
              <w:textAlignment w:val="bottom"/>
            </w:pPr>
            <w:r>
              <w:rPr>
                <w:rFonts w:ascii="Arial" w:eastAsia="宋体" w:hAnsi="Arial" w:cs="Arial"/>
                <w:color w:val="0068B5"/>
                <w:sz w:val="18"/>
                <w:szCs w:val="18"/>
              </w:rPr>
              <w:t>(1,533)</w:t>
            </w:r>
          </w:p>
        </w:tc>
        <w:tc>
          <w:tcPr>
            <w:tcW w:w="0" w:type="auto"/>
            <w:shd w:val="clear" w:color="auto" w:fill="auto"/>
            <w:tcMar>
              <w:top w:w="40" w:type="dxa"/>
              <w:left w:w="0" w:type="dxa"/>
              <w:bottom w:w="40" w:type="dxa"/>
              <w:right w:w="20" w:type="dxa"/>
            </w:tcMar>
            <w:vAlign w:val="bottom"/>
          </w:tcPr>
          <w:p w14:paraId="5A1B111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1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1A" w14:textId="77777777" w:rsidR="00960BB8" w:rsidRDefault="00C06650">
            <w:pPr>
              <w:jc w:val="right"/>
              <w:textAlignment w:val="bottom"/>
            </w:pPr>
            <w:r>
              <w:rPr>
                <w:rFonts w:ascii="Arial" w:eastAsia="宋体" w:hAnsi="Arial" w:cs="Arial"/>
                <w:color w:val="262626"/>
                <w:sz w:val="18"/>
                <w:szCs w:val="18"/>
              </w:rPr>
              <w:t>515 </w:t>
            </w:r>
          </w:p>
        </w:tc>
        <w:tc>
          <w:tcPr>
            <w:tcW w:w="0" w:type="auto"/>
            <w:shd w:val="clear" w:color="auto" w:fill="auto"/>
            <w:tcMar>
              <w:top w:w="40" w:type="dxa"/>
              <w:left w:w="0" w:type="dxa"/>
              <w:bottom w:w="40" w:type="dxa"/>
              <w:right w:w="20" w:type="dxa"/>
            </w:tcMar>
            <w:vAlign w:val="bottom"/>
          </w:tcPr>
          <w:p w14:paraId="5A1B111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1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1D" w14:textId="77777777" w:rsidR="00960BB8" w:rsidRDefault="00C06650">
            <w:pPr>
              <w:jc w:val="right"/>
              <w:textAlignment w:val="bottom"/>
            </w:pPr>
            <w:r>
              <w:rPr>
                <w:rFonts w:ascii="Arial" w:eastAsia="宋体" w:hAnsi="Arial" w:cs="Arial"/>
                <w:color w:val="262626"/>
                <w:sz w:val="18"/>
                <w:szCs w:val="18"/>
              </w:rPr>
              <w:t>348 </w:t>
            </w:r>
          </w:p>
        </w:tc>
        <w:tc>
          <w:tcPr>
            <w:tcW w:w="0" w:type="auto"/>
            <w:shd w:val="clear" w:color="auto" w:fill="auto"/>
            <w:tcMar>
              <w:top w:w="40" w:type="dxa"/>
              <w:left w:w="0" w:type="dxa"/>
              <w:bottom w:w="40" w:type="dxa"/>
              <w:right w:w="20" w:type="dxa"/>
            </w:tcMar>
            <w:vAlign w:val="bottom"/>
          </w:tcPr>
          <w:p w14:paraId="5A1B111E" w14:textId="77777777" w:rsidR="00960BB8" w:rsidRDefault="00960BB8">
            <w:pPr>
              <w:jc w:val="right"/>
              <w:rPr>
                <w:rFonts w:ascii="宋体"/>
              </w:rPr>
            </w:pPr>
          </w:p>
        </w:tc>
      </w:tr>
      <w:tr w:rsidR="00960BB8" w14:paraId="5A1B112A" w14:textId="77777777">
        <w:tc>
          <w:tcPr>
            <w:tcW w:w="0" w:type="auto"/>
            <w:gridSpan w:val="3"/>
            <w:shd w:val="clear" w:color="auto" w:fill="auto"/>
            <w:tcMar>
              <w:top w:w="40" w:type="dxa"/>
              <w:left w:w="365" w:type="dxa"/>
              <w:bottom w:w="40" w:type="dxa"/>
              <w:right w:w="20" w:type="dxa"/>
            </w:tcMar>
            <w:vAlign w:val="bottom"/>
          </w:tcPr>
          <w:p w14:paraId="5A1B1120" w14:textId="77777777" w:rsidR="00960BB8" w:rsidRDefault="00C06650">
            <w:pPr>
              <w:textAlignment w:val="bottom"/>
            </w:pPr>
            <w:r>
              <w:rPr>
                <w:rFonts w:ascii="Arial" w:eastAsia="宋体" w:hAnsi="Arial" w:cs="Arial"/>
                <w:color w:val="262626"/>
                <w:sz w:val="18"/>
                <w:szCs w:val="18"/>
              </w:rPr>
              <w:t>Prepaid customer supply agreements</w:t>
            </w:r>
          </w:p>
        </w:tc>
        <w:tc>
          <w:tcPr>
            <w:tcW w:w="0" w:type="auto"/>
            <w:gridSpan w:val="3"/>
            <w:shd w:val="clear" w:color="auto" w:fill="auto"/>
            <w:tcMar>
              <w:top w:w="0" w:type="dxa"/>
              <w:left w:w="20" w:type="dxa"/>
              <w:bottom w:w="0" w:type="dxa"/>
              <w:right w:w="20" w:type="dxa"/>
            </w:tcMar>
            <w:vAlign w:val="bottom"/>
          </w:tcPr>
          <w:p w14:paraId="5A1B112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22" w14:textId="77777777" w:rsidR="00960BB8" w:rsidRDefault="00C06650">
            <w:pPr>
              <w:jc w:val="right"/>
              <w:textAlignment w:val="bottom"/>
            </w:pPr>
            <w:r>
              <w:rPr>
                <w:rFonts w:ascii="Arial" w:eastAsia="宋体" w:hAnsi="Arial" w:cs="Arial"/>
                <w:color w:val="0068B5"/>
                <w:sz w:val="18"/>
                <w:szCs w:val="18"/>
              </w:rPr>
              <w:t>(24)</w:t>
            </w:r>
          </w:p>
        </w:tc>
        <w:tc>
          <w:tcPr>
            <w:tcW w:w="0" w:type="auto"/>
            <w:shd w:val="clear" w:color="auto" w:fill="auto"/>
            <w:tcMar>
              <w:top w:w="40" w:type="dxa"/>
              <w:left w:w="0" w:type="dxa"/>
              <w:bottom w:w="40" w:type="dxa"/>
              <w:right w:w="20" w:type="dxa"/>
            </w:tcMar>
            <w:vAlign w:val="bottom"/>
          </w:tcPr>
          <w:p w14:paraId="5A1B112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2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25" w14:textId="77777777" w:rsidR="00960BB8" w:rsidRDefault="00C06650">
            <w:pPr>
              <w:jc w:val="right"/>
              <w:textAlignment w:val="bottom"/>
            </w:pPr>
            <w:r>
              <w:rPr>
                <w:rFonts w:ascii="Arial" w:eastAsia="宋体" w:hAnsi="Arial" w:cs="Arial"/>
                <w:color w:val="262626"/>
                <w:sz w:val="18"/>
                <w:szCs w:val="18"/>
              </w:rPr>
              <w:t>(1,583)</w:t>
            </w:r>
          </w:p>
        </w:tc>
        <w:tc>
          <w:tcPr>
            <w:tcW w:w="0" w:type="auto"/>
            <w:shd w:val="clear" w:color="auto" w:fill="auto"/>
            <w:tcMar>
              <w:top w:w="40" w:type="dxa"/>
              <w:left w:w="0" w:type="dxa"/>
              <w:bottom w:w="40" w:type="dxa"/>
              <w:right w:w="20" w:type="dxa"/>
            </w:tcMar>
            <w:vAlign w:val="bottom"/>
          </w:tcPr>
          <w:p w14:paraId="5A1B112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2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28" w14:textId="77777777" w:rsidR="00960BB8" w:rsidRDefault="00C06650">
            <w:pPr>
              <w:jc w:val="right"/>
              <w:textAlignment w:val="bottom"/>
            </w:pPr>
            <w:r>
              <w:rPr>
                <w:rFonts w:ascii="Arial" w:eastAsia="宋体" w:hAnsi="Arial" w:cs="Arial"/>
                <w:color w:val="262626"/>
                <w:sz w:val="18"/>
                <w:szCs w:val="18"/>
              </w:rPr>
              <w:t>(181)</w:t>
            </w:r>
          </w:p>
        </w:tc>
        <w:tc>
          <w:tcPr>
            <w:tcW w:w="0" w:type="auto"/>
            <w:shd w:val="clear" w:color="auto" w:fill="auto"/>
            <w:tcMar>
              <w:top w:w="40" w:type="dxa"/>
              <w:left w:w="0" w:type="dxa"/>
              <w:bottom w:w="40" w:type="dxa"/>
              <w:right w:w="20" w:type="dxa"/>
            </w:tcMar>
            <w:vAlign w:val="bottom"/>
          </w:tcPr>
          <w:p w14:paraId="5A1B1129" w14:textId="77777777" w:rsidR="00960BB8" w:rsidRDefault="00960BB8">
            <w:pPr>
              <w:jc w:val="right"/>
              <w:rPr>
                <w:rFonts w:ascii="宋体"/>
              </w:rPr>
            </w:pPr>
          </w:p>
        </w:tc>
      </w:tr>
      <w:tr w:rsidR="00960BB8" w14:paraId="5A1B1135" w14:textId="77777777">
        <w:tc>
          <w:tcPr>
            <w:tcW w:w="0" w:type="auto"/>
            <w:gridSpan w:val="3"/>
            <w:shd w:val="clear" w:color="auto" w:fill="auto"/>
            <w:tcMar>
              <w:top w:w="40" w:type="dxa"/>
              <w:left w:w="365" w:type="dxa"/>
              <w:bottom w:w="40" w:type="dxa"/>
              <w:right w:w="20" w:type="dxa"/>
            </w:tcMar>
            <w:vAlign w:val="bottom"/>
          </w:tcPr>
          <w:p w14:paraId="5A1B112B" w14:textId="77777777" w:rsidR="00960BB8" w:rsidRDefault="00C06650">
            <w:pPr>
              <w:textAlignment w:val="bottom"/>
            </w:pPr>
            <w:r>
              <w:rPr>
                <w:rFonts w:ascii="Arial" w:eastAsia="宋体" w:hAnsi="Arial" w:cs="Arial"/>
                <w:color w:val="262626"/>
                <w:sz w:val="18"/>
                <w:szCs w:val="18"/>
              </w:rPr>
              <w:t>Income taxes</w:t>
            </w:r>
          </w:p>
        </w:tc>
        <w:tc>
          <w:tcPr>
            <w:tcW w:w="0" w:type="auto"/>
            <w:gridSpan w:val="3"/>
            <w:shd w:val="clear" w:color="auto" w:fill="auto"/>
            <w:tcMar>
              <w:top w:w="0" w:type="dxa"/>
              <w:left w:w="20" w:type="dxa"/>
              <w:bottom w:w="0" w:type="dxa"/>
              <w:right w:w="20" w:type="dxa"/>
            </w:tcMar>
            <w:vAlign w:val="bottom"/>
          </w:tcPr>
          <w:p w14:paraId="5A1B112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2D" w14:textId="77777777" w:rsidR="00960BB8" w:rsidRDefault="00C06650">
            <w:pPr>
              <w:jc w:val="right"/>
              <w:textAlignment w:val="bottom"/>
            </w:pPr>
            <w:r>
              <w:rPr>
                <w:rFonts w:ascii="Arial" w:eastAsia="宋体" w:hAnsi="Arial" w:cs="Arial"/>
                <w:color w:val="0068B5"/>
                <w:sz w:val="18"/>
                <w:szCs w:val="18"/>
              </w:rPr>
              <w:t>(4,535)</w:t>
            </w:r>
          </w:p>
        </w:tc>
        <w:tc>
          <w:tcPr>
            <w:tcW w:w="0" w:type="auto"/>
            <w:shd w:val="clear" w:color="auto" w:fill="auto"/>
            <w:tcMar>
              <w:top w:w="40" w:type="dxa"/>
              <w:left w:w="0" w:type="dxa"/>
              <w:bottom w:w="40" w:type="dxa"/>
              <w:right w:w="20" w:type="dxa"/>
            </w:tcMar>
            <w:vAlign w:val="bottom"/>
          </w:tcPr>
          <w:p w14:paraId="5A1B112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2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30" w14:textId="77777777" w:rsidR="00960BB8" w:rsidRDefault="00C06650">
            <w:pPr>
              <w:jc w:val="right"/>
              <w:textAlignment w:val="bottom"/>
            </w:pPr>
            <w:r>
              <w:rPr>
                <w:rFonts w:ascii="Arial" w:eastAsia="宋体" w:hAnsi="Arial" w:cs="Arial"/>
                <w:color w:val="262626"/>
                <w:sz w:val="18"/>
                <w:szCs w:val="18"/>
              </w:rPr>
              <w:t>(441)</w:t>
            </w:r>
          </w:p>
        </w:tc>
        <w:tc>
          <w:tcPr>
            <w:tcW w:w="0" w:type="auto"/>
            <w:shd w:val="clear" w:color="auto" w:fill="auto"/>
            <w:tcMar>
              <w:top w:w="40" w:type="dxa"/>
              <w:left w:w="0" w:type="dxa"/>
              <w:bottom w:w="40" w:type="dxa"/>
              <w:right w:w="20" w:type="dxa"/>
            </w:tcMar>
            <w:vAlign w:val="bottom"/>
          </w:tcPr>
          <w:p w14:paraId="5A1B113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3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33" w14:textId="77777777" w:rsidR="00960BB8" w:rsidRDefault="00C06650">
            <w:pPr>
              <w:jc w:val="right"/>
              <w:textAlignment w:val="bottom"/>
            </w:pPr>
            <w:r>
              <w:rPr>
                <w:rFonts w:ascii="Arial" w:eastAsia="宋体" w:hAnsi="Arial" w:cs="Arial"/>
                <w:color w:val="262626"/>
                <w:sz w:val="18"/>
                <w:szCs w:val="18"/>
              </w:rPr>
              <w:t>1,620 </w:t>
            </w:r>
          </w:p>
        </w:tc>
        <w:tc>
          <w:tcPr>
            <w:tcW w:w="0" w:type="auto"/>
            <w:shd w:val="clear" w:color="auto" w:fill="auto"/>
            <w:tcMar>
              <w:top w:w="40" w:type="dxa"/>
              <w:left w:w="0" w:type="dxa"/>
              <w:bottom w:w="40" w:type="dxa"/>
              <w:right w:w="20" w:type="dxa"/>
            </w:tcMar>
            <w:vAlign w:val="bottom"/>
          </w:tcPr>
          <w:p w14:paraId="5A1B1134" w14:textId="77777777" w:rsidR="00960BB8" w:rsidRDefault="00960BB8">
            <w:pPr>
              <w:jc w:val="right"/>
              <w:rPr>
                <w:rFonts w:ascii="宋体"/>
              </w:rPr>
            </w:pPr>
          </w:p>
        </w:tc>
      </w:tr>
      <w:tr w:rsidR="00960BB8" w14:paraId="5A1B1140" w14:textId="77777777">
        <w:tc>
          <w:tcPr>
            <w:tcW w:w="0" w:type="auto"/>
            <w:gridSpan w:val="3"/>
            <w:shd w:val="clear" w:color="auto" w:fill="auto"/>
            <w:tcMar>
              <w:top w:w="40" w:type="dxa"/>
              <w:left w:w="365" w:type="dxa"/>
              <w:bottom w:w="40" w:type="dxa"/>
              <w:right w:w="20" w:type="dxa"/>
            </w:tcMar>
            <w:vAlign w:val="bottom"/>
          </w:tcPr>
          <w:p w14:paraId="5A1B1136" w14:textId="77777777" w:rsidR="00960BB8" w:rsidRDefault="00C06650">
            <w:pPr>
              <w:textAlignment w:val="bottom"/>
            </w:pPr>
            <w:r>
              <w:rPr>
                <w:rFonts w:ascii="Arial" w:eastAsia="宋体" w:hAnsi="Arial" w:cs="Arial"/>
                <w:color w:val="262626"/>
                <w:sz w:val="18"/>
                <w:szCs w:val="18"/>
              </w:rPr>
              <w:t>Other assets and liabilities</w:t>
            </w:r>
          </w:p>
        </w:tc>
        <w:tc>
          <w:tcPr>
            <w:tcW w:w="0" w:type="auto"/>
            <w:gridSpan w:val="3"/>
            <w:shd w:val="clear" w:color="auto" w:fill="auto"/>
            <w:tcMar>
              <w:top w:w="0" w:type="dxa"/>
              <w:left w:w="20" w:type="dxa"/>
              <w:bottom w:w="0" w:type="dxa"/>
              <w:right w:w="20" w:type="dxa"/>
            </w:tcMar>
            <w:vAlign w:val="bottom"/>
          </w:tcPr>
          <w:p w14:paraId="5A1B113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38" w14:textId="77777777" w:rsidR="00960BB8" w:rsidRDefault="00C06650">
            <w:pPr>
              <w:jc w:val="right"/>
              <w:textAlignment w:val="bottom"/>
            </w:pPr>
            <w:r>
              <w:rPr>
                <w:rFonts w:ascii="Arial" w:eastAsia="宋体" w:hAnsi="Arial" w:cs="Arial"/>
                <w:color w:val="0068B5"/>
                <w:sz w:val="18"/>
                <w:szCs w:val="18"/>
              </w:rPr>
              <w:t>(1,278)</w:t>
            </w:r>
          </w:p>
        </w:tc>
        <w:tc>
          <w:tcPr>
            <w:tcW w:w="0" w:type="auto"/>
            <w:shd w:val="clear" w:color="auto" w:fill="auto"/>
            <w:tcMar>
              <w:top w:w="40" w:type="dxa"/>
              <w:left w:w="0" w:type="dxa"/>
              <w:bottom w:w="40" w:type="dxa"/>
              <w:right w:w="20" w:type="dxa"/>
            </w:tcMar>
            <w:vAlign w:val="bottom"/>
          </w:tcPr>
          <w:p w14:paraId="5A1B113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3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3B" w14:textId="77777777" w:rsidR="00960BB8" w:rsidRDefault="00C06650">
            <w:pPr>
              <w:jc w:val="right"/>
              <w:textAlignment w:val="bottom"/>
            </w:pPr>
            <w:r>
              <w:rPr>
                <w:rFonts w:ascii="Arial" w:eastAsia="宋体" w:hAnsi="Arial" w:cs="Arial"/>
                <w:color w:val="262626"/>
                <w:sz w:val="18"/>
                <w:szCs w:val="18"/>
              </w:rPr>
              <w:t>(76)</w:t>
            </w:r>
          </w:p>
        </w:tc>
        <w:tc>
          <w:tcPr>
            <w:tcW w:w="0" w:type="auto"/>
            <w:shd w:val="clear" w:color="auto" w:fill="auto"/>
            <w:tcMar>
              <w:top w:w="40" w:type="dxa"/>
              <w:left w:w="0" w:type="dxa"/>
              <w:bottom w:w="40" w:type="dxa"/>
              <w:right w:w="20" w:type="dxa"/>
            </w:tcMar>
            <w:vAlign w:val="bottom"/>
          </w:tcPr>
          <w:p w14:paraId="5A1B113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3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3E" w14:textId="77777777" w:rsidR="00960BB8" w:rsidRDefault="00C06650">
            <w:pPr>
              <w:jc w:val="right"/>
              <w:textAlignment w:val="bottom"/>
            </w:pPr>
            <w:r>
              <w:rPr>
                <w:rFonts w:ascii="Arial" w:eastAsia="宋体" w:hAnsi="Arial" w:cs="Arial"/>
                <w:color w:val="262626"/>
                <w:sz w:val="18"/>
                <w:szCs w:val="18"/>
              </w:rPr>
              <w:t>73 </w:t>
            </w:r>
          </w:p>
        </w:tc>
        <w:tc>
          <w:tcPr>
            <w:tcW w:w="0" w:type="auto"/>
            <w:shd w:val="clear" w:color="auto" w:fill="auto"/>
            <w:tcMar>
              <w:top w:w="40" w:type="dxa"/>
              <w:left w:w="0" w:type="dxa"/>
              <w:bottom w:w="40" w:type="dxa"/>
              <w:right w:w="20" w:type="dxa"/>
            </w:tcMar>
            <w:vAlign w:val="bottom"/>
          </w:tcPr>
          <w:p w14:paraId="5A1B113F" w14:textId="77777777" w:rsidR="00960BB8" w:rsidRDefault="00960BB8">
            <w:pPr>
              <w:jc w:val="right"/>
              <w:rPr>
                <w:rFonts w:ascii="宋体"/>
              </w:rPr>
            </w:pPr>
          </w:p>
        </w:tc>
      </w:tr>
      <w:tr w:rsidR="00960BB8" w14:paraId="5A1B114B" w14:textId="77777777">
        <w:tc>
          <w:tcPr>
            <w:tcW w:w="0" w:type="auto"/>
            <w:gridSpan w:val="3"/>
            <w:shd w:val="clear" w:color="auto" w:fill="auto"/>
            <w:tcMar>
              <w:top w:w="40" w:type="dxa"/>
              <w:left w:w="155" w:type="dxa"/>
              <w:bottom w:w="40" w:type="dxa"/>
              <w:right w:w="20" w:type="dxa"/>
            </w:tcMar>
            <w:vAlign w:val="bottom"/>
          </w:tcPr>
          <w:p w14:paraId="5A1B1141" w14:textId="77777777" w:rsidR="00960BB8" w:rsidRDefault="00C06650">
            <w:pPr>
              <w:textAlignment w:val="bottom"/>
            </w:pPr>
            <w:r>
              <w:rPr>
                <w:rFonts w:ascii="Arial" w:eastAsia="宋体" w:hAnsi="Arial" w:cs="Arial"/>
                <w:color w:val="262626"/>
                <w:sz w:val="18"/>
                <w:szCs w:val="18"/>
              </w:rPr>
              <w:t>Total adjustments</w:t>
            </w:r>
          </w:p>
        </w:tc>
        <w:tc>
          <w:tcPr>
            <w:tcW w:w="0" w:type="auto"/>
            <w:gridSpan w:val="3"/>
            <w:shd w:val="clear" w:color="auto" w:fill="auto"/>
            <w:tcMar>
              <w:top w:w="0" w:type="dxa"/>
              <w:left w:w="20" w:type="dxa"/>
              <w:bottom w:w="0" w:type="dxa"/>
              <w:right w:w="20" w:type="dxa"/>
            </w:tcMar>
            <w:vAlign w:val="bottom"/>
          </w:tcPr>
          <w:p w14:paraId="5A1B1142"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143" w14:textId="77777777" w:rsidR="00960BB8" w:rsidRDefault="00C06650">
            <w:pPr>
              <w:jc w:val="right"/>
              <w:textAlignment w:val="bottom"/>
            </w:pPr>
            <w:r>
              <w:rPr>
                <w:rFonts w:ascii="Arial" w:eastAsia="宋体" w:hAnsi="Arial" w:cs="Arial"/>
                <w:color w:val="0068B5"/>
                <w:sz w:val="18"/>
                <w:szCs w:val="18"/>
              </w:rPr>
              <w:t>7,416 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14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45"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146" w14:textId="77777777" w:rsidR="00960BB8" w:rsidRDefault="00C06650">
            <w:pPr>
              <w:jc w:val="right"/>
              <w:textAlignment w:val="bottom"/>
            </w:pPr>
            <w:r>
              <w:rPr>
                <w:rFonts w:ascii="Arial" w:eastAsia="宋体" w:hAnsi="Arial" w:cs="Arial"/>
                <w:color w:val="262626"/>
                <w:sz w:val="18"/>
                <w:szCs w:val="18"/>
              </w:rPr>
              <w:t>9,588 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14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48"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149" w14:textId="77777777" w:rsidR="00960BB8" w:rsidRDefault="00C06650">
            <w:pPr>
              <w:jc w:val="right"/>
              <w:textAlignment w:val="bottom"/>
            </w:pPr>
            <w:r>
              <w:rPr>
                <w:rFonts w:ascii="Arial" w:eastAsia="宋体" w:hAnsi="Arial" w:cs="Arial"/>
                <w:color w:val="262626"/>
                <w:sz w:val="18"/>
                <w:szCs w:val="18"/>
              </w:rPr>
              <w:t>14,965 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14A" w14:textId="77777777" w:rsidR="00960BB8" w:rsidRDefault="00960BB8">
            <w:pPr>
              <w:jc w:val="right"/>
              <w:rPr>
                <w:rFonts w:ascii="宋体"/>
              </w:rPr>
            </w:pPr>
          </w:p>
        </w:tc>
      </w:tr>
      <w:tr w:rsidR="00960BB8" w14:paraId="5A1B1156" w14:textId="77777777">
        <w:tc>
          <w:tcPr>
            <w:tcW w:w="0" w:type="auto"/>
            <w:gridSpan w:val="3"/>
            <w:shd w:val="clear" w:color="auto" w:fill="auto"/>
            <w:tcMar>
              <w:top w:w="40" w:type="dxa"/>
              <w:left w:w="20" w:type="dxa"/>
              <w:bottom w:w="40" w:type="dxa"/>
              <w:right w:w="20" w:type="dxa"/>
            </w:tcMar>
            <w:vAlign w:val="bottom"/>
          </w:tcPr>
          <w:p w14:paraId="5A1B114C" w14:textId="77777777" w:rsidR="00960BB8" w:rsidRDefault="00C06650">
            <w:pPr>
              <w:textAlignment w:val="bottom"/>
            </w:pPr>
            <w:r>
              <w:rPr>
                <w:rFonts w:ascii="Arial" w:eastAsia="宋体" w:hAnsi="Arial" w:cs="Arial"/>
                <w:b/>
                <w:bCs/>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5A1B114D"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14E" w14:textId="77777777" w:rsidR="00960BB8" w:rsidRDefault="00C06650">
            <w:pPr>
              <w:jc w:val="right"/>
              <w:textAlignment w:val="bottom"/>
            </w:pPr>
            <w:r>
              <w:rPr>
                <w:rFonts w:ascii="Arial" w:eastAsia="宋体" w:hAnsi="Arial" w:cs="Arial"/>
                <w:b/>
                <w:bCs/>
                <w:color w:val="0068B5"/>
                <w:sz w:val="18"/>
                <w:szCs w:val="18"/>
              </w:rPr>
              <w:t>15,433</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14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50"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151" w14:textId="77777777" w:rsidR="00960BB8" w:rsidRDefault="00C06650">
            <w:pPr>
              <w:jc w:val="right"/>
              <w:textAlignment w:val="bottom"/>
            </w:pPr>
            <w:r>
              <w:rPr>
                <w:rFonts w:ascii="Arial" w:eastAsia="宋体" w:hAnsi="Arial" w:cs="Arial"/>
                <w:b/>
                <w:bCs/>
                <w:color w:val="262626"/>
                <w:sz w:val="18"/>
                <w:szCs w:val="18"/>
              </w:rPr>
              <w:t>29,456</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15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53"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154" w14:textId="77777777" w:rsidR="00960BB8" w:rsidRDefault="00C06650">
            <w:pPr>
              <w:jc w:val="right"/>
              <w:textAlignment w:val="bottom"/>
            </w:pPr>
            <w:r>
              <w:rPr>
                <w:rFonts w:ascii="Arial" w:eastAsia="宋体" w:hAnsi="Arial" w:cs="Arial"/>
                <w:b/>
                <w:bCs/>
                <w:color w:val="262626"/>
                <w:sz w:val="18"/>
                <w:szCs w:val="18"/>
              </w:rPr>
              <w:t>35,864</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155" w14:textId="77777777" w:rsidR="00960BB8" w:rsidRDefault="00960BB8">
            <w:pPr>
              <w:jc w:val="right"/>
              <w:rPr>
                <w:rFonts w:ascii="宋体"/>
              </w:rPr>
            </w:pPr>
          </w:p>
        </w:tc>
      </w:tr>
      <w:tr w:rsidR="00960BB8" w14:paraId="5A1B115E" w14:textId="77777777">
        <w:tc>
          <w:tcPr>
            <w:tcW w:w="0" w:type="auto"/>
            <w:gridSpan w:val="3"/>
            <w:shd w:val="clear" w:color="auto" w:fill="auto"/>
            <w:tcMar>
              <w:top w:w="40" w:type="dxa"/>
              <w:left w:w="20" w:type="dxa"/>
              <w:bottom w:w="40" w:type="dxa"/>
              <w:right w:w="20" w:type="dxa"/>
            </w:tcMar>
            <w:vAlign w:val="bottom"/>
          </w:tcPr>
          <w:p w14:paraId="5A1B1157" w14:textId="77777777" w:rsidR="00960BB8" w:rsidRDefault="00C06650">
            <w:pPr>
              <w:textAlignment w:val="bottom"/>
            </w:pPr>
            <w:r>
              <w:rPr>
                <w:rFonts w:ascii="Arial" w:eastAsia="宋体" w:hAnsi="Arial" w:cs="Arial"/>
                <w:color w:val="262626"/>
                <w:sz w:val="18"/>
                <w:szCs w:val="18"/>
              </w:rPr>
              <w:t>Cash flows provided by (used for) investing activities:</w:t>
            </w:r>
          </w:p>
        </w:tc>
        <w:tc>
          <w:tcPr>
            <w:tcW w:w="0" w:type="auto"/>
            <w:gridSpan w:val="3"/>
            <w:shd w:val="clear" w:color="auto" w:fill="auto"/>
            <w:tcMar>
              <w:top w:w="0" w:type="dxa"/>
              <w:left w:w="20" w:type="dxa"/>
              <w:bottom w:w="0" w:type="dxa"/>
              <w:right w:w="20" w:type="dxa"/>
            </w:tcMar>
            <w:vAlign w:val="bottom"/>
          </w:tcPr>
          <w:p w14:paraId="5A1B1158"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15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15A"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15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15C"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15D" w14:textId="77777777" w:rsidR="00960BB8" w:rsidRDefault="00960BB8">
            <w:pPr>
              <w:rPr>
                <w:rFonts w:ascii="宋体"/>
              </w:rPr>
            </w:pPr>
          </w:p>
        </w:tc>
      </w:tr>
      <w:tr w:rsidR="00960BB8" w14:paraId="5A1B1169" w14:textId="77777777">
        <w:tc>
          <w:tcPr>
            <w:tcW w:w="0" w:type="auto"/>
            <w:gridSpan w:val="3"/>
            <w:shd w:val="clear" w:color="auto" w:fill="auto"/>
            <w:tcMar>
              <w:top w:w="40" w:type="dxa"/>
              <w:left w:w="155" w:type="dxa"/>
              <w:bottom w:w="40" w:type="dxa"/>
              <w:right w:w="20" w:type="dxa"/>
            </w:tcMar>
            <w:vAlign w:val="bottom"/>
          </w:tcPr>
          <w:p w14:paraId="5A1B115F" w14:textId="77777777" w:rsidR="00960BB8" w:rsidRDefault="00C06650">
            <w:pPr>
              <w:textAlignment w:val="bottom"/>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vAlign w:val="bottom"/>
          </w:tcPr>
          <w:p w14:paraId="5A1B116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61" w14:textId="77777777" w:rsidR="00960BB8" w:rsidRDefault="00C06650">
            <w:pPr>
              <w:jc w:val="right"/>
              <w:textAlignment w:val="bottom"/>
            </w:pPr>
            <w:r>
              <w:rPr>
                <w:rFonts w:ascii="Arial" w:eastAsia="宋体" w:hAnsi="Arial" w:cs="Arial"/>
                <w:color w:val="0068B5"/>
                <w:sz w:val="18"/>
                <w:szCs w:val="18"/>
              </w:rPr>
              <w:t>(24,844)</w:t>
            </w:r>
          </w:p>
        </w:tc>
        <w:tc>
          <w:tcPr>
            <w:tcW w:w="0" w:type="auto"/>
            <w:shd w:val="clear" w:color="auto" w:fill="auto"/>
            <w:tcMar>
              <w:top w:w="40" w:type="dxa"/>
              <w:left w:w="0" w:type="dxa"/>
              <w:bottom w:w="40" w:type="dxa"/>
              <w:right w:w="20" w:type="dxa"/>
            </w:tcMar>
            <w:vAlign w:val="bottom"/>
          </w:tcPr>
          <w:p w14:paraId="5A1B116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6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64" w14:textId="77777777" w:rsidR="00960BB8" w:rsidRDefault="00C06650">
            <w:pPr>
              <w:jc w:val="right"/>
              <w:textAlignment w:val="bottom"/>
            </w:pPr>
            <w:r>
              <w:rPr>
                <w:rFonts w:ascii="Arial" w:eastAsia="宋体" w:hAnsi="Arial" w:cs="Arial"/>
                <w:color w:val="262626"/>
                <w:sz w:val="18"/>
                <w:szCs w:val="18"/>
              </w:rPr>
              <w:t>(18,733)</w:t>
            </w:r>
          </w:p>
        </w:tc>
        <w:tc>
          <w:tcPr>
            <w:tcW w:w="0" w:type="auto"/>
            <w:shd w:val="clear" w:color="auto" w:fill="auto"/>
            <w:tcMar>
              <w:top w:w="40" w:type="dxa"/>
              <w:left w:w="0" w:type="dxa"/>
              <w:bottom w:w="40" w:type="dxa"/>
              <w:right w:w="20" w:type="dxa"/>
            </w:tcMar>
            <w:vAlign w:val="bottom"/>
          </w:tcPr>
          <w:p w14:paraId="5A1B116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6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67" w14:textId="77777777" w:rsidR="00960BB8" w:rsidRDefault="00C06650">
            <w:pPr>
              <w:jc w:val="right"/>
              <w:textAlignment w:val="bottom"/>
            </w:pPr>
            <w:r>
              <w:rPr>
                <w:rFonts w:ascii="Arial" w:eastAsia="宋体" w:hAnsi="Arial" w:cs="Arial"/>
                <w:color w:val="262626"/>
                <w:sz w:val="18"/>
                <w:szCs w:val="18"/>
              </w:rPr>
              <w:t>(14,259)</w:t>
            </w:r>
          </w:p>
        </w:tc>
        <w:tc>
          <w:tcPr>
            <w:tcW w:w="0" w:type="auto"/>
            <w:shd w:val="clear" w:color="auto" w:fill="auto"/>
            <w:tcMar>
              <w:top w:w="40" w:type="dxa"/>
              <w:left w:w="0" w:type="dxa"/>
              <w:bottom w:w="40" w:type="dxa"/>
              <w:right w:w="20" w:type="dxa"/>
            </w:tcMar>
            <w:vAlign w:val="bottom"/>
          </w:tcPr>
          <w:p w14:paraId="5A1B1168" w14:textId="77777777" w:rsidR="00960BB8" w:rsidRDefault="00960BB8">
            <w:pPr>
              <w:jc w:val="right"/>
              <w:rPr>
                <w:rFonts w:ascii="宋体"/>
              </w:rPr>
            </w:pPr>
          </w:p>
        </w:tc>
      </w:tr>
      <w:tr w:rsidR="00960BB8" w14:paraId="5A1B1174" w14:textId="77777777">
        <w:tc>
          <w:tcPr>
            <w:tcW w:w="0" w:type="auto"/>
            <w:gridSpan w:val="3"/>
            <w:shd w:val="clear" w:color="auto" w:fill="auto"/>
            <w:tcMar>
              <w:top w:w="40" w:type="dxa"/>
              <w:left w:w="155" w:type="dxa"/>
              <w:bottom w:w="40" w:type="dxa"/>
              <w:right w:w="20" w:type="dxa"/>
            </w:tcMar>
            <w:vAlign w:val="bottom"/>
          </w:tcPr>
          <w:p w14:paraId="5A1B116A" w14:textId="77777777" w:rsidR="00960BB8" w:rsidRDefault="00C06650">
            <w:pPr>
              <w:textAlignment w:val="bottom"/>
            </w:pPr>
            <w:r>
              <w:rPr>
                <w:rFonts w:ascii="Arial" w:eastAsia="宋体" w:hAnsi="Arial" w:cs="Arial"/>
                <w:color w:val="262626"/>
                <w:sz w:val="18"/>
                <w:szCs w:val="18"/>
              </w:rPr>
              <w:t>Additions to held for sale NAND property, plant and equipment</w:t>
            </w:r>
          </w:p>
        </w:tc>
        <w:tc>
          <w:tcPr>
            <w:tcW w:w="0" w:type="auto"/>
            <w:gridSpan w:val="3"/>
            <w:shd w:val="clear" w:color="auto" w:fill="auto"/>
            <w:tcMar>
              <w:top w:w="0" w:type="dxa"/>
              <w:left w:w="20" w:type="dxa"/>
              <w:bottom w:w="0" w:type="dxa"/>
              <w:right w:w="20" w:type="dxa"/>
            </w:tcMar>
            <w:vAlign w:val="bottom"/>
          </w:tcPr>
          <w:p w14:paraId="5A1B116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6C" w14:textId="77777777" w:rsidR="00960BB8" w:rsidRDefault="00C06650">
            <w:pPr>
              <w:jc w:val="right"/>
              <w:textAlignment w:val="bottom"/>
            </w:pPr>
            <w:r>
              <w:rPr>
                <w:rFonts w:ascii="Arial" w:eastAsia="宋体" w:hAnsi="Arial" w:cs="Arial"/>
                <w:color w:val="0068B5"/>
                <w:sz w:val="18"/>
                <w:szCs w:val="18"/>
              </w:rPr>
              <w:t>(206)</w:t>
            </w:r>
          </w:p>
        </w:tc>
        <w:tc>
          <w:tcPr>
            <w:tcW w:w="0" w:type="auto"/>
            <w:shd w:val="clear" w:color="auto" w:fill="auto"/>
            <w:tcMar>
              <w:top w:w="40" w:type="dxa"/>
              <w:left w:w="0" w:type="dxa"/>
              <w:bottom w:w="40" w:type="dxa"/>
              <w:right w:w="20" w:type="dxa"/>
            </w:tcMar>
            <w:vAlign w:val="bottom"/>
          </w:tcPr>
          <w:p w14:paraId="5A1B116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6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6F" w14:textId="77777777" w:rsidR="00960BB8" w:rsidRDefault="00C06650">
            <w:pPr>
              <w:jc w:val="right"/>
              <w:textAlignment w:val="bottom"/>
            </w:pPr>
            <w:r>
              <w:rPr>
                <w:rFonts w:ascii="Arial" w:eastAsia="宋体" w:hAnsi="Arial" w:cs="Arial"/>
                <w:color w:val="262626"/>
                <w:sz w:val="18"/>
                <w:szCs w:val="18"/>
              </w:rPr>
              <w:t>(1,596)</w:t>
            </w:r>
          </w:p>
        </w:tc>
        <w:tc>
          <w:tcPr>
            <w:tcW w:w="0" w:type="auto"/>
            <w:shd w:val="clear" w:color="auto" w:fill="auto"/>
            <w:tcMar>
              <w:top w:w="40" w:type="dxa"/>
              <w:left w:w="0" w:type="dxa"/>
              <w:bottom w:w="40" w:type="dxa"/>
              <w:right w:w="20" w:type="dxa"/>
            </w:tcMar>
            <w:vAlign w:val="bottom"/>
          </w:tcPr>
          <w:p w14:paraId="5A1B117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7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72" w14:textId="77777777" w:rsidR="00960BB8" w:rsidRDefault="00C06650">
            <w:pPr>
              <w:jc w:val="right"/>
              <w:textAlignment w:val="bottom"/>
            </w:pPr>
            <w:r>
              <w:rPr>
                <w:rFonts w:ascii="Arial" w:eastAsia="宋体" w:hAnsi="Arial" w:cs="Arial"/>
                <w:color w:val="262626"/>
                <w:sz w:val="18"/>
                <w:szCs w:val="18"/>
              </w:rPr>
              <w:t>(194)</w:t>
            </w:r>
          </w:p>
        </w:tc>
        <w:tc>
          <w:tcPr>
            <w:tcW w:w="0" w:type="auto"/>
            <w:shd w:val="clear" w:color="auto" w:fill="auto"/>
            <w:tcMar>
              <w:top w:w="40" w:type="dxa"/>
              <w:left w:w="0" w:type="dxa"/>
              <w:bottom w:w="40" w:type="dxa"/>
              <w:right w:w="20" w:type="dxa"/>
            </w:tcMar>
            <w:vAlign w:val="bottom"/>
          </w:tcPr>
          <w:p w14:paraId="5A1B1173" w14:textId="77777777" w:rsidR="00960BB8" w:rsidRDefault="00960BB8">
            <w:pPr>
              <w:jc w:val="right"/>
              <w:rPr>
                <w:rFonts w:ascii="宋体"/>
              </w:rPr>
            </w:pPr>
          </w:p>
        </w:tc>
      </w:tr>
      <w:tr w:rsidR="00960BB8" w14:paraId="5A1B117C" w14:textId="77777777">
        <w:trPr>
          <w:hidden/>
        </w:trPr>
        <w:tc>
          <w:tcPr>
            <w:tcW w:w="0" w:type="auto"/>
            <w:gridSpan w:val="3"/>
            <w:shd w:val="clear" w:color="auto" w:fill="auto"/>
            <w:vAlign w:val="bottom"/>
          </w:tcPr>
          <w:p w14:paraId="5A1B1175" w14:textId="77777777" w:rsidR="00960BB8" w:rsidRDefault="00960BB8">
            <w:pPr>
              <w:rPr>
                <w:rFonts w:ascii="宋体"/>
                <w:vanish/>
              </w:rPr>
            </w:pPr>
          </w:p>
        </w:tc>
        <w:tc>
          <w:tcPr>
            <w:tcW w:w="0" w:type="auto"/>
            <w:gridSpan w:val="3"/>
            <w:shd w:val="clear" w:color="auto" w:fill="auto"/>
            <w:vAlign w:val="bottom"/>
          </w:tcPr>
          <w:p w14:paraId="5A1B1176" w14:textId="77777777" w:rsidR="00960BB8" w:rsidRDefault="00960BB8">
            <w:pPr>
              <w:rPr>
                <w:rFonts w:ascii="宋体"/>
                <w:vanish/>
              </w:rPr>
            </w:pPr>
          </w:p>
        </w:tc>
        <w:tc>
          <w:tcPr>
            <w:tcW w:w="0" w:type="auto"/>
            <w:gridSpan w:val="3"/>
            <w:shd w:val="clear" w:color="auto" w:fill="auto"/>
            <w:vAlign w:val="bottom"/>
          </w:tcPr>
          <w:p w14:paraId="5A1B1177" w14:textId="77777777" w:rsidR="00960BB8" w:rsidRDefault="00960BB8">
            <w:pPr>
              <w:rPr>
                <w:rFonts w:ascii="宋体"/>
                <w:vanish/>
              </w:rPr>
            </w:pPr>
          </w:p>
        </w:tc>
        <w:tc>
          <w:tcPr>
            <w:tcW w:w="0" w:type="auto"/>
            <w:gridSpan w:val="3"/>
            <w:shd w:val="clear" w:color="auto" w:fill="auto"/>
            <w:vAlign w:val="bottom"/>
          </w:tcPr>
          <w:p w14:paraId="5A1B1178" w14:textId="77777777" w:rsidR="00960BB8" w:rsidRDefault="00960BB8">
            <w:pPr>
              <w:rPr>
                <w:rFonts w:ascii="宋体"/>
                <w:vanish/>
              </w:rPr>
            </w:pPr>
          </w:p>
        </w:tc>
        <w:tc>
          <w:tcPr>
            <w:tcW w:w="0" w:type="auto"/>
            <w:gridSpan w:val="3"/>
            <w:shd w:val="clear" w:color="auto" w:fill="auto"/>
            <w:vAlign w:val="bottom"/>
          </w:tcPr>
          <w:p w14:paraId="5A1B1179" w14:textId="77777777" w:rsidR="00960BB8" w:rsidRDefault="00960BB8">
            <w:pPr>
              <w:rPr>
                <w:rFonts w:ascii="宋体"/>
                <w:vanish/>
              </w:rPr>
            </w:pPr>
          </w:p>
        </w:tc>
        <w:tc>
          <w:tcPr>
            <w:tcW w:w="0" w:type="auto"/>
            <w:gridSpan w:val="3"/>
            <w:shd w:val="clear" w:color="auto" w:fill="auto"/>
            <w:vAlign w:val="bottom"/>
          </w:tcPr>
          <w:p w14:paraId="5A1B117A" w14:textId="77777777" w:rsidR="00960BB8" w:rsidRDefault="00960BB8">
            <w:pPr>
              <w:rPr>
                <w:rFonts w:ascii="宋体"/>
                <w:vanish/>
              </w:rPr>
            </w:pPr>
          </w:p>
        </w:tc>
        <w:tc>
          <w:tcPr>
            <w:tcW w:w="0" w:type="auto"/>
            <w:gridSpan w:val="3"/>
            <w:shd w:val="clear" w:color="auto" w:fill="auto"/>
            <w:vAlign w:val="bottom"/>
          </w:tcPr>
          <w:p w14:paraId="5A1B117B" w14:textId="77777777" w:rsidR="00960BB8" w:rsidRDefault="00960BB8">
            <w:pPr>
              <w:rPr>
                <w:rFonts w:ascii="宋体"/>
                <w:vanish/>
              </w:rPr>
            </w:pPr>
          </w:p>
        </w:tc>
      </w:tr>
      <w:tr w:rsidR="00960BB8" w14:paraId="5A1B1187" w14:textId="77777777">
        <w:tc>
          <w:tcPr>
            <w:tcW w:w="0" w:type="auto"/>
            <w:gridSpan w:val="3"/>
            <w:shd w:val="clear" w:color="auto" w:fill="auto"/>
            <w:tcMar>
              <w:top w:w="40" w:type="dxa"/>
              <w:left w:w="155" w:type="dxa"/>
              <w:bottom w:w="40" w:type="dxa"/>
              <w:right w:w="20" w:type="dxa"/>
            </w:tcMar>
            <w:vAlign w:val="bottom"/>
          </w:tcPr>
          <w:p w14:paraId="5A1B117D" w14:textId="77777777" w:rsidR="00960BB8" w:rsidRDefault="00C06650">
            <w:pPr>
              <w:textAlignment w:val="bottom"/>
            </w:pPr>
            <w:r>
              <w:rPr>
                <w:rFonts w:ascii="Arial" w:eastAsia="宋体" w:hAnsi="Arial" w:cs="Arial"/>
                <w:color w:val="262626"/>
                <w:sz w:val="18"/>
                <w:szCs w:val="18"/>
              </w:rPr>
              <w:t>Purchase of short-term investments</w:t>
            </w:r>
          </w:p>
        </w:tc>
        <w:tc>
          <w:tcPr>
            <w:tcW w:w="0" w:type="auto"/>
            <w:gridSpan w:val="3"/>
            <w:shd w:val="clear" w:color="auto" w:fill="auto"/>
            <w:tcMar>
              <w:top w:w="0" w:type="dxa"/>
              <w:left w:w="20" w:type="dxa"/>
              <w:bottom w:w="0" w:type="dxa"/>
              <w:right w:w="20" w:type="dxa"/>
            </w:tcMar>
            <w:vAlign w:val="bottom"/>
          </w:tcPr>
          <w:p w14:paraId="5A1B117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7F" w14:textId="77777777" w:rsidR="00960BB8" w:rsidRDefault="00C06650">
            <w:pPr>
              <w:jc w:val="right"/>
              <w:textAlignment w:val="bottom"/>
            </w:pPr>
            <w:r>
              <w:rPr>
                <w:rFonts w:ascii="Arial" w:eastAsia="宋体" w:hAnsi="Arial" w:cs="Arial"/>
                <w:color w:val="0068B5"/>
                <w:sz w:val="18"/>
                <w:szCs w:val="18"/>
              </w:rPr>
              <w:t>(43,647)</w:t>
            </w:r>
          </w:p>
        </w:tc>
        <w:tc>
          <w:tcPr>
            <w:tcW w:w="0" w:type="auto"/>
            <w:shd w:val="clear" w:color="auto" w:fill="auto"/>
            <w:tcMar>
              <w:top w:w="40" w:type="dxa"/>
              <w:left w:w="0" w:type="dxa"/>
              <w:bottom w:w="40" w:type="dxa"/>
              <w:right w:w="20" w:type="dxa"/>
            </w:tcMar>
            <w:vAlign w:val="bottom"/>
          </w:tcPr>
          <w:p w14:paraId="5A1B118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8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82" w14:textId="77777777" w:rsidR="00960BB8" w:rsidRDefault="00C06650">
            <w:pPr>
              <w:jc w:val="right"/>
              <w:textAlignment w:val="bottom"/>
            </w:pPr>
            <w:r>
              <w:rPr>
                <w:rFonts w:ascii="Arial" w:eastAsia="宋体" w:hAnsi="Arial" w:cs="Arial"/>
                <w:color w:val="262626"/>
                <w:sz w:val="18"/>
                <w:szCs w:val="18"/>
              </w:rPr>
              <w:t>(40,554)</w:t>
            </w:r>
          </w:p>
        </w:tc>
        <w:tc>
          <w:tcPr>
            <w:tcW w:w="0" w:type="auto"/>
            <w:shd w:val="clear" w:color="auto" w:fill="auto"/>
            <w:tcMar>
              <w:top w:w="40" w:type="dxa"/>
              <w:left w:w="0" w:type="dxa"/>
              <w:bottom w:w="40" w:type="dxa"/>
              <w:right w:w="20" w:type="dxa"/>
            </w:tcMar>
            <w:vAlign w:val="bottom"/>
          </w:tcPr>
          <w:p w14:paraId="5A1B118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8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85" w14:textId="77777777" w:rsidR="00960BB8" w:rsidRDefault="00C06650">
            <w:pPr>
              <w:jc w:val="right"/>
              <w:textAlignment w:val="bottom"/>
            </w:pPr>
            <w:r>
              <w:rPr>
                <w:rFonts w:ascii="Arial" w:eastAsia="宋体" w:hAnsi="Arial" w:cs="Arial"/>
                <w:color w:val="262626"/>
                <w:sz w:val="18"/>
                <w:szCs w:val="18"/>
              </w:rPr>
              <w:t>(29,239)</w:t>
            </w:r>
          </w:p>
        </w:tc>
        <w:tc>
          <w:tcPr>
            <w:tcW w:w="0" w:type="auto"/>
            <w:shd w:val="clear" w:color="auto" w:fill="auto"/>
            <w:tcMar>
              <w:top w:w="40" w:type="dxa"/>
              <w:left w:w="0" w:type="dxa"/>
              <w:bottom w:w="40" w:type="dxa"/>
              <w:right w:w="20" w:type="dxa"/>
            </w:tcMar>
            <w:vAlign w:val="bottom"/>
          </w:tcPr>
          <w:p w14:paraId="5A1B1186" w14:textId="77777777" w:rsidR="00960BB8" w:rsidRDefault="00960BB8">
            <w:pPr>
              <w:jc w:val="right"/>
              <w:rPr>
                <w:rFonts w:ascii="宋体"/>
              </w:rPr>
            </w:pPr>
          </w:p>
        </w:tc>
      </w:tr>
      <w:tr w:rsidR="00960BB8" w14:paraId="5A1B1192" w14:textId="77777777">
        <w:tc>
          <w:tcPr>
            <w:tcW w:w="0" w:type="auto"/>
            <w:gridSpan w:val="3"/>
            <w:shd w:val="clear" w:color="auto" w:fill="auto"/>
            <w:tcMar>
              <w:top w:w="40" w:type="dxa"/>
              <w:left w:w="155" w:type="dxa"/>
              <w:bottom w:w="40" w:type="dxa"/>
              <w:right w:w="20" w:type="dxa"/>
            </w:tcMar>
            <w:vAlign w:val="bottom"/>
          </w:tcPr>
          <w:p w14:paraId="5A1B1188" w14:textId="77777777" w:rsidR="00960BB8" w:rsidRDefault="00C06650">
            <w:pPr>
              <w:textAlignment w:val="bottom"/>
            </w:pPr>
            <w:r>
              <w:rPr>
                <w:rFonts w:ascii="Arial" w:eastAsia="宋体" w:hAnsi="Arial" w:cs="Arial"/>
                <w:color w:val="262626"/>
                <w:sz w:val="18"/>
                <w:szCs w:val="18"/>
              </w:rPr>
              <w:t>Maturities and sales of short-term investments</w:t>
            </w:r>
          </w:p>
        </w:tc>
        <w:tc>
          <w:tcPr>
            <w:tcW w:w="0" w:type="auto"/>
            <w:gridSpan w:val="3"/>
            <w:shd w:val="clear" w:color="auto" w:fill="auto"/>
            <w:tcMar>
              <w:top w:w="0" w:type="dxa"/>
              <w:left w:w="20" w:type="dxa"/>
              <w:bottom w:w="0" w:type="dxa"/>
              <w:right w:w="20" w:type="dxa"/>
            </w:tcMar>
            <w:vAlign w:val="bottom"/>
          </w:tcPr>
          <w:p w14:paraId="5A1B118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8A" w14:textId="77777777" w:rsidR="00960BB8" w:rsidRDefault="00C06650">
            <w:pPr>
              <w:jc w:val="right"/>
              <w:textAlignment w:val="bottom"/>
            </w:pPr>
            <w:r>
              <w:rPr>
                <w:rFonts w:ascii="Arial" w:eastAsia="宋体" w:hAnsi="Arial" w:cs="Arial"/>
                <w:color w:val="0068B5"/>
                <w:sz w:val="18"/>
                <w:szCs w:val="18"/>
              </w:rPr>
              <w:t>48,730 </w:t>
            </w:r>
          </w:p>
        </w:tc>
        <w:tc>
          <w:tcPr>
            <w:tcW w:w="0" w:type="auto"/>
            <w:shd w:val="clear" w:color="auto" w:fill="auto"/>
            <w:tcMar>
              <w:top w:w="40" w:type="dxa"/>
              <w:left w:w="0" w:type="dxa"/>
              <w:bottom w:w="40" w:type="dxa"/>
              <w:right w:w="20" w:type="dxa"/>
            </w:tcMar>
            <w:vAlign w:val="bottom"/>
          </w:tcPr>
          <w:p w14:paraId="5A1B118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8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8D" w14:textId="77777777" w:rsidR="00960BB8" w:rsidRDefault="00C06650">
            <w:pPr>
              <w:jc w:val="right"/>
              <w:textAlignment w:val="bottom"/>
            </w:pPr>
            <w:r>
              <w:rPr>
                <w:rFonts w:ascii="Arial" w:eastAsia="宋体" w:hAnsi="Arial" w:cs="Arial"/>
                <w:color w:val="262626"/>
                <w:sz w:val="18"/>
                <w:szCs w:val="18"/>
              </w:rPr>
              <w:t>35,299 </w:t>
            </w:r>
          </w:p>
        </w:tc>
        <w:tc>
          <w:tcPr>
            <w:tcW w:w="0" w:type="auto"/>
            <w:shd w:val="clear" w:color="auto" w:fill="auto"/>
            <w:tcMar>
              <w:top w:w="40" w:type="dxa"/>
              <w:left w:w="0" w:type="dxa"/>
              <w:bottom w:w="40" w:type="dxa"/>
              <w:right w:w="20" w:type="dxa"/>
            </w:tcMar>
            <w:vAlign w:val="bottom"/>
          </w:tcPr>
          <w:p w14:paraId="5A1B118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8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90" w14:textId="77777777" w:rsidR="00960BB8" w:rsidRDefault="00C06650">
            <w:pPr>
              <w:jc w:val="right"/>
              <w:textAlignment w:val="bottom"/>
            </w:pPr>
            <w:r>
              <w:rPr>
                <w:rFonts w:ascii="Arial" w:eastAsia="宋体" w:hAnsi="Arial" w:cs="Arial"/>
                <w:color w:val="262626"/>
                <w:sz w:val="18"/>
                <w:szCs w:val="18"/>
              </w:rPr>
              <w:t>22,158 </w:t>
            </w:r>
          </w:p>
        </w:tc>
        <w:tc>
          <w:tcPr>
            <w:tcW w:w="0" w:type="auto"/>
            <w:shd w:val="clear" w:color="auto" w:fill="auto"/>
            <w:tcMar>
              <w:top w:w="40" w:type="dxa"/>
              <w:left w:w="0" w:type="dxa"/>
              <w:bottom w:w="40" w:type="dxa"/>
              <w:right w:w="20" w:type="dxa"/>
            </w:tcMar>
            <w:vAlign w:val="bottom"/>
          </w:tcPr>
          <w:p w14:paraId="5A1B1191" w14:textId="77777777" w:rsidR="00960BB8" w:rsidRDefault="00960BB8">
            <w:pPr>
              <w:jc w:val="right"/>
              <w:rPr>
                <w:rFonts w:ascii="宋体"/>
              </w:rPr>
            </w:pPr>
          </w:p>
        </w:tc>
      </w:tr>
      <w:tr w:rsidR="00960BB8" w14:paraId="5A1B119A" w14:textId="77777777">
        <w:trPr>
          <w:hidden/>
        </w:trPr>
        <w:tc>
          <w:tcPr>
            <w:tcW w:w="0" w:type="auto"/>
            <w:gridSpan w:val="3"/>
            <w:shd w:val="clear" w:color="auto" w:fill="auto"/>
            <w:vAlign w:val="bottom"/>
          </w:tcPr>
          <w:p w14:paraId="5A1B1193" w14:textId="77777777" w:rsidR="00960BB8" w:rsidRDefault="00960BB8">
            <w:pPr>
              <w:rPr>
                <w:rFonts w:ascii="宋体"/>
                <w:vanish/>
              </w:rPr>
            </w:pPr>
          </w:p>
        </w:tc>
        <w:tc>
          <w:tcPr>
            <w:tcW w:w="0" w:type="auto"/>
            <w:gridSpan w:val="3"/>
            <w:shd w:val="clear" w:color="auto" w:fill="auto"/>
            <w:vAlign w:val="bottom"/>
          </w:tcPr>
          <w:p w14:paraId="5A1B1194" w14:textId="77777777" w:rsidR="00960BB8" w:rsidRDefault="00960BB8">
            <w:pPr>
              <w:rPr>
                <w:rFonts w:ascii="宋体"/>
                <w:vanish/>
              </w:rPr>
            </w:pPr>
          </w:p>
        </w:tc>
        <w:tc>
          <w:tcPr>
            <w:tcW w:w="0" w:type="auto"/>
            <w:gridSpan w:val="3"/>
            <w:shd w:val="clear" w:color="auto" w:fill="auto"/>
            <w:vAlign w:val="bottom"/>
          </w:tcPr>
          <w:p w14:paraId="5A1B1195" w14:textId="77777777" w:rsidR="00960BB8" w:rsidRDefault="00960BB8">
            <w:pPr>
              <w:rPr>
                <w:rFonts w:ascii="宋体"/>
                <w:vanish/>
              </w:rPr>
            </w:pPr>
          </w:p>
        </w:tc>
        <w:tc>
          <w:tcPr>
            <w:tcW w:w="0" w:type="auto"/>
            <w:gridSpan w:val="3"/>
            <w:shd w:val="clear" w:color="auto" w:fill="auto"/>
            <w:vAlign w:val="bottom"/>
          </w:tcPr>
          <w:p w14:paraId="5A1B1196" w14:textId="77777777" w:rsidR="00960BB8" w:rsidRDefault="00960BB8">
            <w:pPr>
              <w:rPr>
                <w:rFonts w:ascii="宋体"/>
                <w:vanish/>
              </w:rPr>
            </w:pPr>
          </w:p>
        </w:tc>
        <w:tc>
          <w:tcPr>
            <w:tcW w:w="0" w:type="auto"/>
            <w:gridSpan w:val="3"/>
            <w:shd w:val="clear" w:color="auto" w:fill="auto"/>
            <w:vAlign w:val="bottom"/>
          </w:tcPr>
          <w:p w14:paraId="5A1B1197" w14:textId="77777777" w:rsidR="00960BB8" w:rsidRDefault="00960BB8">
            <w:pPr>
              <w:rPr>
                <w:rFonts w:ascii="宋体"/>
                <w:vanish/>
              </w:rPr>
            </w:pPr>
          </w:p>
        </w:tc>
        <w:tc>
          <w:tcPr>
            <w:tcW w:w="0" w:type="auto"/>
            <w:gridSpan w:val="3"/>
            <w:shd w:val="clear" w:color="auto" w:fill="auto"/>
            <w:vAlign w:val="bottom"/>
          </w:tcPr>
          <w:p w14:paraId="5A1B1198" w14:textId="77777777" w:rsidR="00960BB8" w:rsidRDefault="00960BB8">
            <w:pPr>
              <w:rPr>
                <w:rFonts w:ascii="宋体"/>
                <w:vanish/>
              </w:rPr>
            </w:pPr>
          </w:p>
        </w:tc>
        <w:tc>
          <w:tcPr>
            <w:tcW w:w="0" w:type="auto"/>
            <w:gridSpan w:val="3"/>
            <w:shd w:val="clear" w:color="auto" w:fill="auto"/>
            <w:vAlign w:val="bottom"/>
          </w:tcPr>
          <w:p w14:paraId="5A1B1199" w14:textId="77777777" w:rsidR="00960BB8" w:rsidRDefault="00960BB8">
            <w:pPr>
              <w:rPr>
                <w:rFonts w:ascii="宋体"/>
                <w:vanish/>
              </w:rPr>
            </w:pPr>
          </w:p>
        </w:tc>
      </w:tr>
      <w:tr w:rsidR="00960BB8" w14:paraId="5A1B11A2" w14:textId="77777777">
        <w:trPr>
          <w:hidden/>
        </w:trPr>
        <w:tc>
          <w:tcPr>
            <w:tcW w:w="0" w:type="auto"/>
            <w:gridSpan w:val="3"/>
            <w:shd w:val="clear" w:color="auto" w:fill="auto"/>
            <w:vAlign w:val="bottom"/>
          </w:tcPr>
          <w:p w14:paraId="5A1B119B" w14:textId="77777777" w:rsidR="00960BB8" w:rsidRDefault="00960BB8">
            <w:pPr>
              <w:rPr>
                <w:rFonts w:ascii="宋体"/>
                <w:vanish/>
              </w:rPr>
            </w:pPr>
          </w:p>
        </w:tc>
        <w:tc>
          <w:tcPr>
            <w:tcW w:w="0" w:type="auto"/>
            <w:gridSpan w:val="3"/>
            <w:shd w:val="clear" w:color="auto" w:fill="auto"/>
            <w:vAlign w:val="bottom"/>
          </w:tcPr>
          <w:p w14:paraId="5A1B119C" w14:textId="77777777" w:rsidR="00960BB8" w:rsidRDefault="00960BB8">
            <w:pPr>
              <w:rPr>
                <w:rFonts w:ascii="宋体"/>
                <w:vanish/>
              </w:rPr>
            </w:pPr>
          </w:p>
        </w:tc>
        <w:tc>
          <w:tcPr>
            <w:tcW w:w="0" w:type="auto"/>
            <w:gridSpan w:val="3"/>
            <w:shd w:val="clear" w:color="auto" w:fill="auto"/>
            <w:vAlign w:val="bottom"/>
          </w:tcPr>
          <w:p w14:paraId="5A1B119D" w14:textId="77777777" w:rsidR="00960BB8" w:rsidRDefault="00960BB8">
            <w:pPr>
              <w:rPr>
                <w:rFonts w:ascii="宋体"/>
                <w:vanish/>
              </w:rPr>
            </w:pPr>
          </w:p>
        </w:tc>
        <w:tc>
          <w:tcPr>
            <w:tcW w:w="0" w:type="auto"/>
            <w:gridSpan w:val="3"/>
            <w:shd w:val="clear" w:color="auto" w:fill="auto"/>
            <w:vAlign w:val="bottom"/>
          </w:tcPr>
          <w:p w14:paraId="5A1B119E" w14:textId="77777777" w:rsidR="00960BB8" w:rsidRDefault="00960BB8">
            <w:pPr>
              <w:rPr>
                <w:rFonts w:ascii="宋体"/>
                <w:vanish/>
              </w:rPr>
            </w:pPr>
          </w:p>
        </w:tc>
        <w:tc>
          <w:tcPr>
            <w:tcW w:w="0" w:type="auto"/>
            <w:gridSpan w:val="3"/>
            <w:shd w:val="clear" w:color="auto" w:fill="auto"/>
            <w:vAlign w:val="bottom"/>
          </w:tcPr>
          <w:p w14:paraId="5A1B119F" w14:textId="77777777" w:rsidR="00960BB8" w:rsidRDefault="00960BB8">
            <w:pPr>
              <w:rPr>
                <w:rFonts w:ascii="宋体"/>
                <w:vanish/>
              </w:rPr>
            </w:pPr>
          </w:p>
        </w:tc>
        <w:tc>
          <w:tcPr>
            <w:tcW w:w="0" w:type="auto"/>
            <w:gridSpan w:val="3"/>
            <w:shd w:val="clear" w:color="auto" w:fill="auto"/>
            <w:vAlign w:val="bottom"/>
          </w:tcPr>
          <w:p w14:paraId="5A1B11A0" w14:textId="77777777" w:rsidR="00960BB8" w:rsidRDefault="00960BB8">
            <w:pPr>
              <w:rPr>
                <w:rFonts w:ascii="宋体"/>
                <w:vanish/>
              </w:rPr>
            </w:pPr>
          </w:p>
        </w:tc>
        <w:tc>
          <w:tcPr>
            <w:tcW w:w="0" w:type="auto"/>
            <w:gridSpan w:val="3"/>
            <w:shd w:val="clear" w:color="auto" w:fill="auto"/>
            <w:vAlign w:val="bottom"/>
          </w:tcPr>
          <w:p w14:paraId="5A1B11A1" w14:textId="77777777" w:rsidR="00960BB8" w:rsidRDefault="00960BB8">
            <w:pPr>
              <w:rPr>
                <w:rFonts w:ascii="宋体"/>
                <w:vanish/>
              </w:rPr>
            </w:pPr>
          </w:p>
        </w:tc>
      </w:tr>
      <w:tr w:rsidR="00960BB8" w14:paraId="5A1B11AA" w14:textId="77777777">
        <w:trPr>
          <w:hidden/>
        </w:trPr>
        <w:tc>
          <w:tcPr>
            <w:tcW w:w="0" w:type="auto"/>
            <w:gridSpan w:val="3"/>
            <w:shd w:val="clear" w:color="auto" w:fill="auto"/>
            <w:vAlign w:val="bottom"/>
          </w:tcPr>
          <w:p w14:paraId="5A1B11A3" w14:textId="77777777" w:rsidR="00960BB8" w:rsidRDefault="00960BB8">
            <w:pPr>
              <w:rPr>
                <w:rFonts w:ascii="宋体"/>
                <w:vanish/>
              </w:rPr>
            </w:pPr>
          </w:p>
        </w:tc>
        <w:tc>
          <w:tcPr>
            <w:tcW w:w="0" w:type="auto"/>
            <w:gridSpan w:val="3"/>
            <w:shd w:val="clear" w:color="auto" w:fill="auto"/>
            <w:vAlign w:val="bottom"/>
          </w:tcPr>
          <w:p w14:paraId="5A1B11A4" w14:textId="77777777" w:rsidR="00960BB8" w:rsidRDefault="00960BB8">
            <w:pPr>
              <w:rPr>
                <w:rFonts w:ascii="宋体"/>
                <w:vanish/>
              </w:rPr>
            </w:pPr>
          </w:p>
        </w:tc>
        <w:tc>
          <w:tcPr>
            <w:tcW w:w="0" w:type="auto"/>
            <w:gridSpan w:val="3"/>
            <w:shd w:val="clear" w:color="auto" w:fill="auto"/>
            <w:vAlign w:val="bottom"/>
          </w:tcPr>
          <w:p w14:paraId="5A1B11A5" w14:textId="77777777" w:rsidR="00960BB8" w:rsidRDefault="00960BB8">
            <w:pPr>
              <w:rPr>
                <w:rFonts w:ascii="宋体"/>
                <w:vanish/>
              </w:rPr>
            </w:pPr>
          </w:p>
        </w:tc>
        <w:tc>
          <w:tcPr>
            <w:tcW w:w="0" w:type="auto"/>
            <w:gridSpan w:val="3"/>
            <w:shd w:val="clear" w:color="auto" w:fill="auto"/>
            <w:vAlign w:val="bottom"/>
          </w:tcPr>
          <w:p w14:paraId="5A1B11A6" w14:textId="77777777" w:rsidR="00960BB8" w:rsidRDefault="00960BB8">
            <w:pPr>
              <w:rPr>
                <w:rFonts w:ascii="宋体"/>
                <w:vanish/>
              </w:rPr>
            </w:pPr>
          </w:p>
        </w:tc>
        <w:tc>
          <w:tcPr>
            <w:tcW w:w="0" w:type="auto"/>
            <w:gridSpan w:val="3"/>
            <w:shd w:val="clear" w:color="auto" w:fill="auto"/>
            <w:vAlign w:val="bottom"/>
          </w:tcPr>
          <w:p w14:paraId="5A1B11A7" w14:textId="77777777" w:rsidR="00960BB8" w:rsidRDefault="00960BB8">
            <w:pPr>
              <w:rPr>
                <w:rFonts w:ascii="宋体"/>
                <w:vanish/>
              </w:rPr>
            </w:pPr>
          </w:p>
        </w:tc>
        <w:tc>
          <w:tcPr>
            <w:tcW w:w="0" w:type="auto"/>
            <w:gridSpan w:val="3"/>
            <w:shd w:val="clear" w:color="auto" w:fill="auto"/>
            <w:vAlign w:val="bottom"/>
          </w:tcPr>
          <w:p w14:paraId="5A1B11A8" w14:textId="77777777" w:rsidR="00960BB8" w:rsidRDefault="00960BB8">
            <w:pPr>
              <w:rPr>
                <w:rFonts w:ascii="宋体"/>
                <w:vanish/>
              </w:rPr>
            </w:pPr>
          </w:p>
        </w:tc>
        <w:tc>
          <w:tcPr>
            <w:tcW w:w="0" w:type="auto"/>
            <w:gridSpan w:val="3"/>
            <w:shd w:val="clear" w:color="auto" w:fill="auto"/>
            <w:vAlign w:val="bottom"/>
          </w:tcPr>
          <w:p w14:paraId="5A1B11A9" w14:textId="77777777" w:rsidR="00960BB8" w:rsidRDefault="00960BB8">
            <w:pPr>
              <w:rPr>
                <w:rFonts w:ascii="宋体"/>
                <w:vanish/>
              </w:rPr>
            </w:pPr>
          </w:p>
        </w:tc>
      </w:tr>
      <w:tr w:rsidR="00960BB8" w14:paraId="5A1B11B2" w14:textId="77777777">
        <w:trPr>
          <w:hidden/>
        </w:trPr>
        <w:tc>
          <w:tcPr>
            <w:tcW w:w="0" w:type="auto"/>
            <w:gridSpan w:val="3"/>
            <w:shd w:val="clear" w:color="auto" w:fill="auto"/>
            <w:vAlign w:val="bottom"/>
          </w:tcPr>
          <w:p w14:paraId="5A1B11AB" w14:textId="77777777" w:rsidR="00960BB8" w:rsidRDefault="00960BB8">
            <w:pPr>
              <w:rPr>
                <w:rFonts w:ascii="宋体"/>
                <w:vanish/>
              </w:rPr>
            </w:pPr>
          </w:p>
        </w:tc>
        <w:tc>
          <w:tcPr>
            <w:tcW w:w="0" w:type="auto"/>
            <w:gridSpan w:val="3"/>
            <w:shd w:val="clear" w:color="auto" w:fill="auto"/>
            <w:vAlign w:val="bottom"/>
          </w:tcPr>
          <w:p w14:paraId="5A1B11AC" w14:textId="77777777" w:rsidR="00960BB8" w:rsidRDefault="00960BB8">
            <w:pPr>
              <w:rPr>
                <w:rFonts w:ascii="宋体"/>
                <w:vanish/>
              </w:rPr>
            </w:pPr>
          </w:p>
        </w:tc>
        <w:tc>
          <w:tcPr>
            <w:tcW w:w="0" w:type="auto"/>
            <w:gridSpan w:val="3"/>
            <w:shd w:val="clear" w:color="auto" w:fill="auto"/>
            <w:vAlign w:val="bottom"/>
          </w:tcPr>
          <w:p w14:paraId="5A1B11AD" w14:textId="77777777" w:rsidR="00960BB8" w:rsidRDefault="00960BB8">
            <w:pPr>
              <w:rPr>
                <w:rFonts w:ascii="宋体"/>
                <w:vanish/>
              </w:rPr>
            </w:pPr>
          </w:p>
        </w:tc>
        <w:tc>
          <w:tcPr>
            <w:tcW w:w="0" w:type="auto"/>
            <w:gridSpan w:val="3"/>
            <w:shd w:val="clear" w:color="auto" w:fill="auto"/>
            <w:vAlign w:val="bottom"/>
          </w:tcPr>
          <w:p w14:paraId="5A1B11AE" w14:textId="77777777" w:rsidR="00960BB8" w:rsidRDefault="00960BB8">
            <w:pPr>
              <w:rPr>
                <w:rFonts w:ascii="宋体"/>
                <w:vanish/>
              </w:rPr>
            </w:pPr>
          </w:p>
        </w:tc>
        <w:tc>
          <w:tcPr>
            <w:tcW w:w="0" w:type="auto"/>
            <w:gridSpan w:val="3"/>
            <w:shd w:val="clear" w:color="auto" w:fill="auto"/>
            <w:vAlign w:val="bottom"/>
          </w:tcPr>
          <w:p w14:paraId="5A1B11AF" w14:textId="77777777" w:rsidR="00960BB8" w:rsidRDefault="00960BB8">
            <w:pPr>
              <w:rPr>
                <w:rFonts w:ascii="宋体"/>
                <w:vanish/>
              </w:rPr>
            </w:pPr>
          </w:p>
        </w:tc>
        <w:tc>
          <w:tcPr>
            <w:tcW w:w="0" w:type="auto"/>
            <w:gridSpan w:val="3"/>
            <w:shd w:val="clear" w:color="auto" w:fill="auto"/>
            <w:vAlign w:val="bottom"/>
          </w:tcPr>
          <w:p w14:paraId="5A1B11B0" w14:textId="77777777" w:rsidR="00960BB8" w:rsidRDefault="00960BB8">
            <w:pPr>
              <w:rPr>
                <w:rFonts w:ascii="宋体"/>
                <w:vanish/>
              </w:rPr>
            </w:pPr>
          </w:p>
        </w:tc>
        <w:tc>
          <w:tcPr>
            <w:tcW w:w="0" w:type="auto"/>
            <w:gridSpan w:val="3"/>
            <w:shd w:val="clear" w:color="auto" w:fill="auto"/>
            <w:vAlign w:val="bottom"/>
          </w:tcPr>
          <w:p w14:paraId="5A1B11B1" w14:textId="77777777" w:rsidR="00960BB8" w:rsidRDefault="00960BB8">
            <w:pPr>
              <w:rPr>
                <w:rFonts w:ascii="宋体"/>
                <w:vanish/>
              </w:rPr>
            </w:pPr>
          </w:p>
        </w:tc>
      </w:tr>
      <w:tr w:rsidR="00960BB8" w14:paraId="5A1B11BA" w14:textId="77777777">
        <w:trPr>
          <w:hidden/>
        </w:trPr>
        <w:tc>
          <w:tcPr>
            <w:tcW w:w="0" w:type="auto"/>
            <w:gridSpan w:val="3"/>
            <w:shd w:val="clear" w:color="auto" w:fill="auto"/>
            <w:vAlign w:val="bottom"/>
          </w:tcPr>
          <w:p w14:paraId="5A1B11B3" w14:textId="77777777" w:rsidR="00960BB8" w:rsidRDefault="00960BB8">
            <w:pPr>
              <w:rPr>
                <w:rFonts w:ascii="宋体"/>
                <w:vanish/>
              </w:rPr>
            </w:pPr>
          </w:p>
        </w:tc>
        <w:tc>
          <w:tcPr>
            <w:tcW w:w="0" w:type="auto"/>
            <w:gridSpan w:val="3"/>
            <w:shd w:val="clear" w:color="auto" w:fill="auto"/>
            <w:vAlign w:val="bottom"/>
          </w:tcPr>
          <w:p w14:paraId="5A1B11B4" w14:textId="77777777" w:rsidR="00960BB8" w:rsidRDefault="00960BB8">
            <w:pPr>
              <w:rPr>
                <w:rFonts w:ascii="宋体"/>
                <w:vanish/>
              </w:rPr>
            </w:pPr>
          </w:p>
        </w:tc>
        <w:tc>
          <w:tcPr>
            <w:tcW w:w="0" w:type="auto"/>
            <w:gridSpan w:val="3"/>
            <w:shd w:val="clear" w:color="auto" w:fill="auto"/>
            <w:vAlign w:val="bottom"/>
          </w:tcPr>
          <w:p w14:paraId="5A1B11B5" w14:textId="77777777" w:rsidR="00960BB8" w:rsidRDefault="00960BB8">
            <w:pPr>
              <w:rPr>
                <w:rFonts w:ascii="宋体"/>
                <w:vanish/>
              </w:rPr>
            </w:pPr>
          </w:p>
        </w:tc>
        <w:tc>
          <w:tcPr>
            <w:tcW w:w="0" w:type="auto"/>
            <w:gridSpan w:val="3"/>
            <w:shd w:val="clear" w:color="auto" w:fill="auto"/>
            <w:vAlign w:val="bottom"/>
          </w:tcPr>
          <w:p w14:paraId="5A1B11B6" w14:textId="77777777" w:rsidR="00960BB8" w:rsidRDefault="00960BB8">
            <w:pPr>
              <w:rPr>
                <w:rFonts w:ascii="宋体"/>
                <w:vanish/>
              </w:rPr>
            </w:pPr>
          </w:p>
        </w:tc>
        <w:tc>
          <w:tcPr>
            <w:tcW w:w="0" w:type="auto"/>
            <w:gridSpan w:val="3"/>
            <w:shd w:val="clear" w:color="auto" w:fill="auto"/>
            <w:vAlign w:val="bottom"/>
          </w:tcPr>
          <w:p w14:paraId="5A1B11B7" w14:textId="77777777" w:rsidR="00960BB8" w:rsidRDefault="00960BB8">
            <w:pPr>
              <w:rPr>
                <w:rFonts w:ascii="宋体"/>
                <w:vanish/>
              </w:rPr>
            </w:pPr>
          </w:p>
        </w:tc>
        <w:tc>
          <w:tcPr>
            <w:tcW w:w="0" w:type="auto"/>
            <w:gridSpan w:val="3"/>
            <w:shd w:val="clear" w:color="auto" w:fill="auto"/>
            <w:vAlign w:val="bottom"/>
          </w:tcPr>
          <w:p w14:paraId="5A1B11B8" w14:textId="77777777" w:rsidR="00960BB8" w:rsidRDefault="00960BB8">
            <w:pPr>
              <w:rPr>
                <w:rFonts w:ascii="宋体"/>
                <w:vanish/>
              </w:rPr>
            </w:pPr>
          </w:p>
        </w:tc>
        <w:tc>
          <w:tcPr>
            <w:tcW w:w="0" w:type="auto"/>
            <w:gridSpan w:val="3"/>
            <w:shd w:val="clear" w:color="auto" w:fill="auto"/>
            <w:vAlign w:val="bottom"/>
          </w:tcPr>
          <w:p w14:paraId="5A1B11B9" w14:textId="77777777" w:rsidR="00960BB8" w:rsidRDefault="00960BB8">
            <w:pPr>
              <w:rPr>
                <w:rFonts w:ascii="宋体"/>
                <w:vanish/>
              </w:rPr>
            </w:pPr>
          </w:p>
        </w:tc>
      </w:tr>
      <w:tr w:rsidR="00960BB8" w14:paraId="5A1B11C5" w14:textId="77777777">
        <w:tc>
          <w:tcPr>
            <w:tcW w:w="0" w:type="auto"/>
            <w:gridSpan w:val="3"/>
            <w:shd w:val="clear" w:color="auto" w:fill="auto"/>
            <w:tcMar>
              <w:top w:w="40" w:type="dxa"/>
              <w:left w:w="155" w:type="dxa"/>
              <w:bottom w:w="40" w:type="dxa"/>
              <w:right w:w="20" w:type="dxa"/>
            </w:tcMar>
            <w:vAlign w:val="bottom"/>
          </w:tcPr>
          <w:p w14:paraId="5A1B11BB" w14:textId="77777777" w:rsidR="00960BB8" w:rsidRDefault="00C06650">
            <w:pPr>
              <w:textAlignment w:val="bottom"/>
            </w:pPr>
            <w:r>
              <w:rPr>
                <w:rFonts w:ascii="Arial" w:eastAsia="宋体" w:hAnsi="Arial" w:cs="Arial"/>
                <w:color w:val="262626"/>
                <w:sz w:val="18"/>
                <w:szCs w:val="18"/>
              </w:rPr>
              <w:t>Purchases of equity investments</w:t>
            </w:r>
          </w:p>
        </w:tc>
        <w:tc>
          <w:tcPr>
            <w:tcW w:w="0" w:type="auto"/>
            <w:gridSpan w:val="3"/>
            <w:shd w:val="clear" w:color="auto" w:fill="auto"/>
            <w:tcMar>
              <w:top w:w="0" w:type="dxa"/>
              <w:left w:w="20" w:type="dxa"/>
              <w:bottom w:w="0" w:type="dxa"/>
              <w:right w:w="20" w:type="dxa"/>
            </w:tcMar>
            <w:vAlign w:val="bottom"/>
          </w:tcPr>
          <w:p w14:paraId="5A1B11B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BD" w14:textId="77777777" w:rsidR="00960BB8" w:rsidRDefault="00C06650">
            <w:pPr>
              <w:jc w:val="right"/>
              <w:textAlignment w:val="bottom"/>
            </w:pPr>
            <w:r>
              <w:rPr>
                <w:rFonts w:ascii="Arial" w:eastAsia="宋体" w:hAnsi="Arial" w:cs="Arial"/>
                <w:color w:val="0068B5"/>
                <w:sz w:val="18"/>
                <w:szCs w:val="18"/>
              </w:rPr>
              <w:t>(510)</w:t>
            </w:r>
          </w:p>
        </w:tc>
        <w:tc>
          <w:tcPr>
            <w:tcW w:w="0" w:type="auto"/>
            <w:shd w:val="clear" w:color="auto" w:fill="auto"/>
            <w:tcMar>
              <w:top w:w="40" w:type="dxa"/>
              <w:left w:w="0" w:type="dxa"/>
              <w:bottom w:w="40" w:type="dxa"/>
              <w:right w:w="20" w:type="dxa"/>
            </w:tcMar>
            <w:vAlign w:val="bottom"/>
          </w:tcPr>
          <w:p w14:paraId="5A1B11B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B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C0" w14:textId="77777777" w:rsidR="00960BB8" w:rsidRDefault="00C06650">
            <w:pPr>
              <w:jc w:val="right"/>
              <w:textAlignment w:val="bottom"/>
            </w:pPr>
            <w:r>
              <w:rPr>
                <w:rFonts w:ascii="Arial" w:eastAsia="宋体" w:hAnsi="Arial" w:cs="Arial"/>
                <w:color w:val="262626"/>
                <w:sz w:val="18"/>
                <w:szCs w:val="18"/>
              </w:rPr>
              <w:t>(613)</w:t>
            </w:r>
          </w:p>
        </w:tc>
        <w:tc>
          <w:tcPr>
            <w:tcW w:w="0" w:type="auto"/>
            <w:shd w:val="clear" w:color="auto" w:fill="auto"/>
            <w:tcMar>
              <w:top w:w="40" w:type="dxa"/>
              <w:left w:w="0" w:type="dxa"/>
              <w:bottom w:w="40" w:type="dxa"/>
              <w:right w:w="20" w:type="dxa"/>
            </w:tcMar>
            <w:vAlign w:val="bottom"/>
          </w:tcPr>
          <w:p w14:paraId="5A1B11C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C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C3" w14:textId="77777777" w:rsidR="00960BB8" w:rsidRDefault="00C06650">
            <w:pPr>
              <w:jc w:val="right"/>
              <w:textAlignment w:val="bottom"/>
            </w:pPr>
            <w:r>
              <w:rPr>
                <w:rFonts w:ascii="Arial" w:eastAsia="宋体" w:hAnsi="Arial" w:cs="Arial"/>
                <w:color w:val="262626"/>
                <w:sz w:val="18"/>
                <w:szCs w:val="18"/>
              </w:rPr>
              <w:t>(720)</w:t>
            </w:r>
          </w:p>
        </w:tc>
        <w:tc>
          <w:tcPr>
            <w:tcW w:w="0" w:type="auto"/>
            <w:shd w:val="clear" w:color="auto" w:fill="auto"/>
            <w:tcMar>
              <w:top w:w="40" w:type="dxa"/>
              <w:left w:w="0" w:type="dxa"/>
              <w:bottom w:w="40" w:type="dxa"/>
              <w:right w:w="20" w:type="dxa"/>
            </w:tcMar>
            <w:vAlign w:val="bottom"/>
          </w:tcPr>
          <w:p w14:paraId="5A1B11C4" w14:textId="77777777" w:rsidR="00960BB8" w:rsidRDefault="00960BB8">
            <w:pPr>
              <w:jc w:val="right"/>
              <w:rPr>
                <w:rFonts w:ascii="宋体"/>
              </w:rPr>
            </w:pPr>
          </w:p>
        </w:tc>
      </w:tr>
      <w:tr w:rsidR="00960BB8" w14:paraId="5A1B11D0" w14:textId="77777777">
        <w:tc>
          <w:tcPr>
            <w:tcW w:w="0" w:type="auto"/>
            <w:gridSpan w:val="3"/>
            <w:shd w:val="clear" w:color="auto" w:fill="auto"/>
            <w:tcMar>
              <w:top w:w="40" w:type="dxa"/>
              <w:left w:w="155" w:type="dxa"/>
              <w:bottom w:w="40" w:type="dxa"/>
              <w:right w:w="20" w:type="dxa"/>
            </w:tcMar>
            <w:vAlign w:val="bottom"/>
          </w:tcPr>
          <w:p w14:paraId="5A1B11C6" w14:textId="77777777" w:rsidR="00960BB8" w:rsidRDefault="00C06650">
            <w:pPr>
              <w:textAlignment w:val="bottom"/>
            </w:pPr>
            <w:r>
              <w:rPr>
                <w:rFonts w:ascii="Arial" w:eastAsia="宋体" w:hAnsi="Arial" w:cs="Arial"/>
                <w:color w:val="262626"/>
                <w:sz w:val="18"/>
                <w:szCs w:val="18"/>
              </w:rPr>
              <w:t>Sales of equity investments</w:t>
            </w:r>
          </w:p>
        </w:tc>
        <w:tc>
          <w:tcPr>
            <w:tcW w:w="0" w:type="auto"/>
            <w:gridSpan w:val="3"/>
            <w:shd w:val="clear" w:color="auto" w:fill="auto"/>
            <w:tcMar>
              <w:top w:w="0" w:type="dxa"/>
              <w:left w:w="20" w:type="dxa"/>
              <w:bottom w:w="0" w:type="dxa"/>
              <w:right w:w="20" w:type="dxa"/>
            </w:tcMar>
            <w:vAlign w:val="bottom"/>
          </w:tcPr>
          <w:p w14:paraId="5A1B11C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C8" w14:textId="77777777" w:rsidR="00960BB8" w:rsidRDefault="00C06650">
            <w:pPr>
              <w:jc w:val="right"/>
              <w:textAlignment w:val="bottom"/>
            </w:pPr>
            <w:r>
              <w:rPr>
                <w:rFonts w:ascii="Arial" w:eastAsia="宋体" w:hAnsi="Arial" w:cs="Arial"/>
                <w:color w:val="0068B5"/>
                <w:sz w:val="18"/>
                <w:szCs w:val="18"/>
              </w:rPr>
              <w:t>4,961 </w:t>
            </w:r>
          </w:p>
        </w:tc>
        <w:tc>
          <w:tcPr>
            <w:tcW w:w="0" w:type="auto"/>
            <w:shd w:val="clear" w:color="auto" w:fill="auto"/>
            <w:tcMar>
              <w:top w:w="40" w:type="dxa"/>
              <w:left w:w="0" w:type="dxa"/>
              <w:bottom w:w="40" w:type="dxa"/>
              <w:right w:w="20" w:type="dxa"/>
            </w:tcMar>
            <w:vAlign w:val="bottom"/>
          </w:tcPr>
          <w:p w14:paraId="5A1B11C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C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CB" w14:textId="77777777" w:rsidR="00960BB8" w:rsidRDefault="00C06650">
            <w:pPr>
              <w:jc w:val="right"/>
              <w:textAlignment w:val="bottom"/>
            </w:pPr>
            <w:r>
              <w:rPr>
                <w:rFonts w:ascii="Arial" w:eastAsia="宋体" w:hAnsi="Arial" w:cs="Arial"/>
                <w:color w:val="262626"/>
                <w:sz w:val="18"/>
                <w:szCs w:val="18"/>
              </w:rPr>
              <w:t>581 </w:t>
            </w:r>
          </w:p>
        </w:tc>
        <w:tc>
          <w:tcPr>
            <w:tcW w:w="0" w:type="auto"/>
            <w:shd w:val="clear" w:color="auto" w:fill="auto"/>
            <w:tcMar>
              <w:top w:w="40" w:type="dxa"/>
              <w:left w:w="0" w:type="dxa"/>
              <w:bottom w:w="40" w:type="dxa"/>
              <w:right w:w="20" w:type="dxa"/>
            </w:tcMar>
            <w:vAlign w:val="bottom"/>
          </w:tcPr>
          <w:p w14:paraId="5A1B11C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C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CE" w14:textId="77777777" w:rsidR="00960BB8" w:rsidRDefault="00C06650">
            <w:pPr>
              <w:jc w:val="right"/>
              <w:textAlignment w:val="bottom"/>
            </w:pPr>
            <w:r>
              <w:rPr>
                <w:rFonts w:ascii="Arial" w:eastAsia="宋体" w:hAnsi="Arial" w:cs="Arial"/>
                <w:color w:val="262626"/>
                <w:sz w:val="18"/>
                <w:szCs w:val="18"/>
              </w:rPr>
              <w:t>910 </w:t>
            </w:r>
          </w:p>
        </w:tc>
        <w:tc>
          <w:tcPr>
            <w:tcW w:w="0" w:type="auto"/>
            <w:shd w:val="clear" w:color="auto" w:fill="auto"/>
            <w:tcMar>
              <w:top w:w="40" w:type="dxa"/>
              <w:left w:w="0" w:type="dxa"/>
              <w:bottom w:w="40" w:type="dxa"/>
              <w:right w:w="20" w:type="dxa"/>
            </w:tcMar>
            <w:vAlign w:val="bottom"/>
          </w:tcPr>
          <w:p w14:paraId="5A1B11CF" w14:textId="77777777" w:rsidR="00960BB8" w:rsidRDefault="00960BB8">
            <w:pPr>
              <w:jc w:val="right"/>
              <w:rPr>
                <w:rFonts w:ascii="宋体"/>
              </w:rPr>
            </w:pPr>
          </w:p>
        </w:tc>
      </w:tr>
      <w:tr w:rsidR="00960BB8" w14:paraId="5A1B11D8" w14:textId="77777777">
        <w:trPr>
          <w:hidden/>
        </w:trPr>
        <w:tc>
          <w:tcPr>
            <w:tcW w:w="0" w:type="auto"/>
            <w:gridSpan w:val="3"/>
            <w:shd w:val="clear" w:color="auto" w:fill="auto"/>
            <w:vAlign w:val="bottom"/>
          </w:tcPr>
          <w:p w14:paraId="5A1B11D1" w14:textId="77777777" w:rsidR="00960BB8" w:rsidRDefault="00960BB8">
            <w:pPr>
              <w:rPr>
                <w:rFonts w:ascii="宋体"/>
                <w:vanish/>
              </w:rPr>
            </w:pPr>
          </w:p>
        </w:tc>
        <w:tc>
          <w:tcPr>
            <w:tcW w:w="0" w:type="auto"/>
            <w:gridSpan w:val="3"/>
            <w:shd w:val="clear" w:color="auto" w:fill="auto"/>
            <w:vAlign w:val="bottom"/>
          </w:tcPr>
          <w:p w14:paraId="5A1B11D2" w14:textId="77777777" w:rsidR="00960BB8" w:rsidRDefault="00960BB8">
            <w:pPr>
              <w:rPr>
                <w:rFonts w:ascii="宋体"/>
                <w:vanish/>
              </w:rPr>
            </w:pPr>
          </w:p>
        </w:tc>
        <w:tc>
          <w:tcPr>
            <w:tcW w:w="0" w:type="auto"/>
            <w:gridSpan w:val="3"/>
            <w:shd w:val="clear" w:color="auto" w:fill="auto"/>
            <w:vAlign w:val="bottom"/>
          </w:tcPr>
          <w:p w14:paraId="5A1B11D3" w14:textId="77777777" w:rsidR="00960BB8" w:rsidRDefault="00960BB8">
            <w:pPr>
              <w:rPr>
                <w:rFonts w:ascii="宋体"/>
                <w:vanish/>
              </w:rPr>
            </w:pPr>
          </w:p>
        </w:tc>
        <w:tc>
          <w:tcPr>
            <w:tcW w:w="0" w:type="auto"/>
            <w:gridSpan w:val="3"/>
            <w:shd w:val="clear" w:color="auto" w:fill="auto"/>
            <w:vAlign w:val="bottom"/>
          </w:tcPr>
          <w:p w14:paraId="5A1B11D4" w14:textId="77777777" w:rsidR="00960BB8" w:rsidRDefault="00960BB8">
            <w:pPr>
              <w:rPr>
                <w:rFonts w:ascii="宋体"/>
                <w:vanish/>
              </w:rPr>
            </w:pPr>
          </w:p>
        </w:tc>
        <w:tc>
          <w:tcPr>
            <w:tcW w:w="0" w:type="auto"/>
            <w:gridSpan w:val="3"/>
            <w:shd w:val="clear" w:color="auto" w:fill="auto"/>
            <w:vAlign w:val="bottom"/>
          </w:tcPr>
          <w:p w14:paraId="5A1B11D5" w14:textId="77777777" w:rsidR="00960BB8" w:rsidRDefault="00960BB8">
            <w:pPr>
              <w:rPr>
                <w:rFonts w:ascii="宋体"/>
                <w:vanish/>
              </w:rPr>
            </w:pPr>
          </w:p>
        </w:tc>
        <w:tc>
          <w:tcPr>
            <w:tcW w:w="0" w:type="auto"/>
            <w:gridSpan w:val="3"/>
            <w:shd w:val="clear" w:color="auto" w:fill="auto"/>
            <w:vAlign w:val="bottom"/>
          </w:tcPr>
          <w:p w14:paraId="5A1B11D6" w14:textId="77777777" w:rsidR="00960BB8" w:rsidRDefault="00960BB8">
            <w:pPr>
              <w:rPr>
                <w:rFonts w:ascii="宋体"/>
                <w:vanish/>
              </w:rPr>
            </w:pPr>
          </w:p>
        </w:tc>
        <w:tc>
          <w:tcPr>
            <w:tcW w:w="0" w:type="auto"/>
            <w:gridSpan w:val="3"/>
            <w:shd w:val="clear" w:color="auto" w:fill="auto"/>
            <w:vAlign w:val="bottom"/>
          </w:tcPr>
          <w:p w14:paraId="5A1B11D7" w14:textId="77777777" w:rsidR="00960BB8" w:rsidRDefault="00960BB8">
            <w:pPr>
              <w:rPr>
                <w:rFonts w:ascii="宋体"/>
                <w:vanish/>
              </w:rPr>
            </w:pPr>
          </w:p>
        </w:tc>
      </w:tr>
      <w:tr w:rsidR="00960BB8" w14:paraId="5A1B11E3" w14:textId="77777777">
        <w:tc>
          <w:tcPr>
            <w:tcW w:w="0" w:type="auto"/>
            <w:gridSpan w:val="3"/>
            <w:shd w:val="clear" w:color="auto" w:fill="auto"/>
            <w:tcMar>
              <w:top w:w="40" w:type="dxa"/>
              <w:left w:w="155" w:type="dxa"/>
              <w:bottom w:w="40" w:type="dxa"/>
              <w:right w:w="20" w:type="dxa"/>
            </w:tcMar>
            <w:vAlign w:val="bottom"/>
          </w:tcPr>
          <w:p w14:paraId="5A1B11D9" w14:textId="77777777" w:rsidR="00960BB8" w:rsidRDefault="00C06650">
            <w:pPr>
              <w:textAlignment w:val="bottom"/>
            </w:pPr>
            <w:r>
              <w:rPr>
                <w:rFonts w:ascii="Arial" w:eastAsia="宋体" w:hAnsi="Arial" w:cs="Arial"/>
                <w:color w:val="262626"/>
                <w:sz w:val="18"/>
                <w:szCs w:val="18"/>
              </w:rPr>
              <w:t>Proceeds from divestitures</w:t>
            </w:r>
          </w:p>
        </w:tc>
        <w:tc>
          <w:tcPr>
            <w:tcW w:w="0" w:type="auto"/>
            <w:gridSpan w:val="3"/>
            <w:shd w:val="clear" w:color="auto" w:fill="auto"/>
            <w:tcMar>
              <w:top w:w="0" w:type="dxa"/>
              <w:left w:w="20" w:type="dxa"/>
              <w:bottom w:w="0" w:type="dxa"/>
              <w:right w:w="20" w:type="dxa"/>
            </w:tcMar>
            <w:vAlign w:val="bottom"/>
          </w:tcPr>
          <w:p w14:paraId="5A1B11D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DB" w14:textId="77777777" w:rsidR="00960BB8" w:rsidRDefault="00C06650">
            <w:pPr>
              <w:jc w:val="right"/>
              <w:textAlignment w:val="bottom"/>
            </w:pPr>
            <w:r>
              <w:rPr>
                <w:rFonts w:ascii="Arial" w:eastAsia="宋体" w:hAnsi="Arial" w:cs="Arial"/>
                <w:color w:val="0068B5"/>
                <w:sz w:val="18"/>
                <w:szCs w:val="18"/>
              </w:rPr>
              <w:t>6,579 </w:t>
            </w:r>
          </w:p>
        </w:tc>
        <w:tc>
          <w:tcPr>
            <w:tcW w:w="0" w:type="auto"/>
            <w:shd w:val="clear" w:color="auto" w:fill="auto"/>
            <w:tcMar>
              <w:top w:w="40" w:type="dxa"/>
              <w:left w:w="0" w:type="dxa"/>
              <w:bottom w:w="40" w:type="dxa"/>
              <w:right w:w="20" w:type="dxa"/>
            </w:tcMar>
            <w:vAlign w:val="bottom"/>
          </w:tcPr>
          <w:p w14:paraId="5A1B11D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D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DE"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1D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E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E1" w14:textId="77777777" w:rsidR="00960BB8" w:rsidRDefault="00C06650">
            <w:pPr>
              <w:jc w:val="right"/>
              <w:textAlignment w:val="bottom"/>
            </w:pPr>
            <w:r>
              <w:rPr>
                <w:rFonts w:ascii="Arial" w:eastAsia="宋体" w:hAnsi="Arial" w:cs="Arial"/>
                <w:color w:val="262626"/>
                <w:sz w:val="18"/>
                <w:szCs w:val="18"/>
              </w:rPr>
              <w:t>123 </w:t>
            </w:r>
          </w:p>
        </w:tc>
        <w:tc>
          <w:tcPr>
            <w:tcW w:w="0" w:type="auto"/>
            <w:shd w:val="clear" w:color="auto" w:fill="auto"/>
            <w:tcMar>
              <w:top w:w="40" w:type="dxa"/>
              <w:left w:w="0" w:type="dxa"/>
              <w:bottom w:w="40" w:type="dxa"/>
              <w:right w:w="20" w:type="dxa"/>
            </w:tcMar>
            <w:vAlign w:val="bottom"/>
          </w:tcPr>
          <w:p w14:paraId="5A1B11E2" w14:textId="77777777" w:rsidR="00960BB8" w:rsidRDefault="00960BB8">
            <w:pPr>
              <w:jc w:val="right"/>
              <w:rPr>
                <w:rFonts w:ascii="宋体"/>
              </w:rPr>
            </w:pPr>
          </w:p>
        </w:tc>
      </w:tr>
      <w:tr w:rsidR="00960BB8" w14:paraId="5A1B11EE" w14:textId="77777777">
        <w:tc>
          <w:tcPr>
            <w:tcW w:w="0" w:type="auto"/>
            <w:gridSpan w:val="3"/>
            <w:shd w:val="clear" w:color="auto" w:fill="auto"/>
            <w:tcMar>
              <w:top w:w="40" w:type="dxa"/>
              <w:left w:w="155" w:type="dxa"/>
              <w:bottom w:w="40" w:type="dxa"/>
              <w:right w:w="20" w:type="dxa"/>
            </w:tcMar>
            <w:vAlign w:val="bottom"/>
          </w:tcPr>
          <w:p w14:paraId="5A1B11E4" w14:textId="77777777" w:rsidR="00960BB8" w:rsidRDefault="00C06650">
            <w:pPr>
              <w:textAlignment w:val="bottom"/>
            </w:pPr>
            <w:r>
              <w:rPr>
                <w:rFonts w:ascii="Arial" w:eastAsia="宋体" w:hAnsi="Arial" w:cs="Arial"/>
                <w:color w:val="262626"/>
                <w:sz w:val="18"/>
                <w:szCs w:val="18"/>
              </w:rPr>
              <w:t>Other investing</w:t>
            </w:r>
          </w:p>
        </w:tc>
        <w:tc>
          <w:tcPr>
            <w:tcW w:w="0" w:type="auto"/>
            <w:gridSpan w:val="3"/>
            <w:shd w:val="clear" w:color="auto" w:fill="auto"/>
            <w:tcMar>
              <w:top w:w="0" w:type="dxa"/>
              <w:left w:w="20" w:type="dxa"/>
              <w:bottom w:w="0" w:type="dxa"/>
              <w:right w:w="20" w:type="dxa"/>
            </w:tcMar>
            <w:vAlign w:val="bottom"/>
          </w:tcPr>
          <w:p w14:paraId="5A1B11E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E6" w14:textId="77777777" w:rsidR="00960BB8" w:rsidRDefault="00C06650">
            <w:pPr>
              <w:jc w:val="right"/>
              <w:textAlignment w:val="bottom"/>
            </w:pPr>
            <w:r>
              <w:rPr>
                <w:rFonts w:ascii="Arial" w:eastAsia="宋体" w:hAnsi="Arial" w:cs="Arial"/>
                <w:color w:val="0068B5"/>
                <w:sz w:val="18"/>
                <w:szCs w:val="18"/>
              </w:rPr>
              <w:t>(1,540)</w:t>
            </w:r>
          </w:p>
        </w:tc>
        <w:tc>
          <w:tcPr>
            <w:tcW w:w="0" w:type="auto"/>
            <w:shd w:val="clear" w:color="auto" w:fill="auto"/>
            <w:tcMar>
              <w:top w:w="40" w:type="dxa"/>
              <w:left w:w="0" w:type="dxa"/>
              <w:bottom w:w="40" w:type="dxa"/>
              <w:right w:w="20" w:type="dxa"/>
            </w:tcMar>
            <w:vAlign w:val="bottom"/>
          </w:tcPr>
          <w:p w14:paraId="5A1B11E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E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E9" w14:textId="77777777" w:rsidR="00960BB8" w:rsidRDefault="00C06650">
            <w:pPr>
              <w:jc w:val="right"/>
              <w:textAlignment w:val="bottom"/>
            </w:pPr>
            <w:r>
              <w:rPr>
                <w:rFonts w:ascii="Arial" w:eastAsia="宋体" w:hAnsi="Arial" w:cs="Arial"/>
                <w:color w:val="262626"/>
                <w:sz w:val="18"/>
                <w:szCs w:val="18"/>
              </w:rPr>
              <w:t>1,167 </w:t>
            </w:r>
          </w:p>
        </w:tc>
        <w:tc>
          <w:tcPr>
            <w:tcW w:w="0" w:type="auto"/>
            <w:shd w:val="clear" w:color="auto" w:fill="auto"/>
            <w:tcMar>
              <w:top w:w="40" w:type="dxa"/>
              <w:left w:w="0" w:type="dxa"/>
              <w:bottom w:w="40" w:type="dxa"/>
              <w:right w:w="20" w:type="dxa"/>
            </w:tcMar>
            <w:vAlign w:val="bottom"/>
          </w:tcPr>
          <w:p w14:paraId="5A1B11E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E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1EC" w14:textId="77777777" w:rsidR="00960BB8" w:rsidRDefault="00C06650">
            <w:pPr>
              <w:jc w:val="right"/>
              <w:textAlignment w:val="bottom"/>
            </w:pPr>
            <w:r>
              <w:rPr>
                <w:rFonts w:ascii="Arial" w:eastAsia="宋体" w:hAnsi="Arial" w:cs="Arial"/>
                <w:color w:val="262626"/>
                <w:sz w:val="18"/>
                <w:szCs w:val="18"/>
              </w:rPr>
              <w:t>(303)</w:t>
            </w:r>
          </w:p>
        </w:tc>
        <w:tc>
          <w:tcPr>
            <w:tcW w:w="0" w:type="auto"/>
            <w:shd w:val="clear" w:color="auto" w:fill="auto"/>
            <w:tcMar>
              <w:top w:w="40" w:type="dxa"/>
              <w:left w:w="0" w:type="dxa"/>
              <w:bottom w:w="40" w:type="dxa"/>
              <w:right w:w="20" w:type="dxa"/>
            </w:tcMar>
            <w:vAlign w:val="bottom"/>
          </w:tcPr>
          <w:p w14:paraId="5A1B11ED" w14:textId="77777777" w:rsidR="00960BB8" w:rsidRDefault="00960BB8">
            <w:pPr>
              <w:jc w:val="right"/>
              <w:rPr>
                <w:rFonts w:ascii="宋体"/>
              </w:rPr>
            </w:pPr>
          </w:p>
        </w:tc>
      </w:tr>
      <w:tr w:rsidR="00960BB8" w14:paraId="5A1B11F9" w14:textId="77777777">
        <w:tc>
          <w:tcPr>
            <w:tcW w:w="0" w:type="auto"/>
            <w:gridSpan w:val="3"/>
            <w:shd w:val="clear" w:color="auto" w:fill="auto"/>
            <w:tcMar>
              <w:top w:w="40" w:type="dxa"/>
              <w:left w:w="20" w:type="dxa"/>
              <w:bottom w:w="40" w:type="dxa"/>
              <w:right w:w="20" w:type="dxa"/>
            </w:tcMar>
            <w:vAlign w:val="bottom"/>
          </w:tcPr>
          <w:p w14:paraId="5A1B11EF" w14:textId="77777777" w:rsidR="00960BB8" w:rsidRDefault="00C06650">
            <w:pPr>
              <w:textAlignment w:val="bottom"/>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5A1B11F0"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1F1" w14:textId="77777777" w:rsidR="00960BB8" w:rsidRDefault="00C06650">
            <w:pPr>
              <w:jc w:val="right"/>
              <w:textAlignment w:val="bottom"/>
            </w:pPr>
            <w:r>
              <w:rPr>
                <w:rFonts w:ascii="Arial" w:eastAsia="宋体" w:hAnsi="Arial" w:cs="Arial"/>
                <w:b/>
                <w:bCs/>
                <w:color w:val="0068B5"/>
                <w:sz w:val="18"/>
                <w:szCs w:val="18"/>
              </w:rPr>
              <w:t>(10,477)</w:t>
            </w:r>
          </w:p>
        </w:tc>
        <w:tc>
          <w:tcPr>
            <w:tcW w:w="0" w:type="auto"/>
            <w:tcBorders>
              <w:top w:val="single" w:sz="4" w:space="0" w:color="333333"/>
            </w:tcBorders>
            <w:shd w:val="clear" w:color="auto" w:fill="auto"/>
            <w:tcMar>
              <w:top w:w="40" w:type="dxa"/>
              <w:left w:w="0" w:type="dxa"/>
              <w:bottom w:w="40" w:type="dxa"/>
              <w:right w:w="20" w:type="dxa"/>
            </w:tcMar>
            <w:vAlign w:val="bottom"/>
          </w:tcPr>
          <w:p w14:paraId="5A1B11F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F3"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1F4" w14:textId="77777777" w:rsidR="00960BB8" w:rsidRDefault="00C06650">
            <w:pPr>
              <w:jc w:val="right"/>
              <w:textAlignment w:val="bottom"/>
            </w:pPr>
            <w:r>
              <w:rPr>
                <w:rFonts w:ascii="Arial" w:eastAsia="宋体" w:hAnsi="Arial" w:cs="Arial"/>
                <w:b/>
                <w:bCs/>
                <w:color w:val="262626"/>
                <w:sz w:val="18"/>
                <w:szCs w:val="18"/>
              </w:rPr>
              <w:t>(24,449)</w:t>
            </w:r>
          </w:p>
        </w:tc>
        <w:tc>
          <w:tcPr>
            <w:tcW w:w="0" w:type="auto"/>
            <w:tcBorders>
              <w:top w:val="single" w:sz="4" w:space="0" w:color="333333"/>
            </w:tcBorders>
            <w:shd w:val="clear" w:color="auto" w:fill="auto"/>
            <w:tcMar>
              <w:top w:w="40" w:type="dxa"/>
              <w:left w:w="0" w:type="dxa"/>
              <w:bottom w:w="40" w:type="dxa"/>
              <w:right w:w="20" w:type="dxa"/>
            </w:tcMar>
            <w:vAlign w:val="bottom"/>
          </w:tcPr>
          <w:p w14:paraId="5A1B11F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1F6"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1F7" w14:textId="77777777" w:rsidR="00960BB8" w:rsidRDefault="00C06650">
            <w:pPr>
              <w:jc w:val="right"/>
              <w:textAlignment w:val="bottom"/>
            </w:pPr>
            <w:r>
              <w:rPr>
                <w:rFonts w:ascii="Arial" w:eastAsia="宋体" w:hAnsi="Arial" w:cs="Arial"/>
                <w:b/>
                <w:bCs/>
                <w:color w:val="262626"/>
                <w:sz w:val="18"/>
                <w:szCs w:val="18"/>
              </w:rPr>
              <w:t>(21,524)</w:t>
            </w:r>
          </w:p>
        </w:tc>
        <w:tc>
          <w:tcPr>
            <w:tcW w:w="0" w:type="auto"/>
            <w:tcBorders>
              <w:top w:val="single" w:sz="4" w:space="0" w:color="333333"/>
            </w:tcBorders>
            <w:shd w:val="clear" w:color="auto" w:fill="auto"/>
            <w:tcMar>
              <w:top w:w="40" w:type="dxa"/>
              <w:left w:w="0" w:type="dxa"/>
              <w:bottom w:w="40" w:type="dxa"/>
              <w:right w:w="20" w:type="dxa"/>
            </w:tcMar>
            <w:vAlign w:val="bottom"/>
          </w:tcPr>
          <w:p w14:paraId="5A1B11F8" w14:textId="77777777" w:rsidR="00960BB8" w:rsidRDefault="00960BB8">
            <w:pPr>
              <w:jc w:val="right"/>
              <w:rPr>
                <w:rFonts w:ascii="宋体"/>
              </w:rPr>
            </w:pPr>
          </w:p>
        </w:tc>
      </w:tr>
      <w:tr w:rsidR="00960BB8" w14:paraId="5A1B1201" w14:textId="77777777">
        <w:tc>
          <w:tcPr>
            <w:tcW w:w="0" w:type="auto"/>
            <w:gridSpan w:val="3"/>
            <w:shd w:val="clear" w:color="auto" w:fill="auto"/>
            <w:tcMar>
              <w:top w:w="40" w:type="dxa"/>
              <w:left w:w="20" w:type="dxa"/>
              <w:bottom w:w="40" w:type="dxa"/>
              <w:right w:w="20" w:type="dxa"/>
            </w:tcMar>
            <w:vAlign w:val="bottom"/>
          </w:tcPr>
          <w:p w14:paraId="5A1B11FA" w14:textId="77777777" w:rsidR="00960BB8" w:rsidRDefault="00C06650">
            <w:pPr>
              <w:textAlignment w:val="bottom"/>
            </w:pPr>
            <w:r>
              <w:rPr>
                <w:rFonts w:ascii="Arial" w:eastAsia="宋体" w:hAnsi="Arial" w:cs="Arial"/>
                <w:color w:val="262626"/>
                <w:sz w:val="18"/>
                <w:szCs w:val="18"/>
              </w:rPr>
              <w:t>C</w:t>
            </w:r>
            <w:r>
              <w:rPr>
                <w:rFonts w:ascii="Arial" w:eastAsia="宋体" w:hAnsi="Arial" w:cs="Arial"/>
                <w:color w:val="262626"/>
                <w:sz w:val="18"/>
                <w:szCs w:val="18"/>
              </w:rPr>
              <w:t>ash flows provided by (used for) financing activities:</w:t>
            </w:r>
          </w:p>
        </w:tc>
        <w:tc>
          <w:tcPr>
            <w:tcW w:w="0" w:type="auto"/>
            <w:gridSpan w:val="3"/>
            <w:shd w:val="clear" w:color="auto" w:fill="auto"/>
            <w:tcMar>
              <w:top w:w="0" w:type="dxa"/>
              <w:left w:w="20" w:type="dxa"/>
              <w:bottom w:w="0" w:type="dxa"/>
              <w:right w:w="20" w:type="dxa"/>
            </w:tcMar>
            <w:vAlign w:val="bottom"/>
          </w:tcPr>
          <w:p w14:paraId="5A1B11FB"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1F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1FD"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1F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1FF"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200" w14:textId="77777777" w:rsidR="00960BB8" w:rsidRDefault="00960BB8">
            <w:pPr>
              <w:rPr>
                <w:rFonts w:ascii="宋体"/>
              </w:rPr>
            </w:pPr>
          </w:p>
        </w:tc>
      </w:tr>
      <w:tr w:rsidR="00960BB8" w14:paraId="5A1B120C" w14:textId="77777777">
        <w:tc>
          <w:tcPr>
            <w:tcW w:w="0" w:type="auto"/>
            <w:gridSpan w:val="3"/>
            <w:shd w:val="clear" w:color="auto" w:fill="auto"/>
            <w:tcMar>
              <w:top w:w="40" w:type="dxa"/>
              <w:left w:w="155" w:type="dxa"/>
              <w:bottom w:w="40" w:type="dxa"/>
              <w:right w:w="20" w:type="dxa"/>
            </w:tcMar>
            <w:vAlign w:val="bottom"/>
          </w:tcPr>
          <w:p w14:paraId="5A1B1202" w14:textId="77777777" w:rsidR="00960BB8" w:rsidRDefault="00C06650">
            <w:pPr>
              <w:textAlignment w:val="bottom"/>
            </w:pPr>
            <w:r>
              <w:rPr>
                <w:rFonts w:ascii="Arial" w:eastAsia="宋体" w:hAnsi="Arial" w:cs="Arial"/>
                <w:color w:val="262626"/>
                <w:sz w:val="18"/>
                <w:szCs w:val="18"/>
              </w:rPr>
              <w:t>Issuance of commercial paper, net of issuance costs</w:t>
            </w:r>
          </w:p>
        </w:tc>
        <w:tc>
          <w:tcPr>
            <w:tcW w:w="0" w:type="auto"/>
            <w:gridSpan w:val="3"/>
            <w:shd w:val="clear" w:color="auto" w:fill="auto"/>
            <w:tcMar>
              <w:top w:w="0" w:type="dxa"/>
              <w:left w:w="20" w:type="dxa"/>
              <w:bottom w:w="0" w:type="dxa"/>
              <w:right w:w="20" w:type="dxa"/>
            </w:tcMar>
            <w:vAlign w:val="bottom"/>
          </w:tcPr>
          <w:p w14:paraId="5A1B120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04" w14:textId="77777777" w:rsidR="00960BB8" w:rsidRDefault="00C06650">
            <w:pPr>
              <w:jc w:val="right"/>
              <w:textAlignment w:val="bottom"/>
            </w:pPr>
            <w:r>
              <w:rPr>
                <w:rFonts w:ascii="Arial" w:eastAsia="宋体" w:hAnsi="Arial" w:cs="Arial"/>
                <w:color w:val="0068B5"/>
                <w:sz w:val="18"/>
                <w:szCs w:val="18"/>
              </w:rPr>
              <w:t>3,945 </w:t>
            </w:r>
          </w:p>
        </w:tc>
        <w:tc>
          <w:tcPr>
            <w:tcW w:w="0" w:type="auto"/>
            <w:shd w:val="clear" w:color="auto" w:fill="auto"/>
            <w:tcMar>
              <w:top w:w="40" w:type="dxa"/>
              <w:left w:w="0" w:type="dxa"/>
              <w:bottom w:w="40" w:type="dxa"/>
              <w:right w:w="20" w:type="dxa"/>
            </w:tcMar>
            <w:vAlign w:val="bottom"/>
          </w:tcPr>
          <w:p w14:paraId="5A1B120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0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07"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20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0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0A"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20B" w14:textId="77777777" w:rsidR="00960BB8" w:rsidRDefault="00960BB8">
            <w:pPr>
              <w:jc w:val="right"/>
              <w:rPr>
                <w:rFonts w:ascii="宋体"/>
              </w:rPr>
            </w:pPr>
          </w:p>
        </w:tc>
      </w:tr>
      <w:tr w:rsidR="00960BB8" w14:paraId="5A1B1217" w14:textId="77777777">
        <w:tc>
          <w:tcPr>
            <w:tcW w:w="0" w:type="auto"/>
            <w:gridSpan w:val="3"/>
            <w:shd w:val="clear" w:color="auto" w:fill="auto"/>
            <w:tcMar>
              <w:top w:w="40" w:type="dxa"/>
              <w:left w:w="140" w:type="dxa"/>
              <w:bottom w:w="40" w:type="dxa"/>
              <w:right w:w="20" w:type="dxa"/>
            </w:tcMar>
            <w:vAlign w:val="bottom"/>
          </w:tcPr>
          <w:p w14:paraId="5A1B120D" w14:textId="77777777" w:rsidR="00960BB8" w:rsidRDefault="00C06650">
            <w:pPr>
              <w:textAlignment w:val="bottom"/>
            </w:pPr>
            <w:r>
              <w:rPr>
                <w:rFonts w:ascii="Arial" w:eastAsia="宋体" w:hAnsi="Arial" w:cs="Arial"/>
                <w:color w:val="262626"/>
                <w:sz w:val="18"/>
                <w:szCs w:val="18"/>
              </w:rPr>
              <w:t>Payments on finance leases</w:t>
            </w:r>
          </w:p>
        </w:tc>
        <w:tc>
          <w:tcPr>
            <w:tcW w:w="0" w:type="auto"/>
            <w:gridSpan w:val="3"/>
            <w:shd w:val="clear" w:color="auto" w:fill="auto"/>
            <w:tcMar>
              <w:top w:w="0" w:type="dxa"/>
              <w:left w:w="20" w:type="dxa"/>
              <w:bottom w:w="0" w:type="dxa"/>
              <w:right w:w="20" w:type="dxa"/>
            </w:tcMar>
            <w:vAlign w:val="bottom"/>
          </w:tcPr>
          <w:p w14:paraId="5A1B120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0F" w14:textId="77777777" w:rsidR="00960BB8" w:rsidRDefault="00C06650">
            <w:pPr>
              <w:jc w:val="right"/>
              <w:textAlignment w:val="bottom"/>
            </w:pPr>
            <w:r>
              <w:rPr>
                <w:rFonts w:ascii="Arial" w:eastAsia="宋体" w:hAnsi="Arial" w:cs="Arial"/>
                <w:color w:val="0068B5"/>
                <w:sz w:val="18"/>
                <w:szCs w:val="18"/>
              </w:rPr>
              <w:t>(345)</w:t>
            </w:r>
          </w:p>
        </w:tc>
        <w:tc>
          <w:tcPr>
            <w:tcW w:w="0" w:type="auto"/>
            <w:shd w:val="clear" w:color="auto" w:fill="auto"/>
            <w:tcMar>
              <w:top w:w="40" w:type="dxa"/>
              <w:left w:w="0" w:type="dxa"/>
              <w:bottom w:w="40" w:type="dxa"/>
              <w:right w:w="20" w:type="dxa"/>
            </w:tcMar>
            <w:vAlign w:val="bottom"/>
          </w:tcPr>
          <w:p w14:paraId="5A1B121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1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12"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21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1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15"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216" w14:textId="77777777" w:rsidR="00960BB8" w:rsidRDefault="00960BB8">
            <w:pPr>
              <w:jc w:val="right"/>
              <w:rPr>
                <w:rFonts w:ascii="宋体"/>
              </w:rPr>
            </w:pPr>
          </w:p>
        </w:tc>
      </w:tr>
      <w:tr w:rsidR="00960BB8" w14:paraId="5A1B121F" w14:textId="77777777">
        <w:trPr>
          <w:hidden/>
        </w:trPr>
        <w:tc>
          <w:tcPr>
            <w:tcW w:w="0" w:type="auto"/>
            <w:gridSpan w:val="3"/>
            <w:shd w:val="clear" w:color="auto" w:fill="auto"/>
            <w:vAlign w:val="bottom"/>
          </w:tcPr>
          <w:p w14:paraId="5A1B1218" w14:textId="77777777" w:rsidR="00960BB8" w:rsidRDefault="00960BB8">
            <w:pPr>
              <w:rPr>
                <w:rFonts w:ascii="宋体"/>
                <w:vanish/>
              </w:rPr>
            </w:pPr>
          </w:p>
        </w:tc>
        <w:tc>
          <w:tcPr>
            <w:tcW w:w="0" w:type="auto"/>
            <w:gridSpan w:val="3"/>
            <w:shd w:val="clear" w:color="auto" w:fill="auto"/>
            <w:vAlign w:val="bottom"/>
          </w:tcPr>
          <w:p w14:paraId="5A1B1219" w14:textId="77777777" w:rsidR="00960BB8" w:rsidRDefault="00960BB8">
            <w:pPr>
              <w:rPr>
                <w:rFonts w:ascii="宋体"/>
                <w:vanish/>
              </w:rPr>
            </w:pPr>
          </w:p>
        </w:tc>
        <w:tc>
          <w:tcPr>
            <w:tcW w:w="0" w:type="auto"/>
            <w:gridSpan w:val="3"/>
            <w:shd w:val="clear" w:color="auto" w:fill="auto"/>
            <w:vAlign w:val="bottom"/>
          </w:tcPr>
          <w:p w14:paraId="5A1B121A" w14:textId="77777777" w:rsidR="00960BB8" w:rsidRDefault="00960BB8">
            <w:pPr>
              <w:rPr>
                <w:rFonts w:ascii="宋体"/>
                <w:vanish/>
              </w:rPr>
            </w:pPr>
          </w:p>
        </w:tc>
        <w:tc>
          <w:tcPr>
            <w:tcW w:w="0" w:type="auto"/>
            <w:gridSpan w:val="3"/>
            <w:shd w:val="clear" w:color="auto" w:fill="auto"/>
            <w:vAlign w:val="bottom"/>
          </w:tcPr>
          <w:p w14:paraId="5A1B121B" w14:textId="77777777" w:rsidR="00960BB8" w:rsidRDefault="00960BB8">
            <w:pPr>
              <w:rPr>
                <w:rFonts w:ascii="宋体"/>
                <w:vanish/>
              </w:rPr>
            </w:pPr>
          </w:p>
        </w:tc>
        <w:tc>
          <w:tcPr>
            <w:tcW w:w="0" w:type="auto"/>
            <w:gridSpan w:val="3"/>
            <w:shd w:val="clear" w:color="auto" w:fill="auto"/>
            <w:vAlign w:val="bottom"/>
          </w:tcPr>
          <w:p w14:paraId="5A1B121C" w14:textId="77777777" w:rsidR="00960BB8" w:rsidRDefault="00960BB8">
            <w:pPr>
              <w:rPr>
                <w:rFonts w:ascii="宋体"/>
                <w:vanish/>
              </w:rPr>
            </w:pPr>
          </w:p>
        </w:tc>
        <w:tc>
          <w:tcPr>
            <w:tcW w:w="0" w:type="auto"/>
            <w:gridSpan w:val="3"/>
            <w:shd w:val="clear" w:color="auto" w:fill="auto"/>
            <w:vAlign w:val="bottom"/>
          </w:tcPr>
          <w:p w14:paraId="5A1B121D" w14:textId="77777777" w:rsidR="00960BB8" w:rsidRDefault="00960BB8">
            <w:pPr>
              <w:rPr>
                <w:rFonts w:ascii="宋体"/>
                <w:vanish/>
              </w:rPr>
            </w:pPr>
          </w:p>
        </w:tc>
        <w:tc>
          <w:tcPr>
            <w:tcW w:w="0" w:type="auto"/>
            <w:gridSpan w:val="3"/>
            <w:shd w:val="clear" w:color="auto" w:fill="auto"/>
            <w:vAlign w:val="bottom"/>
          </w:tcPr>
          <w:p w14:paraId="5A1B121E" w14:textId="77777777" w:rsidR="00960BB8" w:rsidRDefault="00960BB8">
            <w:pPr>
              <w:rPr>
                <w:rFonts w:ascii="宋体"/>
                <w:vanish/>
              </w:rPr>
            </w:pPr>
          </w:p>
        </w:tc>
      </w:tr>
      <w:tr w:rsidR="00960BB8" w14:paraId="5A1B122A" w14:textId="77777777">
        <w:tc>
          <w:tcPr>
            <w:tcW w:w="0" w:type="auto"/>
            <w:gridSpan w:val="3"/>
            <w:shd w:val="clear" w:color="auto" w:fill="auto"/>
            <w:tcMar>
              <w:top w:w="40" w:type="dxa"/>
              <w:left w:w="155" w:type="dxa"/>
              <w:bottom w:w="40" w:type="dxa"/>
              <w:right w:w="20" w:type="dxa"/>
            </w:tcMar>
            <w:vAlign w:val="bottom"/>
          </w:tcPr>
          <w:p w14:paraId="5A1B1220" w14:textId="77777777" w:rsidR="00960BB8" w:rsidRDefault="00C06650">
            <w:pPr>
              <w:textAlignment w:val="bottom"/>
            </w:pPr>
            <w:r>
              <w:rPr>
                <w:rFonts w:ascii="Arial" w:eastAsia="宋体" w:hAnsi="Arial" w:cs="Arial"/>
                <w:color w:val="262626"/>
                <w:sz w:val="18"/>
                <w:szCs w:val="18"/>
              </w:rPr>
              <w:t>Partner contributions</w:t>
            </w:r>
          </w:p>
        </w:tc>
        <w:tc>
          <w:tcPr>
            <w:tcW w:w="0" w:type="auto"/>
            <w:gridSpan w:val="3"/>
            <w:shd w:val="clear" w:color="auto" w:fill="auto"/>
            <w:tcMar>
              <w:top w:w="0" w:type="dxa"/>
              <w:left w:w="20" w:type="dxa"/>
              <w:bottom w:w="0" w:type="dxa"/>
              <w:right w:w="20" w:type="dxa"/>
            </w:tcMar>
            <w:vAlign w:val="bottom"/>
          </w:tcPr>
          <w:p w14:paraId="5A1B122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22" w14:textId="77777777" w:rsidR="00960BB8" w:rsidRDefault="00C06650">
            <w:pPr>
              <w:jc w:val="right"/>
              <w:textAlignment w:val="bottom"/>
            </w:pPr>
            <w:r>
              <w:rPr>
                <w:rFonts w:ascii="Arial" w:eastAsia="宋体" w:hAnsi="Arial" w:cs="Arial"/>
                <w:color w:val="0068B5"/>
                <w:sz w:val="18"/>
                <w:szCs w:val="18"/>
              </w:rPr>
              <w:t>874 </w:t>
            </w:r>
          </w:p>
        </w:tc>
        <w:tc>
          <w:tcPr>
            <w:tcW w:w="0" w:type="auto"/>
            <w:shd w:val="clear" w:color="auto" w:fill="auto"/>
            <w:tcMar>
              <w:top w:w="40" w:type="dxa"/>
              <w:left w:w="0" w:type="dxa"/>
              <w:bottom w:w="40" w:type="dxa"/>
              <w:right w:w="20" w:type="dxa"/>
            </w:tcMar>
            <w:vAlign w:val="bottom"/>
          </w:tcPr>
          <w:p w14:paraId="5A1B122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2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25"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22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2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28"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229" w14:textId="77777777" w:rsidR="00960BB8" w:rsidRDefault="00960BB8">
            <w:pPr>
              <w:jc w:val="right"/>
              <w:rPr>
                <w:rFonts w:ascii="宋体"/>
              </w:rPr>
            </w:pPr>
          </w:p>
        </w:tc>
      </w:tr>
      <w:tr w:rsidR="00960BB8" w14:paraId="5A1B1235" w14:textId="77777777">
        <w:tc>
          <w:tcPr>
            <w:tcW w:w="0" w:type="auto"/>
            <w:gridSpan w:val="3"/>
            <w:shd w:val="clear" w:color="auto" w:fill="auto"/>
            <w:tcMar>
              <w:top w:w="40" w:type="dxa"/>
              <w:left w:w="155" w:type="dxa"/>
              <w:bottom w:w="40" w:type="dxa"/>
              <w:right w:w="20" w:type="dxa"/>
            </w:tcMar>
            <w:vAlign w:val="bottom"/>
          </w:tcPr>
          <w:p w14:paraId="5A1B122B" w14:textId="77777777" w:rsidR="00960BB8" w:rsidRDefault="00C06650">
            <w:pPr>
              <w:textAlignment w:val="bottom"/>
            </w:pPr>
            <w:r>
              <w:rPr>
                <w:rFonts w:ascii="Arial" w:eastAsia="宋体" w:hAnsi="Arial" w:cs="Arial"/>
                <w:color w:val="262626"/>
                <w:sz w:val="18"/>
                <w:szCs w:val="18"/>
              </w:rPr>
              <w:t xml:space="preserve">Proceeds from </w:t>
            </w:r>
            <w:r>
              <w:rPr>
                <w:rFonts w:ascii="Arial" w:eastAsia="宋体" w:hAnsi="Arial" w:cs="Arial"/>
                <w:color w:val="262626"/>
                <w:sz w:val="18"/>
                <w:szCs w:val="18"/>
              </w:rPr>
              <w:t>Mobileye IPO</w:t>
            </w:r>
          </w:p>
        </w:tc>
        <w:tc>
          <w:tcPr>
            <w:tcW w:w="0" w:type="auto"/>
            <w:gridSpan w:val="3"/>
            <w:shd w:val="clear" w:color="auto" w:fill="auto"/>
            <w:tcMar>
              <w:top w:w="0" w:type="dxa"/>
              <w:left w:w="20" w:type="dxa"/>
              <w:bottom w:w="0" w:type="dxa"/>
              <w:right w:w="20" w:type="dxa"/>
            </w:tcMar>
            <w:vAlign w:val="bottom"/>
          </w:tcPr>
          <w:p w14:paraId="5A1B122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2D" w14:textId="77777777" w:rsidR="00960BB8" w:rsidRDefault="00C06650">
            <w:pPr>
              <w:jc w:val="right"/>
              <w:textAlignment w:val="bottom"/>
            </w:pPr>
            <w:r>
              <w:rPr>
                <w:rFonts w:ascii="Arial" w:eastAsia="宋体" w:hAnsi="Arial" w:cs="Arial"/>
                <w:color w:val="0068B5"/>
                <w:sz w:val="18"/>
                <w:szCs w:val="18"/>
              </w:rPr>
              <w:t>1,032 </w:t>
            </w:r>
          </w:p>
        </w:tc>
        <w:tc>
          <w:tcPr>
            <w:tcW w:w="0" w:type="auto"/>
            <w:shd w:val="clear" w:color="auto" w:fill="auto"/>
            <w:tcMar>
              <w:top w:w="40" w:type="dxa"/>
              <w:left w:w="0" w:type="dxa"/>
              <w:bottom w:w="40" w:type="dxa"/>
              <w:right w:w="20" w:type="dxa"/>
            </w:tcMar>
            <w:vAlign w:val="bottom"/>
          </w:tcPr>
          <w:p w14:paraId="5A1B122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2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30"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23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3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33"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234" w14:textId="77777777" w:rsidR="00960BB8" w:rsidRDefault="00960BB8">
            <w:pPr>
              <w:jc w:val="right"/>
              <w:rPr>
                <w:rFonts w:ascii="宋体"/>
              </w:rPr>
            </w:pPr>
          </w:p>
        </w:tc>
      </w:tr>
      <w:tr w:rsidR="00960BB8" w14:paraId="5A1B123D" w14:textId="77777777">
        <w:trPr>
          <w:hidden/>
        </w:trPr>
        <w:tc>
          <w:tcPr>
            <w:tcW w:w="0" w:type="auto"/>
            <w:gridSpan w:val="3"/>
            <w:shd w:val="clear" w:color="auto" w:fill="auto"/>
            <w:vAlign w:val="bottom"/>
          </w:tcPr>
          <w:p w14:paraId="5A1B1236" w14:textId="77777777" w:rsidR="00960BB8" w:rsidRDefault="00960BB8">
            <w:pPr>
              <w:rPr>
                <w:rFonts w:ascii="宋体"/>
                <w:vanish/>
              </w:rPr>
            </w:pPr>
          </w:p>
        </w:tc>
        <w:tc>
          <w:tcPr>
            <w:tcW w:w="0" w:type="auto"/>
            <w:gridSpan w:val="3"/>
            <w:shd w:val="clear" w:color="auto" w:fill="auto"/>
            <w:vAlign w:val="bottom"/>
          </w:tcPr>
          <w:p w14:paraId="5A1B1237" w14:textId="77777777" w:rsidR="00960BB8" w:rsidRDefault="00960BB8">
            <w:pPr>
              <w:rPr>
                <w:rFonts w:ascii="宋体"/>
                <w:vanish/>
              </w:rPr>
            </w:pPr>
          </w:p>
        </w:tc>
        <w:tc>
          <w:tcPr>
            <w:tcW w:w="0" w:type="auto"/>
            <w:gridSpan w:val="3"/>
            <w:shd w:val="clear" w:color="auto" w:fill="auto"/>
            <w:vAlign w:val="bottom"/>
          </w:tcPr>
          <w:p w14:paraId="5A1B1238" w14:textId="77777777" w:rsidR="00960BB8" w:rsidRDefault="00960BB8">
            <w:pPr>
              <w:rPr>
                <w:rFonts w:ascii="宋体"/>
                <w:vanish/>
              </w:rPr>
            </w:pPr>
          </w:p>
        </w:tc>
        <w:tc>
          <w:tcPr>
            <w:tcW w:w="0" w:type="auto"/>
            <w:gridSpan w:val="3"/>
            <w:shd w:val="clear" w:color="auto" w:fill="auto"/>
            <w:vAlign w:val="bottom"/>
          </w:tcPr>
          <w:p w14:paraId="5A1B1239" w14:textId="77777777" w:rsidR="00960BB8" w:rsidRDefault="00960BB8">
            <w:pPr>
              <w:rPr>
                <w:rFonts w:ascii="宋体"/>
                <w:vanish/>
              </w:rPr>
            </w:pPr>
          </w:p>
        </w:tc>
        <w:tc>
          <w:tcPr>
            <w:tcW w:w="0" w:type="auto"/>
            <w:gridSpan w:val="3"/>
            <w:shd w:val="clear" w:color="auto" w:fill="auto"/>
            <w:vAlign w:val="bottom"/>
          </w:tcPr>
          <w:p w14:paraId="5A1B123A" w14:textId="77777777" w:rsidR="00960BB8" w:rsidRDefault="00960BB8">
            <w:pPr>
              <w:rPr>
                <w:rFonts w:ascii="宋体"/>
                <w:vanish/>
              </w:rPr>
            </w:pPr>
          </w:p>
        </w:tc>
        <w:tc>
          <w:tcPr>
            <w:tcW w:w="0" w:type="auto"/>
            <w:gridSpan w:val="3"/>
            <w:shd w:val="clear" w:color="auto" w:fill="auto"/>
            <w:vAlign w:val="bottom"/>
          </w:tcPr>
          <w:p w14:paraId="5A1B123B" w14:textId="77777777" w:rsidR="00960BB8" w:rsidRDefault="00960BB8">
            <w:pPr>
              <w:rPr>
                <w:rFonts w:ascii="宋体"/>
                <w:vanish/>
              </w:rPr>
            </w:pPr>
          </w:p>
        </w:tc>
        <w:tc>
          <w:tcPr>
            <w:tcW w:w="0" w:type="auto"/>
            <w:gridSpan w:val="3"/>
            <w:shd w:val="clear" w:color="auto" w:fill="auto"/>
            <w:vAlign w:val="bottom"/>
          </w:tcPr>
          <w:p w14:paraId="5A1B123C" w14:textId="77777777" w:rsidR="00960BB8" w:rsidRDefault="00960BB8">
            <w:pPr>
              <w:rPr>
                <w:rFonts w:ascii="宋体"/>
                <w:vanish/>
              </w:rPr>
            </w:pPr>
          </w:p>
        </w:tc>
      </w:tr>
      <w:tr w:rsidR="00960BB8" w14:paraId="5A1B1248" w14:textId="77777777">
        <w:tc>
          <w:tcPr>
            <w:tcW w:w="0" w:type="auto"/>
            <w:gridSpan w:val="3"/>
            <w:shd w:val="clear" w:color="auto" w:fill="auto"/>
            <w:tcMar>
              <w:top w:w="40" w:type="dxa"/>
              <w:left w:w="140" w:type="dxa"/>
              <w:bottom w:w="40" w:type="dxa"/>
              <w:right w:w="20" w:type="dxa"/>
            </w:tcMar>
            <w:vAlign w:val="bottom"/>
          </w:tcPr>
          <w:p w14:paraId="5A1B123E" w14:textId="77777777" w:rsidR="00960BB8" w:rsidRDefault="00C06650">
            <w:pPr>
              <w:textAlignment w:val="bottom"/>
            </w:pPr>
            <w:r>
              <w:rPr>
                <w:rFonts w:ascii="Arial" w:eastAsia="宋体" w:hAnsi="Arial" w:cs="Arial"/>
                <w:color w:val="262626"/>
                <w:sz w:val="18"/>
                <w:szCs w:val="18"/>
              </w:rPr>
              <w:t>Issuance of term debt, net of issuance costs</w:t>
            </w:r>
          </w:p>
        </w:tc>
        <w:tc>
          <w:tcPr>
            <w:tcW w:w="0" w:type="auto"/>
            <w:gridSpan w:val="3"/>
            <w:shd w:val="clear" w:color="auto" w:fill="auto"/>
            <w:tcMar>
              <w:top w:w="0" w:type="dxa"/>
              <w:left w:w="20" w:type="dxa"/>
              <w:bottom w:w="0" w:type="dxa"/>
              <w:right w:w="20" w:type="dxa"/>
            </w:tcMar>
            <w:vAlign w:val="bottom"/>
          </w:tcPr>
          <w:p w14:paraId="5A1B123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40" w14:textId="77777777" w:rsidR="00960BB8" w:rsidRDefault="00C06650">
            <w:pPr>
              <w:jc w:val="right"/>
              <w:textAlignment w:val="bottom"/>
            </w:pPr>
            <w:r>
              <w:rPr>
                <w:rFonts w:ascii="Arial" w:eastAsia="宋体" w:hAnsi="Arial" w:cs="Arial"/>
                <w:color w:val="0068B5"/>
                <w:sz w:val="18"/>
                <w:szCs w:val="18"/>
              </w:rPr>
              <w:t>6,548 </w:t>
            </w:r>
          </w:p>
        </w:tc>
        <w:tc>
          <w:tcPr>
            <w:tcW w:w="0" w:type="auto"/>
            <w:shd w:val="clear" w:color="auto" w:fill="auto"/>
            <w:tcMar>
              <w:top w:w="40" w:type="dxa"/>
              <w:left w:w="0" w:type="dxa"/>
              <w:bottom w:w="40" w:type="dxa"/>
              <w:right w:w="20" w:type="dxa"/>
            </w:tcMar>
            <w:vAlign w:val="bottom"/>
          </w:tcPr>
          <w:p w14:paraId="5A1B124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4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43" w14:textId="77777777" w:rsidR="00960BB8" w:rsidRDefault="00C06650">
            <w:pPr>
              <w:jc w:val="right"/>
              <w:textAlignment w:val="bottom"/>
            </w:pPr>
            <w:r>
              <w:rPr>
                <w:rFonts w:ascii="Arial" w:eastAsia="宋体" w:hAnsi="Arial" w:cs="Arial"/>
                <w:color w:val="262626"/>
                <w:sz w:val="18"/>
                <w:szCs w:val="18"/>
              </w:rPr>
              <w:t>4,974 </w:t>
            </w:r>
          </w:p>
        </w:tc>
        <w:tc>
          <w:tcPr>
            <w:tcW w:w="0" w:type="auto"/>
            <w:shd w:val="clear" w:color="auto" w:fill="auto"/>
            <w:tcMar>
              <w:top w:w="40" w:type="dxa"/>
              <w:left w:w="0" w:type="dxa"/>
              <w:bottom w:w="40" w:type="dxa"/>
              <w:right w:w="20" w:type="dxa"/>
            </w:tcMar>
            <w:vAlign w:val="bottom"/>
          </w:tcPr>
          <w:p w14:paraId="5A1B124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4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46" w14:textId="77777777" w:rsidR="00960BB8" w:rsidRDefault="00C06650">
            <w:pPr>
              <w:jc w:val="right"/>
              <w:textAlignment w:val="bottom"/>
            </w:pPr>
            <w:r>
              <w:rPr>
                <w:rFonts w:ascii="Arial" w:eastAsia="宋体" w:hAnsi="Arial" w:cs="Arial"/>
                <w:color w:val="262626"/>
                <w:sz w:val="18"/>
                <w:szCs w:val="18"/>
              </w:rPr>
              <w:t>10,247 </w:t>
            </w:r>
          </w:p>
        </w:tc>
        <w:tc>
          <w:tcPr>
            <w:tcW w:w="0" w:type="auto"/>
            <w:shd w:val="clear" w:color="auto" w:fill="auto"/>
            <w:tcMar>
              <w:top w:w="40" w:type="dxa"/>
              <w:left w:w="0" w:type="dxa"/>
              <w:bottom w:w="40" w:type="dxa"/>
              <w:right w:w="20" w:type="dxa"/>
            </w:tcMar>
            <w:vAlign w:val="bottom"/>
          </w:tcPr>
          <w:p w14:paraId="5A1B1247" w14:textId="77777777" w:rsidR="00960BB8" w:rsidRDefault="00960BB8">
            <w:pPr>
              <w:jc w:val="right"/>
              <w:rPr>
                <w:rFonts w:ascii="宋体"/>
              </w:rPr>
            </w:pPr>
          </w:p>
        </w:tc>
      </w:tr>
      <w:tr w:rsidR="00960BB8" w14:paraId="5A1B1253" w14:textId="77777777">
        <w:tc>
          <w:tcPr>
            <w:tcW w:w="0" w:type="auto"/>
            <w:gridSpan w:val="3"/>
            <w:shd w:val="clear" w:color="auto" w:fill="auto"/>
            <w:tcMar>
              <w:top w:w="40" w:type="dxa"/>
              <w:left w:w="140" w:type="dxa"/>
              <w:bottom w:w="40" w:type="dxa"/>
              <w:right w:w="20" w:type="dxa"/>
            </w:tcMar>
            <w:vAlign w:val="bottom"/>
          </w:tcPr>
          <w:p w14:paraId="5A1B1249" w14:textId="77777777" w:rsidR="00960BB8" w:rsidRDefault="00C06650">
            <w:pPr>
              <w:textAlignment w:val="bottom"/>
            </w:pPr>
            <w:r>
              <w:rPr>
                <w:rFonts w:ascii="Arial" w:eastAsia="宋体" w:hAnsi="Arial" w:cs="Arial"/>
                <w:color w:val="262626"/>
                <w:sz w:val="18"/>
                <w:szCs w:val="18"/>
              </w:rPr>
              <w:t>Repayment of term debt and debt conversions</w:t>
            </w:r>
          </w:p>
        </w:tc>
        <w:tc>
          <w:tcPr>
            <w:tcW w:w="0" w:type="auto"/>
            <w:gridSpan w:val="3"/>
            <w:shd w:val="clear" w:color="auto" w:fill="auto"/>
            <w:tcMar>
              <w:top w:w="0" w:type="dxa"/>
              <w:left w:w="20" w:type="dxa"/>
              <w:bottom w:w="0" w:type="dxa"/>
              <w:right w:w="20" w:type="dxa"/>
            </w:tcMar>
            <w:vAlign w:val="bottom"/>
          </w:tcPr>
          <w:p w14:paraId="5A1B124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4B" w14:textId="77777777" w:rsidR="00960BB8" w:rsidRDefault="00C06650">
            <w:pPr>
              <w:jc w:val="right"/>
              <w:textAlignment w:val="bottom"/>
            </w:pPr>
            <w:r>
              <w:rPr>
                <w:rFonts w:ascii="Arial" w:eastAsia="宋体" w:hAnsi="Arial" w:cs="Arial"/>
                <w:color w:val="0068B5"/>
                <w:sz w:val="18"/>
                <w:szCs w:val="18"/>
              </w:rPr>
              <w:t>(4,984)</w:t>
            </w:r>
          </w:p>
        </w:tc>
        <w:tc>
          <w:tcPr>
            <w:tcW w:w="0" w:type="auto"/>
            <w:shd w:val="clear" w:color="auto" w:fill="auto"/>
            <w:tcMar>
              <w:top w:w="40" w:type="dxa"/>
              <w:left w:w="0" w:type="dxa"/>
              <w:bottom w:w="40" w:type="dxa"/>
              <w:right w:w="20" w:type="dxa"/>
            </w:tcMar>
            <w:vAlign w:val="bottom"/>
          </w:tcPr>
          <w:p w14:paraId="5A1B124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4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4E" w14:textId="77777777" w:rsidR="00960BB8" w:rsidRDefault="00C06650">
            <w:pPr>
              <w:jc w:val="right"/>
              <w:textAlignment w:val="bottom"/>
            </w:pPr>
            <w:r>
              <w:rPr>
                <w:rFonts w:ascii="Arial" w:eastAsia="宋体" w:hAnsi="Arial" w:cs="Arial"/>
                <w:color w:val="262626"/>
                <w:sz w:val="18"/>
                <w:szCs w:val="18"/>
              </w:rPr>
              <w:t>(2,500)</w:t>
            </w:r>
          </w:p>
        </w:tc>
        <w:tc>
          <w:tcPr>
            <w:tcW w:w="0" w:type="auto"/>
            <w:shd w:val="clear" w:color="auto" w:fill="auto"/>
            <w:tcMar>
              <w:top w:w="40" w:type="dxa"/>
              <w:left w:w="0" w:type="dxa"/>
              <w:bottom w:w="40" w:type="dxa"/>
              <w:right w:w="20" w:type="dxa"/>
            </w:tcMar>
            <w:vAlign w:val="bottom"/>
          </w:tcPr>
          <w:p w14:paraId="5A1B124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5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51" w14:textId="77777777" w:rsidR="00960BB8" w:rsidRDefault="00C06650">
            <w:pPr>
              <w:jc w:val="right"/>
              <w:textAlignment w:val="bottom"/>
            </w:pPr>
            <w:r>
              <w:rPr>
                <w:rFonts w:ascii="Arial" w:eastAsia="宋体" w:hAnsi="Arial" w:cs="Arial"/>
                <w:color w:val="262626"/>
                <w:sz w:val="18"/>
                <w:szCs w:val="18"/>
              </w:rPr>
              <w:t>(4,525)</w:t>
            </w:r>
          </w:p>
        </w:tc>
        <w:tc>
          <w:tcPr>
            <w:tcW w:w="0" w:type="auto"/>
            <w:shd w:val="clear" w:color="auto" w:fill="auto"/>
            <w:tcMar>
              <w:top w:w="40" w:type="dxa"/>
              <w:left w:w="0" w:type="dxa"/>
              <w:bottom w:w="40" w:type="dxa"/>
              <w:right w:w="20" w:type="dxa"/>
            </w:tcMar>
            <w:vAlign w:val="bottom"/>
          </w:tcPr>
          <w:p w14:paraId="5A1B1252" w14:textId="77777777" w:rsidR="00960BB8" w:rsidRDefault="00960BB8">
            <w:pPr>
              <w:jc w:val="right"/>
              <w:rPr>
                <w:rFonts w:ascii="宋体"/>
              </w:rPr>
            </w:pPr>
          </w:p>
        </w:tc>
      </w:tr>
      <w:tr w:rsidR="00960BB8" w14:paraId="5A1B125E" w14:textId="77777777">
        <w:tc>
          <w:tcPr>
            <w:tcW w:w="0" w:type="auto"/>
            <w:gridSpan w:val="3"/>
            <w:shd w:val="clear" w:color="auto" w:fill="auto"/>
            <w:tcMar>
              <w:top w:w="40" w:type="dxa"/>
              <w:left w:w="140" w:type="dxa"/>
              <w:bottom w:w="40" w:type="dxa"/>
              <w:right w:w="20" w:type="dxa"/>
            </w:tcMar>
            <w:vAlign w:val="bottom"/>
          </w:tcPr>
          <w:p w14:paraId="5A1B1254" w14:textId="77777777" w:rsidR="00960BB8" w:rsidRDefault="00C06650">
            <w:pPr>
              <w:textAlignment w:val="bottom"/>
            </w:pPr>
            <w:r>
              <w:rPr>
                <w:rFonts w:ascii="Arial" w:eastAsia="宋体" w:hAnsi="Arial" w:cs="Arial"/>
                <w:color w:val="262626"/>
                <w:sz w:val="18"/>
                <w:szCs w:val="18"/>
              </w:rPr>
              <w:t xml:space="preserve">Proceeds from sales of common stock through employee equity </w:t>
            </w:r>
            <w:r>
              <w:rPr>
                <w:rFonts w:ascii="Arial" w:eastAsia="宋体" w:hAnsi="Arial" w:cs="Arial"/>
                <w:color w:val="262626"/>
                <w:sz w:val="18"/>
                <w:szCs w:val="18"/>
              </w:rPr>
              <w:t>incentive plans</w:t>
            </w:r>
          </w:p>
        </w:tc>
        <w:tc>
          <w:tcPr>
            <w:tcW w:w="0" w:type="auto"/>
            <w:gridSpan w:val="3"/>
            <w:shd w:val="clear" w:color="auto" w:fill="auto"/>
            <w:tcMar>
              <w:top w:w="0" w:type="dxa"/>
              <w:left w:w="20" w:type="dxa"/>
              <w:bottom w:w="0" w:type="dxa"/>
              <w:right w:w="20" w:type="dxa"/>
            </w:tcMar>
            <w:vAlign w:val="bottom"/>
          </w:tcPr>
          <w:p w14:paraId="5A1B125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56" w14:textId="77777777" w:rsidR="00960BB8" w:rsidRDefault="00C06650">
            <w:pPr>
              <w:jc w:val="right"/>
              <w:textAlignment w:val="bottom"/>
            </w:pPr>
            <w:r>
              <w:rPr>
                <w:rFonts w:ascii="Arial" w:eastAsia="宋体" w:hAnsi="Arial" w:cs="Arial"/>
                <w:color w:val="0068B5"/>
                <w:sz w:val="18"/>
                <w:szCs w:val="18"/>
              </w:rPr>
              <w:t>977 </w:t>
            </w:r>
          </w:p>
        </w:tc>
        <w:tc>
          <w:tcPr>
            <w:tcW w:w="0" w:type="auto"/>
            <w:shd w:val="clear" w:color="auto" w:fill="auto"/>
            <w:tcMar>
              <w:top w:w="40" w:type="dxa"/>
              <w:left w:w="0" w:type="dxa"/>
              <w:bottom w:w="40" w:type="dxa"/>
              <w:right w:w="20" w:type="dxa"/>
            </w:tcMar>
            <w:vAlign w:val="bottom"/>
          </w:tcPr>
          <w:p w14:paraId="5A1B125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5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59" w14:textId="77777777" w:rsidR="00960BB8" w:rsidRDefault="00C06650">
            <w:pPr>
              <w:jc w:val="right"/>
              <w:textAlignment w:val="bottom"/>
            </w:pPr>
            <w:r>
              <w:rPr>
                <w:rFonts w:ascii="Arial" w:eastAsia="宋体" w:hAnsi="Arial" w:cs="Arial"/>
                <w:color w:val="262626"/>
                <w:sz w:val="18"/>
                <w:szCs w:val="18"/>
              </w:rPr>
              <w:t>1,020 </w:t>
            </w:r>
          </w:p>
        </w:tc>
        <w:tc>
          <w:tcPr>
            <w:tcW w:w="0" w:type="auto"/>
            <w:shd w:val="clear" w:color="auto" w:fill="auto"/>
            <w:tcMar>
              <w:top w:w="40" w:type="dxa"/>
              <w:left w:w="0" w:type="dxa"/>
              <w:bottom w:w="40" w:type="dxa"/>
              <w:right w:w="20" w:type="dxa"/>
            </w:tcMar>
            <w:vAlign w:val="bottom"/>
          </w:tcPr>
          <w:p w14:paraId="5A1B125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5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5C" w14:textId="77777777" w:rsidR="00960BB8" w:rsidRDefault="00C06650">
            <w:pPr>
              <w:jc w:val="right"/>
              <w:textAlignment w:val="bottom"/>
            </w:pPr>
            <w:r>
              <w:rPr>
                <w:rFonts w:ascii="Arial" w:eastAsia="宋体" w:hAnsi="Arial" w:cs="Arial"/>
                <w:color w:val="262626"/>
                <w:sz w:val="18"/>
                <w:szCs w:val="18"/>
              </w:rPr>
              <w:t>897 </w:t>
            </w:r>
          </w:p>
        </w:tc>
        <w:tc>
          <w:tcPr>
            <w:tcW w:w="0" w:type="auto"/>
            <w:shd w:val="clear" w:color="auto" w:fill="auto"/>
            <w:tcMar>
              <w:top w:w="40" w:type="dxa"/>
              <w:left w:w="0" w:type="dxa"/>
              <w:bottom w:w="40" w:type="dxa"/>
              <w:right w:w="20" w:type="dxa"/>
            </w:tcMar>
            <w:vAlign w:val="bottom"/>
          </w:tcPr>
          <w:p w14:paraId="5A1B125D" w14:textId="77777777" w:rsidR="00960BB8" w:rsidRDefault="00960BB8">
            <w:pPr>
              <w:jc w:val="right"/>
              <w:rPr>
                <w:rFonts w:ascii="宋体"/>
              </w:rPr>
            </w:pPr>
          </w:p>
        </w:tc>
      </w:tr>
      <w:tr w:rsidR="00960BB8" w14:paraId="5A1B1269" w14:textId="77777777">
        <w:tc>
          <w:tcPr>
            <w:tcW w:w="0" w:type="auto"/>
            <w:gridSpan w:val="3"/>
            <w:shd w:val="clear" w:color="auto" w:fill="auto"/>
            <w:tcMar>
              <w:top w:w="40" w:type="dxa"/>
              <w:left w:w="155" w:type="dxa"/>
              <w:bottom w:w="40" w:type="dxa"/>
              <w:right w:w="20" w:type="dxa"/>
            </w:tcMar>
            <w:vAlign w:val="bottom"/>
          </w:tcPr>
          <w:p w14:paraId="5A1B125F" w14:textId="77777777" w:rsidR="00960BB8" w:rsidRDefault="00C06650">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5A1B126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61"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26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6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64" w14:textId="77777777" w:rsidR="00960BB8" w:rsidRDefault="00C06650">
            <w:pPr>
              <w:jc w:val="right"/>
              <w:textAlignment w:val="bottom"/>
            </w:pPr>
            <w:r>
              <w:rPr>
                <w:rFonts w:ascii="Arial" w:eastAsia="宋体" w:hAnsi="Arial" w:cs="Arial"/>
                <w:color w:val="262626"/>
                <w:sz w:val="18"/>
                <w:szCs w:val="18"/>
              </w:rPr>
              <w:t>(2,415)</w:t>
            </w:r>
          </w:p>
        </w:tc>
        <w:tc>
          <w:tcPr>
            <w:tcW w:w="0" w:type="auto"/>
            <w:shd w:val="clear" w:color="auto" w:fill="auto"/>
            <w:tcMar>
              <w:top w:w="40" w:type="dxa"/>
              <w:left w:w="0" w:type="dxa"/>
              <w:bottom w:w="40" w:type="dxa"/>
              <w:right w:w="20" w:type="dxa"/>
            </w:tcMar>
            <w:vAlign w:val="bottom"/>
          </w:tcPr>
          <w:p w14:paraId="5A1B126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6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67" w14:textId="77777777" w:rsidR="00960BB8" w:rsidRDefault="00C06650">
            <w:pPr>
              <w:jc w:val="right"/>
              <w:textAlignment w:val="bottom"/>
            </w:pPr>
            <w:r>
              <w:rPr>
                <w:rFonts w:ascii="Arial" w:eastAsia="宋体" w:hAnsi="Arial" w:cs="Arial"/>
                <w:color w:val="262626"/>
                <w:sz w:val="18"/>
                <w:szCs w:val="18"/>
              </w:rPr>
              <w:t>(14,229)</w:t>
            </w:r>
          </w:p>
        </w:tc>
        <w:tc>
          <w:tcPr>
            <w:tcW w:w="0" w:type="auto"/>
            <w:shd w:val="clear" w:color="auto" w:fill="auto"/>
            <w:tcMar>
              <w:top w:w="40" w:type="dxa"/>
              <w:left w:w="0" w:type="dxa"/>
              <w:bottom w:w="40" w:type="dxa"/>
              <w:right w:w="20" w:type="dxa"/>
            </w:tcMar>
            <w:vAlign w:val="bottom"/>
          </w:tcPr>
          <w:p w14:paraId="5A1B1268" w14:textId="77777777" w:rsidR="00960BB8" w:rsidRDefault="00960BB8">
            <w:pPr>
              <w:jc w:val="right"/>
              <w:rPr>
                <w:rFonts w:ascii="宋体"/>
              </w:rPr>
            </w:pPr>
          </w:p>
        </w:tc>
      </w:tr>
      <w:tr w:rsidR="00960BB8" w14:paraId="5A1B1271" w14:textId="77777777">
        <w:trPr>
          <w:hidden/>
        </w:trPr>
        <w:tc>
          <w:tcPr>
            <w:tcW w:w="0" w:type="auto"/>
            <w:gridSpan w:val="3"/>
            <w:shd w:val="clear" w:color="auto" w:fill="auto"/>
            <w:vAlign w:val="bottom"/>
          </w:tcPr>
          <w:p w14:paraId="5A1B126A" w14:textId="77777777" w:rsidR="00960BB8" w:rsidRDefault="00960BB8">
            <w:pPr>
              <w:rPr>
                <w:rFonts w:ascii="宋体"/>
                <w:vanish/>
              </w:rPr>
            </w:pPr>
          </w:p>
        </w:tc>
        <w:tc>
          <w:tcPr>
            <w:tcW w:w="0" w:type="auto"/>
            <w:gridSpan w:val="3"/>
            <w:shd w:val="clear" w:color="auto" w:fill="auto"/>
            <w:vAlign w:val="bottom"/>
          </w:tcPr>
          <w:p w14:paraId="5A1B126B" w14:textId="77777777" w:rsidR="00960BB8" w:rsidRDefault="00960BB8">
            <w:pPr>
              <w:rPr>
                <w:rFonts w:ascii="宋体"/>
                <w:vanish/>
              </w:rPr>
            </w:pPr>
          </w:p>
        </w:tc>
        <w:tc>
          <w:tcPr>
            <w:tcW w:w="0" w:type="auto"/>
            <w:gridSpan w:val="3"/>
            <w:shd w:val="clear" w:color="auto" w:fill="auto"/>
            <w:vAlign w:val="bottom"/>
          </w:tcPr>
          <w:p w14:paraId="5A1B126C" w14:textId="77777777" w:rsidR="00960BB8" w:rsidRDefault="00960BB8">
            <w:pPr>
              <w:rPr>
                <w:rFonts w:ascii="宋体"/>
                <w:vanish/>
              </w:rPr>
            </w:pPr>
          </w:p>
        </w:tc>
        <w:tc>
          <w:tcPr>
            <w:tcW w:w="0" w:type="auto"/>
            <w:gridSpan w:val="3"/>
            <w:shd w:val="clear" w:color="auto" w:fill="auto"/>
            <w:vAlign w:val="bottom"/>
          </w:tcPr>
          <w:p w14:paraId="5A1B126D" w14:textId="77777777" w:rsidR="00960BB8" w:rsidRDefault="00960BB8">
            <w:pPr>
              <w:rPr>
                <w:rFonts w:ascii="宋体"/>
                <w:vanish/>
              </w:rPr>
            </w:pPr>
          </w:p>
        </w:tc>
        <w:tc>
          <w:tcPr>
            <w:tcW w:w="0" w:type="auto"/>
            <w:gridSpan w:val="3"/>
            <w:shd w:val="clear" w:color="auto" w:fill="auto"/>
            <w:vAlign w:val="bottom"/>
          </w:tcPr>
          <w:p w14:paraId="5A1B126E" w14:textId="77777777" w:rsidR="00960BB8" w:rsidRDefault="00960BB8">
            <w:pPr>
              <w:rPr>
                <w:rFonts w:ascii="宋体"/>
                <w:vanish/>
              </w:rPr>
            </w:pPr>
          </w:p>
        </w:tc>
        <w:tc>
          <w:tcPr>
            <w:tcW w:w="0" w:type="auto"/>
            <w:gridSpan w:val="3"/>
            <w:shd w:val="clear" w:color="auto" w:fill="auto"/>
            <w:vAlign w:val="bottom"/>
          </w:tcPr>
          <w:p w14:paraId="5A1B126F" w14:textId="77777777" w:rsidR="00960BB8" w:rsidRDefault="00960BB8">
            <w:pPr>
              <w:rPr>
                <w:rFonts w:ascii="宋体"/>
                <w:vanish/>
              </w:rPr>
            </w:pPr>
          </w:p>
        </w:tc>
        <w:tc>
          <w:tcPr>
            <w:tcW w:w="0" w:type="auto"/>
            <w:gridSpan w:val="3"/>
            <w:shd w:val="clear" w:color="auto" w:fill="auto"/>
            <w:vAlign w:val="bottom"/>
          </w:tcPr>
          <w:p w14:paraId="5A1B1270" w14:textId="77777777" w:rsidR="00960BB8" w:rsidRDefault="00960BB8">
            <w:pPr>
              <w:rPr>
                <w:rFonts w:ascii="宋体"/>
                <w:vanish/>
              </w:rPr>
            </w:pPr>
          </w:p>
        </w:tc>
      </w:tr>
      <w:tr w:rsidR="00960BB8" w14:paraId="5A1B1279" w14:textId="77777777">
        <w:trPr>
          <w:hidden/>
        </w:trPr>
        <w:tc>
          <w:tcPr>
            <w:tcW w:w="0" w:type="auto"/>
            <w:gridSpan w:val="3"/>
            <w:shd w:val="clear" w:color="auto" w:fill="auto"/>
            <w:vAlign w:val="bottom"/>
          </w:tcPr>
          <w:p w14:paraId="5A1B1272" w14:textId="77777777" w:rsidR="00960BB8" w:rsidRDefault="00960BB8">
            <w:pPr>
              <w:rPr>
                <w:rFonts w:ascii="宋体"/>
                <w:vanish/>
              </w:rPr>
            </w:pPr>
          </w:p>
        </w:tc>
        <w:tc>
          <w:tcPr>
            <w:tcW w:w="0" w:type="auto"/>
            <w:gridSpan w:val="3"/>
            <w:shd w:val="clear" w:color="auto" w:fill="auto"/>
            <w:vAlign w:val="bottom"/>
          </w:tcPr>
          <w:p w14:paraId="5A1B1273" w14:textId="77777777" w:rsidR="00960BB8" w:rsidRDefault="00960BB8">
            <w:pPr>
              <w:rPr>
                <w:rFonts w:ascii="宋体"/>
                <w:vanish/>
              </w:rPr>
            </w:pPr>
          </w:p>
        </w:tc>
        <w:tc>
          <w:tcPr>
            <w:tcW w:w="0" w:type="auto"/>
            <w:gridSpan w:val="3"/>
            <w:shd w:val="clear" w:color="auto" w:fill="auto"/>
            <w:vAlign w:val="bottom"/>
          </w:tcPr>
          <w:p w14:paraId="5A1B1274" w14:textId="77777777" w:rsidR="00960BB8" w:rsidRDefault="00960BB8">
            <w:pPr>
              <w:rPr>
                <w:rFonts w:ascii="宋体"/>
                <w:vanish/>
              </w:rPr>
            </w:pPr>
          </w:p>
        </w:tc>
        <w:tc>
          <w:tcPr>
            <w:tcW w:w="0" w:type="auto"/>
            <w:gridSpan w:val="3"/>
            <w:shd w:val="clear" w:color="auto" w:fill="auto"/>
            <w:vAlign w:val="bottom"/>
          </w:tcPr>
          <w:p w14:paraId="5A1B1275" w14:textId="77777777" w:rsidR="00960BB8" w:rsidRDefault="00960BB8">
            <w:pPr>
              <w:rPr>
                <w:rFonts w:ascii="宋体"/>
                <w:vanish/>
              </w:rPr>
            </w:pPr>
          </w:p>
        </w:tc>
        <w:tc>
          <w:tcPr>
            <w:tcW w:w="0" w:type="auto"/>
            <w:gridSpan w:val="3"/>
            <w:shd w:val="clear" w:color="auto" w:fill="auto"/>
            <w:vAlign w:val="bottom"/>
          </w:tcPr>
          <w:p w14:paraId="5A1B1276" w14:textId="77777777" w:rsidR="00960BB8" w:rsidRDefault="00960BB8">
            <w:pPr>
              <w:rPr>
                <w:rFonts w:ascii="宋体"/>
                <w:vanish/>
              </w:rPr>
            </w:pPr>
          </w:p>
        </w:tc>
        <w:tc>
          <w:tcPr>
            <w:tcW w:w="0" w:type="auto"/>
            <w:gridSpan w:val="3"/>
            <w:shd w:val="clear" w:color="auto" w:fill="auto"/>
            <w:vAlign w:val="bottom"/>
          </w:tcPr>
          <w:p w14:paraId="5A1B1277" w14:textId="77777777" w:rsidR="00960BB8" w:rsidRDefault="00960BB8">
            <w:pPr>
              <w:rPr>
                <w:rFonts w:ascii="宋体"/>
                <w:vanish/>
              </w:rPr>
            </w:pPr>
          </w:p>
        </w:tc>
        <w:tc>
          <w:tcPr>
            <w:tcW w:w="0" w:type="auto"/>
            <w:gridSpan w:val="3"/>
            <w:shd w:val="clear" w:color="auto" w:fill="auto"/>
            <w:vAlign w:val="bottom"/>
          </w:tcPr>
          <w:p w14:paraId="5A1B1278" w14:textId="77777777" w:rsidR="00960BB8" w:rsidRDefault="00960BB8">
            <w:pPr>
              <w:rPr>
                <w:rFonts w:ascii="宋体"/>
                <w:vanish/>
              </w:rPr>
            </w:pPr>
          </w:p>
        </w:tc>
      </w:tr>
      <w:tr w:rsidR="00960BB8" w14:paraId="5A1B1284" w14:textId="77777777">
        <w:tc>
          <w:tcPr>
            <w:tcW w:w="0" w:type="auto"/>
            <w:gridSpan w:val="3"/>
            <w:shd w:val="clear" w:color="auto" w:fill="auto"/>
            <w:tcMar>
              <w:top w:w="40" w:type="dxa"/>
              <w:left w:w="155" w:type="dxa"/>
              <w:bottom w:w="40" w:type="dxa"/>
              <w:right w:w="20" w:type="dxa"/>
            </w:tcMar>
            <w:vAlign w:val="bottom"/>
          </w:tcPr>
          <w:p w14:paraId="5A1B127A" w14:textId="77777777" w:rsidR="00960BB8" w:rsidRDefault="00C06650">
            <w:pPr>
              <w:textAlignment w:val="bottom"/>
            </w:pPr>
            <w:r>
              <w:rPr>
                <w:rFonts w:ascii="Arial" w:eastAsia="宋体" w:hAnsi="Arial" w:cs="Arial"/>
                <w:color w:val="262626"/>
                <w:sz w:val="18"/>
                <w:szCs w:val="18"/>
              </w:rPr>
              <w:t>Payment of dividends to stockholders</w:t>
            </w:r>
          </w:p>
        </w:tc>
        <w:tc>
          <w:tcPr>
            <w:tcW w:w="0" w:type="auto"/>
            <w:gridSpan w:val="3"/>
            <w:shd w:val="clear" w:color="auto" w:fill="auto"/>
            <w:tcMar>
              <w:top w:w="0" w:type="dxa"/>
              <w:left w:w="20" w:type="dxa"/>
              <w:bottom w:w="0" w:type="dxa"/>
              <w:right w:w="20" w:type="dxa"/>
            </w:tcMar>
            <w:vAlign w:val="bottom"/>
          </w:tcPr>
          <w:p w14:paraId="5A1B127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7C" w14:textId="77777777" w:rsidR="00960BB8" w:rsidRDefault="00C06650">
            <w:pPr>
              <w:jc w:val="right"/>
              <w:textAlignment w:val="bottom"/>
            </w:pPr>
            <w:r>
              <w:rPr>
                <w:rFonts w:ascii="Arial" w:eastAsia="宋体" w:hAnsi="Arial" w:cs="Arial"/>
                <w:color w:val="0068B5"/>
                <w:sz w:val="18"/>
                <w:szCs w:val="18"/>
              </w:rPr>
              <w:t>(5,997)</w:t>
            </w:r>
          </w:p>
        </w:tc>
        <w:tc>
          <w:tcPr>
            <w:tcW w:w="0" w:type="auto"/>
            <w:shd w:val="clear" w:color="auto" w:fill="auto"/>
            <w:tcMar>
              <w:top w:w="40" w:type="dxa"/>
              <w:left w:w="0" w:type="dxa"/>
              <w:bottom w:w="40" w:type="dxa"/>
              <w:right w:w="20" w:type="dxa"/>
            </w:tcMar>
            <w:vAlign w:val="bottom"/>
          </w:tcPr>
          <w:p w14:paraId="5A1B127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7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7F" w14:textId="77777777" w:rsidR="00960BB8" w:rsidRDefault="00C06650">
            <w:pPr>
              <w:jc w:val="right"/>
              <w:textAlignment w:val="bottom"/>
            </w:pPr>
            <w:r>
              <w:rPr>
                <w:rFonts w:ascii="Arial" w:eastAsia="宋体" w:hAnsi="Arial" w:cs="Arial"/>
                <w:color w:val="262626"/>
                <w:sz w:val="18"/>
                <w:szCs w:val="18"/>
              </w:rPr>
              <w:t>(5,644)</w:t>
            </w:r>
          </w:p>
        </w:tc>
        <w:tc>
          <w:tcPr>
            <w:tcW w:w="0" w:type="auto"/>
            <w:shd w:val="clear" w:color="auto" w:fill="auto"/>
            <w:tcMar>
              <w:top w:w="40" w:type="dxa"/>
              <w:left w:w="0" w:type="dxa"/>
              <w:bottom w:w="40" w:type="dxa"/>
              <w:right w:w="20" w:type="dxa"/>
            </w:tcMar>
            <w:vAlign w:val="bottom"/>
          </w:tcPr>
          <w:p w14:paraId="5A1B128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8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82" w14:textId="77777777" w:rsidR="00960BB8" w:rsidRDefault="00C06650">
            <w:pPr>
              <w:jc w:val="right"/>
              <w:textAlignment w:val="bottom"/>
            </w:pPr>
            <w:r>
              <w:rPr>
                <w:rFonts w:ascii="Arial" w:eastAsia="宋体" w:hAnsi="Arial" w:cs="Arial"/>
                <w:color w:val="262626"/>
                <w:sz w:val="18"/>
                <w:szCs w:val="18"/>
              </w:rPr>
              <w:t>(5,568)</w:t>
            </w:r>
          </w:p>
        </w:tc>
        <w:tc>
          <w:tcPr>
            <w:tcW w:w="0" w:type="auto"/>
            <w:shd w:val="clear" w:color="auto" w:fill="auto"/>
            <w:tcMar>
              <w:top w:w="40" w:type="dxa"/>
              <w:left w:w="0" w:type="dxa"/>
              <w:bottom w:w="40" w:type="dxa"/>
              <w:right w:w="20" w:type="dxa"/>
            </w:tcMar>
            <w:vAlign w:val="bottom"/>
          </w:tcPr>
          <w:p w14:paraId="5A1B1283" w14:textId="77777777" w:rsidR="00960BB8" w:rsidRDefault="00960BB8">
            <w:pPr>
              <w:jc w:val="right"/>
              <w:rPr>
                <w:rFonts w:ascii="宋体"/>
              </w:rPr>
            </w:pPr>
          </w:p>
        </w:tc>
      </w:tr>
      <w:tr w:rsidR="00960BB8" w14:paraId="5A1B128C" w14:textId="77777777">
        <w:trPr>
          <w:hidden/>
        </w:trPr>
        <w:tc>
          <w:tcPr>
            <w:tcW w:w="0" w:type="auto"/>
            <w:gridSpan w:val="3"/>
            <w:shd w:val="clear" w:color="auto" w:fill="auto"/>
            <w:vAlign w:val="bottom"/>
          </w:tcPr>
          <w:p w14:paraId="5A1B1285" w14:textId="77777777" w:rsidR="00960BB8" w:rsidRDefault="00960BB8">
            <w:pPr>
              <w:rPr>
                <w:rFonts w:ascii="宋体"/>
                <w:vanish/>
              </w:rPr>
            </w:pPr>
          </w:p>
        </w:tc>
        <w:tc>
          <w:tcPr>
            <w:tcW w:w="0" w:type="auto"/>
            <w:gridSpan w:val="3"/>
            <w:shd w:val="clear" w:color="auto" w:fill="auto"/>
            <w:vAlign w:val="bottom"/>
          </w:tcPr>
          <w:p w14:paraId="5A1B1286" w14:textId="77777777" w:rsidR="00960BB8" w:rsidRDefault="00960BB8">
            <w:pPr>
              <w:rPr>
                <w:rFonts w:ascii="宋体"/>
                <w:vanish/>
              </w:rPr>
            </w:pPr>
          </w:p>
        </w:tc>
        <w:tc>
          <w:tcPr>
            <w:tcW w:w="0" w:type="auto"/>
            <w:gridSpan w:val="3"/>
            <w:shd w:val="clear" w:color="auto" w:fill="auto"/>
            <w:vAlign w:val="bottom"/>
          </w:tcPr>
          <w:p w14:paraId="5A1B1287" w14:textId="77777777" w:rsidR="00960BB8" w:rsidRDefault="00960BB8">
            <w:pPr>
              <w:rPr>
                <w:rFonts w:ascii="宋体"/>
                <w:vanish/>
              </w:rPr>
            </w:pPr>
          </w:p>
        </w:tc>
        <w:tc>
          <w:tcPr>
            <w:tcW w:w="0" w:type="auto"/>
            <w:gridSpan w:val="3"/>
            <w:shd w:val="clear" w:color="auto" w:fill="auto"/>
            <w:vAlign w:val="bottom"/>
          </w:tcPr>
          <w:p w14:paraId="5A1B1288" w14:textId="77777777" w:rsidR="00960BB8" w:rsidRDefault="00960BB8">
            <w:pPr>
              <w:rPr>
                <w:rFonts w:ascii="宋体"/>
                <w:vanish/>
              </w:rPr>
            </w:pPr>
          </w:p>
        </w:tc>
        <w:tc>
          <w:tcPr>
            <w:tcW w:w="0" w:type="auto"/>
            <w:gridSpan w:val="3"/>
            <w:shd w:val="clear" w:color="auto" w:fill="auto"/>
            <w:vAlign w:val="bottom"/>
          </w:tcPr>
          <w:p w14:paraId="5A1B1289" w14:textId="77777777" w:rsidR="00960BB8" w:rsidRDefault="00960BB8">
            <w:pPr>
              <w:rPr>
                <w:rFonts w:ascii="宋体"/>
                <w:vanish/>
              </w:rPr>
            </w:pPr>
          </w:p>
        </w:tc>
        <w:tc>
          <w:tcPr>
            <w:tcW w:w="0" w:type="auto"/>
            <w:gridSpan w:val="3"/>
            <w:shd w:val="clear" w:color="auto" w:fill="auto"/>
            <w:vAlign w:val="bottom"/>
          </w:tcPr>
          <w:p w14:paraId="5A1B128A" w14:textId="77777777" w:rsidR="00960BB8" w:rsidRDefault="00960BB8">
            <w:pPr>
              <w:rPr>
                <w:rFonts w:ascii="宋体"/>
                <w:vanish/>
              </w:rPr>
            </w:pPr>
          </w:p>
        </w:tc>
        <w:tc>
          <w:tcPr>
            <w:tcW w:w="0" w:type="auto"/>
            <w:gridSpan w:val="3"/>
            <w:shd w:val="clear" w:color="auto" w:fill="auto"/>
            <w:vAlign w:val="bottom"/>
          </w:tcPr>
          <w:p w14:paraId="5A1B128B" w14:textId="77777777" w:rsidR="00960BB8" w:rsidRDefault="00960BB8">
            <w:pPr>
              <w:rPr>
                <w:rFonts w:ascii="宋体"/>
                <w:vanish/>
              </w:rPr>
            </w:pPr>
          </w:p>
        </w:tc>
      </w:tr>
      <w:tr w:rsidR="00960BB8" w14:paraId="5A1B1294" w14:textId="77777777">
        <w:trPr>
          <w:hidden/>
        </w:trPr>
        <w:tc>
          <w:tcPr>
            <w:tcW w:w="0" w:type="auto"/>
            <w:gridSpan w:val="3"/>
            <w:shd w:val="clear" w:color="auto" w:fill="auto"/>
            <w:vAlign w:val="bottom"/>
          </w:tcPr>
          <w:p w14:paraId="5A1B128D" w14:textId="77777777" w:rsidR="00960BB8" w:rsidRDefault="00960BB8">
            <w:pPr>
              <w:rPr>
                <w:rFonts w:ascii="宋体"/>
                <w:vanish/>
              </w:rPr>
            </w:pPr>
          </w:p>
        </w:tc>
        <w:tc>
          <w:tcPr>
            <w:tcW w:w="0" w:type="auto"/>
            <w:gridSpan w:val="3"/>
            <w:shd w:val="clear" w:color="auto" w:fill="auto"/>
            <w:vAlign w:val="bottom"/>
          </w:tcPr>
          <w:p w14:paraId="5A1B128E" w14:textId="77777777" w:rsidR="00960BB8" w:rsidRDefault="00960BB8">
            <w:pPr>
              <w:rPr>
                <w:rFonts w:ascii="宋体"/>
                <w:vanish/>
              </w:rPr>
            </w:pPr>
          </w:p>
        </w:tc>
        <w:tc>
          <w:tcPr>
            <w:tcW w:w="0" w:type="auto"/>
            <w:gridSpan w:val="3"/>
            <w:shd w:val="clear" w:color="auto" w:fill="auto"/>
            <w:vAlign w:val="bottom"/>
          </w:tcPr>
          <w:p w14:paraId="5A1B128F" w14:textId="77777777" w:rsidR="00960BB8" w:rsidRDefault="00960BB8">
            <w:pPr>
              <w:rPr>
                <w:rFonts w:ascii="宋体"/>
                <w:vanish/>
              </w:rPr>
            </w:pPr>
          </w:p>
        </w:tc>
        <w:tc>
          <w:tcPr>
            <w:tcW w:w="0" w:type="auto"/>
            <w:gridSpan w:val="3"/>
            <w:shd w:val="clear" w:color="auto" w:fill="auto"/>
            <w:vAlign w:val="bottom"/>
          </w:tcPr>
          <w:p w14:paraId="5A1B1290" w14:textId="77777777" w:rsidR="00960BB8" w:rsidRDefault="00960BB8">
            <w:pPr>
              <w:rPr>
                <w:rFonts w:ascii="宋体"/>
                <w:vanish/>
              </w:rPr>
            </w:pPr>
          </w:p>
        </w:tc>
        <w:tc>
          <w:tcPr>
            <w:tcW w:w="0" w:type="auto"/>
            <w:gridSpan w:val="3"/>
            <w:shd w:val="clear" w:color="auto" w:fill="auto"/>
            <w:vAlign w:val="bottom"/>
          </w:tcPr>
          <w:p w14:paraId="5A1B1291" w14:textId="77777777" w:rsidR="00960BB8" w:rsidRDefault="00960BB8">
            <w:pPr>
              <w:rPr>
                <w:rFonts w:ascii="宋体"/>
                <w:vanish/>
              </w:rPr>
            </w:pPr>
          </w:p>
        </w:tc>
        <w:tc>
          <w:tcPr>
            <w:tcW w:w="0" w:type="auto"/>
            <w:gridSpan w:val="3"/>
            <w:shd w:val="clear" w:color="auto" w:fill="auto"/>
            <w:vAlign w:val="bottom"/>
          </w:tcPr>
          <w:p w14:paraId="5A1B1292" w14:textId="77777777" w:rsidR="00960BB8" w:rsidRDefault="00960BB8">
            <w:pPr>
              <w:rPr>
                <w:rFonts w:ascii="宋体"/>
                <w:vanish/>
              </w:rPr>
            </w:pPr>
          </w:p>
        </w:tc>
        <w:tc>
          <w:tcPr>
            <w:tcW w:w="0" w:type="auto"/>
            <w:gridSpan w:val="3"/>
            <w:shd w:val="clear" w:color="auto" w:fill="auto"/>
            <w:vAlign w:val="bottom"/>
          </w:tcPr>
          <w:p w14:paraId="5A1B1293" w14:textId="77777777" w:rsidR="00960BB8" w:rsidRDefault="00960BB8">
            <w:pPr>
              <w:rPr>
                <w:rFonts w:ascii="宋体"/>
                <w:vanish/>
              </w:rPr>
            </w:pPr>
          </w:p>
        </w:tc>
      </w:tr>
      <w:tr w:rsidR="00960BB8" w14:paraId="5A1B129C" w14:textId="77777777">
        <w:trPr>
          <w:hidden/>
        </w:trPr>
        <w:tc>
          <w:tcPr>
            <w:tcW w:w="0" w:type="auto"/>
            <w:gridSpan w:val="3"/>
            <w:shd w:val="clear" w:color="auto" w:fill="auto"/>
            <w:vAlign w:val="bottom"/>
          </w:tcPr>
          <w:p w14:paraId="5A1B1295" w14:textId="77777777" w:rsidR="00960BB8" w:rsidRDefault="00960BB8">
            <w:pPr>
              <w:rPr>
                <w:rFonts w:ascii="宋体"/>
                <w:vanish/>
              </w:rPr>
            </w:pPr>
          </w:p>
        </w:tc>
        <w:tc>
          <w:tcPr>
            <w:tcW w:w="0" w:type="auto"/>
            <w:gridSpan w:val="3"/>
            <w:shd w:val="clear" w:color="auto" w:fill="auto"/>
            <w:vAlign w:val="bottom"/>
          </w:tcPr>
          <w:p w14:paraId="5A1B1296" w14:textId="77777777" w:rsidR="00960BB8" w:rsidRDefault="00960BB8">
            <w:pPr>
              <w:rPr>
                <w:rFonts w:ascii="宋体"/>
                <w:vanish/>
              </w:rPr>
            </w:pPr>
          </w:p>
        </w:tc>
        <w:tc>
          <w:tcPr>
            <w:tcW w:w="0" w:type="auto"/>
            <w:gridSpan w:val="3"/>
            <w:shd w:val="clear" w:color="auto" w:fill="auto"/>
            <w:vAlign w:val="bottom"/>
          </w:tcPr>
          <w:p w14:paraId="5A1B1297" w14:textId="77777777" w:rsidR="00960BB8" w:rsidRDefault="00960BB8">
            <w:pPr>
              <w:rPr>
                <w:rFonts w:ascii="宋体"/>
                <w:vanish/>
              </w:rPr>
            </w:pPr>
          </w:p>
        </w:tc>
        <w:tc>
          <w:tcPr>
            <w:tcW w:w="0" w:type="auto"/>
            <w:gridSpan w:val="3"/>
            <w:shd w:val="clear" w:color="auto" w:fill="auto"/>
            <w:vAlign w:val="bottom"/>
          </w:tcPr>
          <w:p w14:paraId="5A1B1298" w14:textId="77777777" w:rsidR="00960BB8" w:rsidRDefault="00960BB8">
            <w:pPr>
              <w:rPr>
                <w:rFonts w:ascii="宋体"/>
                <w:vanish/>
              </w:rPr>
            </w:pPr>
          </w:p>
        </w:tc>
        <w:tc>
          <w:tcPr>
            <w:tcW w:w="0" w:type="auto"/>
            <w:gridSpan w:val="3"/>
            <w:shd w:val="clear" w:color="auto" w:fill="auto"/>
            <w:vAlign w:val="bottom"/>
          </w:tcPr>
          <w:p w14:paraId="5A1B1299" w14:textId="77777777" w:rsidR="00960BB8" w:rsidRDefault="00960BB8">
            <w:pPr>
              <w:rPr>
                <w:rFonts w:ascii="宋体"/>
                <w:vanish/>
              </w:rPr>
            </w:pPr>
          </w:p>
        </w:tc>
        <w:tc>
          <w:tcPr>
            <w:tcW w:w="0" w:type="auto"/>
            <w:gridSpan w:val="3"/>
            <w:shd w:val="clear" w:color="auto" w:fill="auto"/>
            <w:vAlign w:val="bottom"/>
          </w:tcPr>
          <w:p w14:paraId="5A1B129A" w14:textId="77777777" w:rsidR="00960BB8" w:rsidRDefault="00960BB8">
            <w:pPr>
              <w:rPr>
                <w:rFonts w:ascii="宋体"/>
                <w:vanish/>
              </w:rPr>
            </w:pPr>
          </w:p>
        </w:tc>
        <w:tc>
          <w:tcPr>
            <w:tcW w:w="0" w:type="auto"/>
            <w:gridSpan w:val="3"/>
            <w:shd w:val="clear" w:color="auto" w:fill="auto"/>
            <w:vAlign w:val="bottom"/>
          </w:tcPr>
          <w:p w14:paraId="5A1B129B" w14:textId="77777777" w:rsidR="00960BB8" w:rsidRDefault="00960BB8">
            <w:pPr>
              <w:rPr>
                <w:rFonts w:ascii="宋体"/>
                <w:vanish/>
              </w:rPr>
            </w:pPr>
          </w:p>
        </w:tc>
      </w:tr>
      <w:tr w:rsidR="00960BB8" w14:paraId="5A1B12A4" w14:textId="77777777">
        <w:trPr>
          <w:hidden/>
        </w:trPr>
        <w:tc>
          <w:tcPr>
            <w:tcW w:w="0" w:type="auto"/>
            <w:gridSpan w:val="3"/>
            <w:shd w:val="clear" w:color="auto" w:fill="auto"/>
            <w:vAlign w:val="bottom"/>
          </w:tcPr>
          <w:p w14:paraId="5A1B129D" w14:textId="77777777" w:rsidR="00960BB8" w:rsidRDefault="00960BB8">
            <w:pPr>
              <w:rPr>
                <w:rFonts w:ascii="宋体"/>
                <w:vanish/>
              </w:rPr>
            </w:pPr>
          </w:p>
        </w:tc>
        <w:tc>
          <w:tcPr>
            <w:tcW w:w="0" w:type="auto"/>
            <w:gridSpan w:val="3"/>
            <w:shd w:val="clear" w:color="auto" w:fill="auto"/>
            <w:vAlign w:val="bottom"/>
          </w:tcPr>
          <w:p w14:paraId="5A1B129E" w14:textId="77777777" w:rsidR="00960BB8" w:rsidRDefault="00960BB8">
            <w:pPr>
              <w:rPr>
                <w:rFonts w:ascii="宋体"/>
                <w:vanish/>
              </w:rPr>
            </w:pPr>
          </w:p>
        </w:tc>
        <w:tc>
          <w:tcPr>
            <w:tcW w:w="0" w:type="auto"/>
            <w:gridSpan w:val="3"/>
            <w:shd w:val="clear" w:color="auto" w:fill="auto"/>
            <w:vAlign w:val="bottom"/>
          </w:tcPr>
          <w:p w14:paraId="5A1B129F" w14:textId="77777777" w:rsidR="00960BB8" w:rsidRDefault="00960BB8">
            <w:pPr>
              <w:rPr>
                <w:rFonts w:ascii="宋体"/>
                <w:vanish/>
              </w:rPr>
            </w:pPr>
          </w:p>
        </w:tc>
        <w:tc>
          <w:tcPr>
            <w:tcW w:w="0" w:type="auto"/>
            <w:gridSpan w:val="3"/>
            <w:shd w:val="clear" w:color="auto" w:fill="auto"/>
            <w:vAlign w:val="bottom"/>
          </w:tcPr>
          <w:p w14:paraId="5A1B12A0" w14:textId="77777777" w:rsidR="00960BB8" w:rsidRDefault="00960BB8">
            <w:pPr>
              <w:rPr>
                <w:rFonts w:ascii="宋体"/>
                <w:vanish/>
              </w:rPr>
            </w:pPr>
          </w:p>
        </w:tc>
        <w:tc>
          <w:tcPr>
            <w:tcW w:w="0" w:type="auto"/>
            <w:gridSpan w:val="3"/>
            <w:shd w:val="clear" w:color="auto" w:fill="auto"/>
            <w:vAlign w:val="bottom"/>
          </w:tcPr>
          <w:p w14:paraId="5A1B12A1" w14:textId="77777777" w:rsidR="00960BB8" w:rsidRDefault="00960BB8">
            <w:pPr>
              <w:rPr>
                <w:rFonts w:ascii="宋体"/>
                <w:vanish/>
              </w:rPr>
            </w:pPr>
          </w:p>
        </w:tc>
        <w:tc>
          <w:tcPr>
            <w:tcW w:w="0" w:type="auto"/>
            <w:gridSpan w:val="3"/>
            <w:shd w:val="clear" w:color="auto" w:fill="auto"/>
            <w:vAlign w:val="bottom"/>
          </w:tcPr>
          <w:p w14:paraId="5A1B12A2" w14:textId="77777777" w:rsidR="00960BB8" w:rsidRDefault="00960BB8">
            <w:pPr>
              <w:rPr>
                <w:rFonts w:ascii="宋体"/>
                <w:vanish/>
              </w:rPr>
            </w:pPr>
          </w:p>
        </w:tc>
        <w:tc>
          <w:tcPr>
            <w:tcW w:w="0" w:type="auto"/>
            <w:gridSpan w:val="3"/>
            <w:shd w:val="clear" w:color="auto" w:fill="auto"/>
            <w:vAlign w:val="bottom"/>
          </w:tcPr>
          <w:p w14:paraId="5A1B12A3" w14:textId="77777777" w:rsidR="00960BB8" w:rsidRDefault="00960BB8">
            <w:pPr>
              <w:rPr>
                <w:rFonts w:ascii="宋体"/>
                <w:vanish/>
              </w:rPr>
            </w:pPr>
          </w:p>
        </w:tc>
      </w:tr>
      <w:tr w:rsidR="00960BB8" w14:paraId="5A1B12AF" w14:textId="77777777">
        <w:tc>
          <w:tcPr>
            <w:tcW w:w="0" w:type="auto"/>
            <w:gridSpan w:val="3"/>
            <w:shd w:val="clear" w:color="auto" w:fill="auto"/>
            <w:tcMar>
              <w:top w:w="40" w:type="dxa"/>
              <w:left w:w="155" w:type="dxa"/>
              <w:bottom w:w="40" w:type="dxa"/>
              <w:right w:w="20" w:type="dxa"/>
            </w:tcMar>
            <w:vAlign w:val="bottom"/>
          </w:tcPr>
          <w:p w14:paraId="5A1B12A5" w14:textId="77777777" w:rsidR="00960BB8" w:rsidRDefault="00C06650">
            <w:pPr>
              <w:textAlignment w:val="bottom"/>
            </w:pPr>
            <w:r>
              <w:rPr>
                <w:rFonts w:ascii="Arial" w:eastAsia="宋体" w:hAnsi="Arial" w:cs="Arial"/>
                <w:color w:val="262626"/>
                <w:sz w:val="18"/>
                <w:szCs w:val="18"/>
              </w:rPr>
              <w:t>Other financing</w:t>
            </w:r>
          </w:p>
        </w:tc>
        <w:tc>
          <w:tcPr>
            <w:tcW w:w="0" w:type="auto"/>
            <w:gridSpan w:val="3"/>
            <w:shd w:val="clear" w:color="auto" w:fill="auto"/>
            <w:tcMar>
              <w:top w:w="0" w:type="dxa"/>
              <w:left w:w="20" w:type="dxa"/>
              <w:bottom w:w="0" w:type="dxa"/>
              <w:right w:w="20" w:type="dxa"/>
            </w:tcMar>
            <w:vAlign w:val="bottom"/>
          </w:tcPr>
          <w:p w14:paraId="5A1B12A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A7" w14:textId="77777777" w:rsidR="00960BB8" w:rsidRDefault="00C06650">
            <w:pPr>
              <w:jc w:val="right"/>
              <w:textAlignment w:val="bottom"/>
            </w:pPr>
            <w:r>
              <w:rPr>
                <w:rFonts w:ascii="Arial" w:eastAsia="宋体" w:hAnsi="Arial" w:cs="Arial"/>
                <w:color w:val="0068B5"/>
                <w:sz w:val="18"/>
                <w:szCs w:val="18"/>
              </w:rPr>
              <w:t>(689)</w:t>
            </w:r>
          </w:p>
        </w:tc>
        <w:tc>
          <w:tcPr>
            <w:tcW w:w="0" w:type="auto"/>
            <w:shd w:val="clear" w:color="auto" w:fill="auto"/>
            <w:tcMar>
              <w:top w:w="40" w:type="dxa"/>
              <w:left w:w="0" w:type="dxa"/>
              <w:bottom w:w="40" w:type="dxa"/>
              <w:right w:w="20" w:type="dxa"/>
            </w:tcMar>
            <w:vAlign w:val="bottom"/>
          </w:tcPr>
          <w:p w14:paraId="5A1B12A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A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AA" w14:textId="77777777" w:rsidR="00960BB8" w:rsidRDefault="00C06650">
            <w:pPr>
              <w:jc w:val="right"/>
              <w:textAlignment w:val="bottom"/>
            </w:pPr>
            <w:r>
              <w:rPr>
                <w:rFonts w:ascii="Arial" w:eastAsia="宋体" w:hAnsi="Arial" w:cs="Arial"/>
                <w:color w:val="262626"/>
                <w:sz w:val="18"/>
                <w:szCs w:val="18"/>
              </w:rPr>
              <w:t>(1,480)</w:t>
            </w:r>
          </w:p>
        </w:tc>
        <w:tc>
          <w:tcPr>
            <w:tcW w:w="0" w:type="auto"/>
            <w:shd w:val="clear" w:color="auto" w:fill="auto"/>
            <w:tcMar>
              <w:top w:w="40" w:type="dxa"/>
              <w:left w:w="0" w:type="dxa"/>
              <w:bottom w:w="40" w:type="dxa"/>
              <w:right w:w="20" w:type="dxa"/>
            </w:tcMar>
            <w:vAlign w:val="bottom"/>
          </w:tcPr>
          <w:p w14:paraId="5A1B12A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A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2AD" w14:textId="77777777" w:rsidR="00960BB8" w:rsidRDefault="00C06650">
            <w:pPr>
              <w:jc w:val="right"/>
              <w:textAlignment w:val="bottom"/>
            </w:pPr>
            <w:r>
              <w:rPr>
                <w:rFonts w:ascii="Arial" w:eastAsia="宋体" w:hAnsi="Arial" w:cs="Arial"/>
                <w:color w:val="262626"/>
                <w:sz w:val="18"/>
                <w:szCs w:val="18"/>
              </w:rPr>
              <w:t>509 </w:t>
            </w:r>
          </w:p>
        </w:tc>
        <w:tc>
          <w:tcPr>
            <w:tcW w:w="0" w:type="auto"/>
            <w:shd w:val="clear" w:color="auto" w:fill="auto"/>
            <w:tcMar>
              <w:top w:w="40" w:type="dxa"/>
              <w:left w:w="0" w:type="dxa"/>
              <w:bottom w:w="40" w:type="dxa"/>
              <w:right w:w="20" w:type="dxa"/>
            </w:tcMar>
            <w:vAlign w:val="bottom"/>
          </w:tcPr>
          <w:p w14:paraId="5A1B12AE" w14:textId="77777777" w:rsidR="00960BB8" w:rsidRDefault="00960BB8">
            <w:pPr>
              <w:jc w:val="right"/>
              <w:rPr>
                <w:rFonts w:ascii="宋体"/>
              </w:rPr>
            </w:pPr>
          </w:p>
        </w:tc>
      </w:tr>
      <w:tr w:rsidR="00960BB8" w14:paraId="5A1B12BA" w14:textId="77777777">
        <w:tc>
          <w:tcPr>
            <w:tcW w:w="0" w:type="auto"/>
            <w:gridSpan w:val="3"/>
            <w:shd w:val="clear" w:color="auto" w:fill="auto"/>
            <w:tcMar>
              <w:top w:w="40" w:type="dxa"/>
              <w:left w:w="20" w:type="dxa"/>
              <w:bottom w:w="40" w:type="dxa"/>
              <w:right w:w="20" w:type="dxa"/>
            </w:tcMar>
            <w:vAlign w:val="bottom"/>
          </w:tcPr>
          <w:p w14:paraId="5A1B12B0" w14:textId="77777777" w:rsidR="00960BB8" w:rsidRDefault="00C06650">
            <w:pPr>
              <w:textAlignment w:val="bottom"/>
            </w:pPr>
            <w:r>
              <w:rPr>
                <w:rFonts w:ascii="Arial" w:eastAsia="宋体" w:hAnsi="Arial" w:cs="Arial"/>
                <w:b/>
                <w:bCs/>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5A1B12B1"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2B2" w14:textId="77777777" w:rsidR="00960BB8" w:rsidRDefault="00C06650">
            <w:pPr>
              <w:jc w:val="right"/>
              <w:textAlignment w:val="bottom"/>
            </w:pPr>
            <w:r>
              <w:rPr>
                <w:rFonts w:ascii="Arial" w:eastAsia="宋体" w:hAnsi="Arial" w:cs="Arial"/>
                <w:b/>
                <w:bCs/>
                <w:color w:val="0068B5"/>
                <w:sz w:val="18"/>
                <w:szCs w:val="18"/>
              </w:rPr>
              <w:t>1,361</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2B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B4"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2B5" w14:textId="77777777" w:rsidR="00960BB8" w:rsidRDefault="00C06650">
            <w:pPr>
              <w:jc w:val="right"/>
              <w:textAlignment w:val="bottom"/>
            </w:pPr>
            <w:r>
              <w:rPr>
                <w:rFonts w:ascii="Arial" w:eastAsia="宋体" w:hAnsi="Arial" w:cs="Arial"/>
                <w:b/>
                <w:bCs/>
                <w:color w:val="262626"/>
                <w:sz w:val="18"/>
                <w:szCs w:val="18"/>
              </w:rPr>
              <w:t>(6,045)</w:t>
            </w:r>
          </w:p>
        </w:tc>
        <w:tc>
          <w:tcPr>
            <w:tcW w:w="0" w:type="auto"/>
            <w:tcBorders>
              <w:top w:val="single" w:sz="4" w:space="0" w:color="333333"/>
            </w:tcBorders>
            <w:shd w:val="clear" w:color="auto" w:fill="auto"/>
            <w:tcMar>
              <w:top w:w="40" w:type="dxa"/>
              <w:left w:w="0" w:type="dxa"/>
              <w:bottom w:w="40" w:type="dxa"/>
              <w:right w:w="20" w:type="dxa"/>
            </w:tcMar>
            <w:vAlign w:val="bottom"/>
          </w:tcPr>
          <w:p w14:paraId="5A1B12B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B7"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2B8" w14:textId="77777777" w:rsidR="00960BB8" w:rsidRDefault="00C06650">
            <w:pPr>
              <w:jc w:val="right"/>
              <w:textAlignment w:val="bottom"/>
            </w:pPr>
            <w:r>
              <w:rPr>
                <w:rFonts w:ascii="Arial" w:eastAsia="宋体" w:hAnsi="Arial" w:cs="Arial"/>
                <w:b/>
                <w:bCs/>
                <w:color w:val="262626"/>
                <w:sz w:val="18"/>
                <w:szCs w:val="18"/>
              </w:rPr>
              <w:t>(12,669)</w:t>
            </w:r>
          </w:p>
        </w:tc>
        <w:tc>
          <w:tcPr>
            <w:tcW w:w="0" w:type="auto"/>
            <w:tcBorders>
              <w:top w:val="single" w:sz="4" w:space="0" w:color="333333"/>
            </w:tcBorders>
            <w:shd w:val="clear" w:color="auto" w:fill="auto"/>
            <w:tcMar>
              <w:top w:w="40" w:type="dxa"/>
              <w:left w:w="0" w:type="dxa"/>
              <w:bottom w:w="40" w:type="dxa"/>
              <w:right w:w="20" w:type="dxa"/>
            </w:tcMar>
            <w:vAlign w:val="bottom"/>
          </w:tcPr>
          <w:p w14:paraId="5A1B12B9" w14:textId="77777777" w:rsidR="00960BB8" w:rsidRDefault="00960BB8">
            <w:pPr>
              <w:jc w:val="right"/>
              <w:rPr>
                <w:rFonts w:ascii="宋体"/>
              </w:rPr>
            </w:pPr>
          </w:p>
        </w:tc>
      </w:tr>
      <w:tr w:rsidR="00960BB8" w14:paraId="5A1B12C2" w14:textId="77777777">
        <w:trPr>
          <w:hidden/>
        </w:trPr>
        <w:tc>
          <w:tcPr>
            <w:tcW w:w="0" w:type="auto"/>
            <w:gridSpan w:val="3"/>
            <w:shd w:val="clear" w:color="auto" w:fill="auto"/>
            <w:vAlign w:val="bottom"/>
          </w:tcPr>
          <w:p w14:paraId="5A1B12BB" w14:textId="77777777" w:rsidR="00960BB8" w:rsidRDefault="00960BB8">
            <w:pPr>
              <w:rPr>
                <w:rFonts w:ascii="宋体"/>
                <w:vanish/>
              </w:rPr>
            </w:pPr>
          </w:p>
        </w:tc>
        <w:tc>
          <w:tcPr>
            <w:tcW w:w="0" w:type="auto"/>
            <w:gridSpan w:val="3"/>
            <w:shd w:val="clear" w:color="auto" w:fill="auto"/>
            <w:vAlign w:val="bottom"/>
          </w:tcPr>
          <w:p w14:paraId="5A1B12BC" w14:textId="77777777" w:rsidR="00960BB8" w:rsidRDefault="00960BB8">
            <w:pPr>
              <w:rPr>
                <w:rFonts w:ascii="宋体"/>
                <w:vanish/>
              </w:rPr>
            </w:pPr>
          </w:p>
        </w:tc>
        <w:tc>
          <w:tcPr>
            <w:tcW w:w="0" w:type="auto"/>
            <w:gridSpan w:val="3"/>
            <w:shd w:val="clear" w:color="auto" w:fill="auto"/>
            <w:vAlign w:val="bottom"/>
          </w:tcPr>
          <w:p w14:paraId="5A1B12BD" w14:textId="77777777" w:rsidR="00960BB8" w:rsidRDefault="00960BB8">
            <w:pPr>
              <w:rPr>
                <w:rFonts w:ascii="宋体"/>
                <w:vanish/>
              </w:rPr>
            </w:pPr>
          </w:p>
        </w:tc>
        <w:tc>
          <w:tcPr>
            <w:tcW w:w="0" w:type="auto"/>
            <w:gridSpan w:val="3"/>
            <w:shd w:val="clear" w:color="auto" w:fill="auto"/>
            <w:vAlign w:val="bottom"/>
          </w:tcPr>
          <w:p w14:paraId="5A1B12BE" w14:textId="77777777" w:rsidR="00960BB8" w:rsidRDefault="00960BB8">
            <w:pPr>
              <w:rPr>
                <w:rFonts w:ascii="宋体"/>
                <w:vanish/>
              </w:rPr>
            </w:pPr>
          </w:p>
        </w:tc>
        <w:tc>
          <w:tcPr>
            <w:tcW w:w="0" w:type="auto"/>
            <w:gridSpan w:val="3"/>
            <w:shd w:val="clear" w:color="auto" w:fill="auto"/>
            <w:vAlign w:val="bottom"/>
          </w:tcPr>
          <w:p w14:paraId="5A1B12BF" w14:textId="77777777" w:rsidR="00960BB8" w:rsidRDefault="00960BB8">
            <w:pPr>
              <w:rPr>
                <w:rFonts w:ascii="宋体"/>
                <w:vanish/>
              </w:rPr>
            </w:pPr>
          </w:p>
        </w:tc>
        <w:tc>
          <w:tcPr>
            <w:tcW w:w="0" w:type="auto"/>
            <w:gridSpan w:val="3"/>
            <w:shd w:val="clear" w:color="auto" w:fill="auto"/>
            <w:vAlign w:val="bottom"/>
          </w:tcPr>
          <w:p w14:paraId="5A1B12C0" w14:textId="77777777" w:rsidR="00960BB8" w:rsidRDefault="00960BB8">
            <w:pPr>
              <w:rPr>
                <w:rFonts w:ascii="宋体"/>
                <w:vanish/>
              </w:rPr>
            </w:pPr>
          </w:p>
        </w:tc>
        <w:tc>
          <w:tcPr>
            <w:tcW w:w="0" w:type="auto"/>
            <w:gridSpan w:val="3"/>
            <w:shd w:val="clear" w:color="auto" w:fill="auto"/>
            <w:vAlign w:val="bottom"/>
          </w:tcPr>
          <w:p w14:paraId="5A1B12C1" w14:textId="77777777" w:rsidR="00960BB8" w:rsidRDefault="00960BB8">
            <w:pPr>
              <w:rPr>
                <w:rFonts w:ascii="宋体"/>
                <w:vanish/>
              </w:rPr>
            </w:pPr>
          </w:p>
        </w:tc>
      </w:tr>
      <w:tr w:rsidR="00960BB8" w14:paraId="5A1B12CD" w14:textId="77777777">
        <w:tc>
          <w:tcPr>
            <w:tcW w:w="0" w:type="auto"/>
            <w:gridSpan w:val="3"/>
            <w:shd w:val="clear" w:color="auto" w:fill="auto"/>
            <w:tcMar>
              <w:top w:w="40" w:type="dxa"/>
              <w:left w:w="20" w:type="dxa"/>
              <w:bottom w:w="40" w:type="dxa"/>
              <w:right w:w="20" w:type="dxa"/>
            </w:tcMar>
            <w:vAlign w:val="bottom"/>
          </w:tcPr>
          <w:p w14:paraId="5A1B12C3" w14:textId="77777777" w:rsidR="00960BB8" w:rsidRDefault="00C06650">
            <w:pPr>
              <w:textAlignment w:val="bottom"/>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vAlign w:val="bottom"/>
          </w:tcPr>
          <w:p w14:paraId="5A1B12C4"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2C5" w14:textId="77777777" w:rsidR="00960BB8" w:rsidRDefault="00C06650">
            <w:pPr>
              <w:jc w:val="right"/>
              <w:textAlignment w:val="bottom"/>
            </w:pPr>
            <w:r>
              <w:rPr>
                <w:rFonts w:ascii="Arial" w:eastAsia="宋体" w:hAnsi="Arial" w:cs="Arial"/>
                <w:b/>
                <w:bCs/>
                <w:color w:val="0068B5"/>
                <w:sz w:val="18"/>
                <w:szCs w:val="18"/>
              </w:rPr>
              <w:t>6,317</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2C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C7"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2C8" w14:textId="77777777" w:rsidR="00960BB8" w:rsidRDefault="00C06650">
            <w:pPr>
              <w:jc w:val="right"/>
              <w:textAlignment w:val="bottom"/>
            </w:pPr>
            <w:r>
              <w:rPr>
                <w:rFonts w:ascii="Arial" w:eastAsia="宋体" w:hAnsi="Arial" w:cs="Arial"/>
                <w:b/>
                <w:bCs/>
                <w:color w:val="262626"/>
                <w:sz w:val="18"/>
                <w:szCs w:val="18"/>
              </w:rPr>
              <w:t>(1,038)</w:t>
            </w:r>
          </w:p>
        </w:tc>
        <w:tc>
          <w:tcPr>
            <w:tcW w:w="0" w:type="auto"/>
            <w:tcBorders>
              <w:top w:val="single" w:sz="4" w:space="0" w:color="333333"/>
            </w:tcBorders>
            <w:shd w:val="clear" w:color="auto" w:fill="auto"/>
            <w:tcMar>
              <w:top w:w="40" w:type="dxa"/>
              <w:left w:w="0" w:type="dxa"/>
              <w:bottom w:w="40" w:type="dxa"/>
              <w:right w:w="20" w:type="dxa"/>
            </w:tcMar>
            <w:vAlign w:val="bottom"/>
          </w:tcPr>
          <w:p w14:paraId="5A1B12C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CA"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2CB" w14:textId="77777777" w:rsidR="00960BB8" w:rsidRDefault="00C06650">
            <w:pPr>
              <w:jc w:val="right"/>
              <w:textAlignment w:val="bottom"/>
            </w:pPr>
            <w:r>
              <w:rPr>
                <w:rFonts w:ascii="Arial" w:eastAsia="宋体" w:hAnsi="Arial" w:cs="Arial"/>
                <w:b/>
                <w:bCs/>
                <w:color w:val="262626"/>
                <w:sz w:val="18"/>
                <w:szCs w:val="18"/>
              </w:rPr>
              <w:t>1,671</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2CC" w14:textId="77777777" w:rsidR="00960BB8" w:rsidRDefault="00960BB8">
            <w:pPr>
              <w:jc w:val="right"/>
              <w:rPr>
                <w:rFonts w:ascii="宋体"/>
              </w:rPr>
            </w:pPr>
          </w:p>
        </w:tc>
      </w:tr>
      <w:tr w:rsidR="00960BB8" w14:paraId="5A1B12DB" w14:textId="77777777">
        <w:tc>
          <w:tcPr>
            <w:tcW w:w="0" w:type="auto"/>
            <w:gridSpan w:val="3"/>
            <w:shd w:val="clear" w:color="auto" w:fill="auto"/>
            <w:tcMar>
              <w:top w:w="40" w:type="dxa"/>
              <w:left w:w="20" w:type="dxa"/>
              <w:bottom w:w="40" w:type="dxa"/>
              <w:right w:w="20" w:type="dxa"/>
            </w:tcMar>
            <w:vAlign w:val="bottom"/>
          </w:tcPr>
          <w:p w14:paraId="5A1B12CE" w14:textId="77777777" w:rsidR="00960BB8" w:rsidRDefault="00C06650">
            <w:pPr>
              <w:textAlignment w:val="bottom"/>
            </w:pPr>
            <w:r>
              <w:rPr>
                <w:rFonts w:ascii="Arial" w:eastAsia="宋体" w:hAnsi="Arial" w:cs="Arial"/>
                <w:b/>
                <w:bCs/>
                <w:color w:val="262626"/>
                <w:sz w:val="18"/>
                <w:szCs w:val="18"/>
              </w:rPr>
              <w:t>Cash and cash equivalents, end of period</w:t>
            </w:r>
          </w:p>
        </w:tc>
        <w:tc>
          <w:tcPr>
            <w:tcW w:w="0" w:type="auto"/>
            <w:gridSpan w:val="3"/>
            <w:shd w:val="clear" w:color="auto" w:fill="auto"/>
            <w:tcMar>
              <w:top w:w="0" w:type="dxa"/>
              <w:left w:w="20" w:type="dxa"/>
              <w:bottom w:w="0" w:type="dxa"/>
              <w:right w:w="20" w:type="dxa"/>
            </w:tcMar>
            <w:vAlign w:val="bottom"/>
          </w:tcPr>
          <w:p w14:paraId="5A1B12CF"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2D0"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2D1" w14:textId="77777777" w:rsidR="00960BB8" w:rsidRDefault="00C06650">
            <w:pPr>
              <w:jc w:val="right"/>
              <w:textAlignment w:val="bottom"/>
            </w:pPr>
            <w:r>
              <w:rPr>
                <w:rFonts w:ascii="Arial" w:eastAsia="宋体" w:hAnsi="Arial" w:cs="Arial"/>
                <w:b/>
                <w:bCs/>
                <w:color w:val="0068B5"/>
                <w:sz w:val="18"/>
                <w:szCs w:val="18"/>
              </w:rPr>
              <w:t>11,144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2D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D3"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2D4"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2D5" w14:textId="77777777" w:rsidR="00960BB8" w:rsidRDefault="00C06650">
            <w:pPr>
              <w:jc w:val="right"/>
              <w:textAlignment w:val="bottom"/>
            </w:pPr>
            <w:r>
              <w:rPr>
                <w:rFonts w:ascii="Arial" w:eastAsia="宋体" w:hAnsi="Arial" w:cs="Arial"/>
                <w:b/>
                <w:bCs/>
                <w:color w:val="262626"/>
                <w:sz w:val="18"/>
                <w:szCs w:val="18"/>
              </w:rPr>
              <w:t>4,827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2D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D7"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2D8"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2D9" w14:textId="77777777" w:rsidR="00960BB8" w:rsidRDefault="00C06650">
            <w:pPr>
              <w:jc w:val="right"/>
              <w:textAlignment w:val="bottom"/>
            </w:pPr>
            <w:r>
              <w:rPr>
                <w:rFonts w:ascii="Arial" w:eastAsia="宋体" w:hAnsi="Arial" w:cs="Arial"/>
                <w:b/>
                <w:bCs/>
                <w:color w:val="262626"/>
                <w:sz w:val="18"/>
                <w:szCs w:val="18"/>
              </w:rPr>
              <w:t>5,865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2DA" w14:textId="77777777" w:rsidR="00960BB8" w:rsidRDefault="00960BB8">
            <w:pPr>
              <w:jc w:val="right"/>
              <w:rPr>
                <w:rFonts w:ascii="宋体"/>
              </w:rPr>
            </w:pPr>
          </w:p>
        </w:tc>
      </w:tr>
      <w:tr w:rsidR="00960BB8" w14:paraId="5A1B12E3" w14:textId="77777777">
        <w:tc>
          <w:tcPr>
            <w:tcW w:w="0" w:type="auto"/>
            <w:gridSpan w:val="3"/>
            <w:shd w:val="clear" w:color="auto" w:fill="auto"/>
            <w:tcMar>
              <w:top w:w="40" w:type="dxa"/>
              <w:left w:w="20" w:type="dxa"/>
              <w:bottom w:w="40" w:type="dxa"/>
              <w:right w:w="20" w:type="dxa"/>
            </w:tcMar>
            <w:vAlign w:val="bottom"/>
          </w:tcPr>
          <w:p w14:paraId="5A1B12DC" w14:textId="77777777" w:rsidR="00960BB8" w:rsidRDefault="00C06650">
            <w:pPr>
              <w:textAlignment w:val="bottom"/>
            </w:pPr>
            <w:r>
              <w:rPr>
                <w:rFonts w:ascii="Arial" w:eastAsia="宋体" w:hAnsi="Arial" w:cs="Arial"/>
                <w:color w:val="262626"/>
                <w:sz w:val="18"/>
                <w:szCs w:val="18"/>
              </w:rPr>
              <w:t>Supplemental disclosures:</w:t>
            </w:r>
          </w:p>
        </w:tc>
        <w:tc>
          <w:tcPr>
            <w:tcW w:w="0" w:type="auto"/>
            <w:gridSpan w:val="3"/>
            <w:shd w:val="clear" w:color="auto" w:fill="auto"/>
            <w:tcMar>
              <w:top w:w="0" w:type="dxa"/>
              <w:left w:w="20" w:type="dxa"/>
              <w:bottom w:w="0" w:type="dxa"/>
              <w:right w:w="20" w:type="dxa"/>
            </w:tcMar>
            <w:vAlign w:val="bottom"/>
          </w:tcPr>
          <w:p w14:paraId="5A1B12DD"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12D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2DF"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12E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2E1"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12E2" w14:textId="77777777" w:rsidR="00960BB8" w:rsidRDefault="00960BB8">
            <w:pPr>
              <w:rPr>
                <w:rFonts w:ascii="宋体"/>
              </w:rPr>
            </w:pPr>
          </w:p>
        </w:tc>
      </w:tr>
      <w:tr w:rsidR="00960BB8" w14:paraId="5A1B12F1" w14:textId="77777777">
        <w:tc>
          <w:tcPr>
            <w:tcW w:w="0" w:type="auto"/>
            <w:gridSpan w:val="3"/>
            <w:shd w:val="clear" w:color="auto" w:fill="auto"/>
            <w:tcMar>
              <w:top w:w="40" w:type="dxa"/>
              <w:left w:w="155" w:type="dxa"/>
              <w:bottom w:w="40" w:type="dxa"/>
              <w:right w:w="20" w:type="dxa"/>
            </w:tcMar>
            <w:vAlign w:val="bottom"/>
          </w:tcPr>
          <w:p w14:paraId="5A1B12E4" w14:textId="77777777" w:rsidR="00960BB8" w:rsidRDefault="00C06650">
            <w:pPr>
              <w:textAlignment w:val="bottom"/>
            </w:pPr>
            <w:r>
              <w:rPr>
                <w:rFonts w:ascii="Arial" w:eastAsia="宋体" w:hAnsi="Arial" w:cs="Arial"/>
                <w:color w:val="262626"/>
                <w:sz w:val="18"/>
                <w:szCs w:val="18"/>
              </w:rPr>
              <w:t xml:space="preserve">Acquisition of property, plant and equipment included in accounts payable and accrued </w:t>
            </w: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5A1B12E5"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2E6"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12E7" w14:textId="77777777" w:rsidR="00960BB8" w:rsidRDefault="00C06650">
            <w:pPr>
              <w:jc w:val="right"/>
              <w:textAlignment w:val="bottom"/>
            </w:pPr>
            <w:r>
              <w:rPr>
                <w:rFonts w:ascii="Arial" w:eastAsia="宋体" w:hAnsi="Arial" w:cs="Arial"/>
                <w:color w:val="0068B5"/>
                <w:sz w:val="18"/>
                <w:szCs w:val="18"/>
              </w:rPr>
              <w:t>5,431 </w:t>
            </w:r>
          </w:p>
        </w:tc>
        <w:tc>
          <w:tcPr>
            <w:tcW w:w="0" w:type="auto"/>
            <w:shd w:val="clear" w:color="auto" w:fill="auto"/>
            <w:tcMar>
              <w:top w:w="40" w:type="dxa"/>
              <w:left w:w="0" w:type="dxa"/>
              <w:bottom w:w="40" w:type="dxa"/>
              <w:right w:w="20" w:type="dxa"/>
            </w:tcMar>
            <w:vAlign w:val="bottom"/>
          </w:tcPr>
          <w:p w14:paraId="5A1B12E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E9"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2EA"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2EB" w14:textId="77777777" w:rsidR="00960BB8" w:rsidRDefault="00C06650">
            <w:pPr>
              <w:jc w:val="right"/>
              <w:textAlignment w:val="bottom"/>
            </w:pPr>
            <w:r>
              <w:rPr>
                <w:rFonts w:ascii="Arial" w:eastAsia="宋体" w:hAnsi="Arial" w:cs="Arial"/>
                <w:color w:val="262626"/>
                <w:sz w:val="18"/>
                <w:szCs w:val="18"/>
              </w:rPr>
              <w:t>1,619 </w:t>
            </w:r>
          </w:p>
        </w:tc>
        <w:tc>
          <w:tcPr>
            <w:tcW w:w="0" w:type="auto"/>
            <w:shd w:val="clear" w:color="auto" w:fill="auto"/>
            <w:tcMar>
              <w:top w:w="40" w:type="dxa"/>
              <w:left w:w="0" w:type="dxa"/>
              <w:bottom w:w="40" w:type="dxa"/>
              <w:right w:w="20" w:type="dxa"/>
            </w:tcMar>
            <w:vAlign w:val="bottom"/>
          </w:tcPr>
          <w:p w14:paraId="5A1B12E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2ED"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2EE"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2EF" w14:textId="77777777" w:rsidR="00960BB8" w:rsidRDefault="00C06650">
            <w:pPr>
              <w:jc w:val="right"/>
              <w:textAlignment w:val="bottom"/>
            </w:pPr>
            <w:r>
              <w:rPr>
                <w:rFonts w:ascii="Arial" w:eastAsia="宋体" w:hAnsi="Arial" w:cs="Arial"/>
                <w:color w:val="262626"/>
                <w:sz w:val="18"/>
                <w:szCs w:val="18"/>
              </w:rPr>
              <w:t>2,973 </w:t>
            </w:r>
          </w:p>
        </w:tc>
        <w:tc>
          <w:tcPr>
            <w:tcW w:w="0" w:type="auto"/>
            <w:shd w:val="clear" w:color="auto" w:fill="auto"/>
            <w:tcMar>
              <w:top w:w="40" w:type="dxa"/>
              <w:left w:w="0" w:type="dxa"/>
              <w:bottom w:w="40" w:type="dxa"/>
              <w:right w:w="20" w:type="dxa"/>
            </w:tcMar>
            <w:vAlign w:val="bottom"/>
          </w:tcPr>
          <w:p w14:paraId="5A1B12F0" w14:textId="77777777" w:rsidR="00960BB8" w:rsidRDefault="00960BB8">
            <w:pPr>
              <w:jc w:val="right"/>
              <w:rPr>
                <w:rFonts w:ascii="宋体"/>
              </w:rPr>
            </w:pPr>
          </w:p>
        </w:tc>
      </w:tr>
      <w:tr w:rsidR="00960BB8" w14:paraId="5A1B12F9" w14:textId="77777777">
        <w:trPr>
          <w:hidden/>
        </w:trPr>
        <w:tc>
          <w:tcPr>
            <w:tcW w:w="0" w:type="auto"/>
            <w:gridSpan w:val="3"/>
            <w:shd w:val="clear" w:color="auto" w:fill="auto"/>
            <w:vAlign w:val="bottom"/>
          </w:tcPr>
          <w:p w14:paraId="5A1B12F2" w14:textId="77777777" w:rsidR="00960BB8" w:rsidRDefault="00960BB8">
            <w:pPr>
              <w:rPr>
                <w:rFonts w:ascii="宋体"/>
                <w:vanish/>
              </w:rPr>
            </w:pPr>
          </w:p>
        </w:tc>
        <w:tc>
          <w:tcPr>
            <w:tcW w:w="0" w:type="auto"/>
            <w:gridSpan w:val="3"/>
            <w:shd w:val="clear" w:color="auto" w:fill="auto"/>
            <w:vAlign w:val="bottom"/>
          </w:tcPr>
          <w:p w14:paraId="5A1B12F3" w14:textId="77777777" w:rsidR="00960BB8" w:rsidRDefault="00960BB8">
            <w:pPr>
              <w:rPr>
                <w:rFonts w:ascii="宋体"/>
                <w:vanish/>
              </w:rPr>
            </w:pPr>
          </w:p>
        </w:tc>
        <w:tc>
          <w:tcPr>
            <w:tcW w:w="0" w:type="auto"/>
            <w:gridSpan w:val="3"/>
            <w:shd w:val="clear" w:color="auto" w:fill="auto"/>
            <w:vAlign w:val="bottom"/>
          </w:tcPr>
          <w:p w14:paraId="5A1B12F4" w14:textId="77777777" w:rsidR="00960BB8" w:rsidRDefault="00960BB8">
            <w:pPr>
              <w:rPr>
                <w:rFonts w:ascii="宋体"/>
                <w:vanish/>
              </w:rPr>
            </w:pPr>
          </w:p>
        </w:tc>
        <w:tc>
          <w:tcPr>
            <w:tcW w:w="0" w:type="auto"/>
            <w:gridSpan w:val="3"/>
            <w:shd w:val="clear" w:color="auto" w:fill="auto"/>
            <w:vAlign w:val="bottom"/>
          </w:tcPr>
          <w:p w14:paraId="5A1B12F5" w14:textId="77777777" w:rsidR="00960BB8" w:rsidRDefault="00960BB8">
            <w:pPr>
              <w:rPr>
                <w:rFonts w:ascii="宋体"/>
                <w:vanish/>
              </w:rPr>
            </w:pPr>
          </w:p>
        </w:tc>
        <w:tc>
          <w:tcPr>
            <w:tcW w:w="0" w:type="auto"/>
            <w:gridSpan w:val="3"/>
            <w:shd w:val="clear" w:color="auto" w:fill="auto"/>
            <w:vAlign w:val="bottom"/>
          </w:tcPr>
          <w:p w14:paraId="5A1B12F6" w14:textId="77777777" w:rsidR="00960BB8" w:rsidRDefault="00960BB8">
            <w:pPr>
              <w:rPr>
                <w:rFonts w:ascii="宋体"/>
                <w:vanish/>
              </w:rPr>
            </w:pPr>
          </w:p>
        </w:tc>
        <w:tc>
          <w:tcPr>
            <w:tcW w:w="0" w:type="auto"/>
            <w:gridSpan w:val="3"/>
            <w:shd w:val="clear" w:color="auto" w:fill="auto"/>
            <w:vAlign w:val="bottom"/>
          </w:tcPr>
          <w:p w14:paraId="5A1B12F7" w14:textId="77777777" w:rsidR="00960BB8" w:rsidRDefault="00960BB8">
            <w:pPr>
              <w:rPr>
                <w:rFonts w:ascii="宋体"/>
                <w:vanish/>
              </w:rPr>
            </w:pPr>
          </w:p>
        </w:tc>
        <w:tc>
          <w:tcPr>
            <w:tcW w:w="0" w:type="auto"/>
            <w:gridSpan w:val="3"/>
            <w:shd w:val="clear" w:color="auto" w:fill="auto"/>
            <w:vAlign w:val="bottom"/>
          </w:tcPr>
          <w:p w14:paraId="5A1B12F8" w14:textId="77777777" w:rsidR="00960BB8" w:rsidRDefault="00960BB8">
            <w:pPr>
              <w:rPr>
                <w:rFonts w:ascii="宋体"/>
                <w:vanish/>
              </w:rPr>
            </w:pPr>
          </w:p>
        </w:tc>
      </w:tr>
      <w:tr w:rsidR="00960BB8" w14:paraId="5A1B1301" w14:textId="77777777">
        <w:trPr>
          <w:hidden/>
        </w:trPr>
        <w:tc>
          <w:tcPr>
            <w:tcW w:w="0" w:type="auto"/>
            <w:gridSpan w:val="3"/>
            <w:shd w:val="clear" w:color="auto" w:fill="auto"/>
            <w:vAlign w:val="bottom"/>
          </w:tcPr>
          <w:p w14:paraId="5A1B12FA" w14:textId="77777777" w:rsidR="00960BB8" w:rsidRDefault="00960BB8">
            <w:pPr>
              <w:rPr>
                <w:rFonts w:ascii="宋体"/>
                <w:vanish/>
              </w:rPr>
            </w:pPr>
          </w:p>
        </w:tc>
        <w:tc>
          <w:tcPr>
            <w:tcW w:w="0" w:type="auto"/>
            <w:gridSpan w:val="3"/>
            <w:shd w:val="clear" w:color="auto" w:fill="auto"/>
            <w:vAlign w:val="bottom"/>
          </w:tcPr>
          <w:p w14:paraId="5A1B12FB" w14:textId="77777777" w:rsidR="00960BB8" w:rsidRDefault="00960BB8">
            <w:pPr>
              <w:rPr>
                <w:rFonts w:ascii="宋体"/>
                <w:vanish/>
              </w:rPr>
            </w:pPr>
          </w:p>
        </w:tc>
        <w:tc>
          <w:tcPr>
            <w:tcW w:w="0" w:type="auto"/>
            <w:gridSpan w:val="3"/>
            <w:shd w:val="clear" w:color="auto" w:fill="auto"/>
            <w:vAlign w:val="bottom"/>
          </w:tcPr>
          <w:p w14:paraId="5A1B12FC" w14:textId="77777777" w:rsidR="00960BB8" w:rsidRDefault="00960BB8">
            <w:pPr>
              <w:rPr>
                <w:rFonts w:ascii="宋体"/>
                <w:vanish/>
              </w:rPr>
            </w:pPr>
          </w:p>
        </w:tc>
        <w:tc>
          <w:tcPr>
            <w:tcW w:w="0" w:type="auto"/>
            <w:gridSpan w:val="3"/>
            <w:shd w:val="clear" w:color="auto" w:fill="auto"/>
            <w:vAlign w:val="bottom"/>
          </w:tcPr>
          <w:p w14:paraId="5A1B12FD" w14:textId="77777777" w:rsidR="00960BB8" w:rsidRDefault="00960BB8">
            <w:pPr>
              <w:rPr>
                <w:rFonts w:ascii="宋体"/>
                <w:vanish/>
              </w:rPr>
            </w:pPr>
          </w:p>
        </w:tc>
        <w:tc>
          <w:tcPr>
            <w:tcW w:w="0" w:type="auto"/>
            <w:gridSpan w:val="3"/>
            <w:shd w:val="clear" w:color="auto" w:fill="auto"/>
            <w:vAlign w:val="bottom"/>
          </w:tcPr>
          <w:p w14:paraId="5A1B12FE" w14:textId="77777777" w:rsidR="00960BB8" w:rsidRDefault="00960BB8">
            <w:pPr>
              <w:rPr>
                <w:rFonts w:ascii="宋体"/>
                <w:vanish/>
              </w:rPr>
            </w:pPr>
          </w:p>
        </w:tc>
        <w:tc>
          <w:tcPr>
            <w:tcW w:w="0" w:type="auto"/>
            <w:gridSpan w:val="3"/>
            <w:shd w:val="clear" w:color="auto" w:fill="auto"/>
            <w:vAlign w:val="bottom"/>
          </w:tcPr>
          <w:p w14:paraId="5A1B12FF" w14:textId="77777777" w:rsidR="00960BB8" w:rsidRDefault="00960BB8">
            <w:pPr>
              <w:rPr>
                <w:rFonts w:ascii="宋体"/>
                <w:vanish/>
              </w:rPr>
            </w:pPr>
          </w:p>
        </w:tc>
        <w:tc>
          <w:tcPr>
            <w:tcW w:w="0" w:type="auto"/>
            <w:gridSpan w:val="3"/>
            <w:shd w:val="clear" w:color="auto" w:fill="auto"/>
            <w:vAlign w:val="bottom"/>
          </w:tcPr>
          <w:p w14:paraId="5A1B1300" w14:textId="77777777" w:rsidR="00960BB8" w:rsidRDefault="00960BB8">
            <w:pPr>
              <w:rPr>
                <w:rFonts w:ascii="宋体"/>
                <w:vanish/>
              </w:rPr>
            </w:pPr>
          </w:p>
        </w:tc>
      </w:tr>
      <w:tr w:rsidR="00960BB8" w14:paraId="5A1B1309" w14:textId="77777777">
        <w:tc>
          <w:tcPr>
            <w:tcW w:w="0" w:type="auto"/>
            <w:gridSpan w:val="3"/>
            <w:shd w:val="clear" w:color="auto" w:fill="auto"/>
            <w:tcMar>
              <w:top w:w="40" w:type="dxa"/>
              <w:left w:w="20" w:type="dxa"/>
              <w:bottom w:w="40" w:type="dxa"/>
              <w:right w:w="20" w:type="dxa"/>
            </w:tcMar>
            <w:vAlign w:val="bottom"/>
          </w:tcPr>
          <w:p w14:paraId="5A1B1302" w14:textId="77777777" w:rsidR="00960BB8" w:rsidRDefault="00C06650">
            <w:pPr>
              <w:textAlignment w:val="bottom"/>
            </w:pPr>
            <w:r>
              <w:rPr>
                <w:rFonts w:ascii="Arial" w:eastAsia="宋体" w:hAnsi="Arial" w:cs="Arial"/>
                <w:color w:val="262626"/>
                <w:sz w:val="18"/>
                <w:szCs w:val="18"/>
              </w:rPr>
              <w:t>Cash paid during the year for:</w:t>
            </w:r>
          </w:p>
        </w:tc>
        <w:tc>
          <w:tcPr>
            <w:tcW w:w="0" w:type="auto"/>
            <w:gridSpan w:val="3"/>
            <w:shd w:val="clear" w:color="auto" w:fill="auto"/>
            <w:tcMar>
              <w:top w:w="0" w:type="dxa"/>
              <w:left w:w="20" w:type="dxa"/>
              <w:bottom w:w="0" w:type="dxa"/>
              <w:right w:w="20" w:type="dxa"/>
            </w:tcMar>
            <w:vAlign w:val="bottom"/>
          </w:tcPr>
          <w:p w14:paraId="5A1B130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0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0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0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0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08" w14:textId="77777777" w:rsidR="00960BB8" w:rsidRDefault="00960BB8">
            <w:pPr>
              <w:rPr>
                <w:rFonts w:ascii="宋体"/>
              </w:rPr>
            </w:pPr>
          </w:p>
        </w:tc>
      </w:tr>
      <w:tr w:rsidR="00960BB8" w14:paraId="5A1B1317" w14:textId="77777777">
        <w:tc>
          <w:tcPr>
            <w:tcW w:w="0" w:type="auto"/>
            <w:gridSpan w:val="3"/>
            <w:shd w:val="clear" w:color="auto" w:fill="auto"/>
            <w:tcMar>
              <w:top w:w="40" w:type="dxa"/>
              <w:left w:w="155" w:type="dxa"/>
              <w:bottom w:w="40" w:type="dxa"/>
              <w:right w:w="20" w:type="dxa"/>
            </w:tcMar>
            <w:vAlign w:val="bottom"/>
          </w:tcPr>
          <w:p w14:paraId="5A1B130A" w14:textId="77777777" w:rsidR="00960BB8" w:rsidRDefault="00C06650">
            <w:pPr>
              <w:textAlignment w:val="bottom"/>
            </w:pPr>
            <w:r>
              <w:rPr>
                <w:rFonts w:ascii="Arial" w:eastAsia="宋体" w:hAnsi="Arial" w:cs="Arial"/>
                <w:color w:val="262626"/>
                <w:sz w:val="18"/>
                <w:szCs w:val="18"/>
              </w:rPr>
              <w:t>Interest, net of capitalized interest</w:t>
            </w:r>
          </w:p>
        </w:tc>
        <w:tc>
          <w:tcPr>
            <w:tcW w:w="0" w:type="auto"/>
            <w:gridSpan w:val="3"/>
            <w:shd w:val="clear" w:color="auto" w:fill="auto"/>
            <w:tcMar>
              <w:top w:w="0" w:type="dxa"/>
              <w:left w:w="20" w:type="dxa"/>
              <w:bottom w:w="0" w:type="dxa"/>
              <w:right w:w="20" w:type="dxa"/>
            </w:tcMar>
            <w:vAlign w:val="bottom"/>
          </w:tcPr>
          <w:p w14:paraId="5A1B130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30C"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130D" w14:textId="77777777" w:rsidR="00960BB8" w:rsidRDefault="00C06650">
            <w:pPr>
              <w:jc w:val="right"/>
              <w:textAlignment w:val="bottom"/>
            </w:pPr>
            <w:r>
              <w:rPr>
                <w:rFonts w:ascii="Arial" w:eastAsia="宋体" w:hAnsi="Arial" w:cs="Arial"/>
                <w:color w:val="0068B5"/>
                <w:sz w:val="18"/>
                <w:szCs w:val="18"/>
              </w:rPr>
              <w:t>459 </w:t>
            </w:r>
          </w:p>
        </w:tc>
        <w:tc>
          <w:tcPr>
            <w:tcW w:w="0" w:type="auto"/>
            <w:shd w:val="clear" w:color="auto" w:fill="auto"/>
            <w:tcMar>
              <w:top w:w="40" w:type="dxa"/>
              <w:left w:w="0" w:type="dxa"/>
              <w:bottom w:w="40" w:type="dxa"/>
              <w:right w:w="20" w:type="dxa"/>
            </w:tcMar>
            <w:vAlign w:val="bottom"/>
          </w:tcPr>
          <w:p w14:paraId="5A1B130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0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310"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311" w14:textId="77777777" w:rsidR="00960BB8" w:rsidRDefault="00C06650">
            <w:pPr>
              <w:jc w:val="right"/>
              <w:textAlignment w:val="bottom"/>
            </w:pPr>
            <w:r>
              <w:rPr>
                <w:rFonts w:ascii="Arial" w:eastAsia="宋体" w:hAnsi="Arial" w:cs="Arial"/>
                <w:color w:val="262626"/>
                <w:sz w:val="18"/>
                <w:szCs w:val="18"/>
              </w:rPr>
              <w:t>545 </w:t>
            </w:r>
          </w:p>
        </w:tc>
        <w:tc>
          <w:tcPr>
            <w:tcW w:w="0" w:type="auto"/>
            <w:shd w:val="clear" w:color="auto" w:fill="auto"/>
            <w:tcMar>
              <w:top w:w="40" w:type="dxa"/>
              <w:left w:w="0" w:type="dxa"/>
              <w:bottom w:w="40" w:type="dxa"/>
              <w:right w:w="20" w:type="dxa"/>
            </w:tcMar>
            <w:vAlign w:val="bottom"/>
          </w:tcPr>
          <w:p w14:paraId="5A1B131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1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314"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315" w14:textId="77777777" w:rsidR="00960BB8" w:rsidRDefault="00C06650">
            <w:pPr>
              <w:jc w:val="right"/>
              <w:textAlignment w:val="bottom"/>
            </w:pPr>
            <w:r>
              <w:rPr>
                <w:rFonts w:ascii="Arial" w:eastAsia="宋体" w:hAnsi="Arial" w:cs="Arial"/>
                <w:color w:val="262626"/>
                <w:sz w:val="18"/>
                <w:szCs w:val="18"/>
              </w:rPr>
              <w:t>594 </w:t>
            </w:r>
          </w:p>
        </w:tc>
        <w:tc>
          <w:tcPr>
            <w:tcW w:w="0" w:type="auto"/>
            <w:shd w:val="clear" w:color="auto" w:fill="auto"/>
            <w:tcMar>
              <w:top w:w="40" w:type="dxa"/>
              <w:left w:w="0" w:type="dxa"/>
              <w:bottom w:w="40" w:type="dxa"/>
              <w:right w:w="20" w:type="dxa"/>
            </w:tcMar>
            <w:vAlign w:val="bottom"/>
          </w:tcPr>
          <w:p w14:paraId="5A1B1316" w14:textId="77777777" w:rsidR="00960BB8" w:rsidRDefault="00960BB8">
            <w:pPr>
              <w:jc w:val="right"/>
              <w:rPr>
                <w:rFonts w:ascii="宋体"/>
              </w:rPr>
            </w:pPr>
          </w:p>
        </w:tc>
      </w:tr>
      <w:tr w:rsidR="00960BB8" w14:paraId="5A1B1325" w14:textId="77777777">
        <w:tc>
          <w:tcPr>
            <w:tcW w:w="0" w:type="auto"/>
            <w:gridSpan w:val="3"/>
            <w:shd w:val="clear" w:color="auto" w:fill="auto"/>
            <w:tcMar>
              <w:top w:w="40" w:type="dxa"/>
              <w:left w:w="155" w:type="dxa"/>
              <w:bottom w:w="40" w:type="dxa"/>
              <w:right w:w="20" w:type="dxa"/>
            </w:tcMar>
            <w:vAlign w:val="bottom"/>
          </w:tcPr>
          <w:p w14:paraId="5A1B1318" w14:textId="77777777" w:rsidR="00960BB8" w:rsidRDefault="00C06650">
            <w:pPr>
              <w:textAlignment w:val="bottom"/>
            </w:pPr>
            <w:r>
              <w:rPr>
                <w:rFonts w:ascii="Arial" w:eastAsia="宋体" w:hAnsi="Arial" w:cs="Arial"/>
                <w:color w:val="262626"/>
                <w:sz w:val="18"/>
                <w:szCs w:val="18"/>
              </w:rPr>
              <w:t>Income taxes, net of refunds</w:t>
            </w:r>
          </w:p>
        </w:tc>
        <w:tc>
          <w:tcPr>
            <w:tcW w:w="0" w:type="auto"/>
            <w:gridSpan w:val="3"/>
            <w:shd w:val="clear" w:color="auto" w:fill="auto"/>
            <w:tcMar>
              <w:top w:w="0" w:type="dxa"/>
              <w:left w:w="20" w:type="dxa"/>
              <w:bottom w:w="0" w:type="dxa"/>
              <w:right w:w="20" w:type="dxa"/>
            </w:tcMar>
            <w:vAlign w:val="bottom"/>
          </w:tcPr>
          <w:p w14:paraId="5A1B1319"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31A"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131B" w14:textId="77777777" w:rsidR="00960BB8" w:rsidRDefault="00C06650">
            <w:pPr>
              <w:jc w:val="right"/>
              <w:textAlignment w:val="bottom"/>
            </w:pPr>
            <w:r>
              <w:rPr>
                <w:rFonts w:ascii="Arial" w:eastAsia="宋体" w:hAnsi="Arial" w:cs="Arial"/>
                <w:color w:val="0068B5"/>
                <w:sz w:val="18"/>
                <w:szCs w:val="18"/>
              </w:rPr>
              <w:t>4,282 </w:t>
            </w:r>
          </w:p>
        </w:tc>
        <w:tc>
          <w:tcPr>
            <w:tcW w:w="0" w:type="auto"/>
            <w:shd w:val="clear" w:color="auto" w:fill="auto"/>
            <w:tcMar>
              <w:top w:w="40" w:type="dxa"/>
              <w:left w:w="0" w:type="dxa"/>
              <w:bottom w:w="40" w:type="dxa"/>
              <w:right w:w="20" w:type="dxa"/>
            </w:tcMar>
            <w:vAlign w:val="bottom"/>
          </w:tcPr>
          <w:p w14:paraId="5A1B131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1D"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31E"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31F" w14:textId="77777777" w:rsidR="00960BB8" w:rsidRDefault="00C06650">
            <w:pPr>
              <w:jc w:val="right"/>
              <w:textAlignment w:val="bottom"/>
            </w:pPr>
            <w:r>
              <w:rPr>
                <w:rFonts w:ascii="Arial" w:eastAsia="宋体" w:hAnsi="Arial" w:cs="Arial"/>
                <w:color w:val="262626"/>
                <w:sz w:val="18"/>
                <w:szCs w:val="18"/>
              </w:rPr>
              <w:t>2,263 </w:t>
            </w:r>
          </w:p>
        </w:tc>
        <w:tc>
          <w:tcPr>
            <w:tcW w:w="0" w:type="auto"/>
            <w:shd w:val="clear" w:color="auto" w:fill="auto"/>
            <w:tcMar>
              <w:top w:w="40" w:type="dxa"/>
              <w:left w:w="0" w:type="dxa"/>
              <w:bottom w:w="40" w:type="dxa"/>
              <w:right w:w="20" w:type="dxa"/>
            </w:tcMar>
            <w:vAlign w:val="bottom"/>
          </w:tcPr>
          <w:p w14:paraId="5A1B132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21"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322"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323" w14:textId="77777777" w:rsidR="00960BB8" w:rsidRDefault="00C06650">
            <w:pPr>
              <w:jc w:val="right"/>
              <w:textAlignment w:val="bottom"/>
            </w:pPr>
            <w:r>
              <w:rPr>
                <w:rFonts w:ascii="Arial" w:eastAsia="宋体" w:hAnsi="Arial" w:cs="Arial"/>
                <w:color w:val="262626"/>
                <w:sz w:val="18"/>
                <w:szCs w:val="18"/>
              </w:rPr>
              <w:t>2,436 </w:t>
            </w:r>
          </w:p>
        </w:tc>
        <w:tc>
          <w:tcPr>
            <w:tcW w:w="0" w:type="auto"/>
            <w:shd w:val="clear" w:color="auto" w:fill="auto"/>
            <w:tcMar>
              <w:top w:w="40" w:type="dxa"/>
              <w:left w:w="0" w:type="dxa"/>
              <w:bottom w:w="40" w:type="dxa"/>
              <w:right w:w="20" w:type="dxa"/>
            </w:tcMar>
            <w:vAlign w:val="bottom"/>
          </w:tcPr>
          <w:p w14:paraId="5A1B1324" w14:textId="77777777" w:rsidR="00960BB8" w:rsidRDefault="00960BB8">
            <w:pPr>
              <w:jc w:val="right"/>
              <w:rPr>
                <w:rFonts w:ascii="宋体"/>
              </w:rPr>
            </w:pPr>
          </w:p>
        </w:tc>
      </w:tr>
      <w:tr w:rsidR="00960BB8" w14:paraId="5A1B132D" w14:textId="77777777">
        <w:trPr>
          <w:hidden/>
        </w:trPr>
        <w:tc>
          <w:tcPr>
            <w:tcW w:w="0" w:type="auto"/>
            <w:gridSpan w:val="3"/>
            <w:shd w:val="clear" w:color="auto" w:fill="auto"/>
            <w:vAlign w:val="bottom"/>
          </w:tcPr>
          <w:p w14:paraId="5A1B1326" w14:textId="77777777" w:rsidR="00960BB8" w:rsidRDefault="00960BB8">
            <w:pPr>
              <w:rPr>
                <w:rFonts w:ascii="宋体"/>
                <w:vanish/>
              </w:rPr>
            </w:pPr>
          </w:p>
        </w:tc>
        <w:tc>
          <w:tcPr>
            <w:tcW w:w="0" w:type="auto"/>
            <w:gridSpan w:val="3"/>
            <w:shd w:val="clear" w:color="auto" w:fill="auto"/>
            <w:vAlign w:val="bottom"/>
          </w:tcPr>
          <w:p w14:paraId="5A1B1327" w14:textId="77777777" w:rsidR="00960BB8" w:rsidRDefault="00960BB8">
            <w:pPr>
              <w:rPr>
                <w:rFonts w:ascii="宋体"/>
                <w:vanish/>
              </w:rPr>
            </w:pPr>
          </w:p>
        </w:tc>
        <w:tc>
          <w:tcPr>
            <w:tcW w:w="0" w:type="auto"/>
            <w:gridSpan w:val="3"/>
            <w:shd w:val="clear" w:color="auto" w:fill="auto"/>
            <w:vAlign w:val="bottom"/>
          </w:tcPr>
          <w:p w14:paraId="5A1B1328" w14:textId="77777777" w:rsidR="00960BB8" w:rsidRDefault="00960BB8">
            <w:pPr>
              <w:rPr>
                <w:rFonts w:ascii="宋体"/>
                <w:vanish/>
              </w:rPr>
            </w:pPr>
          </w:p>
        </w:tc>
        <w:tc>
          <w:tcPr>
            <w:tcW w:w="0" w:type="auto"/>
            <w:gridSpan w:val="3"/>
            <w:shd w:val="clear" w:color="auto" w:fill="auto"/>
            <w:vAlign w:val="bottom"/>
          </w:tcPr>
          <w:p w14:paraId="5A1B1329" w14:textId="77777777" w:rsidR="00960BB8" w:rsidRDefault="00960BB8">
            <w:pPr>
              <w:rPr>
                <w:rFonts w:ascii="宋体"/>
                <w:vanish/>
              </w:rPr>
            </w:pPr>
          </w:p>
        </w:tc>
        <w:tc>
          <w:tcPr>
            <w:tcW w:w="0" w:type="auto"/>
            <w:gridSpan w:val="3"/>
            <w:shd w:val="clear" w:color="auto" w:fill="auto"/>
            <w:vAlign w:val="bottom"/>
          </w:tcPr>
          <w:p w14:paraId="5A1B132A" w14:textId="77777777" w:rsidR="00960BB8" w:rsidRDefault="00960BB8">
            <w:pPr>
              <w:rPr>
                <w:rFonts w:ascii="宋体"/>
                <w:vanish/>
              </w:rPr>
            </w:pPr>
          </w:p>
        </w:tc>
        <w:tc>
          <w:tcPr>
            <w:tcW w:w="0" w:type="auto"/>
            <w:gridSpan w:val="3"/>
            <w:shd w:val="clear" w:color="auto" w:fill="auto"/>
            <w:vAlign w:val="bottom"/>
          </w:tcPr>
          <w:p w14:paraId="5A1B132B" w14:textId="77777777" w:rsidR="00960BB8" w:rsidRDefault="00960BB8">
            <w:pPr>
              <w:rPr>
                <w:rFonts w:ascii="宋体"/>
                <w:vanish/>
              </w:rPr>
            </w:pPr>
          </w:p>
        </w:tc>
        <w:tc>
          <w:tcPr>
            <w:tcW w:w="0" w:type="auto"/>
            <w:gridSpan w:val="3"/>
            <w:shd w:val="clear" w:color="auto" w:fill="auto"/>
            <w:vAlign w:val="bottom"/>
          </w:tcPr>
          <w:p w14:paraId="5A1B132C" w14:textId="77777777" w:rsidR="00960BB8" w:rsidRDefault="00960BB8">
            <w:pPr>
              <w:rPr>
                <w:rFonts w:ascii="宋体"/>
                <w:vanish/>
              </w:rPr>
            </w:pPr>
          </w:p>
        </w:tc>
      </w:tr>
    </w:tbl>
    <w:p w14:paraId="5A1B132E" w14:textId="77777777" w:rsidR="00960BB8" w:rsidRDefault="00C06650">
      <w:pPr>
        <w:spacing w:before="120" w:after="14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960BB8" w14:paraId="5A1B133B" w14:textId="77777777">
        <w:tc>
          <w:tcPr>
            <w:tcW w:w="50" w:type="pct"/>
            <w:shd w:val="clear" w:color="auto" w:fill="auto"/>
            <w:vAlign w:val="bottom"/>
          </w:tcPr>
          <w:p w14:paraId="5A1B132F" w14:textId="77777777" w:rsidR="00960BB8" w:rsidRDefault="00960BB8">
            <w:pPr>
              <w:rPr>
                <w:rFonts w:ascii="宋体"/>
              </w:rPr>
            </w:pPr>
          </w:p>
        </w:tc>
        <w:tc>
          <w:tcPr>
            <w:tcW w:w="276" w:type="pct"/>
            <w:shd w:val="clear" w:color="auto" w:fill="auto"/>
            <w:vAlign w:val="bottom"/>
          </w:tcPr>
          <w:p w14:paraId="5A1B1330" w14:textId="77777777" w:rsidR="00960BB8" w:rsidRDefault="00960BB8">
            <w:pPr>
              <w:rPr>
                <w:rFonts w:ascii="宋体"/>
              </w:rPr>
            </w:pPr>
          </w:p>
        </w:tc>
        <w:tc>
          <w:tcPr>
            <w:tcW w:w="5" w:type="pct"/>
            <w:shd w:val="clear" w:color="auto" w:fill="auto"/>
            <w:vAlign w:val="bottom"/>
          </w:tcPr>
          <w:p w14:paraId="5A1B1331" w14:textId="77777777" w:rsidR="00960BB8" w:rsidRDefault="00960BB8">
            <w:pPr>
              <w:rPr>
                <w:rFonts w:ascii="宋体"/>
              </w:rPr>
            </w:pPr>
          </w:p>
        </w:tc>
        <w:tc>
          <w:tcPr>
            <w:tcW w:w="50" w:type="pct"/>
            <w:shd w:val="clear" w:color="auto" w:fill="auto"/>
            <w:vAlign w:val="bottom"/>
          </w:tcPr>
          <w:p w14:paraId="5A1B1332" w14:textId="77777777" w:rsidR="00960BB8" w:rsidRDefault="00960BB8">
            <w:pPr>
              <w:rPr>
                <w:rFonts w:ascii="宋体"/>
              </w:rPr>
            </w:pPr>
          </w:p>
        </w:tc>
        <w:tc>
          <w:tcPr>
            <w:tcW w:w="940" w:type="pct"/>
            <w:shd w:val="clear" w:color="auto" w:fill="auto"/>
            <w:vAlign w:val="bottom"/>
          </w:tcPr>
          <w:p w14:paraId="5A1B1333" w14:textId="77777777" w:rsidR="00960BB8" w:rsidRDefault="00960BB8">
            <w:pPr>
              <w:rPr>
                <w:rFonts w:ascii="宋体"/>
              </w:rPr>
            </w:pPr>
          </w:p>
        </w:tc>
        <w:tc>
          <w:tcPr>
            <w:tcW w:w="5" w:type="pct"/>
            <w:shd w:val="clear" w:color="auto" w:fill="auto"/>
            <w:vAlign w:val="bottom"/>
          </w:tcPr>
          <w:p w14:paraId="5A1B1334" w14:textId="77777777" w:rsidR="00960BB8" w:rsidRDefault="00960BB8">
            <w:pPr>
              <w:rPr>
                <w:rFonts w:ascii="宋体"/>
              </w:rPr>
            </w:pPr>
          </w:p>
        </w:tc>
        <w:tc>
          <w:tcPr>
            <w:tcW w:w="50" w:type="pct"/>
            <w:shd w:val="clear" w:color="auto" w:fill="auto"/>
            <w:vAlign w:val="bottom"/>
          </w:tcPr>
          <w:p w14:paraId="5A1B1335" w14:textId="77777777" w:rsidR="00960BB8" w:rsidRDefault="00960BB8">
            <w:pPr>
              <w:rPr>
                <w:rFonts w:ascii="宋体"/>
              </w:rPr>
            </w:pPr>
          </w:p>
        </w:tc>
        <w:tc>
          <w:tcPr>
            <w:tcW w:w="1837" w:type="pct"/>
            <w:shd w:val="clear" w:color="auto" w:fill="auto"/>
            <w:vAlign w:val="bottom"/>
          </w:tcPr>
          <w:p w14:paraId="5A1B1336" w14:textId="77777777" w:rsidR="00960BB8" w:rsidRDefault="00960BB8">
            <w:pPr>
              <w:rPr>
                <w:rFonts w:ascii="宋体"/>
              </w:rPr>
            </w:pPr>
          </w:p>
        </w:tc>
        <w:tc>
          <w:tcPr>
            <w:tcW w:w="5" w:type="pct"/>
            <w:shd w:val="clear" w:color="auto" w:fill="auto"/>
            <w:vAlign w:val="bottom"/>
          </w:tcPr>
          <w:p w14:paraId="5A1B1337" w14:textId="77777777" w:rsidR="00960BB8" w:rsidRDefault="00960BB8">
            <w:pPr>
              <w:rPr>
                <w:rFonts w:ascii="宋体"/>
              </w:rPr>
            </w:pPr>
          </w:p>
        </w:tc>
        <w:tc>
          <w:tcPr>
            <w:tcW w:w="50" w:type="pct"/>
            <w:shd w:val="clear" w:color="auto" w:fill="auto"/>
            <w:vAlign w:val="bottom"/>
          </w:tcPr>
          <w:p w14:paraId="5A1B1338" w14:textId="77777777" w:rsidR="00960BB8" w:rsidRDefault="00960BB8">
            <w:pPr>
              <w:rPr>
                <w:rFonts w:ascii="宋体"/>
              </w:rPr>
            </w:pPr>
          </w:p>
        </w:tc>
        <w:tc>
          <w:tcPr>
            <w:tcW w:w="1724" w:type="pct"/>
            <w:shd w:val="clear" w:color="auto" w:fill="auto"/>
            <w:vAlign w:val="bottom"/>
          </w:tcPr>
          <w:p w14:paraId="5A1B1339" w14:textId="77777777" w:rsidR="00960BB8" w:rsidRDefault="00960BB8">
            <w:pPr>
              <w:rPr>
                <w:rFonts w:ascii="宋体"/>
              </w:rPr>
            </w:pPr>
          </w:p>
        </w:tc>
        <w:tc>
          <w:tcPr>
            <w:tcW w:w="5" w:type="pct"/>
            <w:shd w:val="clear" w:color="auto" w:fill="auto"/>
            <w:vAlign w:val="bottom"/>
          </w:tcPr>
          <w:p w14:paraId="5A1B133A" w14:textId="77777777" w:rsidR="00960BB8" w:rsidRDefault="00960BB8">
            <w:pPr>
              <w:rPr>
                <w:rFonts w:ascii="宋体"/>
              </w:rPr>
            </w:pPr>
          </w:p>
        </w:tc>
      </w:tr>
      <w:tr w:rsidR="00960BB8" w14:paraId="5A1B1340"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33C"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6F" wp14:editId="5A1B4470">
                  <wp:extent cx="304800" cy="304800"/>
                  <wp:effectExtent l="0" t="0" r="0" b="0"/>
                  <wp:docPr id="148" name="图片 24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4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33D"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33E" w14:textId="77777777" w:rsidR="00960BB8" w:rsidRDefault="00C06650">
            <w:pPr>
              <w:textAlignment w:val="center"/>
            </w:pPr>
            <w:r>
              <w:rPr>
                <w:rFonts w:ascii="Arial" w:eastAsia="宋体" w:hAnsi="Arial" w:cs="Arial"/>
                <w:color w:val="262626"/>
                <w:sz w:val="16"/>
                <w:szCs w:val="16"/>
              </w:rPr>
              <w:t>Consolidated Statements of Cash Flows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33F" w14:textId="77777777" w:rsidR="00960BB8" w:rsidRDefault="00C06650">
            <w:pPr>
              <w:jc w:val="right"/>
              <w:textAlignment w:val="center"/>
            </w:pPr>
            <w:r>
              <w:rPr>
                <w:rFonts w:ascii="Arial" w:eastAsia="宋体" w:hAnsi="Arial" w:cs="Arial"/>
                <w:color w:val="262626"/>
                <w:sz w:val="16"/>
                <w:szCs w:val="16"/>
              </w:rPr>
              <w:t>79</w:t>
            </w:r>
          </w:p>
        </w:tc>
      </w:tr>
    </w:tbl>
    <w:p w14:paraId="5A1B1341" w14:textId="77777777" w:rsidR="00960BB8" w:rsidRDefault="00C06650">
      <w:r>
        <w:pict w14:anchorId="5A1B4471">
          <v:rect id="_x0000_i1105" style="width:415.3pt;height:1.5pt" o:hralign="center" o:hrstd="t" o:hr="t" fillcolor="#a0a0a0" stroked="f"/>
        </w:pict>
      </w:r>
    </w:p>
    <w:p w14:paraId="5A1B1342" w14:textId="77777777" w:rsidR="00960BB8" w:rsidRDefault="00C06650">
      <w:pPr>
        <w:jc w:val="right"/>
      </w:pPr>
      <w:hyperlink r:id="rId128" w:anchor="i8aaa7b4dbd2e419ca0f5c30af85a11aa_16" w:history="1">
        <w:r>
          <w:rPr>
            <w:rStyle w:val="a5"/>
            <w:rFonts w:ascii="Arial" w:eastAsia="宋体" w:hAnsi="Arial" w:cs="Arial"/>
            <w:b/>
            <w:bCs/>
            <w:sz w:val="16"/>
            <w:szCs w:val="16"/>
          </w:rPr>
          <w:t>Table of Contents</w:t>
        </w:r>
      </w:hyperlink>
    </w:p>
    <w:p w14:paraId="5A1B1343"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134A" w14:textId="77777777">
        <w:tc>
          <w:tcPr>
            <w:tcW w:w="50" w:type="pct"/>
            <w:shd w:val="clear" w:color="auto" w:fill="auto"/>
            <w:vAlign w:val="bottom"/>
          </w:tcPr>
          <w:p w14:paraId="5A1B1344" w14:textId="77777777" w:rsidR="00960BB8" w:rsidRDefault="00960BB8">
            <w:pPr>
              <w:rPr>
                <w:rFonts w:ascii="宋体"/>
              </w:rPr>
            </w:pPr>
          </w:p>
        </w:tc>
        <w:tc>
          <w:tcPr>
            <w:tcW w:w="4870" w:type="pct"/>
            <w:shd w:val="clear" w:color="auto" w:fill="auto"/>
            <w:vAlign w:val="bottom"/>
          </w:tcPr>
          <w:p w14:paraId="5A1B1345" w14:textId="77777777" w:rsidR="00960BB8" w:rsidRDefault="00960BB8">
            <w:pPr>
              <w:rPr>
                <w:rFonts w:ascii="宋体"/>
              </w:rPr>
            </w:pPr>
          </w:p>
        </w:tc>
        <w:tc>
          <w:tcPr>
            <w:tcW w:w="5" w:type="pct"/>
            <w:shd w:val="clear" w:color="auto" w:fill="auto"/>
            <w:vAlign w:val="bottom"/>
          </w:tcPr>
          <w:p w14:paraId="5A1B1346" w14:textId="77777777" w:rsidR="00960BB8" w:rsidRDefault="00960BB8">
            <w:pPr>
              <w:rPr>
                <w:rFonts w:ascii="宋体"/>
              </w:rPr>
            </w:pPr>
          </w:p>
        </w:tc>
        <w:tc>
          <w:tcPr>
            <w:tcW w:w="5" w:type="pct"/>
            <w:shd w:val="clear" w:color="auto" w:fill="auto"/>
            <w:vAlign w:val="bottom"/>
          </w:tcPr>
          <w:p w14:paraId="5A1B1347" w14:textId="77777777" w:rsidR="00960BB8" w:rsidRDefault="00960BB8">
            <w:pPr>
              <w:rPr>
                <w:rFonts w:ascii="宋体"/>
              </w:rPr>
            </w:pPr>
          </w:p>
        </w:tc>
        <w:tc>
          <w:tcPr>
            <w:tcW w:w="64" w:type="pct"/>
            <w:shd w:val="clear" w:color="auto" w:fill="auto"/>
            <w:vAlign w:val="bottom"/>
          </w:tcPr>
          <w:p w14:paraId="5A1B1348" w14:textId="77777777" w:rsidR="00960BB8" w:rsidRDefault="00960BB8">
            <w:pPr>
              <w:rPr>
                <w:rFonts w:ascii="宋体"/>
              </w:rPr>
            </w:pPr>
          </w:p>
        </w:tc>
        <w:tc>
          <w:tcPr>
            <w:tcW w:w="5" w:type="pct"/>
            <w:shd w:val="clear" w:color="auto" w:fill="auto"/>
            <w:vAlign w:val="bottom"/>
          </w:tcPr>
          <w:p w14:paraId="5A1B1349" w14:textId="77777777" w:rsidR="00960BB8" w:rsidRDefault="00960BB8">
            <w:pPr>
              <w:rPr>
                <w:rFonts w:ascii="宋体"/>
              </w:rPr>
            </w:pPr>
          </w:p>
        </w:tc>
      </w:tr>
      <w:tr w:rsidR="00960BB8" w14:paraId="5A1B134D" w14:textId="77777777">
        <w:tc>
          <w:tcPr>
            <w:tcW w:w="0" w:type="auto"/>
            <w:gridSpan w:val="3"/>
            <w:shd w:val="clear" w:color="auto" w:fill="004A86"/>
            <w:tcMar>
              <w:top w:w="40" w:type="dxa"/>
              <w:left w:w="20" w:type="dxa"/>
              <w:bottom w:w="40" w:type="dxa"/>
              <w:right w:w="20" w:type="dxa"/>
            </w:tcMar>
            <w:vAlign w:val="center"/>
          </w:tcPr>
          <w:p w14:paraId="5A1B134B" w14:textId="77777777" w:rsidR="00960BB8" w:rsidRDefault="00C06650">
            <w:pPr>
              <w:textAlignment w:val="center"/>
            </w:pPr>
            <w:r>
              <w:rPr>
                <w:rFonts w:ascii="Arial" w:eastAsia="宋体" w:hAnsi="Arial" w:cs="Arial"/>
                <w:color w:val="FFFFFF"/>
                <w:sz w:val="36"/>
                <w:szCs w:val="36"/>
              </w:rPr>
              <w:t>Consolidated Statements of Stockholders' Equity</w:t>
            </w:r>
          </w:p>
        </w:tc>
        <w:tc>
          <w:tcPr>
            <w:tcW w:w="0" w:type="auto"/>
            <w:gridSpan w:val="3"/>
            <w:shd w:val="clear" w:color="auto" w:fill="auto"/>
            <w:tcMar>
              <w:top w:w="0" w:type="dxa"/>
              <w:left w:w="20" w:type="dxa"/>
              <w:bottom w:w="0" w:type="dxa"/>
              <w:right w:w="20" w:type="dxa"/>
            </w:tcMar>
            <w:vAlign w:val="bottom"/>
          </w:tcPr>
          <w:p w14:paraId="5A1B134C" w14:textId="77777777" w:rsidR="00960BB8" w:rsidRDefault="00960BB8">
            <w:pPr>
              <w:rPr>
                <w:rFonts w:ascii="宋体"/>
              </w:rPr>
            </w:pPr>
          </w:p>
        </w:tc>
      </w:tr>
      <w:tr w:rsidR="00960BB8" w14:paraId="5A1B1350" w14:textId="77777777">
        <w:trPr>
          <w:trHeight w:val="160"/>
        </w:trPr>
        <w:tc>
          <w:tcPr>
            <w:tcW w:w="0" w:type="auto"/>
            <w:gridSpan w:val="3"/>
            <w:shd w:val="clear" w:color="auto" w:fill="auto"/>
            <w:tcMar>
              <w:top w:w="0" w:type="dxa"/>
              <w:left w:w="20" w:type="dxa"/>
              <w:bottom w:w="0" w:type="dxa"/>
              <w:right w:w="20" w:type="dxa"/>
            </w:tcMar>
            <w:vAlign w:val="bottom"/>
          </w:tcPr>
          <w:p w14:paraId="5A1B134E"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134F" w14:textId="77777777" w:rsidR="00960BB8" w:rsidRDefault="00960BB8">
            <w:pPr>
              <w:rPr>
                <w:rFonts w:ascii="宋体"/>
              </w:rPr>
            </w:pPr>
          </w:p>
        </w:tc>
      </w:tr>
    </w:tbl>
    <w:p w14:paraId="5A1B1351"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60"/>
        <w:gridCol w:w="1062"/>
        <w:gridCol w:w="39"/>
        <w:gridCol w:w="40"/>
        <w:gridCol w:w="32"/>
        <w:gridCol w:w="35"/>
        <w:gridCol w:w="99"/>
        <w:gridCol w:w="853"/>
        <w:gridCol w:w="36"/>
        <w:gridCol w:w="40"/>
        <w:gridCol w:w="45"/>
        <w:gridCol w:w="35"/>
        <w:gridCol w:w="110"/>
        <w:gridCol w:w="953"/>
        <w:gridCol w:w="35"/>
        <w:gridCol w:w="40"/>
        <w:gridCol w:w="32"/>
        <w:gridCol w:w="35"/>
        <w:gridCol w:w="111"/>
        <w:gridCol w:w="1110"/>
        <w:gridCol w:w="35"/>
        <w:gridCol w:w="40"/>
        <w:gridCol w:w="32"/>
        <w:gridCol w:w="35"/>
        <w:gridCol w:w="111"/>
        <w:gridCol w:w="620"/>
        <w:gridCol w:w="35"/>
        <w:gridCol w:w="40"/>
        <w:gridCol w:w="32"/>
        <w:gridCol w:w="35"/>
        <w:gridCol w:w="130"/>
        <w:gridCol w:w="1090"/>
        <w:gridCol w:w="35"/>
        <w:gridCol w:w="40"/>
        <w:gridCol w:w="32"/>
        <w:gridCol w:w="35"/>
        <w:gridCol w:w="110"/>
        <w:gridCol w:w="612"/>
        <w:gridCol w:w="35"/>
      </w:tblGrid>
      <w:tr w:rsidR="00960BB8" w14:paraId="5A1B1379" w14:textId="77777777">
        <w:tc>
          <w:tcPr>
            <w:tcW w:w="50" w:type="pct"/>
            <w:shd w:val="clear" w:color="auto" w:fill="auto"/>
            <w:vAlign w:val="bottom"/>
          </w:tcPr>
          <w:p w14:paraId="5A1B1352" w14:textId="77777777" w:rsidR="00960BB8" w:rsidRDefault="00960BB8">
            <w:pPr>
              <w:rPr>
                <w:rFonts w:ascii="宋体"/>
              </w:rPr>
            </w:pPr>
          </w:p>
        </w:tc>
        <w:tc>
          <w:tcPr>
            <w:tcW w:w="1659" w:type="pct"/>
            <w:shd w:val="clear" w:color="auto" w:fill="auto"/>
            <w:vAlign w:val="bottom"/>
          </w:tcPr>
          <w:p w14:paraId="5A1B1353" w14:textId="77777777" w:rsidR="00960BB8" w:rsidRDefault="00960BB8">
            <w:pPr>
              <w:rPr>
                <w:rFonts w:ascii="宋体"/>
              </w:rPr>
            </w:pPr>
          </w:p>
        </w:tc>
        <w:tc>
          <w:tcPr>
            <w:tcW w:w="5" w:type="pct"/>
            <w:shd w:val="clear" w:color="auto" w:fill="auto"/>
            <w:vAlign w:val="bottom"/>
          </w:tcPr>
          <w:p w14:paraId="5A1B1354" w14:textId="77777777" w:rsidR="00960BB8" w:rsidRDefault="00960BB8">
            <w:pPr>
              <w:rPr>
                <w:rFonts w:ascii="宋体"/>
              </w:rPr>
            </w:pPr>
          </w:p>
        </w:tc>
        <w:tc>
          <w:tcPr>
            <w:tcW w:w="5" w:type="pct"/>
            <w:shd w:val="clear" w:color="auto" w:fill="auto"/>
            <w:vAlign w:val="bottom"/>
          </w:tcPr>
          <w:p w14:paraId="5A1B1355" w14:textId="77777777" w:rsidR="00960BB8" w:rsidRDefault="00960BB8">
            <w:pPr>
              <w:rPr>
                <w:rFonts w:ascii="宋体"/>
              </w:rPr>
            </w:pPr>
          </w:p>
        </w:tc>
        <w:tc>
          <w:tcPr>
            <w:tcW w:w="24" w:type="pct"/>
            <w:shd w:val="clear" w:color="auto" w:fill="auto"/>
            <w:vAlign w:val="bottom"/>
          </w:tcPr>
          <w:p w14:paraId="5A1B1356" w14:textId="77777777" w:rsidR="00960BB8" w:rsidRDefault="00960BB8">
            <w:pPr>
              <w:rPr>
                <w:rFonts w:ascii="宋体"/>
              </w:rPr>
            </w:pPr>
          </w:p>
        </w:tc>
        <w:tc>
          <w:tcPr>
            <w:tcW w:w="5" w:type="pct"/>
            <w:shd w:val="clear" w:color="auto" w:fill="auto"/>
            <w:vAlign w:val="bottom"/>
          </w:tcPr>
          <w:p w14:paraId="5A1B1357" w14:textId="77777777" w:rsidR="00960BB8" w:rsidRDefault="00960BB8">
            <w:pPr>
              <w:rPr>
                <w:rFonts w:ascii="宋体"/>
              </w:rPr>
            </w:pPr>
          </w:p>
        </w:tc>
        <w:tc>
          <w:tcPr>
            <w:tcW w:w="50" w:type="pct"/>
            <w:shd w:val="clear" w:color="auto" w:fill="auto"/>
            <w:vAlign w:val="bottom"/>
          </w:tcPr>
          <w:p w14:paraId="5A1B1358" w14:textId="77777777" w:rsidR="00960BB8" w:rsidRDefault="00960BB8">
            <w:pPr>
              <w:rPr>
                <w:rFonts w:ascii="宋体"/>
              </w:rPr>
            </w:pPr>
          </w:p>
        </w:tc>
        <w:tc>
          <w:tcPr>
            <w:tcW w:w="457" w:type="pct"/>
            <w:shd w:val="clear" w:color="auto" w:fill="auto"/>
            <w:vAlign w:val="bottom"/>
          </w:tcPr>
          <w:p w14:paraId="5A1B1359" w14:textId="77777777" w:rsidR="00960BB8" w:rsidRDefault="00960BB8">
            <w:pPr>
              <w:rPr>
                <w:rFonts w:ascii="宋体"/>
              </w:rPr>
            </w:pPr>
          </w:p>
        </w:tc>
        <w:tc>
          <w:tcPr>
            <w:tcW w:w="5" w:type="pct"/>
            <w:shd w:val="clear" w:color="auto" w:fill="auto"/>
            <w:vAlign w:val="bottom"/>
          </w:tcPr>
          <w:p w14:paraId="5A1B135A" w14:textId="77777777" w:rsidR="00960BB8" w:rsidRDefault="00960BB8">
            <w:pPr>
              <w:rPr>
                <w:rFonts w:ascii="宋体"/>
              </w:rPr>
            </w:pPr>
          </w:p>
        </w:tc>
        <w:tc>
          <w:tcPr>
            <w:tcW w:w="5" w:type="pct"/>
            <w:shd w:val="clear" w:color="auto" w:fill="auto"/>
            <w:vAlign w:val="bottom"/>
          </w:tcPr>
          <w:p w14:paraId="5A1B135B" w14:textId="77777777" w:rsidR="00960BB8" w:rsidRDefault="00960BB8">
            <w:pPr>
              <w:rPr>
                <w:rFonts w:ascii="宋体"/>
              </w:rPr>
            </w:pPr>
          </w:p>
        </w:tc>
        <w:tc>
          <w:tcPr>
            <w:tcW w:w="24" w:type="pct"/>
            <w:shd w:val="clear" w:color="auto" w:fill="auto"/>
            <w:vAlign w:val="bottom"/>
          </w:tcPr>
          <w:p w14:paraId="5A1B135C" w14:textId="77777777" w:rsidR="00960BB8" w:rsidRDefault="00960BB8">
            <w:pPr>
              <w:rPr>
                <w:rFonts w:ascii="宋体"/>
              </w:rPr>
            </w:pPr>
          </w:p>
        </w:tc>
        <w:tc>
          <w:tcPr>
            <w:tcW w:w="5" w:type="pct"/>
            <w:shd w:val="clear" w:color="auto" w:fill="auto"/>
            <w:vAlign w:val="bottom"/>
          </w:tcPr>
          <w:p w14:paraId="5A1B135D" w14:textId="77777777" w:rsidR="00960BB8" w:rsidRDefault="00960BB8">
            <w:pPr>
              <w:rPr>
                <w:rFonts w:ascii="宋体"/>
              </w:rPr>
            </w:pPr>
          </w:p>
        </w:tc>
        <w:tc>
          <w:tcPr>
            <w:tcW w:w="50" w:type="pct"/>
            <w:shd w:val="clear" w:color="auto" w:fill="auto"/>
            <w:vAlign w:val="bottom"/>
          </w:tcPr>
          <w:p w14:paraId="5A1B135E" w14:textId="77777777" w:rsidR="00960BB8" w:rsidRDefault="00960BB8">
            <w:pPr>
              <w:rPr>
                <w:rFonts w:ascii="宋体"/>
              </w:rPr>
            </w:pPr>
          </w:p>
        </w:tc>
        <w:tc>
          <w:tcPr>
            <w:tcW w:w="511" w:type="pct"/>
            <w:shd w:val="clear" w:color="auto" w:fill="auto"/>
            <w:vAlign w:val="bottom"/>
          </w:tcPr>
          <w:p w14:paraId="5A1B135F" w14:textId="77777777" w:rsidR="00960BB8" w:rsidRDefault="00960BB8">
            <w:pPr>
              <w:rPr>
                <w:rFonts w:ascii="宋体"/>
              </w:rPr>
            </w:pPr>
          </w:p>
        </w:tc>
        <w:tc>
          <w:tcPr>
            <w:tcW w:w="5" w:type="pct"/>
            <w:shd w:val="clear" w:color="auto" w:fill="auto"/>
            <w:vAlign w:val="bottom"/>
          </w:tcPr>
          <w:p w14:paraId="5A1B1360" w14:textId="77777777" w:rsidR="00960BB8" w:rsidRDefault="00960BB8">
            <w:pPr>
              <w:rPr>
                <w:rFonts w:ascii="宋体"/>
              </w:rPr>
            </w:pPr>
          </w:p>
        </w:tc>
        <w:tc>
          <w:tcPr>
            <w:tcW w:w="5" w:type="pct"/>
            <w:shd w:val="clear" w:color="auto" w:fill="auto"/>
            <w:vAlign w:val="bottom"/>
          </w:tcPr>
          <w:p w14:paraId="5A1B1361" w14:textId="77777777" w:rsidR="00960BB8" w:rsidRDefault="00960BB8">
            <w:pPr>
              <w:rPr>
                <w:rFonts w:ascii="宋体"/>
              </w:rPr>
            </w:pPr>
          </w:p>
        </w:tc>
        <w:tc>
          <w:tcPr>
            <w:tcW w:w="24" w:type="pct"/>
            <w:shd w:val="clear" w:color="auto" w:fill="auto"/>
            <w:vAlign w:val="bottom"/>
          </w:tcPr>
          <w:p w14:paraId="5A1B1362" w14:textId="77777777" w:rsidR="00960BB8" w:rsidRDefault="00960BB8">
            <w:pPr>
              <w:rPr>
                <w:rFonts w:ascii="宋体"/>
              </w:rPr>
            </w:pPr>
          </w:p>
        </w:tc>
        <w:tc>
          <w:tcPr>
            <w:tcW w:w="5" w:type="pct"/>
            <w:shd w:val="clear" w:color="auto" w:fill="auto"/>
            <w:vAlign w:val="bottom"/>
          </w:tcPr>
          <w:p w14:paraId="5A1B1363" w14:textId="77777777" w:rsidR="00960BB8" w:rsidRDefault="00960BB8">
            <w:pPr>
              <w:rPr>
                <w:rFonts w:ascii="宋体"/>
              </w:rPr>
            </w:pPr>
          </w:p>
        </w:tc>
        <w:tc>
          <w:tcPr>
            <w:tcW w:w="50" w:type="pct"/>
            <w:shd w:val="clear" w:color="auto" w:fill="auto"/>
            <w:vAlign w:val="bottom"/>
          </w:tcPr>
          <w:p w14:paraId="5A1B1364" w14:textId="77777777" w:rsidR="00960BB8" w:rsidRDefault="00960BB8">
            <w:pPr>
              <w:rPr>
                <w:rFonts w:ascii="宋体"/>
              </w:rPr>
            </w:pPr>
          </w:p>
        </w:tc>
        <w:tc>
          <w:tcPr>
            <w:tcW w:w="607" w:type="pct"/>
            <w:shd w:val="clear" w:color="auto" w:fill="auto"/>
            <w:vAlign w:val="bottom"/>
          </w:tcPr>
          <w:p w14:paraId="5A1B1365" w14:textId="77777777" w:rsidR="00960BB8" w:rsidRDefault="00960BB8">
            <w:pPr>
              <w:rPr>
                <w:rFonts w:ascii="宋体"/>
              </w:rPr>
            </w:pPr>
          </w:p>
        </w:tc>
        <w:tc>
          <w:tcPr>
            <w:tcW w:w="5" w:type="pct"/>
            <w:shd w:val="clear" w:color="auto" w:fill="auto"/>
            <w:vAlign w:val="bottom"/>
          </w:tcPr>
          <w:p w14:paraId="5A1B1366" w14:textId="77777777" w:rsidR="00960BB8" w:rsidRDefault="00960BB8">
            <w:pPr>
              <w:rPr>
                <w:rFonts w:ascii="宋体"/>
              </w:rPr>
            </w:pPr>
          </w:p>
        </w:tc>
        <w:tc>
          <w:tcPr>
            <w:tcW w:w="5" w:type="pct"/>
            <w:shd w:val="clear" w:color="auto" w:fill="auto"/>
            <w:vAlign w:val="bottom"/>
          </w:tcPr>
          <w:p w14:paraId="5A1B1367" w14:textId="77777777" w:rsidR="00960BB8" w:rsidRDefault="00960BB8">
            <w:pPr>
              <w:rPr>
                <w:rFonts w:ascii="宋体"/>
              </w:rPr>
            </w:pPr>
          </w:p>
        </w:tc>
        <w:tc>
          <w:tcPr>
            <w:tcW w:w="24" w:type="pct"/>
            <w:shd w:val="clear" w:color="auto" w:fill="auto"/>
            <w:vAlign w:val="bottom"/>
          </w:tcPr>
          <w:p w14:paraId="5A1B1368" w14:textId="77777777" w:rsidR="00960BB8" w:rsidRDefault="00960BB8">
            <w:pPr>
              <w:rPr>
                <w:rFonts w:ascii="宋体"/>
              </w:rPr>
            </w:pPr>
          </w:p>
        </w:tc>
        <w:tc>
          <w:tcPr>
            <w:tcW w:w="5" w:type="pct"/>
            <w:shd w:val="clear" w:color="auto" w:fill="auto"/>
            <w:vAlign w:val="bottom"/>
          </w:tcPr>
          <w:p w14:paraId="5A1B1369" w14:textId="77777777" w:rsidR="00960BB8" w:rsidRDefault="00960BB8">
            <w:pPr>
              <w:rPr>
                <w:rFonts w:ascii="宋体"/>
              </w:rPr>
            </w:pPr>
          </w:p>
        </w:tc>
        <w:tc>
          <w:tcPr>
            <w:tcW w:w="50" w:type="pct"/>
            <w:shd w:val="clear" w:color="auto" w:fill="auto"/>
            <w:vAlign w:val="bottom"/>
          </w:tcPr>
          <w:p w14:paraId="5A1B136A" w14:textId="77777777" w:rsidR="00960BB8" w:rsidRDefault="00960BB8">
            <w:pPr>
              <w:rPr>
                <w:rFonts w:ascii="宋体"/>
              </w:rPr>
            </w:pPr>
          </w:p>
        </w:tc>
        <w:tc>
          <w:tcPr>
            <w:tcW w:w="388" w:type="pct"/>
            <w:shd w:val="clear" w:color="auto" w:fill="auto"/>
            <w:vAlign w:val="bottom"/>
          </w:tcPr>
          <w:p w14:paraId="5A1B136B" w14:textId="77777777" w:rsidR="00960BB8" w:rsidRDefault="00960BB8">
            <w:pPr>
              <w:rPr>
                <w:rFonts w:ascii="宋体"/>
              </w:rPr>
            </w:pPr>
          </w:p>
        </w:tc>
        <w:tc>
          <w:tcPr>
            <w:tcW w:w="5" w:type="pct"/>
            <w:shd w:val="clear" w:color="auto" w:fill="auto"/>
            <w:vAlign w:val="bottom"/>
          </w:tcPr>
          <w:p w14:paraId="5A1B136C" w14:textId="77777777" w:rsidR="00960BB8" w:rsidRDefault="00960BB8">
            <w:pPr>
              <w:rPr>
                <w:rFonts w:ascii="宋体"/>
              </w:rPr>
            </w:pPr>
          </w:p>
        </w:tc>
        <w:tc>
          <w:tcPr>
            <w:tcW w:w="5" w:type="pct"/>
            <w:shd w:val="clear" w:color="auto" w:fill="auto"/>
            <w:vAlign w:val="bottom"/>
          </w:tcPr>
          <w:p w14:paraId="5A1B136D" w14:textId="77777777" w:rsidR="00960BB8" w:rsidRDefault="00960BB8">
            <w:pPr>
              <w:rPr>
                <w:rFonts w:ascii="宋体"/>
              </w:rPr>
            </w:pPr>
          </w:p>
        </w:tc>
        <w:tc>
          <w:tcPr>
            <w:tcW w:w="17" w:type="pct"/>
            <w:shd w:val="clear" w:color="auto" w:fill="auto"/>
            <w:vAlign w:val="bottom"/>
          </w:tcPr>
          <w:p w14:paraId="5A1B136E" w14:textId="77777777" w:rsidR="00960BB8" w:rsidRDefault="00960BB8">
            <w:pPr>
              <w:rPr>
                <w:rFonts w:ascii="宋体"/>
              </w:rPr>
            </w:pPr>
          </w:p>
        </w:tc>
        <w:tc>
          <w:tcPr>
            <w:tcW w:w="5" w:type="pct"/>
            <w:shd w:val="clear" w:color="auto" w:fill="auto"/>
            <w:vAlign w:val="bottom"/>
          </w:tcPr>
          <w:p w14:paraId="5A1B136F" w14:textId="77777777" w:rsidR="00960BB8" w:rsidRDefault="00960BB8">
            <w:pPr>
              <w:rPr>
                <w:rFonts w:ascii="宋体"/>
              </w:rPr>
            </w:pPr>
          </w:p>
        </w:tc>
        <w:tc>
          <w:tcPr>
            <w:tcW w:w="50" w:type="pct"/>
            <w:shd w:val="clear" w:color="auto" w:fill="auto"/>
            <w:vAlign w:val="bottom"/>
          </w:tcPr>
          <w:p w14:paraId="5A1B1370" w14:textId="77777777" w:rsidR="00960BB8" w:rsidRDefault="00960BB8">
            <w:pPr>
              <w:rPr>
                <w:rFonts w:ascii="宋体"/>
              </w:rPr>
            </w:pPr>
          </w:p>
        </w:tc>
        <w:tc>
          <w:tcPr>
            <w:tcW w:w="436" w:type="pct"/>
            <w:shd w:val="clear" w:color="auto" w:fill="auto"/>
            <w:vAlign w:val="bottom"/>
          </w:tcPr>
          <w:p w14:paraId="5A1B1371" w14:textId="77777777" w:rsidR="00960BB8" w:rsidRDefault="00960BB8">
            <w:pPr>
              <w:rPr>
                <w:rFonts w:ascii="宋体"/>
              </w:rPr>
            </w:pPr>
          </w:p>
        </w:tc>
        <w:tc>
          <w:tcPr>
            <w:tcW w:w="5" w:type="pct"/>
            <w:shd w:val="clear" w:color="auto" w:fill="auto"/>
            <w:vAlign w:val="bottom"/>
          </w:tcPr>
          <w:p w14:paraId="5A1B1372" w14:textId="77777777" w:rsidR="00960BB8" w:rsidRDefault="00960BB8">
            <w:pPr>
              <w:rPr>
                <w:rFonts w:ascii="宋体"/>
              </w:rPr>
            </w:pPr>
          </w:p>
        </w:tc>
        <w:tc>
          <w:tcPr>
            <w:tcW w:w="5" w:type="pct"/>
            <w:shd w:val="clear" w:color="auto" w:fill="auto"/>
            <w:vAlign w:val="bottom"/>
          </w:tcPr>
          <w:p w14:paraId="5A1B1373" w14:textId="77777777" w:rsidR="00960BB8" w:rsidRDefault="00960BB8">
            <w:pPr>
              <w:rPr>
                <w:rFonts w:ascii="宋体"/>
              </w:rPr>
            </w:pPr>
          </w:p>
        </w:tc>
        <w:tc>
          <w:tcPr>
            <w:tcW w:w="24" w:type="pct"/>
            <w:shd w:val="clear" w:color="auto" w:fill="auto"/>
            <w:vAlign w:val="bottom"/>
          </w:tcPr>
          <w:p w14:paraId="5A1B1374" w14:textId="77777777" w:rsidR="00960BB8" w:rsidRDefault="00960BB8">
            <w:pPr>
              <w:rPr>
                <w:rFonts w:ascii="宋体"/>
              </w:rPr>
            </w:pPr>
          </w:p>
        </w:tc>
        <w:tc>
          <w:tcPr>
            <w:tcW w:w="5" w:type="pct"/>
            <w:shd w:val="clear" w:color="auto" w:fill="auto"/>
            <w:vAlign w:val="bottom"/>
          </w:tcPr>
          <w:p w14:paraId="5A1B1375" w14:textId="77777777" w:rsidR="00960BB8" w:rsidRDefault="00960BB8">
            <w:pPr>
              <w:rPr>
                <w:rFonts w:ascii="宋体"/>
              </w:rPr>
            </w:pPr>
          </w:p>
        </w:tc>
        <w:tc>
          <w:tcPr>
            <w:tcW w:w="50" w:type="pct"/>
            <w:shd w:val="clear" w:color="auto" w:fill="auto"/>
            <w:vAlign w:val="bottom"/>
          </w:tcPr>
          <w:p w14:paraId="5A1B1376" w14:textId="77777777" w:rsidR="00960BB8" w:rsidRDefault="00960BB8">
            <w:pPr>
              <w:rPr>
                <w:rFonts w:ascii="宋体"/>
              </w:rPr>
            </w:pPr>
          </w:p>
        </w:tc>
        <w:tc>
          <w:tcPr>
            <w:tcW w:w="355" w:type="pct"/>
            <w:shd w:val="clear" w:color="auto" w:fill="auto"/>
            <w:vAlign w:val="bottom"/>
          </w:tcPr>
          <w:p w14:paraId="5A1B1377" w14:textId="77777777" w:rsidR="00960BB8" w:rsidRDefault="00960BB8">
            <w:pPr>
              <w:rPr>
                <w:rFonts w:ascii="宋体"/>
              </w:rPr>
            </w:pPr>
          </w:p>
        </w:tc>
        <w:tc>
          <w:tcPr>
            <w:tcW w:w="5" w:type="pct"/>
            <w:shd w:val="clear" w:color="auto" w:fill="auto"/>
            <w:vAlign w:val="bottom"/>
          </w:tcPr>
          <w:p w14:paraId="5A1B1378" w14:textId="77777777" w:rsidR="00960BB8" w:rsidRDefault="00960BB8">
            <w:pPr>
              <w:rPr>
                <w:rFonts w:ascii="宋体"/>
              </w:rPr>
            </w:pPr>
          </w:p>
        </w:tc>
      </w:tr>
      <w:tr w:rsidR="00960BB8" w14:paraId="5A1B1385" w14:textId="77777777">
        <w:trPr>
          <w:trHeight w:val="460"/>
        </w:trPr>
        <w:tc>
          <w:tcPr>
            <w:tcW w:w="0" w:type="auto"/>
            <w:gridSpan w:val="3"/>
            <w:shd w:val="clear" w:color="auto" w:fill="auto"/>
            <w:tcMar>
              <w:top w:w="0" w:type="dxa"/>
              <w:left w:w="20" w:type="dxa"/>
              <w:bottom w:w="0" w:type="dxa"/>
              <w:right w:w="20" w:type="dxa"/>
            </w:tcMar>
            <w:vAlign w:val="bottom"/>
          </w:tcPr>
          <w:p w14:paraId="5A1B137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7B"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vAlign w:val="bottom"/>
          </w:tcPr>
          <w:p w14:paraId="5A1B137C" w14:textId="77777777" w:rsidR="00960BB8" w:rsidRDefault="00C06650">
            <w:pPr>
              <w:jc w:val="center"/>
              <w:textAlignment w:val="bottom"/>
            </w:pPr>
            <w:r>
              <w:rPr>
                <w:rFonts w:ascii="Arial" w:eastAsia="宋体" w:hAnsi="Arial" w:cs="Arial"/>
                <w:b/>
                <w:bCs/>
                <w:color w:val="262626"/>
                <w:sz w:val="18"/>
                <w:szCs w:val="18"/>
              </w:rPr>
              <w:t>Common Stock and Capital</w:t>
            </w:r>
            <w:r>
              <w:rPr>
                <w:rFonts w:ascii="Arial" w:eastAsia="宋体" w:hAnsi="Arial" w:cs="Arial"/>
                <w:b/>
                <w:bCs/>
                <w:color w:val="262626"/>
                <w:sz w:val="18"/>
                <w:szCs w:val="18"/>
              </w:rPr>
              <w:br/>
              <w:t>in Excess of Par Value</w:t>
            </w:r>
          </w:p>
        </w:tc>
        <w:tc>
          <w:tcPr>
            <w:tcW w:w="0" w:type="auto"/>
            <w:gridSpan w:val="3"/>
            <w:shd w:val="clear" w:color="auto" w:fill="auto"/>
            <w:tcMar>
              <w:top w:w="0" w:type="dxa"/>
              <w:left w:w="20" w:type="dxa"/>
              <w:bottom w:w="0" w:type="dxa"/>
              <w:right w:w="20" w:type="dxa"/>
            </w:tcMar>
            <w:vAlign w:val="bottom"/>
          </w:tcPr>
          <w:p w14:paraId="5A1B137D" w14:textId="77777777" w:rsidR="00960BB8" w:rsidRDefault="00960BB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A1B137E" w14:textId="77777777" w:rsidR="00960BB8" w:rsidRDefault="00C06650">
            <w:pPr>
              <w:jc w:val="center"/>
              <w:textAlignment w:val="bottom"/>
            </w:pPr>
            <w:r>
              <w:rPr>
                <w:rFonts w:ascii="Arial" w:eastAsia="宋体" w:hAnsi="Arial" w:cs="Arial"/>
                <w:b/>
                <w:bCs/>
                <w:color w:val="262626"/>
                <w:sz w:val="18"/>
                <w:szCs w:val="18"/>
              </w:rPr>
              <w:t>Accumulated</w:t>
            </w:r>
            <w:r>
              <w:rPr>
                <w:rFonts w:ascii="Arial" w:eastAsia="宋体" w:hAnsi="Arial" w:cs="Arial"/>
                <w:b/>
                <w:bCs/>
                <w:color w:val="262626"/>
                <w:sz w:val="18"/>
                <w:szCs w:val="18"/>
              </w:rPr>
              <w:br/>
              <w:t>Other</w:t>
            </w:r>
            <w:r>
              <w:rPr>
                <w:rFonts w:ascii="Arial" w:eastAsia="宋体" w:hAnsi="Arial" w:cs="Arial"/>
                <w:b/>
                <w:bCs/>
                <w:color w:val="262626"/>
                <w:sz w:val="18"/>
                <w:szCs w:val="18"/>
              </w:rPr>
              <w:br/>
              <w:t>Comprehensive</w:t>
            </w:r>
            <w:r>
              <w:rPr>
                <w:rFonts w:ascii="Arial" w:eastAsia="宋体" w:hAnsi="Arial" w:cs="Arial"/>
                <w:b/>
                <w:bCs/>
                <w:color w:val="262626"/>
                <w:sz w:val="18"/>
                <w:szCs w:val="18"/>
              </w:rPr>
              <w:br/>
              <w:t>Income (Loss)</w:t>
            </w:r>
          </w:p>
        </w:tc>
        <w:tc>
          <w:tcPr>
            <w:tcW w:w="0" w:type="auto"/>
            <w:gridSpan w:val="3"/>
            <w:vMerge w:val="restart"/>
            <w:shd w:val="clear" w:color="auto" w:fill="auto"/>
            <w:tcMar>
              <w:top w:w="0" w:type="dxa"/>
              <w:left w:w="20" w:type="dxa"/>
              <w:bottom w:w="0" w:type="dxa"/>
              <w:right w:w="20" w:type="dxa"/>
            </w:tcMar>
            <w:vAlign w:val="bottom"/>
          </w:tcPr>
          <w:p w14:paraId="5A1B137F" w14:textId="77777777" w:rsidR="00960BB8" w:rsidRDefault="00960BB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A1B1380" w14:textId="77777777" w:rsidR="00960BB8" w:rsidRDefault="00C06650">
            <w:pPr>
              <w:jc w:val="center"/>
              <w:textAlignment w:val="bottom"/>
            </w:pPr>
            <w:r>
              <w:rPr>
                <w:rFonts w:ascii="Arial" w:eastAsia="宋体" w:hAnsi="Arial" w:cs="Arial"/>
                <w:b/>
                <w:bCs/>
                <w:color w:val="262626"/>
                <w:sz w:val="18"/>
                <w:szCs w:val="18"/>
              </w:rPr>
              <w:t>Retained</w:t>
            </w:r>
            <w:r>
              <w:rPr>
                <w:rFonts w:ascii="Arial" w:eastAsia="宋体" w:hAnsi="Arial" w:cs="Arial"/>
                <w:b/>
                <w:bCs/>
                <w:color w:val="262626"/>
                <w:sz w:val="18"/>
                <w:szCs w:val="18"/>
              </w:rPr>
              <w:br/>
              <w:t>Earnings</w:t>
            </w:r>
          </w:p>
        </w:tc>
        <w:tc>
          <w:tcPr>
            <w:tcW w:w="0" w:type="auto"/>
            <w:gridSpan w:val="3"/>
            <w:vMerge w:val="restart"/>
            <w:shd w:val="clear" w:color="auto" w:fill="auto"/>
            <w:tcMar>
              <w:top w:w="0" w:type="dxa"/>
              <w:left w:w="20" w:type="dxa"/>
              <w:bottom w:w="0" w:type="dxa"/>
              <w:right w:w="20" w:type="dxa"/>
            </w:tcMar>
            <w:vAlign w:val="bottom"/>
          </w:tcPr>
          <w:p w14:paraId="5A1B1381" w14:textId="77777777" w:rsidR="00960BB8" w:rsidRDefault="00960BB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A1B1382" w14:textId="77777777" w:rsidR="00960BB8" w:rsidRDefault="00C06650">
            <w:pPr>
              <w:jc w:val="center"/>
              <w:textAlignment w:val="bottom"/>
            </w:pPr>
            <w:r>
              <w:rPr>
                <w:rFonts w:ascii="Arial" w:eastAsia="宋体" w:hAnsi="Arial" w:cs="Arial"/>
                <w:b/>
                <w:bCs/>
                <w:color w:val="262626"/>
                <w:sz w:val="18"/>
                <w:szCs w:val="18"/>
              </w:rPr>
              <w:t>Non-Controlling Interests</w:t>
            </w:r>
          </w:p>
        </w:tc>
        <w:tc>
          <w:tcPr>
            <w:tcW w:w="0" w:type="auto"/>
            <w:gridSpan w:val="3"/>
            <w:vMerge w:val="restart"/>
            <w:shd w:val="clear" w:color="auto" w:fill="auto"/>
            <w:tcMar>
              <w:top w:w="0" w:type="dxa"/>
              <w:left w:w="20" w:type="dxa"/>
              <w:bottom w:w="0" w:type="dxa"/>
              <w:right w:w="20" w:type="dxa"/>
            </w:tcMar>
            <w:vAlign w:val="bottom"/>
          </w:tcPr>
          <w:p w14:paraId="5A1B1383" w14:textId="77777777" w:rsidR="00960BB8" w:rsidRDefault="00960BB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A1B1384" w14:textId="77777777" w:rsidR="00960BB8" w:rsidRDefault="00C06650">
            <w:pPr>
              <w:jc w:val="center"/>
              <w:textAlignment w:val="bottom"/>
            </w:pPr>
            <w:r>
              <w:rPr>
                <w:rFonts w:ascii="Arial" w:eastAsia="宋体" w:hAnsi="Arial" w:cs="Arial"/>
                <w:b/>
                <w:bCs/>
                <w:color w:val="262626"/>
                <w:sz w:val="18"/>
                <w:szCs w:val="18"/>
              </w:rPr>
              <w:t>Total</w:t>
            </w:r>
          </w:p>
        </w:tc>
      </w:tr>
      <w:tr w:rsidR="00960BB8" w14:paraId="5A1B1393" w14:textId="77777777">
        <w:trPr>
          <w:trHeight w:val="460"/>
        </w:trPr>
        <w:tc>
          <w:tcPr>
            <w:tcW w:w="0" w:type="auto"/>
            <w:gridSpan w:val="3"/>
            <w:shd w:val="clear" w:color="auto" w:fill="auto"/>
            <w:tcMar>
              <w:top w:w="40" w:type="dxa"/>
              <w:left w:w="20" w:type="dxa"/>
              <w:bottom w:w="40" w:type="dxa"/>
              <w:right w:w="20" w:type="dxa"/>
            </w:tcMar>
            <w:vAlign w:val="bottom"/>
          </w:tcPr>
          <w:p w14:paraId="5A1B1386" w14:textId="77777777" w:rsidR="00960BB8" w:rsidRDefault="00C06650">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5A1B1387"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1388" w14:textId="77777777" w:rsidR="00960BB8" w:rsidRDefault="00C06650">
            <w:pPr>
              <w:jc w:val="center"/>
              <w:textAlignment w:val="bottom"/>
            </w:pPr>
            <w:r>
              <w:rPr>
                <w:rFonts w:ascii="Arial" w:eastAsia="宋体" w:hAnsi="Arial" w:cs="Arial"/>
                <w:b/>
                <w:bCs/>
                <w:color w:val="262626"/>
                <w:sz w:val="18"/>
                <w:szCs w:val="18"/>
              </w:rPr>
              <w:t>Number of</w:t>
            </w:r>
            <w:r>
              <w:rPr>
                <w:rFonts w:ascii="Arial" w:eastAsia="宋体" w:hAnsi="Arial" w:cs="Arial"/>
                <w:b/>
                <w:bCs/>
                <w:color w:val="262626"/>
                <w:sz w:val="18"/>
                <w:szCs w:val="18"/>
              </w:rPr>
              <w:br/>
              <w:t>Shares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1389"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138A" w14:textId="77777777" w:rsidR="00960BB8" w:rsidRDefault="00C06650">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vAlign w:val="bottom"/>
          </w:tcPr>
          <w:p w14:paraId="5A1B138B" w14:textId="77777777" w:rsidR="00960BB8" w:rsidRDefault="00960BB8">
            <w:pPr>
              <w:rPr>
                <w:rFonts w:ascii="宋体"/>
              </w:rPr>
            </w:pPr>
          </w:p>
        </w:tc>
        <w:tc>
          <w:tcPr>
            <w:tcW w:w="0" w:type="auto"/>
            <w:gridSpan w:val="3"/>
            <w:vMerge/>
            <w:shd w:val="clear" w:color="auto" w:fill="auto"/>
            <w:tcMar>
              <w:top w:w="40" w:type="dxa"/>
              <w:left w:w="20" w:type="dxa"/>
              <w:bottom w:w="40" w:type="dxa"/>
              <w:right w:w="20" w:type="dxa"/>
            </w:tcMar>
            <w:vAlign w:val="bottom"/>
          </w:tcPr>
          <w:p w14:paraId="5A1B138C" w14:textId="77777777" w:rsidR="00960BB8" w:rsidRDefault="00960BB8">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A1B138D" w14:textId="77777777" w:rsidR="00960BB8" w:rsidRDefault="00960BB8">
            <w:pPr>
              <w:rPr>
                <w:rFonts w:ascii="宋体"/>
              </w:rPr>
            </w:pPr>
          </w:p>
        </w:tc>
        <w:tc>
          <w:tcPr>
            <w:tcW w:w="0" w:type="auto"/>
            <w:gridSpan w:val="3"/>
            <w:vMerge/>
            <w:shd w:val="clear" w:color="auto" w:fill="auto"/>
            <w:tcMar>
              <w:top w:w="40" w:type="dxa"/>
              <w:left w:w="20" w:type="dxa"/>
              <w:bottom w:w="40" w:type="dxa"/>
              <w:right w:w="20" w:type="dxa"/>
            </w:tcMar>
            <w:vAlign w:val="bottom"/>
          </w:tcPr>
          <w:p w14:paraId="5A1B138E" w14:textId="77777777" w:rsidR="00960BB8" w:rsidRDefault="00960BB8">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A1B138F" w14:textId="77777777" w:rsidR="00960BB8" w:rsidRDefault="00960BB8">
            <w:pPr>
              <w:rPr>
                <w:rFonts w:ascii="宋体"/>
              </w:rPr>
            </w:pPr>
          </w:p>
        </w:tc>
        <w:tc>
          <w:tcPr>
            <w:tcW w:w="0" w:type="auto"/>
            <w:gridSpan w:val="3"/>
            <w:vMerge/>
            <w:shd w:val="clear" w:color="auto" w:fill="auto"/>
            <w:tcMar>
              <w:top w:w="40" w:type="dxa"/>
              <w:left w:w="20" w:type="dxa"/>
              <w:bottom w:w="40" w:type="dxa"/>
              <w:right w:w="20" w:type="dxa"/>
            </w:tcMar>
            <w:vAlign w:val="bottom"/>
          </w:tcPr>
          <w:p w14:paraId="5A1B1390" w14:textId="77777777" w:rsidR="00960BB8" w:rsidRDefault="00960BB8">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A1B1391" w14:textId="77777777" w:rsidR="00960BB8" w:rsidRDefault="00960BB8">
            <w:pPr>
              <w:rPr>
                <w:rFonts w:ascii="宋体"/>
              </w:rPr>
            </w:pPr>
          </w:p>
        </w:tc>
        <w:tc>
          <w:tcPr>
            <w:tcW w:w="0" w:type="auto"/>
            <w:gridSpan w:val="3"/>
            <w:vMerge/>
            <w:shd w:val="clear" w:color="auto" w:fill="auto"/>
            <w:tcMar>
              <w:top w:w="40" w:type="dxa"/>
              <w:left w:w="20" w:type="dxa"/>
              <w:bottom w:w="40" w:type="dxa"/>
              <w:right w:w="20" w:type="dxa"/>
            </w:tcMar>
            <w:vAlign w:val="bottom"/>
          </w:tcPr>
          <w:p w14:paraId="5A1B1392" w14:textId="77777777" w:rsidR="00960BB8" w:rsidRDefault="00960BB8">
            <w:pPr>
              <w:jc w:val="center"/>
              <w:rPr>
                <w:rFonts w:ascii="宋体"/>
              </w:rPr>
            </w:pPr>
          </w:p>
        </w:tc>
      </w:tr>
      <w:tr w:rsidR="00960BB8" w14:paraId="5A1B13A1" w14:textId="77777777">
        <w:trPr>
          <w:hidden/>
        </w:trPr>
        <w:tc>
          <w:tcPr>
            <w:tcW w:w="0" w:type="auto"/>
            <w:gridSpan w:val="3"/>
            <w:shd w:val="clear" w:color="auto" w:fill="auto"/>
            <w:vAlign w:val="bottom"/>
          </w:tcPr>
          <w:p w14:paraId="5A1B1394" w14:textId="77777777" w:rsidR="00960BB8" w:rsidRDefault="00960BB8">
            <w:pPr>
              <w:rPr>
                <w:rFonts w:ascii="宋体"/>
                <w:vanish/>
              </w:rPr>
            </w:pPr>
          </w:p>
        </w:tc>
        <w:tc>
          <w:tcPr>
            <w:tcW w:w="0" w:type="auto"/>
            <w:gridSpan w:val="3"/>
            <w:shd w:val="clear" w:color="auto" w:fill="auto"/>
            <w:vAlign w:val="bottom"/>
          </w:tcPr>
          <w:p w14:paraId="5A1B1395" w14:textId="77777777" w:rsidR="00960BB8" w:rsidRDefault="00960BB8">
            <w:pPr>
              <w:rPr>
                <w:rFonts w:ascii="宋体"/>
                <w:vanish/>
              </w:rPr>
            </w:pPr>
          </w:p>
        </w:tc>
        <w:tc>
          <w:tcPr>
            <w:tcW w:w="0" w:type="auto"/>
            <w:gridSpan w:val="3"/>
            <w:shd w:val="clear" w:color="auto" w:fill="auto"/>
            <w:vAlign w:val="bottom"/>
          </w:tcPr>
          <w:p w14:paraId="5A1B1396" w14:textId="77777777" w:rsidR="00960BB8" w:rsidRDefault="00960BB8">
            <w:pPr>
              <w:rPr>
                <w:rFonts w:ascii="宋体"/>
                <w:vanish/>
              </w:rPr>
            </w:pPr>
          </w:p>
        </w:tc>
        <w:tc>
          <w:tcPr>
            <w:tcW w:w="0" w:type="auto"/>
            <w:gridSpan w:val="3"/>
            <w:shd w:val="clear" w:color="auto" w:fill="auto"/>
            <w:vAlign w:val="bottom"/>
          </w:tcPr>
          <w:p w14:paraId="5A1B1397" w14:textId="77777777" w:rsidR="00960BB8" w:rsidRDefault="00960BB8">
            <w:pPr>
              <w:rPr>
                <w:rFonts w:ascii="宋体"/>
                <w:vanish/>
              </w:rPr>
            </w:pPr>
          </w:p>
        </w:tc>
        <w:tc>
          <w:tcPr>
            <w:tcW w:w="0" w:type="auto"/>
            <w:gridSpan w:val="3"/>
            <w:shd w:val="clear" w:color="auto" w:fill="auto"/>
            <w:vAlign w:val="bottom"/>
          </w:tcPr>
          <w:p w14:paraId="5A1B1398" w14:textId="77777777" w:rsidR="00960BB8" w:rsidRDefault="00960BB8">
            <w:pPr>
              <w:rPr>
                <w:rFonts w:ascii="宋体"/>
                <w:vanish/>
              </w:rPr>
            </w:pPr>
          </w:p>
        </w:tc>
        <w:tc>
          <w:tcPr>
            <w:tcW w:w="0" w:type="auto"/>
            <w:gridSpan w:val="3"/>
            <w:shd w:val="clear" w:color="auto" w:fill="auto"/>
            <w:vAlign w:val="bottom"/>
          </w:tcPr>
          <w:p w14:paraId="5A1B1399" w14:textId="77777777" w:rsidR="00960BB8" w:rsidRDefault="00960BB8">
            <w:pPr>
              <w:rPr>
                <w:rFonts w:ascii="宋体"/>
                <w:vanish/>
              </w:rPr>
            </w:pPr>
          </w:p>
        </w:tc>
        <w:tc>
          <w:tcPr>
            <w:tcW w:w="0" w:type="auto"/>
            <w:gridSpan w:val="3"/>
            <w:shd w:val="clear" w:color="auto" w:fill="auto"/>
            <w:vAlign w:val="bottom"/>
          </w:tcPr>
          <w:p w14:paraId="5A1B139A" w14:textId="77777777" w:rsidR="00960BB8" w:rsidRDefault="00960BB8">
            <w:pPr>
              <w:rPr>
                <w:rFonts w:ascii="宋体"/>
                <w:vanish/>
              </w:rPr>
            </w:pPr>
          </w:p>
        </w:tc>
        <w:tc>
          <w:tcPr>
            <w:tcW w:w="0" w:type="auto"/>
            <w:gridSpan w:val="3"/>
            <w:shd w:val="clear" w:color="auto" w:fill="auto"/>
            <w:vAlign w:val="bottom"/>
          </w:tcPr>
          <w:p w14:paraId="5A1B139B" w14:textId="77777777" w:rsidR="00960BB8" w:rsidRDefault="00960BB8">
            <w:pPr>
              <w:rPr>
                <w:rFonts w:ascii="宋体"/>
                <w:vanish/>
              </w:rPr>
            </w:pPr>
          </w:p>
        </w:tc>
        <w:tc>
          <w:tcPr>
            <w:tcW w:w="0" w:type="auto"/>
            <w:gridSpan w:val="3"/>
            <w:shd w:val="clear" w:color="auto" w:fill="auto"/>
            <w:vAlign w:val="bottom"/>
          </w:tcPr>
          <w:p w14:paraId="5A1B139C" w14:textId="77777777" w:rsidR="00960BB8" w:rsidRDefault="00960BB8">
            <w:pPr>
              <w:rPr>
                <w:rFonts w:ascii="宋体"/>
                <w:vanish/>
              </w:rPr>
            </w:pPr>
          </w:p>
        </w:tc>
        <w:tc>
          <w:tcPr>
            <w:tcW w:w="0" w:type="auto"/>
            <w:gridSpan w:val="3"/>
            <w:shd w:val="clear" w:color="auto" w:fill="auto"/>
            <w:vAlign w:val="bottom"/>
          </w:tcPr>
          <w:p w14:paraId="5A1B139D" w14:textId="77777777" w:rsidR="00960BB8" w:rsidRDefault="00960BB8">
            <w:pPr>
              <w:rPr>
                <w:rFonts w:ascii="宋体"/>
                <w:vanish/>
              </w:rPr>
            </w:pPr>
          </w:p>
        </w:tc>
        <w:tc>
          <w:tcPr>
            <w:tcW w:w="0" w:type="auto"/>
            <w:gridSpan w:val="3"/>
            <w:shd w:val="clear" w:color="auto" w:fill="auto"/>
            <w:vAlign w:val="bottom"/>
          </w:tcPr>
          <w:p w14:paraId="5A1B139E" w14:textId="77777777" w:rsidR="00960BB8" w:rsidRDefault="00960BB8">
            <w:pPr>
              <w:rPr>
                <w:rFonts w:ascii="宋体"/>
                <w:vanish/>
              </w:rPr>
            </w:pPr>
          </w:p>
        </w:tc>
        <w:tc>
          <w:tcPr>
            <w:tcW w:w="0" w:type="auto"/>
            <w:gridSpan w:val="3"/>
            <w:shd w:val="clear" w:color="auto" w:fill="auto"/>
            <w:vAlign w:val="bottom"/>
          </w:tcPr>
          <w:p w14:paraId="5A1B139F" w14:textId="77777777" w:rsidR="00960BB8" w:rsidRDefault="00960BB8">
            <w:pPr>
              <w:rPr>
                <w:rFonts w:ascii="宋体"/>
                <w:vanish/>
              </w:rPr>
            </w:pPr>
          </w:p>
        </w:tc>
        <w:tc>
          <w:tcPr>
            <w:tcW w:w="0" w:type="auto"/>
            <w:gridSpan w:val="3"/>
            <w:shd w:val="clear" w:color="auto" w:fill="auto"/>
            <w:vAlign w:val="bottom"/>
          </w:tcPr>
          <w:p w14:paraId="5A1B13A0" w14:textId="77777777" w:rsidR="00960BB8" w:rsidRDefault="00960BB8">
            <w:pPr>
              <w:rPr>
                <w:rFonts w:ascii="宋体"/>
                <w:vanish/>
              </w:rPr>
            </w:pPr>
          </w:p>
        </w:tc>
      </w:tr>
      <w:tr w:rsidR="00960BB8" w14:paraId="5A1B13AF" w14:textId="77777777">
        <w:trPr>
          <w:hidden/>
        </w:trPr>
        <w:tc>
          <w:tcPr>
            <w:tcW w:w="0" w:type="auto"/>
            <w:gridSpan w:val="3"/>
            <w:shd w:val="clear" w:color="auto" w:fill="auto"/>
            <w:vAlign w:val="bottom"/>
          </w:tcPr>
          <w:p w14:paraId="5A1B13A2" w14:textId="77777777" w:rsidR="00960BB8" w:rsidRDefault="00960BB8">
            <w:pPr>
              <w:rPr>
                <w:rFonts w:ascii="宋体"/>
                <w:vanish/>
              </w:rPr>
            </w:pPr>
          </w:p>
        </w:tc>
        <w:tc>
          <w:tcPr>
            <w:tcW w:w="0" w:type="auto"/>
            <w:gridSpan w:val="3"/>
            <w:shd w:val="clear" w:color="auto" w:fill="auto"/>
            <w:vAlign w:val="bottom"/>
          </w:tcPr>
          <w:p w14:paraId="5A1B13A3" w14:textId="77777777" w:rsidR="00960BB8" w:rsidRDefault="00960BB8">
            <w:pPr>
              <w:rPr>
                <w:rFonts w:ascii="宋体"/>
                <w:vanish/>
              </w:rPr>
            </w:pPr>
          </w:p>
        </w:tc>
        <w:tc>
          <w:tcPr>
            <w:tcW w:w="0" w:type="auto"/>
            <w:gridSpan w:val="3"/>
            <w:shd w:val="clear" w:color="auto" w:fill="auto"/>
            <w:vAlign w:val="bottom"/>
          </w:tcPr>
          <w:p w14:paraId="5A1B13A4" w14:textId="77777777" w:rsidR="00960BB8" w:rsidRDefault="00960BB8">
            <w:pPr>
              <w:rPr>
                <w:rFonts w:ascii="宋体"/>
                <w:vanish/>
              </w:rPr>
            </w:pPr>
          </w:p>
        </w:tc>
        <w:tc>
          <w:tcPr>
            <w:tcW w:w="0" w:type="auto"/>
            <w:gridSpan w:val="3"/>
            <w:shd w:val="clear" w:color="auto" w:fill="auto"/>
            <w:vAlign w:val="bottom"/>
          </w:tcPr>
          <w:p w14:paraId="5A1B13A5" w14:textId="77777777" w:rsidR="00960BB8" w:rsidRDefault="00960BB8">
            <w:pPr>
              <w:rPr>
                <w:rFonts w:ascii="宋体"/>
                <w:vanish/>
              </w:rPr>
            </w:pPr>
          </w:p>
        </w:tc>
        <w:tc>
          <w:tcPr>
            <w:tcW w:w="0" w:type="auto"/>
            <w:gridSpan w:val="3"/>
            <w:shd w:val="clear" w:color="auto" w:fill="auto"/>
            <w:vAlign w:val="bottom"/>
          </w:tcPr>
          <w:p w14:paraId="5A1B13A6" w14:textId="77777777" w:rsidR="00960BB8" w:rsidRDefault="00960BB8">
            <w:pPr>
              <w:rPr>
                <w:rFonts w:ascii="宋体"/>
                <w:vanish/>
              </w:rPr>
            </w:pPr>
          </w:p>
        </w:tc>
        <w:tc>
          <w:tcPr>
            <w:tcW w:w="0" w:type="auto"/>
            <w:gridSpan w:val="3"/>
            <w:shd w:val="clear" w:color="auto" w:fill="auto"/>
            <w:vAlign w:val="bottom"/>
          </w:tcPr>
          <w:p w14:paraId="5A1B13A7" w14:textId="77777777" w:rsidR="00960BB8" w:rsidRDefault="00960BB8">
            <w:pPr>
              <w:rPr>
                <w:rFonts w:ascii="宋体"/>
                <w:vanish/>
              </w:rPr>
            </w:pPr>
          </w:p>
        </w:tc>
        <w:tc>
          <w:tcPr>
            <w:tcW w:w="0" w:type="auto"/>
            <w:gridSpan w:val="3"/>
            <w:shd w:val="clear" w:color="auto" w:fill="auto"/>
            <w:vAlign w:val="bottom"/>
          </w:tcPr>
          <w:p w14:paraId="5A1B13A8" w14:textId="77777777" w:rsidR="00960BB8" w:rsidRDefault="00960BB8">
            <w:pPr>
              <w:rPr>
                <w:rFonts w:ascii="宋体"/>
                <w:vanish/>
              </w:rPr>
            </w:pPr>
          </w:p>
        </w:tc>
        <w:tc>
          <w:tcPr>
            <w:tcW w:w="0" w:type="auto"/>
            <w:gridSpan w:val="3"/>
            <w:shd w:val="clear" w:color="auto" w:fill="auto"/>
            <w:vAlign w:val="bottom"/>
          </w:tcPr>
          <w:p w14:paraId="5A1B13A9" w14:textId="77777777" w:rsidR="00960BB8" w:rsidRDefault="00960BB8">
            <w:pPr>
              <w:rPr>
                <w:rFonts w:ascii="宋体"/>
                <w:vanish/>
              </w:rPr>
            </w:pPr>
          </w:p>
        </w:tc>
        <w:tc>
          <w:tcPr>
            <w:tcW w:w="0" w:type="auto"/>
            <w:gridSpan w:val="3"/>
            <w:shd w:val="clear" w:color="auto" w:fill="auto"/>
            <w:vAlign w:val="bottom"/>
          </w:tcPr>
          <w:p w14:paraId="5A1B13AA" w14:textId="77777777" w:rsidR="00960BB8" w:rsidRDefault="00960BB8">
            <w:pPr>
              <w:rPr>
                <w:rFonts w:ascii="宋体"/>
                <w:vanish/>
              </w:rPr>
            </w:pPr>
          </w:p>
        </w:tc>
        <w:tc>
          <w:tcPr>
            <w:tcW w:w="0" w:type="auto"/>
            <w:gridSpan w:val="3"/>
            <w:shd w:val="clear" w:color="auto" w:fill="auto"/>
            <w:vAlign w:val="bottom"/>
          </w:tcPr>
          <w:p w14:paraId="5A1B13AB" w14:textId="77777777" w:rsidR="00960BB8" w:rsidRDefault="00960BB8">
            <w:pPr>
              <w:rPr>
                <w:rFonts w:ascii="宋体"/>
                <w:vanish/>
              </w:rPr>
            </w:pPr>
          </w:p>
        </w:tc>
        <w:tc>
          <w:tcPr>
            <w:tcW w:w="0" w:type="auto"/>
            <w:gridSpan w:val="3"/>
            <w:shd w:val="clear" w:color="auto" w:fill="auto"/>
            <w:vAlign w:val="bottom"/>
          </w:tcPr>
          <w:p w14:paraId="5A1B13AC" w14:textId="77777777" w:rsidR="00960BB8" w:rsidRDefault="00960BB8">
            <w:pPr>
              <w:rPr>
                <w:rFonts w:ascii="宋体"/>
                <w:vanish/>
              </w:rPr>
            </w:pPr>
          </w:p>
        </w:tc>
        <w:tc>
          <w:tcPr>
            <w:tcW w:w="0" w:type="auto"/>
            <w:gridSpan w:val="3"/>
            <w:shd w:val="clear" w:color="auto" w:fill="auto"/>
            <w:vAlign w:val="bottom"/>
          </w:tcPr>
          <w:p w14:paraId="5A1B13AD" w14:textId="77777777" w:rsidR="00960BB8" w:rsidRDefault="00960BB8">
            <w:pPr>
              <w:rPr>
                <w:rFonts w:ascii="宋体"/>
                <w:vanish/>
              </w:rPr>
            </w:pPr>
          </w:p>
        </w:tc>
        <w:tc>
          <w:tcPr>
            <w:tcW w:w="0" w:type="auto"/>
            <w:gridSpan w:val="3"/>
            <w:shd w:val="clear" w:color="auto" w:fill="auto"/>
            <w:vAlign w:val="bottom"/>
          </w:tcPr>
          <w:p w14:paraId="5A1B13AE" w14:textId="77777777" w:rsidR="00960BB8" w:rsidRDefault="00960BB8">
            <w:pPr>
              <w:rPr>
                <w:rFonts w:ascii="宋体"/>
                <w:vanish/>
              </w:rPr>
            </w:pPr>
          </w:p>
        </w:tc>
      </w:tr>
      <w:tr w:rsidR="00960BB8" w14:paraId="5A1B13C7"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3B0" w14:textId="77777777" w:rsidR="00960BB8" w:rsidRDefault="00C06650">
            <w:pPr>
              <w:textAlignment w:val="bottom"/>
            </w:pPr>
            <w:r>
              <w:rPr>
                <w:rFonts w:ascii="Arial" w:eastAsia="宋体" w:hAnsi="Arial" w:cs="Arial"/>
                <w:b/>
                <w:bCs/>
                <w:color w:val="262626"/>
                <w:sz w:val="18"/>
                <w:szCs w:val="18"/>
              </w:rPr>
              <w:t>Balance as of December 28, 2019</w:t>
            </w:r>
          </w:p>
        </w:tc>
        <w:tc>
          <w:tcPr>
            <w:tcW w:w="0" w:type="auto"/>
            <w:gridSpan w:val="3"/>
            <w:shd w:val="clear" w:color="auto" w:fill="auto"/>
            <w:tcMar>
              <w:top w:w="0" w:type="dxa"/>
              <w:left w:w="20" w:type="dxa"/>
              <w:bottom w:w="0" w:type="dxa"/>
              <w:right w:w="20" w:type="dxa"/>
            </w:tcMar>
            <w:vAlign w:val="bottom"/>
          </w:tcPr>
          <w:p w14:paraId="5A1B13B1"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B13B2" w14:textId="77777777" w:rsidR="00960BB8" w:rsidRDefault="00C06650">
            <w:pPr>
              <w:jc w:val="right"/>
              <w:textAlignment w:val="bottom"/>
            </w:pPr>
            <w:r>
              <w:rPr>
                <w:rFonts w:ascii="Arial" w:eastAsia="宋体" w:hAnsi="Arial" w:cs="Arial"/>
                <w:b/>
                <w:bCs/>
                <w:color w:val="262626"/>
                <w:sz w:val="18"/>
                <w:szCs w:val="18"/>
              </w:rPr>
              <w:t>4,290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3B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B4"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3B5"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3B6" w14:textId="77777777" w:rsidR="00960BB8" w:rsidRDefault="00C06650">
            <w:pPr>
              <w:jc w:val="right"/>
              <w:textAlignment w:val="bottom"/>
            </w:pPr>
            <w:r>
              <w:rPr>
                <w:rFonts w:ascii="Arial" w:eastAsia="宋体" w:hAnsi="Arial" w:cs="Arial"/>
                <w:b/>
                <w:bCs/>
                <w:color w:val="262626"/>
                <w:sz w:val="18"/>
                <w:szCs w:val="18"/>
              </w:rPr>
              <w:t>25,261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3B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B8"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3B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3BA" w14:textId="77777777" w:rsidR="00960BB8" w:rsidRDefault="00C06650">
            <w:pPr>
              <w:jc w:val="right"/>
              <w:textAlignment w:val="bottom"/>
            </w:pPr>
            <w:r>
              <w:rPr>
                <w:rFonts w:ascii="Arial" w:eastAsia="宋体" w:hAnsi="Arial" w:cs="Arial"/>
                <w:b/>
                <w:bCs/>
                <w:color w:val="262626"/>
                <w:sz w:val="18"/>
                <w:szCs w:val="18"/>
              </w:rPr>
              <w:t>(1,280)</w:t>
            </w:r>
          </w:p>
        </w:tc>
        <w:tc>
          <w:tcPr>
            <w:tcW w:w="0" w:type="auto"/>
            <w:tcBorders>
              <w:top w:val="single" w:sz="8" w:space="0" w:color="0068B5"/>
            </w:tcBorders>
            <w:shd w:val="clear" w:color="auto" w:fill="auto"/>
            <w:tcMar>
              <w:top w:w="40" w:type="dxa"/>
              <w:left w:w="0" w:type="dxa"/>
              <w:bottom w:w="40" w:type="dxa"/>
              <w:right w:w="20" w:type="dxa"/>
            </w:tcMar>
            <w:vAlign w:val="bottom"/>
          </w:tcPr>
          <w:p w14:paraId="5A1B13B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BC"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3BD"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3BE" w14:textId="77777777" w:rsidR="00960BB8" w:rsidRDefault="00C06650">
            <w:pPr>
              <w:jc w:val="right"/>
              <w:textAlignment w:val="bottom"/>
            </w:pPr>
            <w:r>
              <w:rPr>
                <w:rFonts w:ascii="Arial" w:eastAsia="宋体" w:hAnsi="Arial" w:cs="Arial"/>
                <w:b/>
                <w:bCs/>
                <w:color w:val="262626"/>
                <w:sz w:val="18"/>
                <w:szCs w:val="18"/>
              </w:rPr>
              <w:t>53,523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3B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C0"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B13C1" w14:textId="77777777" w:rsidR="00960BB8" w:rsidRDefault="00C06650">
            <w:pPr>
              <w:jc w:val="right"/>
              <w:textAlignment w:val="bottom"/>
            </w:pP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3C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C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3C4"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3C5" w14:textId="77777777" w:rsidR="00960BB8" w:rsidRDefault="00C06650">
            <w:pPr>
              <w:jc w:val="right"/>
              <w:textAlignment w:val="bottom"/>
            </w:pPr>
            <w:r>
              <w:rPr>
                <w:rFonts w:ascii="Arial" w:eastAsia="宋体" w:hAnsi="Arial" w:cs="Arial"/>
                <w:b/>
                <w:bCs/>
                <w:color w:val="262626"/>
                <w:sz w:val="18"/>
                <w:szCs w:val="18"/>
              </w:rPr>
              <w:t>77,504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3C6" w14:textId="77777777" w:rsidR="00960BB8" w:rsidRDefault="00960BB8">
            <w:pPr>
              <w:jc w:val="right"/>
              <w:rPr>
                <w:rFonts w:ascii="宋体"/>
              </w:rPr>
            </w:pPr>
          </w:p>
        </w:tc>
      </w:tr>
      <w:tr w:rsidR="00960BB8" w14:paraId="5A1B13D5" w14:textId="77777777">
        <w:tc>
          <w:tcPr>
            <w:tcW w:w="0" w:type="auto"/>
            <w:gridSpan w:val="3"/>
            <w:shd w:val="clear" w:color="auto" w:fill="auto"/>
            <w:tcMar>
              <w:top w:w="40" w:type="dxa"/>
              <w:left w:w="20" w:type="dxa"/>
              <w:bottom w:w="40" w:type="dxa"/>
              <w:right w:w="20" w:type="dxa"/>
            </w:tcMar>
          </w:tcPr>
          <w:p w14:paraId="5A1B13C8" w14:textId="77777777" w:rsidR="00960BB8" w:rsidRDefault="00C06650">
            <w:pPr>
              <w:textAlignment w:val="top"/>
            </w:pPr>
            <w:r>
              <w:rPr>
                <w:rFonts w:ascii="Arial" w:eastAsia="宋体" w:hAnsi="Arial" w:cs="Arial"/>
                <w:color w:val="262626"/>
                <w:sz w:val="18"/>
                <w:szCs w:val="18"/>
              </w:rPr>
              <w:t>Components of comprehensive income, net of tax:</w:t>
            </w:r>
          </w:p>
        </w:tc>
        <w:tc>
          <w:tcPr>
            <w:tcW w:w="0" w:type="auto"/>
            <w:gridSpan w:val="3"/>
            <w:shd w:val="clear" w:color="auto" w:fill="auto"/>
            <w:tcMar>
              <w:top w:w="0" w:type="dxa"/>
              <w:left w:w="20" w:type="dxa"/>
              <w:bottom w:w="0" w:type="dxa"/>
              <w:right w:w="20" w:type="dxa"/>
            </w:tcMar>
            <w:vAlign w:val="bottom"/>
          </w:tcPr>
          <w:p w14:paraId="5A1B13C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C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C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C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C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C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C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D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D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D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D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D4" w14:textId="77777777" w:rsidR="00960BB8" w:rsidRDefault="00960BB8">
            <w:pPr>
              <w:rPr>
                <w:rFonts w:ascii="宋体"/>
              </w:rPr>
            </w:pPr>
          </w:p>
        </w:tc>
      </w:tr>
      <w:tr w:rsidR="00960BB8" w14:paraId="5A1B13E7" w14:textId="77777777">
        <w:tc>
          <w:tcPr>
            <w:tcW w:w="0" w:type="auto"/>
            <w:gridSpan w:val="3"/>
            <w:shd w:val="clear" w:color="auto" w:fill="auto"/>
            <w:tcMar>
              <w:top w:w="40" w:type="dxa"/>
              <w:left w:w="155" w:type="dxa"/>
              <w:bottom w:w="40" w:type="dxa"/>
              <w:right w:w="20" w:type="dxa"/>
            </w:tcMar>
            <w:vAlign w:val="bottom"/>
          </w:tcPr>
          <w:p w14:paraId="5A1B13D6" w14:textId="77777777" w:rsidR="00960BB8" w:rsidRDefault="00C06650">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5A1B13D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3D8"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3D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D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3DB"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3D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3DD"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3D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3DF" w14:textId="77777777" w:rsidR="00960BB8" w:rsidRDefault="00C06650">
            <w:pPr>
              <w:jc w:val="right"/>
              <w:textAlignment w:val="bottom"/>
            </w:pPr>
            <w:r>
              <w:rPr>
                <w:rFonts w:ascii="Arial" w:eastAsia="宋体" w:hAnsi="Arial" w:cs="Arial"/>
                <w:color w:val="262626"/>
                <w:sz w:val="18"/>
                <w:szCs w:val="18"/>
              </w:rPr>
              <w:t>20,899 </w:t>
            </w:r>
          </w:p>
        </w:tc>
        <w:tc>
          <w:tcPr>
            <w:tcW w:w="0" w:type="auto"/>
            <w:shd w:val="clear" w:color="auto" w:fill="auto"/>
            <w:tcMar>
              <w:top w:w="40" w:type="dxa"/>
              <w:left w:w="0" w:type="dxa"/>
              <w:bottom w:w="40" w:type="dxa"/>
              <w:right w:w="20" w:type="dxa"/>
            </w:tcMar>
            <w:vAlign w:val="bottom"/>
          </w:tcPr>
          <w:p w14:paraId="5A1B13E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E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3E2"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3E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E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3E5" w14:textId="77777777" w:rsidR="00960BB8" w:rsidRDefault="00C06650">
            <w:pPr>
              <w:jc w:val="right"/>
              <w:textAlignment w:val="bottom"/>
            </w:pPr>
            <w:r>
              <w:rPr>
                <w:rFonts w:ascii="Arial" w:eastAsia="宋体" w:hAnsi="Arial" w:cs="Arial"/>
                <w:color w:val="262626"/>
                <w:sz w:val="18"/>
                <w:szCs w:val="18"/>
              </w:rPr>
              <w:t>20,899 </w:t>
            </w:r>
          </w:p>
        </w:tc>
        <w:tc>
          <w:tcPr>
            <w:tcW w:w="0" w:type="auto"/>
            <w:shd w:val="clear" w:color="auto" w:fill="auto"/>
            <w:tcMar>
              <w:top w:w="40" w:type="dxa"/>
              <w:left w:w="0" w:type="dxa"/>
              <w:bottom w:w="40" w:type="dxa"/>
              <w:right w:w="20" w:type="dxa"/>
            </w:tcMar>
            <w:vAlign w:val="bottom"/>
          </w:tcPr>
          <w:p w14:paraId="5A1B13E6" w14:textId="77777777" w:rsidR="00960BB8" w:rsidRDefault="00960BB8">
            <w:pPr>
              <w:jc w:val="right"/>
              <w:rPr>
                <w:rFonts w:ascii="宋体"/>
              </w:rPr>
            </w:pPr>
          </w:p>
        </w:tc>
      </w:tr>
      <w:tr w:rsidR="00960BB8" w14:paraId="5A1B13F9" w14:textId="77777777">
        <w:tc>
          <w:tcPr>
            <w:tcW w:w="0" w:type="auto"/>
            <w:gridSpan w:val="3"/>
            <w:shd w:val="clear" w:color="auto" w:fill="auto"/>
            <w:tcMar>
              <w:top w:w="40" w:type="dxa"/>
              <w:left w:w="155" w:type="dxa"/>
              <w:bottom w:w="40" w:type="dxa"/>
              <w:right w:w="20" w:type="dxa"/>
            </w:tcMar>
            <w:vAlign w:val="bottom"/>
          </w:tcPr>
          <w:p w14:paraId="5A1B13E8" w14:textId="77777777" w:rsidR="00960BB8" w:rsidRDefault="00C06650">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5A1B13E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3EA"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3E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E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3ED"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3E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3EF" w14:textId="77777777" w:rsidR="00960BB8" w:rsidRDefault="00C06650">
            <w:pPr>
              <w:jc w:val="right"/>
              <w:textAlignment w:val="bottom"/>
            </w:pPr>
            <w:r>
              <w:rPr>
                <w:rFonts w:ascii="Arial" w:eastAsia="宋体" w:hAnsi="Arial" w:cs="Arial"/>
                <w:color w:val="262626"/>
                <w:sz w:val="18"/>
                <w:szCs w:val="18"/>
              </w:rPr>
              <w:t>529 </w:t>
            </w:r>
          </w:p>
        </w:tc>
        <w:tc>
          <w:tcPr>
            <w:tcW w:w="0" w:type="auto"/>
            <w:shd w:val="clear" w:color="auto" w:fill="auto"/>
            <w:tcMar>
              <w:top w:w="40" w:type="dxa"/>
              <w:left w:w="0" w:type="dxa"/>
              <w:bottom w:w="40" w:type="dxa"/>
              <w:right w:w="20" w:type="dxa"/>
            </w:tcMar>
            <w:vAlign w:val="bottom"/>
          </w:tcPr>
          <w:p w14:paraId="5A1B13F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F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3F2"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3F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3F4"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3F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3F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3F7" w14:textId="77777777" w:rsidR="00960BB8" w:rsidRDefault="00C06650">
            <w:pPr>
              <w:jc w:val="right"/>
              <w:textAlignment w:val="bottom"/>
            </w:pPr>
            <w:r>
              <w:rPr>
                <w:rFonts w:ascii="Arial" w:eastAsia="宋体" w:hAnsi="Arial" w:cs="Arial"/>
                <w:color w:val="262626"/>
                <w:sz w:val="18"/>
                <w:szCs w:val="18"/>
              </w:rPr>
              <w:t>529 </w:t>
            </w:r>
          </w:p>
        </w:tc>
        <w:tc>
          <w:tcPr>
            <w:tcW w:w="0" w:type="auto"/>
            <w:shd w:val="clear" w:color="auto" w:fill="auto"/>
            <w:tcMar>
              <w:top w:w="40" w:type="dxa"/>
              <w:left w:w="0" w:type="dxa"/>
              <w:bottom w:w="40" w:type="dxa"/>
              <w:right w:w="20" w:type="dxa"/>
            </w:tcMar>
            <w:vAlign w:val="bottom"/>
          </w:tcPr>
          <w:p w14:paraId="5A1B13F8" w14:textId="77777777" w:rsidR="00960BB8" w:rsidRDefault="00960BB8">
            <w:pPr>
              <w:jc w:val="right"/>
              <w:rPr>
                <w:rFonts w:ascii="宋体"/>
              </w:rPr>
            </w:pPr>
          </w:p>
        </w:tc>
      </w:tr>
      <w:tr w:rsidR="00960BB8" w14:paraId="5A1B1408" w14:textId="77777777">
        <w:tc>
          <w:tcPr>
            <w:tcW w:w="0" w:type="auto"/>
            <w:gridSpan w:val="3"/>
            <w:shd w:val="clear" w:color="auto" w:fill="auto"/>
            <w:tcMar>
              <w:top w:w="40" w:type="dxa"/>
              <w:left w:w="380" w:type="dxa"/>
              <w:bottom w:w="40" w:type="dxa"/>
              <w:right w:w="20" w:type="dxa"/>
            </w:tcMar>
            <w:vAlign w:val="bottom"/>
          </w:tcPr>
          <w:p w14:paraId="5A1B13FA" w14:textId="77777777" w:rsidR="00960BB8" w:rsidRDefault="00C06650">
            <w:pPr>
              <w:textAlignment w:val="bottom"/>
            </w:pPr>
            <w:r>
              <w:rPr>
                <w:rFonts w:ascii="Arial" w:eastAsia="宋体" w:hAnsi="Arial" w:cs="Arial"/>
                <w:color w:val="262626"/>
                <w:sz w:val="18"/>
                <w:szCs w:val="18"/>
              </w:rPr>
              <w:t>Total comprehensive income</w:t>
            </w:r>
          </w:p>
        </w:tc>
        <w:tc>
          <w:tcPr>
            <w:tcW w:w="0" w:type="auto"/>
            <w:gridSpan w:val="3"/>
            <w:shd w:val="clear" w:color="auto" w:fill="auto"/>
            <w:tcMar>
              <w:top w:w="0" w:type="dxa"/>
              <w:left w:w="20" w:type="dxa"/>
              <w:bottom w:w="0" w:type="dxa"/>
              <w:right w:w="20" w:type="dxa"/>
            </w:tcMar>
            <w:vAlign w:val="bottom"/>
          </w:tcPr>
          <w:p w14:paraId="5A1B13F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F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F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F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3F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0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0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0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0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0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05"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06" w14:textId="77777777" w:rsidR="00960BB8" w:rsidRDefault="00C06650">
            <w:pPr>
              <w:jc w:val="right"/>
              <w:textAlignment w:val="bottom"/>
            </w:pPr>
            <w:r>
              <w:rPr>
                <w:rFonts w:ascii="Arial" w:eastAsia="宋体" w:hAnsi="Arial" w:cs="Arial"/>
                <w:color w:val="262626"/>
                <w:sz w:val="18"/>
                <w:szCs w:val="18"/>
              </w:rPr>
              <w:t>21,428 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07" w14:textId="77777777" w:rsidR="00960BB8" w:rsidRDefault="00960BB8">
            <w:pPr>
              <w:jc w:val="right"/>
              <w:rPr>
                <w:rFonts w:ascii="宋体"/>
              </w:rPr>
            </w:pPr>
          </w:p>
        </w:tc>
      </w:tr>
      <w:tr w:rsidR="00960BB8" w14:paraId="5A1B141A" w14:textId="77777777">
        <w:tc>
          <w:tcPr>
            <w:tcW w:w="0" w:type="auto"/>
            <w:gridSpan w:val="3"/>
            <w:shd w:val="clear" w:color="auto" w:fill="auto"/>
            <w:tcMar>
              <w:top w:w="40" w:type="dxa"/>
              <w:left w:w="20" w:type="dxa"/>
              <w:bottom w:w="40" w:type="dxa"/>
              <w:right w:w="20" w:type="dxa"/>
            </w:tcMar>
            <w:vAlign w:val="bottom"/>
          </w:tcPr>
          <w:p w14:paraId="5A1B1409" w14:textId="77777777" w:rsidR="00960BB8" w:rsidRDefault="00C06650">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5A1B140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0B" w14:textId="77777777" w:rsidR="00960BB8" w:rsidRDefault="00C06650">
            <w:pPr>
              <w:jc w:val="right"/>
              <w:textAlignment w:val="bottom"/>
            </w:pPr>
            <w:r>
              <w:rPr>
                <w:rFonts w:ascii="Arial" w:eastAsia="宋体" w:hAnsi="Arial" w:cs="Arial"/>
                <w:color w:val="262626"/>
                <w:sz w:val="18"/>
                <w:szCs w:val="18"/>
              </w:rPr>
              <w:t>55 </w:t>
            </w:r>
          </w:p>
        </w:tc>
        <w:tc>
          <w:tcPr>
            <w:tcW w:w="0" w:type="auto"/>
            <w:shd w:val="clear" w:color="auto" w:fill="auto"/>
            <w:tcMar>
              <w:top w:w="40" w:type="dxa"/>
              <w:left w:w="0" w:type="dxa"/>
              <w:bottom w:w="40" w:type="dxa"/>
              <w:right w:w="20" w:type="dxa"/>
            </w:tcMar>
            <w:vAlign w:val="bottom"/>
          </w:tcPr>
          <w:p w14:paraId="5A1B140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0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0E" w14:textId="77777777" w:rsidR="00960BB8" w:rsidRDefault="00C06650">
            <w:pPr>
              <w:jc w:val="right"/>
              <w:textAlignment w:val="bottom"/>
            </w:pPr>
            <w:r>
              <w:rPr>
                <w:rFonts w:ascii="Arial" w:eastAsia="宋体" w:hAnsi="Arial" w:cs="Arial"/>
                <w:color w:val="262626"/>
                <w:sz w:val="18"/>
                <w:szCs w:val="18"/>
              </w:rPr>
              <w:t>1,018 </w:t>
            </w:r>
          </w:p>
        </w:tc>
        <w:tc>
          <w:tcPr>
            <w:tcW w:w="0" w:type="auto"/>
            <w:shd w:val="clear" w:color="auto" w:fill="auto"/>
            <w:tcMar>
              <w:top w:w="40" w:type="dxa"/>
              <w:left w:w="0" w:type="dxa"/>
              <w:bottom w:w="40" w:type="dxa"/>
              <w:right w:w="20" w:type="dxa"/>
            </w:tcMar>
            <w:vAlign w:val="bottom"/>
          </w:tcPr>
          <w:p w14:paraId="5A1B140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1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11"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41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13"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41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15"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1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17"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18" w14:textId="77777777" w:rsidR="00960BB8" w:rsidRDefault="00C06650">
            <w:pPr>
              <w:jc w:val="right"/>
              <w:textAlignment w:val="bottom"/>
            </w:pPr>
            <w:r>
              <w:rPr>
                <w:rFonts w:ascii="Arial" w:eastAsia="宋体" w:hAnsi="Arial" w:cs="Arial"/>
                <w:color w:val="262626"/>
                <w:sz w:val="18"/>
                <w:szCs w:val="18"/>
              </w:rPr>
              <w:t>1,018 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19" w14:textId="77777777" w:rsidR="00960BB8" w:rsidRDefault="00960BB8">
            <w:pPr>
              <w:jc w:val="right"/>
              <w:rPr>
                <w:rFonts w:ascii="宋体"/>
              </w:rPr>
            </w:pPr>
          </w:p>
        </w:tc>
      </w:tr>
      <w:tr w:rsidR="00960BB8" w14:paraId="5A1B142C" w14:textId="77777777">
        <w:tc>
          <w:tcPr>
            <w:tcW w:w="0" w:type="auto"/>
            <w:gridSpan w:val="3"/>
            <w:shd w:val="clear" w:color="auto" w:fill="auto"/>
            <w:tcMar>
              <w:top w:w="40" w:type="dxa"/>
              <w:left w:w="20" w:type="dxa"/>
              <w:bottom w:w="40" w:type="dxa"/>
              <w:right w:w="20" w:type="dxa"/>
            </w:tcMar>
            <w:vAlign w:val="bottom"/>
          </w:tcPr>
          <w:p w14:paraId="5A1B141B" w14:textId="77777777" w:rsidR="00960BB8" w:rsidRDefault="00C06650">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5A1B141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1D"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1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1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20" w14:textId="77777777" w:rsidR="00960BB8" w:rsidRDefault="00C06650">
            <w:pPr>
              <w:jc w:val="right"/>
              <w:textAlignment w:val="bottom"/>
            </w:pPr>
            <w:r>
              <w:rPr>
                <w:rFonts w:ascii="Arial" w:eastAsia="宋体" w:hAnsi="Arial" w:cs="Arial"/>
                <w:color w:val="262626"/>
                <w:sz w:val="18"/>
                <w:szCs w:val="18"/>
              </w:rPr>
              <w:t>1,854 </w:t>
            </w:r>
          </w:p>
        </w:tc>
        <w:tc>
          <w:tcPr>
            <w:tcW w:w="0" w:type="auto"/>
            <w:shd w:val="clear" w:color="auto" w:fill="auto"/>
            <w:tcMar>
              <w:top w:w="40" w:type="dxa"/>
              <w:left w:w="0" w:type="dxa"/>
              <w:bottom w:w="40" w:type="dxa"/>
              <w:right w:w="20" w:type="dxa"/>
            </w:tcMar>
            <w:vAlign w:val="bottom"/>
          </w:tcPr>
          <w:p w14:paraId="5A1B142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2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23"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42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25"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42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27"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2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2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2A" w14:textId="77777777" w:rsidR="00960BB8" w:rsidRDefault="00C06650">
            <w:pPr>
              <w:jc w:val="right"/>
              <w:textAlignment w:val="bottom"/>
            </w:pPr>
            <w:r>
              <w:rPr>
                <w:rFonts w:ascii="Arial" w:eastAsia="宋体" w:hAnsi="Arial" w:cs="Arial"/>
                <w:color w:val="262626"/>
                <w:sz w:val="18"/>
                <w:szCs w:val="18"/>
              </w:rPr>
              <w:t>1,854 </w:t>
            </w:r>
          </w:p>
        </w:tc>
        <w:tc>
          <w:tcPr>
            <w:tcW w:w="0" w:type="auto"/>
            <w:shd w:val="clear" w:color="auto" w:fill="auto"/>
            <w:tcMar>
              <w:top w:w="40" w:type="dxa"/>
              <w:left w:w="0" w:type="dxa"/>
              <w:bottom w:w="40" w:type="dxa"/>
              <w:right w:w="20" w:type="dxa"/>
            </w:tcMar>
            <w:vAlign w:val="bottom"/>
          </w:tcPr>
          <w:p w14:paraId="5A1B142B" w14:textId="77777777" w:rsidR="00960BB8" w:rsidRDefault="00960BB8">
            <w:pPr>
              <w:jc w:val="right"/>
              <w:rPr>
                <w:rFonts w:ascii="宋体"/>
              </w:rPr>
            </w:pPr>
          </w:p>
        </w:tc>
      </w:tr>
      <w:tr w:rsidR="00960BB8" w14:paraId="5A1B143E" w14:textId="77777777">
        <w:tc>
          <w:tcPr>
            <w:tcW w:w="0" w:type="auto"/>
            <w:gridSpan w:val="3"/>
            <w:shd w:val="clear" w:color="auto" w:fill="FFFFFF"/>
            <w:tcMar>
              <w:top w:w="40" w:type="dxa"/>
              <w:left w:w="20" w:type="dxa"/>
              <w:bottom w:w="40" w:type="dxa"/>
              <w:right w:w="20" w:type="dxa"/>
            </w:tcMar>
          </w:tcPr>
          <w:p w14:paraId="5A1B142D" w14:textId="77777777" w:rsidR="00960BB8" w:rsidRDefault="00C06650">
            <w:pPr>
              <w:textAlignment w:val="top"/>
            </w:pPr>
            <w:r>
              <w:rPr>
                <w:rFonts w:ascii="Arial" w:eastAsia="宋体" w:hAnsi="Arial" w:cs="Arial"/>
                <w:color w:val="000000"/>
                <w:sz w:val="18"/>
                <w:szCs w:val="18"/>
              </w:rPr>
              <w:t>Temporary equity reduction</w:t>
            </w:r>
          </w:p>
        </w:tc>
        <w:tc>
          <w:tcPr>
            <w:tcW w:w="0" w:type="auto"/>
            <w:gridSpan w:val="3"/>
            <w:shd w:val="clear" w:color="auto" w:fill="auto"/>
            <w:tcMar>
              <w:top w:w="0" w:type="dxa"/>
              <w:left w:w="20" w:type="dxa"/>
              <w:bottom w:w="0" w:type="dxa"/>
              <w:right w:w="20" w:type="dxa"/>
            </w:tcMar>
            <w:vAlign w:val="bottom"/>
          </w:tcPr>
          <w:p w14:paraId="5A1B142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2F"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3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3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32" w14:textId="77777777" w:rsidR="00960BB8" w:rsidRDefault="00C06650">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5A1B143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3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35"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43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37"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43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39"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3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3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3C" w14:textId="77777777" w:rsidR="00960BB8" w:rsidRDefault="00C06650">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5A1B143D" w14:textId="77777777" w:rsidR="00960BB8" w:rsidRDefault="00960BB8">
            <w:pPr>
              <w:jc w:val="right"/>
              <w:rPr>
                <w:rFonts w:ascii="宋体"/>
              </w:rPr>
            </w:pPr>
          </w:p>
        </w:tc>
      </w:tr>
      <w:tr w:rsidR="00960BB8" w14:paraId="5A1B1450" w14:textId="77777777">
        <w:tc>
          <w:tcPr>
            <w:tcW w:w="0" w:type="auto"/>
            <w:gridSpan w:val="3"/>
            <w:shd w:val="clear" w:color="auto" w:fill="auto"/>
            <w:tcMar>
              <w:top w:w="40" w:type="dxa"/>
              <w:left w:w="20" w:type="dxa"/>
              <w:bottom w:w="40" w:type="dxa"/>
              <w:right w:w="20" w:type="dxa"/>
            </w:tcMar>
          </w:tcPr>
          <w:p w14:paraId="5A1B143F" w14:textId="77777777" w:rsidR="00960BB8" w:rsidRDefault="00C06650">
            <w:pPr>
              <w:textAlignment w:val="top"/>
            </w:pPr>
            <w:r>
              <w:rPr>
                <w:rFonts w:ascii="Arial" w:eastAsia="宋体" w:hAnsi="Arial" w:cs="Arial"/>
                <w:color w:val="000000"/>
                <w:sz w:val="18"/>
                <w:szCs w:val="18"/>
              </w:rPr>
              <w:t>Convertible debt</w:t>
            </w:r>
          </w:p>
        </w:tc>
        <w:tc>
          <w:tcPr>
            <w:tcW w:w="0" w:type="auto"/>
            <w:gridSpan w:val="3"/>
            <w:shd w:val="clear" w:color="auto" w:fill="auto"/>
            <w:tcMar>
              <w:top w:w="0" w:type="dxa"/>
              <w:left w:w="20" w:type="dxa"/>
              <w:bottom w:w="0" w:type="dxa"/>
              <w:right w:w="20" w:type="dxa"/>
            </w:tcMar>
            <w:vAlign w:val="bottom"/>
          </w:tcPr>
          <w:p w14:paraId="5A1B144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41"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4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4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44" w14:textId="77777777" w:rsidR="00960BB8" w:rsidRDefault="00C06650">
            <w:pPr>
              <w:jc w:val="right"/>
              <w:textAlignment w:val="bottom"/>
            </w:pPr>
            <w:r>
              <w:rPr>
                <w:rFonts w:ascii="Arial" w:eastAsia="宋体" w:hAnsi="Arial" w:cs="Arial"/>
                <w:color w:val="262626"/>
                <w:sz w:val="18"/>
                <w:szCs w:val="18"/>
              </w:rPr>
              <w:t>(750)</w:t>
            </w:r>
          </w:p>
        </w:tc>
        <w:tc>
          <w:tcPr>
            <w:tcW w:w="0" w:type="auto"/>
            <w:shd w:val="clear" w:color="auto" w:fill="auto"/>
            <w:tcMar>
              <w:top w:w="40" w:type="dxa"/>
              <w:left w:w="0" w:type="dxa"/>
              <w:bottom w:w="40" w:type="dxa"/>
              <w:right w:w="20" w:type="dxa"/>
            </w:tcMar>
            <w:vAlign w:val="bottom"/>
          </w:tcPr>
          <w:p w14:paraId="5A1B144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4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47"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44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49"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44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4B"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4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4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4E" w14:textId="77777777" w:rsidR="00960BB8" w:rsidRDefault="00C06650">
            <w:pPr>
              <w:jc w:val="right"/>
              <w:textAlignment w:val="bottom"/>
            </w:pPr>
            <w:r>
              <w:rPr>
                <w:rFonts w:ascii="Arial" w:eastAsia="宋体" w:hAnsi="Arial" w:cs="Arial"/>
                <w:color w:val="262626"/>
                <w:sz w:val="18"/>
                <w:szCs w:val="18"/>
              </w:rPr>
              <w:t>(750)</w:t>
            </w:r>
          </w:p>
        </w:tc>
        <w:tc>
          <w:tcPr>
            <w:tcW w:w="0" w:type="auto"/>
            <w:shd w:val="clear" w:color="auto" w:fill="auto"/>
            <w:tcMar>
              <w:top w:w="40" w:type="dxa"/>
              <w:left w:w="0" w:type="dxa"/>
              <w:bottom w:w="40" w:type="dxa"/>
              <w:right w:w="20" w:type="dxa"/>
            </w:tcMar>
            <w:vAlign w:val="bottom"/>
          </w:tcPr>
          <w:p w14:paraId="5A1B144F" w14:textId="77777777" w:rsidR="00960BB8" w:rsidRDefault="00960BB8">
            <w:pPr>
              <w:jc w:val="right"/>
              <w:rPr>
                <w:rFonts w:ascii="宋体"/>
              </w:rPr>
            </w:pPr>
          </w:p>
        </w:tc>
      </w:tr>
      <w:tr w:rsidR="00960BB8" w14:paraId="5A1B1463" w14:textId="77777777">
        <w:tc>
          <w:tcPr>
            <w:tcW w:w="0" w:type="auto"/>
            <w:gridSpan w:val="3"/>
            <w:shd w:val="clear" w:color="auto" w:fill="auto"/>
            <w:tcMar>
              <w:top w:w="40" w:type="dxa"/>
              <w:left w:w="20" w:type="dxa"/>
              <w:bottom w:w="40" w:type="dxa"/>
              <w:right w:w="20" w:type="dxa"/>
            </w:tcMar>
            <w:vAlign w:val="bottom"/>
          </w:tcPr>
          <w:p w14:paraId="5A1B1451" w14:textId="77777777" w:rsidR="00960BB8" w:rsidRDefault="00C06650">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5A1B145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53" w14:textId="77777777" w:rsidR="00960BB8" w:rsidRDefault="00C06650">
            <w:pPr>
              <w:jc w:val="right"/>
              <w:textAlignment w:val="bottom"/>
            </w:pPr>
            <w:r>
              <w:rPr>
                <w:rFonts w:ascii="Arial" w:eastAsia="宋体" w:hAnsi="Arial" w:cs="Arial"/>
                <w:color w:val="262626"/>
                <w:sz w:val="18"/>
                <w:szCs w:val="18"/>
              </w:rPr>
              <w:t>(275)</w:t>
            </w:r>
          </w:p>
        </w:tc>
        <w:tc>
          <w:tcPr>
            <w:tcW w:w="0" w:type="auto"/>
            <w:shd w:val="clear" w:color="auto" w:fill="auto"/>
            <w:tcMar>
              <w:top w:w="40" w:type="dxa"/>
              <w:left w:w="0" w:type="dxa"/>
              <w:bottom w:w="40" w:type="dxa"/>
              <w:right w:w="20" w:type="dxa"/>
            </w:tcMar>
            <w:vAlign w:val="bottom"/>
          </w:tcPr>
          <w:p w14:paraId="5A1B145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5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56" w14:textId="77777777" w:rsidR="00960BB8" w:rsidRDefault="00C06650">
            <w:pPr>
              <w:jc w:val="right"/>
              <w:textAlignment w:val="bottom"/>
            </w:pPr>
            <w:r>
              <w:rPr>
                <w:rFonts w:ascii="Arial" w:eastAsia="宋体" w:hAnsi="Arial" w:cs="Arial"/>
                <w:color w:val="262626"/>
                <w:sz w:val="18"/>
                <w:szCs w:val="18"/>
              </w:rPr>
              <w:t>(1,628)</w:t>
            </w:r>
          </w:p>
        </w:tc>
        <w:tc>
          <w:tcPr>
            <w:tcW w:w="0" w:type="auto"/>
            <w:shd w:val="clear" w:color="auto" w:fill="auto"/>
            <w:tcMar>
              <w:top w:w="40" w:type="dxa"/>
              <w:left w:w="0" w:type="dxa"/>
              <w:bottom w:w="40" w:type="dxa"/>
              <w:right w:w="20" w:type="dxa"/>
            </w:tcMar>
            <w:vAlign w:val="bottom"/>
          </w:tcPr>
          <w:p w14:paraId="5A1B145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5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59"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45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5B" w14:textId="77777777" w:rsidR="00960BB8" w:rsidRDefault="00C06650">
            <w:pPr>
              <w:jc w:val="right"/>
              <w:textAlignment w:val="bottom"/>
            </w:pPr>
            <w:r>
              <w:rPr>
                <w:rFonts w:ascii="Arial" w:eastAsia="宋体" w:hAnsi="Arial" w:cs="Arial"/>
                <w:color w:val="262626"/>
                <w:sz w:val="18"/>
                <w:szCs w:val="18"/>
              </w:rPr>
              <w:t>(12,481)</w:t>
            </w:r>
          </w:p>
        </w:tc>
        <w:tc>
          <w:tcPr>
            <w:tcW w:w="0" w:type="auto"/>
            <w:shd w:val="clear" w:color="auto" w:fill="auto"/>
            <w:tcMar>
              <w:top w:w="40" w:type="dxa"/>
              <w:left w:w="0" w:type="dxa"/>
              <w:bottom w:w="40" w:type="dxa"/>
              <w:right w:w="20" w:type="dxa"/>
            </w:tcMar>
            <w:vAlign w:val="bottom"/>
          </w:tcPr>
          <w:p w14:paraId="5A1B145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5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5E"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5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6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61" w14:textId="77777777" w:rsidR="00960BB8" w:rsidRDefault="00C06650">
            <w:pPr>
              <w:jc w:val="right"/>
              <w:textAlignment w:val="bottom"/>
            </w:pPr>
            <w:r>
              <w:rPr>
                <w:rFonts w:ascii="Arial" w:eastAsia="宋体" w:hAnsi="Arial" w:cs="Arial"/>
                <w:color w:val="262626"/>
                <w:sz w:val="18"/>
                <w:szCs w:val="18"/>
              </w:rPr>
              <w:t>(14,109)</w:t>
            </w:r>
          </w:p>
        </w:tc>
        <w:tc>
          <w:tcPr>
            <w:tcW w:w="0" w:type="auto"/>
            <w:shd w:val="clear" w:color="auto" w:fill="auto"/>
            <w:tcMar>
              <w:top w:w="40" w:type="dxa"/>
              <w:left w:w="0" w:type="dxa"/>
              <w:bottom w:w="40" w:type="dxa"/>
              <w:right w:w="20" w:type="dxa"/>
            </w:tcMar>
            <w:vAlign w:val="bottom"/>
          </w:tcPr>
          <w:p w14:paraId="5A1B1462" w14:textId="77777777" w:rsidR="00960BB8" w:rsidRDefault="00960BB8">
            <w:pPr>
              <w:jc w:val="right"/>
              <w:rPr>
                <w:rFonts w:ascii="宋体"/>
              </w:rPr>
            </w:pPr>
          </w:p>
        </w:tc>
      </w:tr>
      <w:tr w:rsidR="00960BB8" w14:paraId="5A1B1476" w14:textId="77777777">
        <w:tc>
          <w:tcPr>
            <w:tcW w:w="0" w:type="auto"/>
            <w:gridSpan w:val="3"/>
            <w:shd w:val="clear" w:color="auto" w:fill="auto"/>
            <w:tcMar>
              <w:top w:w="40" w:type="dxa"/>
              <w:left w:w="20" w:type="dxa"/>
              <w:bottom w:w="40" w:type="dxa"/>
              <w:right w:w="20" w:type="dxa"/>
            </w:tcMar>
            <w:vAlign w:val="bottom"/>
          </w:tcPr>
          <w:p w14:paraId="5A1B1464" w14:textId="77777777" w:rsidR="00960BB8" w:rsidRDefault="00C06650">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5A1B146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66" w14:textId="77777777" w:rsidR="00960BB8" w:rsidRDefault="00C06650">
            <w:pPr>
              <w:jc w:val="right"/>
              <w:textAlignment w:val="bottom"/>
            </w:pPr>
            <w:r>
              <w:rPr>
                <w:rFonts w:ascii="Arial" w:eastAsia="宋体" w:hAnsi="Arial" w:cs="Arial"/>
                <w:color w:val="262626"/>
                <w:sz w:val="18"/>
                <w:szCs w:val="18"/>
              </w:rPr>
              <w:t>(8)</w:t>
            </w:r>
          </w:p>
        </w:tc>
        <w:tc>
          <w:tcPr>
            <w:tcW w:w="0" w:type="auto"/>
            <w:shd w:val="clear" w:color="auto" w:fill="auto"/>
            <w:tcMar>
              <w:top w:w="40" w:type="dxa"/>
              <w:left w:w="0" w:type="dxa"/>
              <w:bottom w:w="40" w:type="dxa"/>
              <w:right w:w="20" w:type="dxa"/>
            </w:tcMar>
            <w:vAlign w:val="bottom"/>
          </w:tcPr>
          <w:p w14:paraId="5A1B146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6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69" w14:textId="77777777" w:rsidR="00960BB8" w:rsidRDefault="00C06650">
            <w:pPr>
              <w:jc w:val="right"/>
              <w:textAlignment w:val="bottom"/>
            </w:pPr>
            <w:r>
              <w:rPr>
                <w:rFonts w:ascii="Arial" w:eastAsia="宋体" w:hAnsi="Arial" w:cs="Arial"/>
                <w:color w:val="262626"/>
                <w:sz w:val="18"/>
                <w:szCs w:val="18"/>
              </w:rPr>
              <w:t>(354)</w:t>
            </w:r>
          </w:p>
        </w:tc>
        <w:tc>
          <w:tcPr>
            <w:tcW w:w="0" w:type="auto"/>
            <w:shd w:val="clear" w:color="auto" w:fill="auto"/>
            <w:tcMar>
              <w:top w:w="40" w:type="dxa"/>
              <w:left w:w="0" w:type="dxa"/>
              <w:bottom w:w="40" w:type="dxa"/>
              <w:right w:w="20" w:type="dxa"/>
            </w:tcMar>
            <w:vAlign w:val="bottom"/>
          </w:tcPr>
          <w:p w14:paraId="5A1B146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6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6C"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46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6E" w14:textId="77777777" w:rsidR="00960BB8" w:rsidRDefault="00C06650">
            <w:pPr>
              <w:jc w:val="right"/>
              <w:textAlignment w:val="bottom"/>
            </w:pPr>
            <w:r>
              <w:rPr>
                <w:rFonts w:ascii="Arial" w:eastAsia="宋体" w:hAnsi="Arial" w:cs="Arial"/>
                <w:color w:val="262626"/>
                <w:sz w:val="18"/>
                <w:szCs w:val="18"/>
              </w:rPr>
              <w:t>(140)</w:t>
            </w:r>
          </w:p>
        </w:tc>
        <w:tc>
          <w:tcPr>
            <w:tcW w:w="0" w:type="auto"/>
            <w:shd w:val="clear" w:color="auto" w:fill="auto"/>
            <w:tcMar>
              <w:top w:w="40" w:type="dxa"/>
              <w:left w:w="0" w:type="dxa"/>
              <w:bottom w:w="40" w:type="dxa"/>
              <w:right w:w="20" w:type="dxa"/>
            </w:tcMar>
            <w:vAlign w:val="bottom"/>
          </w:tcPr>
          <w:p w14:paraId="5A1B146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7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71"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7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7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74" w14:textId="77777777" w:rsidR="00960BB8" w:rsidRDefault="00C06650">
            <w:pPr>
              <w:jc w:val="right"/>
              <w:textAlignment w:val="bottom"/>
            </w:pPr>
            <w:r>
              <w:rPr>
                <w:rFonts w:ascii="Arial" w:eastAsia="宋体" w:hAnsi="Arial" w:cs="Arial"/>
                <w:color w:val="262626"/>
                <w:sz w:val="18"/>
                <w:szCs w:val="18"/>
              </w:rPr>
              <w:t>(494)</w:t>
            </w:r>
          </w:p>
        </w:tc>
        <w:tc>
          <w:tcPr>
            <w:tcW w:w="0" w:type="auto"/>
            <w:shd w:val="clear" w:color="auto" w:fill="auto"/>
            <w:tcMar>
              <w:top w:w="40" w:type="dxa"/>
              <w:left w:w="0" w:type="dxa"/>
              <w:bottom w:w="40" w:type="dxa"/>
              <w:right w:w="20" w:type="dxa"/>
            </w:tcMar>
            <w:vAlign w:val="bottom"/>
          </w:tcPr>
          <w:p w14:paraId="5A1B1475" w14:textId="77777777" w:rsidR="00960BB8" w:rsidRDefault="00960BB8">
            <w:pPr>
              <w:jc w:val="right"/>
              <w:rPr>
                <w:rFonts w:ascii="宋体"/>
              </w:rPr>
            </w:pPr>
          </w:p>
        </w:tc>
      </w:tr>
      <w:tr w:rsidR="00960BB8" w14:paraId="5A1B1488" w14:textId="77777777">
        <w:tc>
          <w:tcPr>
            <w:tcW w:w="0" w:type="auto"/>
            <w:gridSpan w:val="3"/>
            <w:shd w:val="clear" w:color="auto" w:fill="auto"/>
            <w:tcMar>
              <w:top w:w="40" w:type="dxa"/>
              <w:left w:w="20" w:type="dxa"/>
              <w:bottom w:w="40" w:type="dxa"/>
              <w:right w:w="20" w:type="dxa"/>
            </w:tcMar>
            <w:vAlign w:val="bottom"/>
          </w:tcPr>
          <w:p w14:paraId="5A1B1477" w14:textId="77777777" w:rsidR="00960BB8" w:rsidRDefault="00C06650">
            <w:pPr>
              <w:textAlignment w:val="bottom"/>
            </w:pPr>
            <w:r>
              <w:rPr>
                <w:rFonts w:ascii="Arial" w:eastAsia="宋体" w:hAnsi="Arial" w:cs="Arial"/>
                <w:color w:val="262626"/>
                <w:sz w:val="18"/>
                <w:szCs w:val="18"/>
              </w:rPr>
              <w:t>Cash dividends declared ($1.32 per share of common stock)</w:t>
            </w:r>
          </w:p>
        </w:tc>
        <w:tc>
          <w:tcPr>
            <w:tcW w:w="0" w:type="auto"/>
            <w:gridSpan w:val="3"/>
            <w:shd w:val="clear" w:color="auto" w:fill="auto"/>
            <w:tcMar>
              <w:top w:w="0" w:type="dxa"/>
              <w:left w:w="20" w:type="dxa"/>
              <w:bottom w:w="0" w:type="dxa"/>
              <w:right w:w="20" w:type="dxa"/>
            </w:tcMar>
            <w:vAlign w:val="bottom"/>
          </w:tcPr>
          <w:p w14:paraId="5A1B147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79"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7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7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7C"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47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7E"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47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80" w14:textId="77777777" w:rsidR="00960BB8" w:rsidRDefault="00C06650">
            <w:pPr>
              <w:jc w:val="right"/>
              <w:textAlignment w:val="bottom"/>
            </w:pPr>
            <w:r>
              <w:rPr>
                <w:rFonts w:ascii="Arial" w:eastAsia="宋体" w:hAnsi="Arial" w:cs="Arial"/>
                <w:color w:val="262626"/>
                <w:sz w:val="18"/>
                <w:szCs w:val="18"/>
              </w:rPr>
              <w:t>(5,568)</w:t>
            </w:r>
          </w:p>
        </w:tc>
        <w:tc>
          <w:tcPr>
            <w:tcW w:w="0" w:type="auto"/>
            <w:shd w:val="clear" w:color="auto" w:fill="auto"/>
            <w:tcMar>
              <w:top w:w="40" w:type="dxa"/>
              <w:left w:w="0" w:type="dxa"/>
              <w:bottom w:w="40" w:type="dxa"/>
              <w:right w:w="20" w:type="dxa"/>
            </w:tcMar>
            <w:vAlign w:val="bottom"/>
          </w:tcPr>
          <w:p w14:paraId="5A1B148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8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83"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8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8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86" w14:textId="77777777" w:rsidR="00960BB8" w:rsidRDefault="00C06650">
            <w:pPr>
              <w:jc w:val="right"/>
              <w:textAlignment w:val="bottom"/>
            </w:pPr>
            <w:r>
              <w:rPr>
                <w:rFonts w:ascii="Arial" w:eastAsia="宋体" w:hAnsi="Arial" w:cs="Arial"/>
                <w:color w:val="262626"/>
                <w:sz w:val="18"/>
                <w:szCs w:val="18"/>
              </w:rPr>
              <w:t>(5,568)</w:t>
            </w:r>
          </w:p>
        </w:tc>
        <w:tc>
          <w:tcPr>
            <w:tcW w:w="0" w:type="auto"/>
            <w:shd w:val="clear" w:color="auto" w:fill="auto"/>
            <w:tcMar>
              <w:top w:w="40" w:type="dxa"/>
              <w:left w:w="0" w:type="dxa"/>
              <w:bottom w:w="40" w:type="dxa"/>
              <w:right w:w="20" w:type="dxa"/>
            </w:tcMar>
            <w:vAlign w:val="bottom"/>
          </w:tcPr>
          <w:p w14:paraId="5A1B1487" w14:textId="77777777" w:rsidR="00960BB8" w:rsidRDefault="00960BB8">
            <w:pPr>
              <w:jc w:val="right"/>
              <w:rPr>
                <w:rFonts w:ascii="宋体"/>
              </w:rPr>
            </w:pPr>
          </w:p>
        </w:tc>
      </w:tr>
      <w:tr w:rsidR="00960BB8" w14:paraId="5A1B149C" w14:textId="77777777">
        <w:tc>
          <w:tcPr>
            <w:tcW w:w="0" w:type="auto"/>
            <w:gridSpan w:val="3"/>
            <w:shd w:val="clear" w:color="auto" w:fill="auto"/>
            <w:tcMar>
              <w:top w:w="40" w:type="dxa"/>
              <w:left w:w="20" w:type="dxa"/>
              <w:bottom w:w="40" w:type="dxa"/>
              <w:right w:w="20" w:type="dxa"/>
            </w:tcMar>
            <w:vAlign w:val="bottom"/>
          </w:tcPr>
          <w:p w14:paraId="5A1B1489" w14:textId="77777777" w:rsidR="00960BB8" w:rsidRDefault="00C06650">
            <w:pPr>
              <w:textAlignment w:val="bottom"/>
            </w:pPr>
            <w:r>
              <w:rPr>
                <w:rFonts w:ascii="Arial" w:eastAsia="宋体" w:hAnsi="Arial" w:cs="Arial"/>
                <w:b/>
                <w:bCs/>
                <w:color w:val="262626"/>
                <w:sz w:val="18"/>
                <w:szCs w:val="18"/>
              </w:rPr>
              <w:t>Balance as of December 26, 2020</w:t>
            </w:r>
          </w:p>
        </w:tc>
        <w:tc>
          <w:tcPr>
            <w:tcW w:w="0" w:type="auto"/>
            <w:gridSpan w:val="3"/>
            <w:shd w:val="clear" w:color="auto" w:fill="auto"/>
            <w:tcMar>
              <w:top w:w="0" w:type="dxa"/>
              <w:left w:w="20" w:type="dxa"/>
              <w:bottom w:w="0" w:type="dxa"/>
              <w:right w:w="20" w:type="dxa"/>
            </w:tcMar>
            <w:vAlign w:val="bottom"/>
          </w:tcPr>
          <w:p w14:paraId="5A1B148A"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8B" w14:textId="77777777" w:rsidR="00960BB8" w:rsidRDefault="00C06650">
            <w:pPr>
              <w:jc w:val="right"/>
              <w:textAlignment w:val="bottom"/>
            </w:pPr>
            <w:r>
              <w:rPr>
                <w:rFonts w:ascii="Arial" w:eastAsia="宋体" w:hAnsi="Arial" w:cs="Arial"/>
                <w:b/>
                <w:bCs/>
                <w:color w:val="262626"/>
                <w:sz w:val="18"/>
                <w:szCs w:val="18"/>
              </w:rPr>
              <w:t>4,062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8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8D"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8E" w14:textId="77777777" w:rsidR="00960BB8" w:rsidRDefault="00C06650">
            <w:pPr>
              <w:jc w:val="right"/>
              <w:textAlignment w:val="bottom"/>
            </w:pPr>
            <w:r>
              <w:rPr>
                <w:rFonts w:ascii="Arial" w:eastAsia="宋体" w:hAnsi="Arial" w:cs="Arial"/>
                <w:b/>
                <w:bCs/>
                <w:color w:val="262626"/>
                <w:sz w:val="18"/>
                <w:szCs w:val="18"/>
              </w:rPr>
              <w:t>25,556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8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90"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91" w14:textId="77777777" w:rsidR="00960BB8" w:rsidRDefault="00C06650">
            <w:pPr>
              <w:jc w:val="right"/>
              <w:textAlignment w:val="bottom"/>
            </w:pPr>
            <w:r>
              <w:rPr>
                <w:rFonts w:ascii="Arial" w:eastAsia="宋体" w:hAnsi="Arial" w:cs="Arial"/>
                <w:b/>
                <w:bCs/>
                <w:color w:val="262626"/>
                <w:sz w:val="18"/>
                <w:szCs w:val="18"/>
              </w:rPr>
              <w:t>(751)</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9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93"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94" w14:textId="77777777" w:rsidR="00960BB8" w:rsidRDefault="00C06650">
            <w:pPr>
              <w:jc w:val="right"/>
              <w:textAlignment w:val="bottom"/>
            </w:pPr>
            <w:r>
              <w:rPr>
                <w:rFonts w:ascii="Arial" w:eastAsia="宋体" w:hAnsi="Arial" w:cs="Arial"/>
                <w:b/>
                <w:bCs/>
                <w:color w:val="262626"/>
                <w:sz w:val="18"/>
                <w:szCs w:val="18"/>
              </w:rPr>
              <w:t>56,233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9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96"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97" w14:textId="77777777" w:rsidR="00960BB8" w:rsidRDefault="00C06650">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9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9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9A" w14:textId="77777777" w:rsidR="00960BB8" w:rsidRDefault="00C06650">
            <w:pPr>
              <w:jc w:val="right"/>
              <w:textAlignment w:val="bottom"/>
            </w:pPr>
            <w:r>
              <w:rPr>
                <w:rFonts w:ascii="Arial" w:eastAsia="宋体" w:hAnsi="Arial" w:cs="Arial"/>
                <w:b/>
                <w:bCs/>
                <w:color w:val="262626"/>
                <w:sz w:val="18"/>
                <w:szCs w:val="18"/>
              </w:rPr>
              <w:t>81,038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9B" w14:textId="77777777" w:rsidR="00960BB8" w:rsidRDefault="00960BB8">
            <w:pPr>
              <w:jc w:val="right"/>
              <w:rPr>
                <w:rFonts w:ascii="宋体"/>
              </w:rPr>
            </w:pPr>
          </w:p>
        </w:tc>
      </w:tr>
      <w:tr w:rsidR="00960BB8" w14:paraId="5A1B14AC" w14:textId="77777777">
        <w:tc>
          <w:tcPr>
            <w:tcW w:w="0" w:type="auto"/>
            <w:gridSpan w:val="3"/>
            <w:shd w:val="clear" w:color="auto" w:fill="auto"/>
            <w:tcMar>
              <w:top w:w="40" w:type="dxa"/>
              <w:left w:w="20" w:type="dxa"/>
              <w:bottom w:w="40" w:type="dxa"/>
              <w:right w:w="20" w:type="dxa"/>
            </w:tcMar>
            <w:vAlign w:val="bottom"/>
          </w:tcPr>
          <w:p w14:paraId="5A1B149D" w14:textId="77777777" w:rsidR="00960BB8" w:rsidRDefault="00C06650">
            <w:pPr>
              <w:textAlignment w:val="bottom"/>
            </w:pPr>
            <w:r>
              <w:rPr>
                <w:rFonts w:ascii="Arial" w:eastAsia="宋体" w:hAnsi="Arial" w:cs="Arial"/>
                <w:color w:val="262626"/>
                <w:sz w:val="18"/>
                <w:szCs w:val="18"/>
              </w:rPr>
              <w:t xml:space="preserve">Adjustment to opening balance from change in accounting </w:t>
            </w:r>
            <w:r>
              <w:rPr>
                <w:rFonts w:ascii="Arial" w:eastAsia="宋体" w:hAnsi="Arial" w:cs="Arial"/>
                <w:color w:val="262626"/>
                <w:sz w:val="18"/>
                <w:szCs w:val="18"/>
              </w:rPr>
              <w:t>principle</w:t>
            </w:r>
          </w:p>
        </w:tc>
        <w:tc>
          <w:tcPr>
            <w:tcW w:w="0" w:type="auto"/>
            <w:gridSpan w:val="3"/>
            <w:shd w:val="clear" w:color="auto" w:fill="auto"/>
            <w:tcMar>
              <w:top w:w="0" w:type="dxa"/>
              <w:left w:w="20" w:type="dxa"/>
              <w:bottom w:w="0" w:type="dxa"/>
              <w:right w:w="20" w:type="dxa"/>
            </w:tcMar>
            <w:vAlign w:val="bottom"/>
          </w:tcPr>
          <w:p w14:paraId="5A1B149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9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A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A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A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A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A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A5" w14:textId="77777777" w:rsidR="00960BB8" w:rsidRDefault="00C06650">
            <w:pPr>
              <w:jc w:val="right"/>
              <w:textAlignment w:val="bottom"/>
            </w:pPr>
            <w:r>
              <w:rPr>
                <w:rFonts w:ascii="Arial" w:eastAsia="宋体" w:hAnsi="Arial" w:cs="Arial"/>
                <w:color w:val="262626"/>
                <w:sz w:val="18"/>
                <w:szCs w:val="18"/>
              </w:rPr>
              <w:t>35 </w:t>
            </w:r>
          </w:p>
        </w:tc>
        <w:tc>
          <w:tcPr>
            <w:tcW w:w="0" w:type="auto"/>
            <w:shd w:val="clear" w:color="auto" w:fill="auto"/>
            <w:tcMar>
              <w:top w:w="40" w:type="dxa"/>
              <w:left w:w="0" w:type="dxa"/>
              <w:bottom w:w="40" w:type="dxa"/>
              <w:right w:w="20" w:type="dxa"/>
            </w:tcMar>
            <w:vAlign w:val="bottom"/>
          </w:tcPr>
          <w:p w14:paraId="5A1B14A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A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A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A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AA" w14:textId="77777777" w:rsidR="00960BB8" w:rsidRDefault="00C06650">
            <w:pPr>
              <w:jc w:val="right"/>
              <w:textAlignment w:val="bottom"/>
            </w:pPr>
            <w:r>
              <w:rPr>
                <w:rFonts w:ascii="Arial" w:eastAsia="宋体" w:hAnsi="Arial" w:cs="Arial"/>
                <w:color w:val="262626"/>
                <w:sz w:val="18"/>
                <w:szCs w:val="18"/>
              </w:rPr>
              <w:t>35 </w:t>
            </w:r>
          </w:p>
        </w:tc>
        <w:tc>
          <w:tcPr>
            <w:tcW w:w="0" w:type="auto"/>
            <w:shd w:val="clear" w:color="auto" w:fill="auto"/>
            <w:tcMar>
              <w:top w:w="40" w:type="dxa"/>
              <w:left w:w="0" w:type="dxa"/>
              <w:bottom w:w="40" w:type="dxa"/>
              <w:right w:w="20" w:type="dxa"/>
            </w:tcMar>
            <w:vAlign w:val="bottom"/>
          </w:tcPr>
          <w:p w14:paraId="5A1B14AB" w14:textId="77777777" w:rsidR="00960BB8" w:rsidRDefault="00960BB8">
            <w:pPr>
              <w:jc w:val="right"/>
              <w:rPr>
                <w:rFonts w:ascii="宋体"/>
              </w:rPr>
            </w:pPr>
          </w:p>
        </w:tc>
      </w:tr>
      <w:tr w:rsidR="00960BB8" w14:paraId="5A1B14C0" w14:textId="77777777">
        <w:tc>
          <w:tcPr>
            <w:tcW w:w="0" w:type="auto"/>
            <w:gridSpan w:val="3"/>
            <w:shd w:val="clear" w:color="auto" w:fill="auto"/>
            <w:tcMar>
              <w:top w:w="40" w:type="dxa"/>
              <w:left w:w="20" w:type="dxa"/>
              <w:bottom w:w="40" w:type="dxa"/>
              <w:right w:w="20" w:type="dxa"/>
            </w:tcMar>
            <w:vAlign w:val="bottom"/>
          </w:tcPr>
          <w:p w14:paraId="5A1B14AD" w14:textId="77777777" w:rsidR="00960BB8" w:rsidRDefault="00C06650">
            <w:pPr>
              <w:textAlignment w:val="bottom"/>
            </w:pPr>
            <w:r>
              <w:rPr>
                <w:rFonts w:ascii="Arial" w:eastAsia="宋体" w:hAnsi="Arial" w:cs="Arial"/>
                <w:b/>
                <w:bCs/>
                <w:color w:val="262626"/>
                <w:sz w:val="18"/>
                <w:szCs w:val="18"/>
              </w:rPr>
              <w:t>Opening balance as of December 27, 2020</w:t>
            </w:r>
          </w:p>
        </w:tc>
        <w:tc>
          <w:tcPr>
            <w:tcW w:w="0" w:type="auto"/>
            <w:gridSpan w:val="3"/>
            <w:shd w:val="clear" w:color="auto" w:fill="auto"/>
            <w:tcMar>
              <w:top w:w="0" w:type="dxa"/>
              <w:left w:w="20" w:type="dxa"/>
              <w:bottom w:w="0" w:type="dxa"/>
              <w:right w:w="20" w:type="dxa"/>
            </w:tcMar>
            <w:vAlign w:val="bottom"/>
          </w:tcPr>
          <w:p w14:paraId="5A1B14AE"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AF" w14:textId="77777777" w:rsidR="00960BB8" w:rsidRDefault="00C06650">
            <w:pPr>
              <w:jc w:val="right"/>
              <w:textAlignment w:val="bottom"/>
            </w:pPr>
            <w:r>
              <w:rPr>
                <w:rFonts w:ascii="Arial" w:eastAsia="宋体" w:hAnsi="Arial" w:cs="Arial"/>
                <w:b/>
                <w:bCs/>
                <w:color w:val="262626"/>
                <w:sz w:val="18"/>
                <w:szCs w:val="18"/>
              </w:rPr>
              <w:t>4,062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B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B1"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B2" w14:textId="77777777" w:rsidR="00960BB8" w:rsidRDefault="00C06650">
            <w:pPr>
              <w:jc w:val="right"/>
              <w:textAlignment w:val="bottom"/>
            </w:pPr>
            <w:r>
              <w:rPr>
                <w:rFonts w:ascii="Arial" w:eastAsia="宋体" w:hAnsi="Arial" w:cs="Arial"/>
                <w:b/>
                <w:bCs/>
                <w:color w:val="262626"/>
                <w:sz w:val="18"/>
                <w:szCs w:val="18"/>
              </w:rPr>
              <w:t>25,556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B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B4"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B5" w14:textId="77777777" w:rsidR="00960BB8" w:rsidRDefault="00C06650">
            <w:pPr>
              <w:jc w:val="right"/>
              <w:textAlignment w:val="bottom"/>
            </w:pPr>
            <w:r>
              <w:rPr>
                <w:rFonts w:ascii="Arial" w:eastAsia="宋体" w:hAnsi="Arial" w:cs="Arial"/>
                <w:b/>
                <w:bCs/>
                <w:color w:val="262626"/>
                <w:sz w:val="18"/>
                <w:szCs w:val="18"/>
              </w:rPr>
              <w:t>(751)</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B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B7"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B8" w14:textId="77777777" w:rsidR="00960BB8" w:rsidRDefault="00C06650">
            <w:pPr>
              <w:jc w:val="right"/>
              <w:textAlignment w:val="bottom"/>
            </w:pPr>
            <w:r>
              <w:rPr>
                <w:rFonts w:ascii="Arial" w:eastAsia="宋体" w:hAnsi="Arial" w:cs="Arial"/>
                <w:b/>
                <w:bCs/>
                <w:color w:val="262626"/>
                <w:sz w:val="18"/>
                <w:szCs w:val="18"/>
              </w:rPr>
              <w:t>56,268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B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BA"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BB" w14:textId="77777777" w:rsidR="00960BB8" w:rsidRDefault="00C06650">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B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BD"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BE" w14:textId="77777777" w:rsidR="00960BB8" w:rsidRDefault="00C06650">
            <w:pPr>
              <w:jc w:val="right"/>
              <w:textAlignment w:val="bottom"/>
            </w:pPr>
            <w:r>
              <w:rPr>
                <w:rFonts w:ascii="Arial" w:eastAsia="宋体" w:hAnsi="Arial" w:cs="Arial"/>
                <w:b/>
                <w:bCs/>
                <w:color w:val="262626"/>
                <w:sz w:val="18"/>
                <w:szCs w:val="18"/>
              </w:rPr>
              <w:t>81,073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4BF" w14:textId="77777777" w:rsidR="00960BB8" w:rsidRDefault="00960BB8">
            <w:pPr>
              <w:jc w:val="right"/>
              <w:rPr>
                <w:rFonts w:ascii="宋体"/>
              </w:rPr>
            </w:pPr>
          </w:p>
        </w:tc>
      </w:tr>
      <w:tr w:rsidR="00960BB8" w14:paraId="5A1B14CE" w14:textId="77777777">
        <w:tc>
          <w:tcPr>
            <w:tcW w:w="0" w:type="auto"/>
            <w:gridSpan w:val="3"/>
            <w:shd w:val="clear" w:color="auto" w:fill="auto"/>
            <w:tcMar>
              <w:top w:w="40" w:type="dxa"/>
              <w:left w:w="20" w:type="dxa"/>
              <w:bottom w:w="40" w:type="dxa"/>
              <w:right w:w="20" w:type="dxa"/>
            </w:tcMar>
            <w:vAlign w:val="bottom"/>
          </w:tcPr>
          <w:p w14:paraId="5A1B14C1" w14:textId="77777777" w:rsidR="00960BB8" w:rsidRDefault="00C06650">
            <w:pPr>
              <w:textAlignment w:val="bottom"/>
            </w:pPr>
            <w:r>
              <w:rPr>
                <w:rFonts w:ascii="Arial" w:eastAsia="宋体" w:hAnsi="Arial" w:cs="Arial"/>
                <w:color w:val="262626"/>
                <w:sz w:val="18"/>
                <w:szCs w:val="18"/>
              </w:rPr>
              <w:t>Components of comprehensive income, net of tax:</w:t>
            </w:r>
          </w:p>
        </w:tc>
        <w:tc>
          <w:tcPr>
            <w:tcW w:w="0" w:type="auto"/>
            <w:gridSpan w:val="3"/>
            <w:shd w:val="clear" w:color="auto" w:fill="auto"/>
            <w:tcMar>
              <w:top w:w="0" w:type="dxa"/>
              <w:left w:w="20" w:type="dxa"/>
              <w:bottom w:w="0" w:type="dxa"/>
              <w:right w:w="20" w:type="dxa"/>
            </w:tcMar>
            <w:vAlign w:val="bottom"/>
          </w:tcPr>
          <w:p w14:paraId="5A1B14C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C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C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C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C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C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C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C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C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C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C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CD" w14:textId="77777777" w:rsidR="00960BB8" w:rsidRDefault="00960BB8">
            <w:pPr>
              <w:rPr>
                <w:rFonts w:ascii="宋体"/>
              </w:rPr>
            </w:pPr>
          </w:p>
        </w:tc>
      </w:tr>
      <w:tr w:rsidR="00960BB8" w14:paraId="5A1B14E0" w14:textId="77777777">
        <w:tc>
          <w:tcPr>
            <w:tcW w:w="0" w:type="auto"/>
            <w:gridSpan w:val="3"/>
            <w:shd w:val="clear" w:color="auto" w:fill="auto"/>
            <w:tcMar>
              <w:top w:w="40" w:type="dxa"/>
              <w:left w:w="155" w:type="dxa"/>
              <w:bottom w:w="40" w:type="dxa"/>
              <w:right w:w="20" w:type="dxa"/>
            </w:tcMar>
            <w:vAlign w:val="bottom"/>
          </w:tcPr>
          <w:p w14:paraId="5A1B14CF" w14:textId="77777777" w:rsidR="00960BB8" w:rsidRDefault="00C06650">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5A1B14D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D1"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D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D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D4"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4D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D6"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4D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D8" w14:textId="77777777" w:rsidR="00960BB8" w:rsidRDefault="00C06650">
            <w:pPr>
              <w:jc w:val="right"/>
              <w:textAlignment w:val="bottom"/>
            </w:pPr>
            <w:r>
              <w:rPr>
                <w:rFonts w:ascii="Arial" w:eastAsia="宋体" w:hAnsi="Arial" w:cs="Arial"/>
                <w:color w:val="262626"/>
                <w:sz w:val="18"/>
                <w:szCs w:val="18"/>
              </w:rPr>
              <w:t>19,868 </w:t>
            </w:r>
          </w:p>
        </w:tc>
        <w:tc>
          <w:tcPr>
            <w:tcW w:w="0" w:type="auto"/>
            <w:shd w:val="clear" w:color="auto" w:fill="auto"/>
            <w:tcMar>
              <w:top w:w="40" w:type="dxa"/>
              <w:left w:w="0" w:type="dxa"/>
              <w:bottom w:w="40" w:type="dxa"/>
              <w:right w:w="20" w:type="dxa"/>
            </w:tcMar>
            <w:vAlign w:val="bottom"/>
          </w:tcPr>
          <w:p w14:paraId="5A1B14D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D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DB"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D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D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DE" w14:textId="77777777" w:rsidR="00960BB8" w:rsidRDefault="00C06650">
            <w:pPr>
              <w:jc w:val="right"/>
              <w:textAlignment w:val="bottom"/>
            </w:pPr>
            <w:r>
              <w:rPr>
                <w:rFonts w:ascii="Arial" w:eastAsia="宋体" w:hAnsi="Arial" w:cs="Arial"/>
                <w:color w:val="262626"/>
                <w:sz w:val="18"/>
                <w:szCs w:val="18"/>
              </w:rPr>
              <w:t>19,868 </w:t>
            </w:r>
          </w:p>
        </w:tc>
        <w:tc>
          <w:tcPr>
            <w:tcW w:w="0" w:type="auto"/>
            <w:shd w:val="clear" w:color="auto" w:fill="auto"/>
            <w:tcMar>
              <w:top w:w="40" w:type="dxa"/>
              <w:left w:w="0" w:type="dxa"/>
              <w:bottom w:w="40" w:type="dxa"/>
              <w:right w:w="20" w:type="dxa"/>
            </w:tcMar>
            <w:vAlign w:val="bottom"/>
          </w:tcPr>
          <w:p w14:paraId="5A1B14DF" w14:textId="77777777" w:rsidR="00960BB8" w:rsidRDefault="00960BB8">
            <w:pPr>
              <w:jc w:val="right"/>
              <w:rPr>
                <w:rFonts w:ascii="宋体"/>
              </w:rPr>
            </w:pPr>
          </w:p>
        </w:tc>
      </w:tr>
      <w:tr w:rsidR="00960BB8" w14:paraId="5A1B14F2" w14:textId="77777777">
        <w:tc>
          <w:tcPr>
            <w:tcW w:w="0" w:type="auto"/>
            <w:gridSpan w:val="3"/>
            <w:shd w:val="clear" w:color="auto" w:fill="auto"/>
            <w:tcMar>
              <w:top w:w="40" w:type="dxa"/>
              <w:left w:w="155" w:type="dxa"/>
              <w:bottom w:w="40" w:type="dxa"/>
              <w:right w:w="20" w:type="dxa"/>
            </w:tcMar>
            <w:vAlign w:val="bottom"/>
          </w:tcPr>
          <w:p w14:paraId="5A1B14E1" w14:textId="77777777" w:rsidR="00960BB8" w:rsidRDefault="00C06650">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5A1B14E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E3"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E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E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E6"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4E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E8" w14:textId="77777777" w:rsidR="00960BB8" w:rsidRDefault="00C06650">
            <w:pPr>
              <w:jc w:val="right"/>
              <w:textAlignment w:val="bottom"/>
            </w:pPr>
            <w:r>
              <w:rPr>
                <w:rFonts w:ascii="Arial" w:eastAsia="宋体" w:hAnsi="Arial" w:cs="Arial"/>
                <w:color w:val="262626"/>
                <w:sz w:val="18"/>
                <w:szCs w:val="18"/>
              </w:rPr>
              <w:t>(129)</w:t>
            </w:r>
          </w:p>
        </w:tc>
        <w:tc>
          <w:tcPr>
            <w:tcW w:w="0" w:type="auto"/>
            <w:shd w:val="clear" w:color="auto" w:fill="auto"/>
            <w:tcMar>
              <w:top w:w="40" w:type="dxa"/>
              <w:left w:w="0" w:type="dxa"/>
              <w:bottom w:w="40" w:type="dxa"/>
              <w:right w:w="20" w:type="dxa"/>
            </w:tcMar>
            <w:vAlign w:val="bottom"/>
          </w:tcPr>
          <w:p w14:paraId="5A1B14E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E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4EB"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4E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ED"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4E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4E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4F0" w14:textId="77777777" w:rsidR="00960BB8" w:rsidRDefault="00C06650">
            <w:pPr>
              <w:jc w:val="right"/>
              <w:textAlignment w:val="bottom"/>
            </w:pPr>
            <w:r>
              <w:rPr>
                <w:rFonts w:ascii="Arial" w:eastAsia="宋体" w:hAnsi="Arial" w:cs="Arial"/>
                <w:color w:val="262626"/>
                <w:sz w:val="18"/>
                <w:szCs w:val="18"/>
              </w:rPr>
              <w:t>(129)</w:t>
            </w:r>
          </w:p>
        </w:tc>
        <w:tc>
          <w:tcPr>
            <w:tcW w:w="0" w:type="auto"/>
            <w:shd w:val="clear" w:color="auto" w:fill="auto"/>
            <w:tcMar>
              <w:top w:w="40" w:type="dxa"/>
              <w:left w:w="0" w:type="dxa"/>
              <w:bottom w:w="40" w:type="dxa"/>
              <w:right w:w="20" w:type="dxa"/>
            </w:tcMar>
            <w:vAlign w:val="bottom"/>
          </w:tcPr>
          <w:p w14:paraId="5A1B14F1" w14:textId="77777777" w:rsidR="00960BB8" w:rsidRDefault="00960BB8">
            <w:pPr>
              <w:jc w:val="right"/>
              <w:rPr>
                <w:rFonts w:ascii="宋体"/>
              </w:rPr>
            </w:pPr>
          </w:p>
        </w:tc>
      </w:tr>
      <w:tr w:rsidR="00960BB8" w14:paraId="5A1B1501" w14:textId="77777777">
        <w:tc>
          <w:tcPr>
            <w:tcW w:w="0" w:type="auto"/>
            <w:gridSpan w:val="3"/>
            <w:shd w:val="clear" w:color="auto" w:fill="auto"/>
            <w:tcMar>
              <w:top w:w="40" w:type="dxa"/>
              <w:left w:w="380" w:type="dxa"/>
              <w:bottom w:w="40" w:type="dxa"/>
              <w:right w:w="20" w:type="dxa"/>
            </w:tcMar>
            <w:vAlign w:val="bottom"/>
          </w:tcPr>
          <w:p w14:paraId="5A1B14F3" w14:textId="77777777" w:rsidR="00960BB8" w:rsidRDefault="00C06650">
            <w:pPr>
              <w:textAlignment w:val="bottom"/>
            </w:pPr>
            <w:r>
              <w:rPr>
                <w:rFonts w:ascii="Arial" w:eastAsia="宋体" w:hAnsi="Arial" w:cs="Arial"/>
                <w:color w:val="262626"/>
                <w:sz w:val="18"/>
                <w:szCs w:val="18"/>
              </w:rPr>
              <w:t>Total comprehensive income</w:t>
            </w:r>
          </w:p>
        </w:tc>
        <w:tc>
          <w:tcPr>
            <w:tcW w:w="0" w:type="auto"/>
            <w:gridSpan w:val="3"/>
            <w:shd w:val="clear" w:color="auto" w:fill="auto"/>
            <w:tcMar>
              <w:top w:w="0" w:type="dxa"/>
              <w:left w:w="20" w:type="dxa"/>
              <w:bottom w:w="0" w:type="dxa"/>
              <w:right w:w="20" w:type="dxa"/>
            </w:tcMar>
            <w:vAlign w:val="bottom"/>
          </w:tcPr>
          <w:p w14:paraId="5A1B14F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F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F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F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F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F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F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F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F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F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4FE"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4FF" w14:textId="77777777" w:rsidR="00960BB8" w:rsidRDefault="00C06650">
            <w:pPr>
              <w:jc w:val="right"/>
              <w:textAlignment w:val="bottom"/>
            </w:pPr>
            <w:r>
              <w:rPr>
                <w:rFonts w:ascii="Arial" w:eastAsia="宋体" w:hAnsi="Arial" w:cs="Arial"/>
                <w:color w:val="262626"/>
                <w:sz w:val="18"/>
                <w:szCs w:val="18"/>
              </w:rPr>
              <w:t>19,739 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500" w14:textId="77777777" w:rsidR="00960BB8" w:rsidRDefault="00960BB8">
            <w:pPr>
              <w:jc w:val="right"/>
              <w:rPr>
                <w:rFonts w:ascii="宋体"/>
              </w:rPr>
            </w:pPr>
          </w:p>
        </w:tc>
      </w:tr>
      <w:tr w:rsidR="00960BB8" w14:paraId="5A1B1513" w14:textId="77777777">
        <w:tc>
          <w:tcPr>
            <w:tcW w:w="0" w:type="auto"/>
            <w:gridSpan w:val="3"/>
            <w:shd w:val="clear" w:color="auto" w:fill="auto"/>
            <w:tcMar>
              <w:top w:w="40" w:type="dxa"/>
              <w:left w:w="20" w:type="dxa"/>
              <w:bottom w:w="40" w:type="dxa"/>
              <w:right w:w="20" w:type="dxa"/>
            </w:tcMar>
            <w:vAlign w:val="bottom"/>
          </w:tcPr>
          <w:p w14:paraId="5A1B1502" w14:textId="77777777" w:rsidR="00960BB8" w:rsidRDefault="00C06650">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5A1B150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04" w14:textId="77777777" w:rsidR="00960BB8" w:rsidRDefault="00C06650">
            <w:pPr>
              <w:jc w:val="right"/>
              <w:textAlignment w:val="bottom"/>
            </w:pPr>
            <w:r>
              <w:rPr>
                <w:rFonts w:ascii="Arial" w:eastAsia="宋体" w:hAnsi="Arial" w:cs="Arial"/>
                <w:color w:val="262626"/>
                <w:sz w:val="18"/>
                <w:szCs w:val="18"/>
              </w:rPr>
              <w:t>54 </w:t>
            </w:r>
          </w:p>
        </w:tc>
        <w:tc>
          <w:tcPr>
            <w:tcW w:w="0" w:type="auto"/>
            <w:shd w:val="clear" w:color="auto" w:fill="auto"/>
            <w:tcMar>
              <w:top w:w="40" w:type="dxa"/>
              <w:left w:w="0" w:type="dxa"/>
              <w:bottom w:w="40" w:type="dxa"/>
              <w:right w:w="20" w:type="dxa"/>
            </w:tcMar>
            <w:vAlign w:val="bottom"/>
          </w:tcPr>
          <w:p w14:paraId="5A1B150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0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07" w14:textId="77777777" w:rsidR="00960BB8" w:rsidRDefault="00C06650">
            <w:pPr>
              <w:jc w:val="right"/>
              <w:textAlignment w:val="bottom"/>
            </w:pPr>
            <w:r>
              <w:rPr>
                <w:rFonts w:ascii="Arial" w:eastAsia="宋体" w:hAnsi="Arial" w:cs="Arial"/>
                <w:color w:val="262626"/>
                <w:sz w:val="18"/>
                <w:szCs w:val="18"/>
              </w:rPr>
              <w:t>1,022 </w:t>
            </w:r>
          </w:p>
        </w:tc>
        <w:tc>
          <w:tcPr>
            <w:tcW w:w="0" w:type="auto"/>
            <w:shd w:val="clear" w:color="auto" w:fill="auto"/>
            <w:tcMar>
              <w:top w:w="40" w:type="dxa"/>
              <w:left w:w="0" w:type="dxa"/>
              <w:bottom w:w="40" w:type="dxa"/>
              <w:right w:w="20" w:type="dxa"/>
            </w:tcMar>
            <w:vAlign w:val="bottom"/>
          </w:tcPr>
          <w:p w14:paraId="5A1B150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0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0A"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50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0C"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50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0E"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50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10"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511" w14:textId="77777777" w:rsidR="00960BB8" w:rsidRDefault="00C06650">
            <w:pPr>
              <w:jc w:val="right"/>
              <w:textAlignment w:val="bottom"/>
            </w:pPr>
            <w:r>
              <w:rPr>
                <w:rFonts w:ascii="Arial" w:eastAsia="宋体" w:hAnsi="Arial" w:cs="Arial"/>
                <w:color w:val="262626"/>
                <w:sz w:val="18"/>
                <w:szCs w:val="18"/>
              </w:rPr>
              <w:t>1,022 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512" w14:textId="77777777" w:rsidR="00960BB8" w:rsidRDefault="00960BB8">
            <w:pPr>
              <w:jc w:val="right"/>
              <w:rPr>
                <w:rFonts w:ascii="宋体"/>
              </w:rPr>
            </w:pPr>
          </w:p>
        </w:tc>
      </w:tr>
      <w:tr w:rsidR="00960BB8" w14:paraId="5A1B1525" w14:textId="77777777">
        <w:tc>
          <w:tcPr>
            <w:tcW w:w="0" w:type="auto"/>
            <w:gridSpan w:val="3"/>
            <w:shd w:val="clear" w:color="auto" w:fill="auto"/>
            <w:tcMar>
              <w:top w:w="40" w:type="dxa"/>
              <w:left w:w="20" w:type="dxa"/>
              <w:bottom w:w="40" w:type="dxa"/>
              <w:right w:w="20" w:type="dxa"/>
            </w:tcMar>
            <w:vAlign w:val="bottom"/>
          </w:tcPr>
          <w:p w14:paraId="5A1B1514" w14:textId="77777777" w:rsidR="00960BB8" w:rsidRDefault="00C06650">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5A1B151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16"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51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1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19" w14:textId="77777777" w:rsidR="00960BB8" w:rsidRDefault="00C06650">
            <w:pPr>
              <w:jc w:val="right"/>
              <w:textAlignment w:val="bottom"/>
            </w:pPr>
            <w:r>
              <w:rPr>
                <w:rFonts w:ascii="Arial" w:eastAsia="宋体" w:hAnsi="Arial" w:cs="Arial"/>
                <w:color w:val="262626"/>
                <w:sz w:val="18"/>
                <w:szCs w:val="18"/>
              </w:rPr>
              <w:t>2,036 </w:t>
            </w:r>
          </w:p>
        </w:tc>
        <w:tc>
          <w:tcPr>
            <w:tcW w:w="0" w:type="auto"/>
            <w:shd w:val="clear" w:color="auto" w:fill="auto"/>
            <w:tcMar>
              <w:top w:w="40" w:type="dxa"/>
              <w:left w:w="0" w:type="dxa"/>
              <w:bottom w:w="40" w:type="dxa"/>
              <w:right w:w="20" w:type="dxa"/>
            </w:tcMar>
            <w:vAlign w:val="bottom"/>
          </w:tcPr>
          <w:p w14:paraId="5A1B151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1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1C"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51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1E"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51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20"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52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2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23" w14:textId="77777777" w:rsidR="00960BB8" w:rsidRDefault="00C06650">
            <w:pPr>
              <w:jc w:val="right"/>
              <w:textAlignment w:val="bottom"/>
            </w:pPr>
            <w:r>
              <w:rPr>
                <w:rFonts w:ascii="Arial" w:eastAsia="宋体" w:hAnsi="Arial" w:cs="Arial"/>
                <w:color w:val="262626"/>
                <w:sz w:val="18"/>
                <w:szCs w:val="18"/>
              </w:rPr>
              <w:t>2,036 </w:t>
            </w:r>
          </w:p>
        </w:tc>
        <w:tc>
          <w:tcPr>
            <w:tcW w:w="0" w:type="auto"/>
            <w:shd w:val="clear" w:color="auto" w:fill="auto"/>
            <w:tcMar>
              <w:top w:w="40" w:type="dxa"/>
              <w:left w:w="0" w:type="dxa"/>
              <w:bottom w:w="40" w:type="dxa"/>
              <w:right w:w="20" w:type="dxa"/>
            </w:tcMar>
            <w:vAlign w:val="bottom"/>
          </w:tcPr>
          <w:p w14:paraId="5A1B1524" w14:textId="77777777" w:rsidR="00960BB8" w:rsidRDefault="00960BB8">
            <w:pPr>
              <w:jc w:val="right"/>
              <w:rPr>
                <w:rFonts w:ascii="宋体"/>
              </w:rPr>
            </w:pPr>
          </w:p>
        </w:tc>
      </w:tr>
      <w:tr w:rsidR="00960BB8" w14:paraId="5A1B1538" w14:textId="77777777">
        <w:tc>
          <w:tcPr>
            <w:tcW w:w="0" w:type="auto"/>
            <w:gridSpan w:val="3"/>
            <w:shd w:val="clear" w:color="auto" w:fill="auto"/>
            <w:tcMar>
              <w:top w:w="40" w:type="dxa"/>
              <w:left w:w="20" w:type="dxa"/>
              <w:bottom w:w="40" w:type="dxa"/>
              <w:right w:w="20" w:type="dxa"/>
            </w:tcMar>
            <w:vAlign w:val="bottom"/>
          </w:tcPr>
          <w:p w14:paraId="5A1B1526" w14:textId="77777777" w:rsidR="00960BB8" w:rsidRDefault="00C06650">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5A1B152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28" w14:textId="77777777" w:rsidR="00960BB8" w:rsidRDefault="00C06650">
            <w:pPr>
              <w:jc w:val="right"/>
              <w:textAlignment w:val="bottom"/>
            </w:pPr>
            <w:r>
              <w:rPr>
                <w:rFonts w:ascii="Arial" w:eastAsia="宋体" w:hAnsi="Arial" w:cs="Arial"/>
                <w:color w:val="262626"/>
                <w:sz w:val="18"/>
                <w:szCs w:val="18"/>
              </w:rPr>
              <w:t>(40)</w:t>
            </w:r>
          </w:p>
        </w:tc>
        <w:tc>
          <w:tcPr>
            <w:tcW w:w="0" w:type="auto"/>
            <w:shd w:val="clear" w:color="auto" w:fill="auto"/>
            <w:tcMar>
              <w:top w:w="40" w:type="dxa"/>
              <w:left w:w="0" w:type="dxa"/>
              <w:bottom w:w="40" w:type="dxa"/>
              <w:right w:w="20" w:type="dxa"/>
            </w:tcMar>
            <w:vAlign w:val="bottom"/>
          </w:tcPr>
          <w:p w14:paraId="5A1B152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2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2B" w14:textId="77777777" w:rsidR="00960BB8" w:rsidRDefault="00C06650">
            <w:pPr>
              <w:jc w:val="right"/>
              <w:textAlignment w:val="bottom"/>
            </w:pPr>
            <w:r>
              <w:rPr>
                <w:rFonts w:ascii="Arial" w:eastAsia="宋体" w:hAnsi="Arial" w:cs="Arial"/>
                <w:color w:val="262626"/>
                <w:sz w:val="18"/>
                <w:szCs w:val="18"/>
              </w:rPr>
              <w:t>(249)</w:t>
            </w:r>
          </w:p>
        </w:tc>
        <w:tc>
          <w:tcPr>
            <w:tcW w:w="0" w:type="auto"/>
            <w:shd w:val="clear" w:color="auto" w:fill="auto"/>
            <w:tcMar>
              <w:top w:w="40" w:type="dxa"/>
              <w:left w:w="0" w:type="dxa"/>
              <w:bottom w:w="40" w:type="dxa"/>
              <w:right w:w="20" w:type="dxa"/>
            </w:tcMar>
            <w:vAlign w:val="bottom"/>
          </w:tcPr>
          <w:p w14:paraId="5A1B152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2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2E"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52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30" w14:textId="77777777" w:rsidR="00960BB8" w:rsidRDefault="00C06650">
            <w:pPr>
              <w:jc w:val="right"/>
              <w:textAlignment w:val="bottom"/>
            </w:pPr>
            <w:r>
              <w:rPr>
                <w:rFonts w:ascii="Arial" w:eastAsia="宋体" w:hAnsi="Arial" w:cs="Arial"/>
                <w:color w:val="262626"/>
                <w:sz w:val="18"/>
                <w:szCs w:val="18"/>
              </w:rPr>
              <w:t>(2,166)</w:t>
            </w:r>
          </w:p>
        </w:tc>
        <w:tc>
          <w:tcPr>
            <w:tcW w:w="0" w:type="auto"/>
            <w:shd w:val="clear" w:color="auto" w:fill="auto"/>
            <w:tcMar>
              <w:top w:w="40" w:type="dxa"/>
              <w:left w:w="0" w:type="dxa"/>
              <w:bottom w:w="40" w:type="dxa"/>
              <w:right w:w="20" w:type="dxa"/>
            </w:tcMar>
            <w:vAlign w:val="bottom"/>
          </w:tcPr>
          <w:p w14:paraId="5A1B153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3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33"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53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3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36" w14:textId="77777777" w:rsidR="00960BB8" w:rsidRDefault="00C06650">
            <w:pPr>
              <w:jc w:val="right"/>
              <w:textAlignment w:val="bottom"/>
            </w:pPr>
            <w:r>
              <w:rPr>
                <w:rFonts w:ascii="Arial" w:eastAsia="宋体" w:hAnsi="Arial" w:cs="Arial"/>
                <w:color w:val="262626"/>
                <w:sz w:val="18"/>
                <w:szCs w:val="18"/>
              </w:rPr>
              <w:t>(2,415)</w:t>
            </w:r>
          </w:p>
        </w:tc>
        <w:tc>
          <w:tcPr>
            <w:tcW w:w="0" w:type="auto"/>
            <w:shd w:val="clear" w:color="auto" w:fill="auto"/>
            <w:tcMar>
              <w:top w:w="40" w:type="dxa"/>
              <w:left w:w="0" w:type="dxa"/>
              <w:bottom w:w="40" w:type="dxa"/>
              <w:right w:w="20" w:type="dxa"/>
            </w:tcMar>
            <w:vAlign w:val="bottom"/>
          </w:tcPr>
          <w:p w14:paraId="5A1B1537" w14:textId="77777777" w:rsidR="00960BB8" w:rsidRDefault="00960BB8">
            <w:pPr>
              <w:jc w:val="right"/>
              <w:rPr>
                <w:rFonts w:ascii="宋体"/>
              </w:rPr>
            </w:pPr>
          </w:p>
        </w:tc>
      </w:tr>
      <w:tr w:rsidR="00960BB8" w14:paraId="5A1B154B" w14:textId="77777777">
        <w:tc>
          <w:tcPr>
            <w:tcW w:w="0" w:type="auto"/>
            <w:gridSpan w:val="3"/>
            <w:shd w:val="clear" w:color="auto" w:fill="auto"/>
            <w:tcMar>
              <w:top w:w="40" w:type="dxa"/>
              <w:left w:w="20" w:type="dxa"/>
              <w:bottom w:w="40" w:type="dxa"/>
              <w:right w:w="20" w:type="dxa"/>
            </w:tcMar>
            <w:vAlign w:val="bottom"/>
          </w:tcPr>
          <w:p w14:paraId="5A1B1539" w14:textId="77777777" w:rsidR="00960BB8" w:rsidRDefault="00C06650">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5A1B153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3B" w14:textId="77777777" w:rsidR="00960BB8" w:rsidRDefault="00C06650">
            <w:pPr>
              <w:jc w:val="right"/>
              <w:textAlignment w:val="bottom"/>
            </w:pPr>
            <w:r>
              <w:rPr>
                <w:rFonts w:ascii="Arial" w:eastAsia="宋体" w:hAnsi="Arial" w:cs="Arial"/>
                <w:color w:val="262626"/>
                <w:sz w:val="18"/>
                <w:szCs w:val="18"/>
              </w:rPr>
              <w:t>(6)</w:t>
            </w:r>
          </w:p>
        </w:tc>
        <w:tc>
          <w:tcPr>
            <w:tcW w:w="0" w:type="auto"/>
            <w:shd w:val="clear" w:color="auto" w:fill="auto"/>
            <w:tcMar>
              <w:top w:w="40" w:type="dxa"/>
              <w:left w:w="0" w:type="dxa"/>
              <w:bottom w:w="40" w:type="dxa"/>
              <w:right w:w="20" w:type="dxa"/>
            </w:tcMar>
            <w:vAlign w:val="bottom"/>
          </w:tcPr>
          <w:p w14:paraId="5A1B153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3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3E" w14:textId="77777777" w:rsidR="00960BB8" w:rsidRDefault="00C06650">
            <w:pPr>
              <w:jc w:val="right"/>
              <w:textAlignment w:val="bottom"/>
            </w:pPr>
            <w:r>
              <w:rPr>
                <w:rFonts w:ascii="Arial" w:eastAsia="宋体" w:hAnsi="Arial" w:cs="Arial"/>
                <w:color w:val="262626"/>
                <w:sz w:val="18"/>
                <w:szCs w:val="18"/>
              </w:rPr>
              <w:t>(359)</w:t>
            </w:r>
          </w:p>
        </w:tc>
        <w:tc>
          <w:tcPr>
            <w:tcW w:w="0" w:type="auto"/>
            <w:shd w:val="clear" w:color="auto" w:fill="auto"/>
            <w:tcMar>
              <w:top w:w="40" w:type="dxa"/>
              <w:left w:w="0" w:type="dxa"/>
              <w:bottom w:w="40" w:type="dxa"/>
              <w:right w:w="20" w:type="dxa"/>
            </w:tcMar>
            <w:vAlign w:val="bottom"/>
          </w:tcPr>
          <w:p w14:paraId="5A1B153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4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41"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54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43" w14:textId="77777777" w:rsidR="00960BB8" w:rsidRDefault="00C06650">
            <w:pPr>
              <w:jc w:val="right"/>
              <w:textAlignment w:val="bottom"/>
            </w:pPr>
            <w:r>
              <w:rPr>
                <w:rFonts w:ascii="Arial" w:eastAsia="宋体" w:hAnsi="Arial" w:cs="Arial"/>
                <w:color w:val="262626"/>
                <w:sz w:val="18"/>
                <w:szCs w:val="18"/>
              </w:rPr>
              <w:t>(61)</w:t>
            </w:r>
          </w:p>
        </w:tc>
        <w:tc>
          <w:tcPr>
            <w:tcW w:w="0" w:type="auto"/>
            <w:shd w:val="clear" w:color="auto" w:fill="auto"/>
            <w:tcMar>
              <w:top w:w="40" w:type="dxa"/>
              <w:left w:w="0" w:type="dxa"/>
              <w:bottom w:w="40" w:type="dxa"/>
              <w:right w:w="20" w:type="dxa"/>
            </w:tcMar>
            <w:vAlign w:val="bottom"/>
          </w:tcPr>
          <w:p w14:paraId="5A1B154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4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46"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54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4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49" w14:textId="77777777" w:rsidR="00960BB8" w:rsidRDefault="00C06650">
            <w:pPr>
              <w:jc w:val="right"/>
              <w:textAlignment w:val="bottom"/>
            </w:pPr>
            <w:r>
              <w:rPr>
                <w:rFonts w:ascii="Arial" w:eastAsia="宋体" w:hAnsi="Arial" w:cs="Arial"/>
                <w:color w:val="262626"/>
                <w:sz w:val="18"/>
                <w:szCs w:val="18"/>
              </w:rPr>
              <w:t>(420)</w:t>
            </w:r>
          </w:p>
        </w:tc>
        <w:tc>
          <w:tcPr>
            <w:tcW w:w="0" w:type="auto"/>
            <w:shd w:val="clear" w:color="auto" w:fill="auto"/>
            <w:tcMar>
              <w:top w:w="40" w:type="dxa"/>
              <w:left w:w="0" w:type="dxa"/>
              <w:bottom w:w="40" w:type="dxa"/>
              <w:right w:w="20" w:type="dxa"/>
            </w:tcMar>
            <w:vAlign w:val="bottom"/>
          </w:tcPr>
          <w:p w14:paraId="5A1B154A" w14:textId="77777777" w:rsidR="00960BB8" w:rsidRDefault="00960BB8">
            <w:pPr>
              <w:jc w:val="right"/>
              <w:rPr>
                <w:rFonts w:ascii="宋体"/>
              </w:rPr>
            </w:pPr>
          </w:p>
        </w:tc>
      </w:tr>
      <w:tr w:rsidR="00960BB8" w14:paraId="5A1B155D" w14:textId="77777777">
        <w:tc>
          <w:tcPr>
            <w:tcW w:w="0" w:type="auto"/>
            <w:gridSpan w:val="3"/>
            <w:shd w:val="clear" w:color="auto" w:fill="auto"/>
            <w:tcMar>
              <w:top w:w="40" w:type="dxa"/>
              <w:left w:w="20" w:type="dxa"/>
              <w:bottom w:w="40" w:type="dxa"/>
              <w:right w:w="20" w:type="dxa"/>
            </w:tcMar>
            <w:vAlign w:val="bottom"/>
          </w:tcPr>
          <w:p w14:paraId="5A1B154C" w14:textId="77777777" w:rsidR="00960BB8" w:rsidRDefault="00C06650">
            <w:pPr>
              <w:textAlignment w:val="bottom"/>
            </w:pPr>
            <w:r>
              <w:rPr>
                <w:rFonts w:ascii="Arial" w:eastAsia="宋体" w:hAnsi="Arial" w:cs="Arial"/>
                <w:color w:val="262626"/>
                <w:sz w:val="18"/>
                <w:szCs w:val="18"/>
              </w:rPr>
              <w:t>Cash dividends declared ($1.39 per share of common stock)</w:t>
            </w:r>
          </w:p>
        </w:tc>
        <w:tc>
          <w:tcPr>
            <w:tcW w:w="0" w:type="auto"/>
            <w:gridSpan w:val="3"/>
            <w:shd w:val="clear" w:color="auto" w:fill="auto"/>
            <w:tcMar>
              <w:top w:w="0" w:type="dxa"/>
              <w:left w:w="20" w:type="dxa"/>
              <w:bottom w:w="0" w:type="dxa"/>
              <w:right w:w="20" w:type="dxa"/>
            </w:tcMar>
            <w:vAlign w:val="bottom"/>
          </w:tcPr>
          <w:p w14:paraId="5A1B154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4E"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54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5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51"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55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53" w14:textId="77777777" w:rsidR="00960BB8" w:rsidRDefault="00C06650">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5A1B155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55" w14:textId="77777777" w:rsidR="00960BB8" w:rsidRDefault="00C06650">
            <w:pPr>
              <w:jc w:val="right"/>
              <w:textAlignment w:val="bottom"/>
            </w:pPr>
            <w:r>
              <w:rPr>
                <w:rFonts w:ascii="Arial" w:eastAsia="宋体" w:hAnsi="Arial" w:cs="Arial"/>
                <w:color w:val="262626"/>
                <w:sz w:val="18"/>
                <w:szCs w:val="18"/>
              </w:rPr>
              <w:t>(5,644)</w:t>
            </w:r>
          </w:p>
        </w:tc>
        <w:tc>
          <w:tcPr>
            <w:tcW w:w="0" w:type="auto"/>
            <w:shd w:val="clear" w:color="auto" w:fill="auto"/>
            <w:tcMar>
              <w:top w:w="40" w:type="dxa"/>
              <w:left w:w="0" w:type="dxa"/>
              <w:bottom w:w="40" w:type="dxa"/>
              <w:right w:w="20" w:type="dxa"/>
            </w:tcMar>
            <w:vAlign w:val="bottom"/>
          </w:tcPr>
          <w:p w14:paraId="5A1B155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5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58"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55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5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5B" w14:textId="77777777" w:rsidR="00960BB8" w:rsidRDefault="00C06650">
            <w:pPr>
              <w:jc w:val="right"/>
              <w:textAlignment w:val="bottom"/>
            </w:pPr>
            <w:r>
              <w:rPr>
                <w:rFonts w:ascii="Arial" w:eastAsia="宋体" w:hAnsi="Arial" w:cs="Arial"/>
                <w:color w:val="262626"/>
                <w:sz w:val="18"/>
                <w:szCs w:val="18"/>
              </w:rPr>
              <w:t>(5,644)</w:t>
            </w:r>
          </w:p>
        </w:tc>
        <w:tc>
          <w:tcPr>
            <w:tcW w:w="0" w:type="auto"/>
            <w:shd w:val="clear" w:color="auto" w:fill="auto"/>
            <w:tcMar>
              <w:top w:w="40" w:type="dxa"/>
              <w:left w:w="0" w:type="dxa"/>
              <w:bottom w:w="40" w:type="dxa"/>
              <w:right w:w="20" w:type="dxa"/>
            </w:tcMar>
            <w:vAlign w:val="bottom"/>
          </w:tcPr>
          <w:p w14:paraId="5A1B155C" w14:textId="77777777" w:rsidR="00960BB8" w:rsidRDefault="00960BB8">
            <w:pPr>
              <w:jc w:val="right"/>
              <w:rPr>
                <w:rFonts w:ascii="宋体"/>
              </w:rPr>
            </w:pPr>
          </w:p>
        </w:tc>
      </w:tr>
      <w:tr w:rsidR="00960BB8" w14:paraId="5A1B1571" w14:textId="77777777">
        <w:tc>
          <w:tcPr>
            <w:tcW w:w="0" w:type="auto"/>
            <w:gridSpan w:val="3"/>
            <w:shd w:val="clear" w:color="auto" w:fill="auto"/>
            <w:tcMar>
              <w:top w:w="40" w:type="dxa"/>
              <w:left w:w="20" w:type="dxa"/>
              <w:bottom w:w="40" w:type="dxa"/>
              <w:right w:w="20" w:type="dxa"/>
            </w:tcMar>
            <w:vAlign w:val="bottom"/>
          </w:tcPr>
          <w:p w14:paraId="5A1B155E" w14:textId="77777777" w:rsidR="00960BB8" w:rsidRDefault="00C06650">
            <w:pPr>
              <w:textAlignment w:val="bottom"/>
            </w:pPr>
            <w:r>
              <w:rPr>
                <w:rFonts w:ascii="Arial" w:eastAsia="宋体" w:hAnsi="Arial" w:cs="Arial"/>
                <w:b/>
                <w:bCs/>
                <w:color w:val="262626"/>
                <w:sz w:val="18"/>
                <w:szCs w:val="18"/>
              </w:rPr>
              <w:t>Balance as of December 25, 2021</w:t>
            </w:r>
          </w:p>
        </w:tc>
        <w:tc>
          <w:tcPr>
            <w:tcW w:w="0" w:type="auto"/>
            <w:gridSpan w:val="3"/>
            <w:shd w:val="clear" w:color="auto" w:fill="auto"/>
            <w:tcMar>
              <w:top w:w="0" w:type="dxa"/>
              <w:left w:w="20" w:type="dxa"/>
              <w:bottom w:w="0" w:type="dxa"/>
              <w:right w:w="20" w:type="dxa"/>
            </w:tcMar>
            <w:vAlign w:val="bottom"/>
          </w:tcPr>
          <w:p w14:paraId="5A1B155F"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560" w14:textId="77777777" w:rsidR="00960BB8" w:rsidRDefault="00C06650">
            <w:pPr>
              <w:jc w:val="right"/>
              <w:textAlignment w:val="bottom"/>
            </w:pPr>
            <w:r>
              <w:rPr>
                <w:rFonts w:ascii="Arial" w:eastAsia="宋体" w:hAnsi="Arial" w:cs="Arial"/>
                <w:b/>
                <w:bCs/>
                <w:color w:val="262626"/>
                <w:sz w:val="18"/>
                <w:szCs w:val="18"/>
              </w:rPr>
              <w:t>4,070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56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62"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563" w14:textId="77777777" w:rsidR="00960BB8" w:rsidRDefault="00C06650">
            <w:pPr>
              <w:jc w:val="right"/>
              <w:textAlignment w:val="bottom"/>
            </w:pPr>
            <w:r>
              <w:rPr>
                <w:rFonts w:ascii="Arial" w:eastAsia="宋体" w:hAnsi="Arial" w:cs="Arial"/>
                <w:b/>
                <w:bCs/>
                <w:color w:val="262626"/>
                <w:sz w:val="18"/>
                <w:szCs w:val="18"/>
              </w:rPr>
              <w:t>28,006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56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65"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566" w14:textId="77777777" w:rsidR="00960BB8" w:rsidRDefault="00C06650">
            <w:pPr>
              <w:jc w:val="right"/>
              <w:textAlignment w:val="bottom"/>
            </w:pPr>
            <w:r>
              <w:rPr>
                <w:rFonts w:ascii="Arial" w:eastAsia="宋体" w:hAnsi="Arial" w:cs="Arial"/>
                <w:b/>
                <w:bCs/>
                <w:color w:val="262626"/>
                <w:sz w:val="18"/>
                <w:szCs w:val="18"/>
              </w:rPr>
              <w:t>(880)</w:t>
            </w:r>
          </w:p>
        </w:tc>
        <w:tc>
          <w:tcPr>
            <w:tcW w:w="0" w:type="auto"/>
            <w:tcBorders>
              <w:top w:val="single" w:sz="4" w:space="0" w:color="262626"/>
            </w:tcBorders>
            <w:shd w:val="clear" w:color="auto" w:fill="auto"/>
            <w:tcMar>
              <w:top w:w="40" w:type="dxa"/>
              <w:left w:w="0" w:type="dxa"/>
              <w:bottom w:w="40" w:type="dxa"/>
              <w:right w:w="20" w:type="dxa"/>
            </w:tcMar>
            <w:vAlign w:val="bottom"/>
          </w:tcPr>
          <w:p w14:paraId="5A1B156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68"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569" w14:textId="77777777" w:rsidR="00960BB8" w:rsidRDefault="00C06650">
            <w:pPr>
              <w:jc w:val="right"/>
              <w:textAlignment w:val="bottom"/>
            </w:pPr>
            <w:r>
              <w:rPr>
                <w:rFonts w:ascii="Arial" w:eastAsia="宋体" w:hAnsi="Arial" w:cs="Arial"/>
                <w:b/>
                <w:bCs/>
                <w:color w:val="262626"/>
                <w:sz w:val="18"/>
                <w:szCs w:val="18"/>
              </w:rPr>
              <w:t>68,265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56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6B"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56C" w14:textId="77777777" w:rsidR="00960BB8" w:rsidRDefault="00C06650">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56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6E"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56F" w14:textId="77777777" w:rsidR="00960BB8" w:rsidRDefault="00C06650">
            <w:pPr>
              <w:jc w:val="right"/>
              <w:textAlignment w:val="bottom"/>
            </w:pPr>
            <w:r>
              <w:rPr>
                <w:rFonts w:ascii="Arial" w:eastAsia="宋体" w:hAnsi="Arial" w:cs="Arial"/>
                <w:b/>
                <w:bCs/>
                <w:color w:val="262626"/>
                <w:sz w:val="18"/>
                <w:szCs w:val="18"/>
              </w:rPr>
              <w:t>95,391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570" w14:textId="77777777" w:rsidR="00960BB8" w:rsidRDefault="00960BB8">
            <w:pPr>
              <w:jc w:val="right"/>
              <w:rPr>
                <w:rFonts w:ascii="宋体"/>
              </w:rPr>
            </w:pPr>
          </w:p>
        </w:tc>
      </w:tr>
      <w:tr w:rsidR="00960BB8" w14:paraId="5A1B157F" w14:textId="77777777">
        <w:tc>
          <w:tcPr>
            <w:tcW w:w="0" w:type="auto"/>
            <w:gridSpan w:val="3"/>
            <w:shd w:val="clear" w:color="auto" w:fill="auto"/>
            <w:tcMar>
              <w:top w:w="40" w:type="dxa"/>
              <w:left w:w="20" w:type="dxa"/>
              <w:bottom w:w="40" w:type="dxa"/>
              <w:right w:w="20" w:type="dxa"/>
            </w:tcMar>
            <w:vAlign w:val="bottom"/>
          </w:tcPr>
          <w:p w14:paraId="5A1B1572" w14:textId="77777777" w:rsidR="00960BB8" w:rsidRDefault="00C06650">
            <w:pPr>
              <w:textAlignment w:val="bottom"/>
            </w:pPr>
            <w:r>
              <w:rPr>
                <w:rFonts w:ascii="Arial" w:eastAsia="宋体" w:hAnsi="Arial" w:cs="Arial"/>
                <w:color w:val="262626"/>
                <w:sz w:val="18"/>
                <w:szCs w:val="18"/>
              </w:rPr>
              <w:t>Components of comprehensive income, net of tax:</w:t>
            </w:r>
          </w:p>
        </w:tc>
        <w:tc>
          <w:tcPr>
            <w:tcW w:w="0" w:type="auto"/>
            <w:gridSpan w:val="3"/>
            <w:shd w:val="clear" w:color="auto" w:fill="auto"/>
            <w:tcMar>
              <w:top w:w="0" w:type="dxa"/>
              <w:left w:w="20" w:type="dxa"/>
              <w:bottom w:w="0" w:type="dxa"/>
              <w:right w:w="20" w:type="dxa"/>
            </w:tcMar>
            <w:vAlign w:val="bottom"/>
          </w:tcPr>
          <w:p w14:paraId="5A1B157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7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7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7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7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7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7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7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7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7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7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7E" w14:textId="77777777" w:rsidR="00960BB8" w:rsidRDefault="00960BB8">
            <w:pPr>
              <w:rPr>
                <w:rFonts w:ascii="宋体"/>
              </w:rPr>
            </w:pPr>
          </w:p>
        </w:tc>
      </w:tr>
      <w:tr w:rsidR="00960BB8" w14:paraId="5A1B1591" w14:textId="77777777">
        <w:tc>
          <w:tcPr>
            <w:tcW w:w="0" w:type="auto"/>
            <w:gridSpan w:val="3"/>
            <w:shd w:val="clear" w:color="auto" w:fill="auto"/>
            <w:tcMar>
              <w:top w:w="40" w:type="dxa"/>
              <w:left w:w="215" w:type="dxa"/>
              <w:bottom w:w="40" w:type="dxa"/>
              <w:right w:w="20" w:type="dxa"/>
            </w:tcMar>
            <w:vAlign w:val="bottom"/>
          </w:tcPr>
          <w:p w14:paraId="5A1B1580" w14:textId="77777777" w:rsidR="00960BB8" w:rsidRDefault="00C06650">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5A1B158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82"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58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8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85"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58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87"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58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89" w14:textId="77777777" w:rsidR="00960BB8" w:rsidRDefault="00C06650">
            <w:pPr>
              <w:jc w:val="right"/>
              <w:textAlignment w:val="bottom"/>
            </w:pPr>
            <w:r>
              <w:rPr>
                <w:rFonts w:ascii="Arial" w:eastAsia="宋体" w:hAnsi="Arial" w:cs="Arial"/>
                <w:color w:val="0068B5"/>
                <w:sz w:val="18"/>
                <w:szCs w:val="18"/>
              </w:rPr>
              <w:t>8,014 </w:t>
            </w:r>
          </w:p>
        </w:tc>
        <w:tc>
          <w:tcPr>
            <w:tcW w:w="0" w:type="auto"/>
            <w:shd w:val="clear" w:color="auto" w:fill="auto"/>
            <w:tcMar>
              <w:top w:w="40" w:type="dxa"/>
              <w:left w:w="0" w:type="dxa"/>
              <w:bottom w:w="40" w:type="dxa"/>
              <w:right w:w="20" w:type="dxa"/>
            </w:tcMar>
            <w:vAlign w:val="bottom"/>
          </w:tcPr>
          <w:p w14:paraId="5A1B158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8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8C" w14:textId="77777777" w:rsidR="00960BB8" w:rsidRDefault="00C06650">
            <w:pPr>
              <w:jc w:val="right"/>
              <w:textAlignment w:val="bottom"/>
            </w:pPr>
            <w:r>
              <w:rPr>
                <w:rFonts w:ascii="Arial" w:eastAsia="宋体" w:hAnsi="Arial" w:cs="Arial"/>
                <w:color w:val="0068B5"/>
                <w:sz w:val="18"/>
                <w:szCs w:val="18"/>
              </w:rPr>
              <w:t>3 </w:t>
            </w:r>
          </w:p>
        </w:tc>
        <w:tc>
          <w:tcPr>
            <w:tcW w:w="0" w:type="auto"/>
            <w:shd w:val="clear" w:color="auto" w:fill="auto"/>
            <w:tcMar>
              <w:top w:w="40" w:type="dxa"/>
              <w:left w:w="0" w:type="dxa"/>
              <w:bottom w:w="40" w:type="dxa"/>
              <w:right w:w="20" w:type="dxa"/>
            </w:tcMar>
            <w:vAlign w:val="bottom"/>
          </w:tcPr>
          <w:p w14:paraId="5A1B158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8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8F" w14:textId="77777777" w:rsidR="00960BB8" w:rsidRDefault="00C06650">
            <w:pPr>
              <w:jc w:val="right"/>
              <w:textAlignment w:val="bottom"/>
            </w:pPr>
            <w:r>
              <w:rPr>
                <w:rFonts w:ascii="Arial" w:eastAsia="宋体" w:hAnsi="Arial" w:cs="Arial"/>
                <w:color w:val="0068B5"/>
                <w:sz w:val="18"/>
                <w:szCs w:val="18"/>
              </w:rPr>
              <w:t>8,017 </w:t>
            </w:r>
          </w:p>
        </w:tc>
        <w:tc>
          <w:tcPr>
            <w:tcW w:w="0" w:type="auto"/>
            <w:shd w:val="clear" w:color="auto" w:fill="auto"/>
            <w:tcMar>
              <w:top w:w="40" w:type="dxa"/>
              <w:left w:w="0" w:type="dxa"/>
              <w:bottom w:w="40" w:type="dxa"/>
              <w:right w:w="20" w:type="dxa"/>
            </w:tcMar>
            <w:vAlign w:val="bottom"/>
          </w:tcPr>
          <w:p w14:paraId="5A1B1590" w14:textId="77777777" w:rsidR="00960BB8" w:rsidRDefault="00960BB8">
            <w:pPr>
              <w:jc w:val="right"/>
              <w:rPr>
                <w:rFonts w:ascii="宋体"/>
              </w:rPr>
            </w:pPr>
          </w:p>
        </w:tc>
      </w:tr>
      <w:tr w:rsidR="00960BB8" w14:paraId="5A1B15A3" w14:textId="77777777">
        <w:tc>
          <w:tcPr>
            <w:tcW w:w="0" w:type="auto"/>
            <w:gridSpan w:val="3"/>
            <w:shd w:val="clear" w:color="auto" w:fill="auto"/>
            <w:tcMar>
              <w:top w:w="40" w:type="dxa"/>
              <w:left w:w="215" w:type="dxa"/>
              <w:bottom w:w="40" w:type="dxa"/>
              <w:right w:w="20" w:type="dxa"/>
            </w:tcMar>
            <w:vAlign w:val="bottom"/>
          </w:tcPr>
          <w:p w14:paraId="5A1B1592" w14:textId="77777777" w:rsidR="00960BB8" w:rsidRDefault="00C06650">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5A1B159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94"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59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9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97"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59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99" w14:textId="77777777" w:rsidR="00960BB8" w:rsidRDefault="00C06650">
            <w:pPr>
              <w:jc w:val="right"/>
              <w:textAlignment w:val="bottom"/>
            </w:pPr>
            <w:r>
              <w:rPr>
                <w:rFonts w:ascii="Arial" w:eastAsia="宋体" w:hAnsi="Arial" w:cs="Arial"/>
                <w:color w:val="0068B5"/>
                <w:sz w:val="18"/>
                <w:szCs w:val="18"/>
              </w:rPr>
              <w:t>318 </w:t>
            </w:r>
          </w:p>
        </w:tc>
        <w:tc>
          <w:tcPr>
            <w:tcW w:w="0" w:type="auto"/>
            <w:shd w:val="clear" w:color="auto" w:fill="auto"/>
            <w:tcMar>
              <w:top w:w="40" w:type="dxa"/>
              <w:left w:w="0" w:type="dxa"/>
              <w:bottom w:w="40" w:type="dxa"/>
              <w:right w:w="20" w:type="dxa"/>
            </w:tcMar>
            <w:vAlign w:val="bottom"/>
          </w:tcPr>
          <w:p w14:paraId="5A1B159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9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9C"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59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9E"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59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A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A1" w14:textId="77777777" w:rsidR="00960BB8" w:rsidRDefault="00C06650">
            <w:pPr>
              <w:jc w:val="right"/>
              <w:textAlignment w:val="bottom"/>
            </w:pPr>
            <w:r>
              <w:rPr>
                <w:rFonts w:ascii="Arial" w:eastAsia="宋体" w:hAnsi="Arial" w:cs="Arial"/>
                <w:color w:val="0068B5"/>
                <w:sz w:val="18"/>
                <w:szCs w:val="18"/>
              </w:rPr>
              <w:t>318 </w:t>
            </w:r>
          </w:p>
        </w:tc>
        <w:tc>
          <w:tcPr>
            <w:tcW w:w="0" w:type="auto"/>
            <w:shd w:val="clear" w:color="auto" w:fill="auto"/>
            <w:tcMar>
              <w:top w:w="40" w:type="dxa"/>
              <w:left w:w="0" w:type="dxa"/>
              <w:bottom w:w="40" w:type="dxa"/>
              <w:right w:w="20" w:type="dxa"/>
            </w:tcMar>
            <w:vAlign w:val="bottom"/>
          </w:tcPr>
          <w:p w14:paraId="5A1B15A2" w14:textId="77777777" w:rsidR="00960BB8" w:rsidRDefault="00960BB8">
            <w:pPr>
              <w:jc w:val="right"/>
              <w:rPr>
                <w:rFonts w:ascii="宋体"/>
              </w:rPr>
            </w:pPr>
          </w:p>
        </w:tc>
      </w:tr>
      <w:tr w:rsidR="00960BB8" w14:paraId="5A1B15B2" w14:textId="77777777">
        <w:tc>
          <w:tcPr>
            <w:tcW w:w="0" w:type="auto"/>
            <w:gridSpan w:val="3"/>
            <w:shd w:val="clear" w:color="auto" w:fill="auto"/>
            <w:tcMar>
              <w:top w:w="40" w:type="dxa"/>
              <w:left w:w="440" w:type="dxa"/>
              <w:bottom w:w="40" w:type="dxa"/>
              <w:right w:w="20" w:type="dxa"/>
            </w:tcMar>
            <w:vAlign w:val="bottom"/>
          </w:tcPr>
          <w:p w14:paraId="5A1B15A4" w14:textId="77777777" w:rsidR="00960BB8" w:rsidRDefault="00C06650">
            <w:pPr>
              <w:textAlignment w:val="bottom"/>
            </w:pPr>
            <w:r>
              <w:rPr>
                <w:rFonts w:ascii="Arial" w:eastAsia="宋体" w:hAnsi="Arial" w:cs="Arial"/>
                <w:color w:val="262626"/>
                <w:sz w:val="18"/>
                <w:szCs w:val="18"/>
              </w:rPr>
              <w:t>Total comprehensive income</w:t>
            </w:r>
          </w:p>
        </w:tc>
        <w:tc>
          <w:tcPr>
            <w:tcW w:w="0" w:type="auto"/>
            <w:gridSpan w:val="3"/>
            <w:shd w:val="clear" w:color="auto" w:fill="auto"/>
            <w:tcMar>
              <w:top w:w="0" w:type="dxa"/>
              <w:left w:w="20" w:type="dxa"/>
              <w:bottom w:w="0" w:type="dxa"/>
              <w:right w:w="20" w:type="dxa"/>
            </w:tcMar>
            <w:vAlign w:val="bottom"/>
          </w:tcPr>
          <w:p w14:paraId="5A1B15A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A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A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A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A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A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A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A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A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A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5AF"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5B0" w14:textId="77777777" w:rsidR="00960BB8" w:rsidRDefault="00C06650">
            <w:pPr>
              <w:jc w:val="right"/>
              <w:textAlignment w:val="bottom"/>
            </w:pPr>
            <w:r>
              <w:rPr>
                <w:rFonts w:ascii="Arial" w:eastAsia="宋体" w:hAnsi="Arial" w:cs="Arial"/>
                <w:color w:val="0068B5"/>
                <w:sz w:val="18"/>
                <w:szCs w:val="18"/>
              </w:rPr>
              <w:t>8,335 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5B1" w14:textId="77777777" w:rsidR="00960BB8" w:rsidRDefault="00960BB8">
            <w:pPr>
              <w:jc w:val="right"/>
              <w:rPr>
                <w:rFonts w:ascii="宋体"/>
              </w:rPr>
            </w:pPr>
          </w:p>
        </w:tc>
      </w:tr>
      <w:tr w:rsidR="00960BB8" w14:paraId="5A1B15C5" w14:textId="77777777">
        <w:tc>
          <w:tcPr>
            <w:tcW w:w="0" w:type="auto"/>
            <w:gridSpan w:val="3"/>
            <w:shd w:val="clear" w:color="auto" w:fill="auto"/>
            <w:tcMar>
              <w:top w:w="40" w:type="dxa"/>
              <w:left w:w="20" w:type="dxa"/>
              <w:bottom w:w="40" w:type="dxa"/>
              <w:right w:w="20" w:type="dxa"/>
            </w:tcMar>
            <w:vAlign w:val="bottom"/>
          </w:tcPr>
          <w:p w14:paraId="5A1B15B3" w14:textId="77777777" w:rsidR="00960BB8" w:rsidRDefault="00C06650">
            <w:pPr>
              <w:textAlignment w:val="bottom"/>
            </w:pPr>
            <w:r>
              <w:rPr>
                <w:rFonts w:ascii="Arial" w:eastAsia="宋体" w:hAnsi="Arial" w:cs="Arial"/>
                <w:color w:val="262626"/>
                <w:sz w:val="18"/>
                <w:szCs w:val="18"/>
              </w:rPr>
              <w:t>Net proceeds received from IPO and partner contributions</w:t>
            </w:r>
          </w:p>
        </w:tc>
        <w:tc>
          <w:tcPr>
            <w:tcW w:w="0" w:type="auto"/>
            <w:gridSpan w:val="3"/>
            <w:shd w:val="clear" w:color="auto" w:fill="auto"/>
            <w:tcMar>
              <w:top w:w="0" w:type="dxa"/>
              <w:left w:w="20" w:type="dxa"/>
              <w:bottom w:w="0" w:type="dxa"/>
              <w:right w:w="20" w:type="dxa"/>
            </w:tcMar>
            <w:vAlign w:val="bottom"/>
          </w:tcPr>
          <w:p w14:paraId="5A1B15B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B5"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5B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B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B8" w14:textId="77777777" w:rsidR="00960BB8" w:rsidRDefault="00C06650">
            <w:pPr>
              <w:jc w:val="right"/>
              <w:textAlignment w:val="bottom"/>
            </w:pPr>
            <w:r>
              <w:rPr>
                <w:rFonts w:ascii="Arial" w:eastAsia="宋体" w:hAnsi="Arial" w:cs="Arial"/>
                <w:color w:val="0068B5"/>
                <w:sz w:val="18"/>
                <w:szCs w:val="18"/>
              </w:rPr>
              <w:t>75 </w:t>
            </w:r>
          </w:p>
        </w:tc>
        <w:tc>
          <w:tcPr>
            <w:tcW w:w="0" w:type="auto"/>
            <w:shd w:val="clear" w:color="auto" w:fill="auto"/>
            <w:tcMar>
              <w:top w:w="40" w:type="dxa"/>
              <w:left w:w="0" w:type="dxa"/>
              <w:bottom w:w="40" w:type="dxa"/>
              <w:right w:w="20" w:type="dxa"/>
            </w:tcMar>
            <w:vAlign w:val="bottom"/>
          </w:tcPr>
          <w:p w14:paraId="5A1B15B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B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BB"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5B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BD"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5B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B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C0" w14:textId="77777777" w:rsidR="00960BB8" w:rsidRDefault="00C06650">
            <w:pPr>
              <w:jc w:val="right"/>
              <w:textAlignment w:val="bottom"/>
            </w:pPr>
            <w:r>
              <w:rPr>
                <w:rFonts w:ascii="Arial" w:eastAsia="宋体" w:hAnsi="Arial" w:cs="Arial"/>
                <w:color w:val="0068B5"/>
                <w:sz w:val="18"/>
                <w:szCs w:val="18"/>
              </w:rPr>
              <w:t>1,831 </w:t>
            </w:r>
          </w:p>
        </w:tc>
        <w:tc>
          <w:tcPr>
            <w:tcW w:w="0" w:type="auto"/>
            <w:shd w:val="clear" w:color="auto" w:fill="auto"/>
            <w:tcMar>
              <w:top w:w="40" w:type="dxa"/>
              <w:left w:w="0" w:type="dxa"/>
              <w:bottom w:w="40" w:type="dxa"/>
              <w:right w:w="20" w:type="dxa"/>
            </w:tcMar>
            <w:vAlign w:val="bottom"/>
          </w:tcPr>
          <w:p w14:paraId="5A1B15C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C2"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5C3" w14:textId="77777777" w:rsidR="00960BB8" w:rsidRDefault="00C06650">
            <w:pPr>
              <w:jc w:val="right"/>
              <w:textAlignment w:val="bottom"/>
            </w:pPr>
            <w:r>
              <w:rPr>
                <w:rFonts w:ascii="Arial" w:eastAsia="宋体" w:hAnsi="Arial" w:cs="Arial"/>
                <w:color w:val="0068B5"/>
                <w:sz w:val="18"/>
                <w:szCs w:val="18"/>
              </w:rPr>
              <w:t>1,906 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5C4" w14:textId="77777777" w:rsidR="00960BB8" w:rsidRDefault="00960BB8">
            <w:pPr>
              <w:jc w:val="right"/>
              <w:rPr>
                <w:rFonts w:ascii="宋体"/>
              </w:rPr>
            </w:pPr>
          </w:p>
        </w:tc>
      </w:tr>
      <w:tr w:rsidR="00960BB8" w14:paraId="5A1B15D8" w14:textId="77777777">
        <w:tc>
          <w:tcPr>
            <w:tcW w:w="0" w:type="auto"/>
            <w:gridSpan w:val="3"/>
            <w:shd w:val="clear" w:color="auto" w:fill="auto"/>
            <w:tcMar>
              <w:top w:w="40" w:type="dxa"/>
              <w:left w:w="20" w:type="dxa"/>
              <w:bottom w:w="40" w:type="dxa"/>
              <w:right w:w="20" w:type="dxa"/>
            </w:tcMar>
            <w:vAlign w:val="bottom"/>
          </w:tcPr>
          <w:p w14:paraId="5A1B15C6" w14:textId="77777777" w:rsidR="00960BB8" w:rsidRDefault="00C06650">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5A1B15C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C8" w14:textId="77777777" w:rsidR="00960BB8" w:rsidRDefault="00C06650">
            <w:pPr>
              <w:jc w:val="right"/>
              <w:textAlignment w:val="bottom"/>
            </w:pPr>
            <w:r>
              <w:rPr>
                <w:rFonts w:ascii="Arial" w:eastAsia="宋体" w:hAnsi="Arial" w:cs="Arial"/>
                <w:color w:val="0068B5"/>
                <w:sz w:val="18"/>
                <w:szCs w:val="18"/>
              </w:rPr>
              <w:t>79 </w:t>
            </w:r>
          </w:p>
        </w:tc>
        <w:tc>
          <w:tcPr>
            <w:tcW w:w="0" w:type="auto"/>
            <w:shd w:val="clear" w:color="auto" w:fill="auto"/>
            <w:tcMar>
              <w:top w:w="40" w:type="dxa"/>
              <w:left w:w="0" w:type="dxa"/>
              <w:bottom w:w="40" w:type="dxa"/>
              <w:right w:w="20" w:type="dxa"/>
            </w:tcMar>
            <w:vAlign w:val="bottom"/>
          </w:tcPr>
          <w:p w14:paraId="5A1B15C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C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CB" w14:textId="77777777" w:rsidR="00960BB8" w:rsidRDefault="00C06650">
            <w:pPr>
              <w:jc w:val="right"/>
              <w:textAlignment w:val="bottom"/>
            </w:pPr>
            <w:r>
              <w:rPr>
                <w:rFonts w:ascii="Arial" w:eastAsia="宋体" w:hAnsi="Arial" w:cs="Arial"/>
                <w:color w:val="0068B5"/>
                <w:sz w:val="18"/>
                <w:szCs w:val="18"/>
              </w:rPr>
              <w:t>1,009 </w:t>
            </w:r>
          </w:p>
        </w:tc>
        <w:tc>
          <w:tcPr>
            <w:tcW w:w="0" w:type="auto"/>
            <w:shd w:val="clear" w:color="auto" w:fill="auto"/>
            <w:tcMar>
              <w:top w:w="40" w:type="dxa"/>
              <w:left w:w="0" w:type="dxa"/>
              <w:bottom w:w="40" w:type="dxa"/>
              <w:right w:w="20" w:type="dxa"/>
            </w:tcMar>
            <w:vAlign w:val="bottom"/>
          </w:tcPr>
          <w:p w14:paraId="5A1B15C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C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CE"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5C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D0"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5D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D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D3"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5D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D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D6" w14:textId="77777777" w:rsidR="00960BB8" w:rsidRDefault="00C06650">
            <w:pPr>
              <w:jc w:val="right"/>
              <w:textAlignment w:val="bottom"/>
            </w:pPr>
            <w:r>
              <w:rPr>
                <w:rFonts w:ascii="Arial" w:eastAsia="宋体" w:hAnsi="Arial" w:cs="Arial"/>
                <w:color w:val="0068B5"/>
                <w:sz w:val="18"/>
                <w:szCs w:val="18"/>
              </w:rPr>
              <w:t>1,009 </w:t>
            </w:r>
          </w:p>
        </w:tc>
        <w:tc>
          <w:tcPr>
            <w:tcW w:w="0" w:type="auto"/>
            <w:shd w:val="clear" w:color="auto" w:fill="auto"/>
            <w:tcMar>
              <w:top w:w="40" w:type="dxa"/>
              <w:left w:w="0" w:type="dxa"/>
              <w:bottom w:w="40" w:type="dxa"/>
              <w:right w:w="20" w:type="dxa"/>
            </w:tcMar>
            <w:vAlign w:val="bottom"/>
          </w:tcPr>
          <w:p w14:paraId="5A1B15D7" w14:textId="77777777" w:rsidR="00960BB8" w:rsidRDefault="00960BB8">
            <w:pPr>
              <w:jc w:val="right"/>
              <w:rPr>
                <w:rFonts w:ascii="宋体"/>
              </w:rPr>
            </w:pPr>
          </w:p>
        </w:tc>
      </w:tr>
      <w:tr w:rsidR="00960BB8" w14:paraId="5A1B15EB" w14:textId="77777777">
        <w:tc>
          <w:tcPr>
            <w:tcW w:w="0" w:type="auto"/>
            <w:gridSpan w:val="3"/>
            <w:shd w:val="clear" w:color="auto" w:fill="auto"/>
            <w:tcMar>
              <w:top w:w="40" w:type="dxa"/>
              <w:left w:w="20" w:type="dxa"/>
              <w:bottom w:w="40" w:type="dxa"/>
              <w:right w:w="20" w:type="dxa"/>
            </w:tcMar>
            <w:vAlign w:val="bottom"/>
          </w:tcPr>
          <w:p w14:paraId="5A1B15D9" w14:textId="77777777" w:rsidR="00960BB8" w:rsidRDefault="00C06650">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5A1B15D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DB"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5D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D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DE" w14:textId="77777777" w:rsidR="00960BB8" w:rsidRDefault="00C06650">
            <w:pPr>
              <w:jc w:val="right"/>
              <w:textAlignment w:val="bottom"/>
            </w:pPr>
            <w:r>
              <w:rPr>
                <w:rFonts w:ascii="Arial" w:eastAsia="宋体" w:hAnsi="Arial" w:cs="Arial"/>
                <w:color w:val="0068B5"/>
                <w:sz w:val="18"/>
                <w:szCs w:val="18"/>
              </w:rPr>
              <w:t>3,099 </w:t>
            </w:r>
          </w:p>
        </w:tc>
        <w:tc>
          <w:tcPr>
            <w:tcW w:w="0" w:type="auto"/>
            <w:shd w:val="clear" w:color="auto" w:fill="auto"/>
            <w:tcMar>
              <w:top w:w="40" w:type="dxa"/>
              <w:left w:w="0" w:type="dxa"/>
              <w:bottom w:w="40" w:type="dxa"/>
              <w:right w:w="20" w:type="dxa"/>
            </w:tcMar>
            <w:vAlign w:val="bottom"/>
          </w:tcPr>
          <w:p w14:paraId="5A1B15D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E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5E1"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5E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E3"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5E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E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E6" w14:textId="77777777" w:rsidR="00960BB8" w:rsidRDefault="00C06650">
            <w:pPr>
              <w:jc w:val="right"/>
              <w:textAlignment w:val="bottom"/>
            </w:pPr>
            <w:r>
              <w:rPr>
                <w:rFonts w:ascii="Arial" w:eastAsia="宋体" w:hAnsi="Arial" w:cs="Arial"/>
                <w:color w:val="0068B5"/>
                <w:sz w:val="18"/>
                <w:szCs w:val="18"/>
              </w:rPr>
              <w:t>29 </w:t>
            </w:r>
          </w:p>
        </w:tc>
        <w:tc>
          <w:tcPr>
            <w:tcW w:w="0" w:type="auto"/>
            <w:shd w:val="clear" w:color="auto" w:fill="auto"/>
            <w:tcMar>
              <w:top w:w="40" w:type="dxa"/>
              <w:left w:w="0" w:type="dxa"/>
              <w:bottom w:w="40" w:type="dxa"/>
              <w:right w:w="20" w:type="dxa"/>
            </w:tcMar>
            <w:vAlign w:val="bottom"/>
          </w:tcPr>
          <w:p w14:paraId="5A1B15E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E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E9" w14:textId="77777777" w:rsidR="00960BB8" w:rsidRDefault="00C06650">
            <w:pPr>
              <w:jc w:val="right"/>
              <w:textAlignment w:val="bottom"/>
            </w:pPr>
            <w:r>
              <w:rPr>
                <w:rFonts w:ascii="Arial" w:eastAsia="宋体" w:hAnsi="Arial" w:cs="Arial"/>
                <w:color w:val="0068B5"/>
                <w:sz w:val="18"/>
                <w:szCs w:val="18"/>
              </w:rPr>
              <w:t>3,128 </w:t>
            </w:r>
          </w:p>
        </w:tc>
        <w:tc>
          <w:tcPr>
            <w:tcW w:w="0" w:type="auto"/>
            <w:shd w:val="clear" w:color="auto" w:fill="auto"/>
            <w:tcMar>
              <w:top w:w="40" w:type="dxa"/>
              <w:left w:w="0" w:type="dxa"/>
              <w:bottom w:w="40" w:type="dxa"/>
              <w:right w:w="20" w:type="dxa"/>
            </w:tcMar>
            <w:vAlign w:val="bottom"/>
          </w:tcPr>
          <w:p w14:paraId="5A1B15EA" w14:textId="77777777" w:rsidR="00960BB8" w:rsidRDefault="00960BB8">
            <w:pPr>
              <w:jc w:val="right"/>
              <w:rPr>
                <w:rFonts w:ascii="宋体"/>
              </w:rPr>
            </w:pPr>
          </w:p>
        </w:tc>
      </w:tr>
      <w:tr w:rsidR="00960BB8" w14:paraId="5A1B15F9" w14:textId="77777777">
        <w:trPr>
          <w:hidden/>
        </w:trPr>
        <w:tc>
          <w:tcPr>
            <w:tcW w:w="0" w:type="auto"/>
            <w:gridSpan w:val="3"/>
            <w:shd w:val="clear" w:color="auto" w:fill="auto"/>
            <w:vAlign w:val="bottom"/>
          </w:tcPr>
          <w:p w14:paraId="5A1B15EC" w14:textId="77777777" w:rsidR="00960BB8" w:rsidRDefault="00960BB8">
            <w:pPr>
              <w:rPr>
                <w:rFonts w:ascii="宋体"/>
                <w:vanish/>
              </w:rPr>
            </w:pPr>
          </w:p>
        </w:tc>
        <w:tc>
          <w:tcPr>
            <w:tcW w:w="0" w:type="auto"/>
            <w:gridSpan w:val="3"/>
            <w:shd w:val="clear" w:color="auto" w:fill="auto"/>
            <w:vAlign w:val="bottom"/>
          </w:tcPr>
          <w:p w14:paraId="5A1B15ED" w14:textId="77777777" w:rsidR="00960BB8" w:rsidRDefault="00960BB8">
            <w:pPr>
              <w:rPr>
                <w:rFonts w:ascii="宋体"/>
                <w:vanish/>
              </w:rPr>
            </w:pPr>
          </w:p>
        </w:tc>
        <w:tc>
          <w:tcPr>
            <w:tcW w:w="0" w:type="auto"/>
            <w:gridSpan w:val="3"/>
            <w:shd w:val="clear" w:color="auto" w:fill="auto"/>
            <w:vAlign w:val="bottom"/>
          </w:tcPr>
          <w:p w14:paraId="5A1B15EE" w14:textId="77777777" w:rsidR="00960BB8" w:rsidRDefault="00960BB8">
            <w:pPr>
              <w:rPr>
                <w:rFonts w:ascii="宋体"/>
                <w:vanish/>
              </w:rPr>
            </w:pPr>
          </w:p>
        </w:tc>
        <w:tc>
          <w:tcPr>
            <w:tcW w:w="0" w:type="auto"/>
            <w:gridSpan w:val="3"/>
            <w:shd w:val="clear" w:color="auto" w:fill="auto"/>
            <w:vAlign w:val="bottom"/>
          </w:tcPr>
          <w:p w14:paraId="5A1B15EF" w14:textId="77777777" w:rsidR="00960BB8" w:rsidRDefault="00960BB8">
            <w:pPr>
              <w:rPr>
                <w:rFonts w:ascii="宋体"/>
                <w:vanish/>
              </w:rPr>
            </w:pPr>
          </w:p>
        </w:tc>
        <w:tc>
          <w:tcPr>
            <w:tcW w:w="0" w:type="auto"/>
            <w:gridSpan w:val="3"/>
            <w:shd w:val="clear" w:color="auto" w:fill="auto"/>
            <w:vAlign w:val="bottom"/>
          </w:tcPr>
          <w:p w14:paraId="5A1B15F0" w14:textId="77777777" w:rsidR="00960BB8" w:rsidRDefault="00960BB8">
            <w:pPr>
              <w:rPr>
                <w:rFonts w:ascii="宋体"/>
                <w:vanish/>
              </w:rPr>
            </w:pPr>
          </w:p>
        </w:tc>
        <w:tc>
          <w:tcPr>
            <w:tcW w:w="0" w:type="auto"/>
            <w:gridSpan w:val="3"/>
            <w:shd w:val="clear" w:color="auto" w:fill="auto"/>
            <w:vAlign w:val="bottom"/>
          </w:tcPr>
          <w:p w14:paraId="5A1B15F1" w14:textId="77777777" w:rsidR="00960BB8" w:rsidRDefault="00960BB8">
            <w:pPr>
              <w:rPr>
                <w:rFonts w:ascii="宋体"/>
                <w:vanish/>
              </w:rPr>
            </w:pPr>
          </w:p>
        </w:tc>
        <w:tc>
          <w:tcPr>
            <w:tcW w:w="0" w:type="auto"/>
            <w:gridSpan w:val="3"/>
            <w:shd w:val="clear" w:color="auto" w:fill="auto"/>
            <w:vAlign w:val="bottom"/>
          </w:tcPr>
          <w:p w14:paraId="5A1B15F2" w14:textId="77777777" w:rsidR="00960BB8" w:rsidRDefault="00960BB8">
            <w:pPr>
              <w:rPr>
                <w:rFonts w:ascii="宋体"/>
                <w:vanish/>
              </w:rPr>
            </w:pPr>
          </w:p>
        </w:tc>
        <w:tc>
          <w:tcPr>
            <w:tcW w:w="0" w:type="auto"/>
            <w:gridSpan w:val="3"/>
            <w:shd w:val="clear" w:color="auto" w:fill="auto"/>
            <w:vAlign w:val="bottom"/>
          </w:tcPr>
          <w:p w14:paraId="5A1B15F3" w14:textId="77777777" w:rsidR="00960BB8" w:rsidRDefault="00960BB8">
            <w:pPr>
              <w:rPr>
                <w:rFonts w:ascii="宋体"/>
                <w:vanish/>
              </w:rPr>
            </w:pPr>
          </w:p>
        </w:tc>
        <w:tc>
          <w:tcPr>
            <w:tcW w:w="0" w:type="auto"/>
            <w:gridSpan w:val="3"/>
            <w:shd w:val="clear" w:color="auto" w:fill="auto"/>
            <w:vAlign w:val="bottom"/>
          </w:tcPr>
          <w:p w14:paraId="5A1B15F4" w14:textId="77777777" w:rsidR="00960BB8" w:rsidRDefault="00960BB8">
            <w:pPr>
              <w:rPr>
                <w:rFonts w:ascii="宋体"/>
                <w:vanish/>
              </w:rPr>
            </w:pPr>
          </w:p>
        </w:tc>
        <w:tc>
          <w:tcPr>
            <w:tcW w:w="0" w:type="auto"/>
            <w:gridSpan w:val="3"/>
            <w:shd w:val="clear" w:color="auto" w:fill="auto"/>
            <w:vAlign w:val="bottom"/>
          </w:tcPr>
          <w:p w14:paraId="5A1B15F5" w14:textId="77777777" w:rsidR="00960BB8" w:rsidRDefault="00960BB8">
            <w:pPr>
              <w:rPr>
                <w:rFonts w:ascii="宋体"/>
                <w:vanish/>
              </w:rPr>
            </w:pPr>
          </w:p>
        </w:tc>
        <w:tc>
          <w:tcPr>
            <w:tcW w:w="0" w:type="auto"/>
            <w:gridSpan w:val="3"/>
            <w:shd w:val="clear" w:color="auto" w:fill="auto"/>
            <w:vAlign w:val="bottom"/>
          </w:tcPr>
          <w:p w14:paraId="5A1B15F6" w14:textId="77777777" w:rsidR="00960BB8" w:rsidRDefault="00960BB8">
            <w:pPr>
              <w:rPr>
                <w:rFonts w:ascii="宋体"/>
                <w:vanish/>
              </w:rPr>
            </w:pPr>
          </w:p>
        </w:tc>
        <w:tc>
          <w:tcPr>
            <w:tcW w:w="0" w:type="auto"/>
            <w:gridSpan w:val="3"/>
            <w:shd w:val="clear" w:color="auto" w:fill="auto"/>
            <w:vAlign w:val="bottom"/>
          </w:tcPr>
          <w:p w14:paraId="5A1B15F7" w14:textId="77777777" w:rsidR="00960BB8" w:rsidRDefault="00960BB8">
            <w:pPr>
              <w:rPr>
                <w:rFonts w:ascii="宋体"/>
                <w:vanish/>
              </w:rPr>
            </w:pPr>
          </w:p>
        </w:tc>
        <w:tc>
          <w:tcPr>
            <w:tcW w:w="0" w:type="auto"/>
            <w:gridSpan w:val="3"/>
            <w:shd w:val="clear" w:color="auto" w:fill="auto"/>
            <w:vAlign w:val="bottom"/>
          </w:tcPr>
          <w:p w14:paraId="5A1B15F8" w14:textId="77777777" w:rsidR="00960BB8" w:rsidRDefault="00960BB8">
            <w:pPr>
              <w:rPr>
                <w:rFonts w:ascii="宋体"/>
                <w:vanish/>
              </w:rPr>
            </w:pPr>
          </w:p>
        </w:tc>
      </w:tr>
      <w:tr w:rsidR="00960BB8" w14:paraId="5A1B160C" w14:textId="77777777">
        <w:tc>
          <w:tcPr>
            <w:tcW w:w="0" w:type="auto"/>
            <w:gridSpan w:val="3"/>
            <w:shd w:val="clear" w:color="auto" w:fill="auto"/>
            <w:tcMar>
              <w:top w:w="40" w:type="dxa"/>
              <w:left w:w="20" w:type="dxa"/>
              <w:bottom w:w="40" w:type="dxa"/>
              <w:right w:w="20" w:type="dxa"/>
            </w:tcMar>
            <w:vAlign w:val="bottom"/>
          </w:tcPr>
          <w:p w14:paraId="5A1B15FA" w14:textId="77777777" w:rsidR="00960BB8" w:rsidRDefault="00C06650">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5A1B15F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FC" w14:textId="77777777" w:rsidR="00960BB8" w:rsidRDefault="00C06650">
            <w:pPr>
              <w:jc w:val="right"/>
              <w:textAlignment w:val="bottom"/>
            </w:pPr>
            <w:r>
              <w:rPr>
                <w:rFonts w:ascii="Arial" w:eastAsia="宋体" w:hAnsi="Arial" w:cs="Arial"/>
                <w:color w:val="0068B5"/>
                <w:sz w:val="18"/>
                <w:szCs w:val="18"/>
              </w:rPr>
              <w:t>(12)</w:t>
            </w:r>
          </w:p>
        </w:tc>
        <w:tc>
          <w:tcPr>
            <w:tcW w:w="0" w:type="auto"/>
            <w:shd w:val="clear" w:color="auto" w:fill="auto"/>
            <w:tcMar>
              <w:top w:w="40" w:type="dxa"/>
              <w:left w:w="0" w:type="dxa"/>
              <w:bottom w:w="40" w:type="dxa"/>
              <w:right w:w="20" w:type="dxa"/>
            </w:tcMar>
            <w:vAlign w:val="bottom"/>
          </w:tcPr>
          <w:p w14:paraId="5A1B15F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5F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5FF" w14:textId="77777777" w:rsidR="00960BB8" w:rsidRDefault="00C06650">
            <w:pPr>
              <w:jc w:val="right"/>
              <w:textAlignment w:val="bottom"/>
            </w:pPr>
            <w:r>
              <w:rPr>
                <w:rFonts w:ascii="Arial" w:eastAsia="宋体" w:hAnsi="Arial" w:cs="Arial"/>
                <w:color w:val="0068B5"/>
                <w:sz w:val="18"/>
                <w:szCs w:val="18"/>
              </w:rPr>
              <w:t>(609)</w:t>
            </w:r>
          </w:p>
        </w:tc>
        <w:tc>
          <w:tcPr>
            <w:tcW w:w="0" w:type="auto"/>
            <w:shd w:val="clear" w:color="auto" w:fill="auto"/>
            <w:tcMar>
              <w:top w:w="40" w:type="dxa"/>
              <w:left w:w="0" w:type="dxa"/>
              <w:bottom w:w="40" w:type="dxa"/>
              <w:right w:w="20" w:type="dxa"/>
            </w:tcMar>
            <w:vAlign w:val="bottom"/>
          </w:tcPr>
          <w:p w14:paraId="5A1B160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60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602"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60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604" w14:textId="77777777" w:rsidR="00960BB8" w:rsidRDefault="00C06650">
            <w:pPr>
              <w:jc w:val="right"/>
              <w:textAlignment w:val="bottom"/>
            </w:pPr>
            <w:r>
              <w:rPr>
                <w:rFonts w:ascii="Arial" w:eastAsia="宋体" w:hAnsi="Arial" w:cs="Arial"/>
                <w:color w:val="0068B5"/>
                <w:sz w:val="18"/>
                <w:szCs w:val="18"/>
              </w:rPr>
              <w:t>123 </w:t>
            </w:r>
          </w:p>
        </w:tc>
        <w:tc>
          <w:tcPr>
            <w:tcW w:w="0" w:type="auto"/>
            <w:shd w:val="clear" w:color="auto" w:fill="auto"/>
            <w:tcMar>
              <w:top w:w="40" w:type="dxa"/>
              <w:left w:w="0" w:type="dxa"/>
              <w:bottom w:w="40" w:type="dxa"/>
              <w:right w:w="20" w:type="dxa"/>
            </w:tcMar>
            <w:vAlign w:val="bottom"/>
          </w:tcPr>
          <w:p w14:paraId="5A1B160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60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607"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60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60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60A" w14:textId="77777777" w:rsidR="00960BB8" w:rsidRDefault="00C06650">
            <w:pPr>
              <w:jc w:val="right"/>
              <w:textAlignment w:val="bottom"/>
            </w:pPr>
            <w:r>
              <w:rPr>
                <w:rFonts w:ascii="Arial" w:eastAsia="宋体" w:hAnsi="Arial" w:cs="Arial"/>
                <w:color w:val="0068B5"/>
                <w:sz w:val="18"/>
                <w:szCs w:val="18"/>
              </w:rPr>
              <w:t>(486)</w:t>
            </w:r>
          </w:p>
        </w:tc>
        <w:tc>
          <w:tcPr>
            <w:tcW w:w="0" w:type="auto"/>
            <w:shd w:val="clear" w:color="auto" w:fill="auto"/>
            <w:tcMar>
              <w:top w:w="40" w:type="dxa"/>
              <w:left w:w="0" w:type="dxa"/>
              <w:bottom w:w="40" w:type="dxa"/>
              <w:right w:w="20" w:type="dxa"/>
            </w:tcMar>
            <w:vAlign w:val="bottom"/>
          </w:tcPr>
          <w:p w14:paraId="5A1B160B" w14:textId="77777777" w:rsidR="00960BB8" w:rsidRDefault="00960BB8">
            <w:pPr>
              <w:jc w:val="right"/>
              <w:rPr>
                <w:rFonts w:ascii="宋体"/>
              </w:rPr>
            </w:pPr>
          </w:p>
        </w:tc>
      </w:tr>
      <w:tr w:rsidR="00960BB8" w14:paraId="5A1B161E" w14:textId="77777777">
        <w:tc>
          <w:tcPr>
            <w:tcW w:w="0" w:type="auto"/>
            <w:gridSpan w:val="3"/>
            <w:shd w:val="clear" w:color="auto" w:fill="auto"/>
            <w:tcMar>
              <w:top w:w="40" w:type="dxa"/>
              <w:left w:w="20" w:type="dxa"/>
              <w:bottom w:w="40" w:type="dxa"/>
              <w:right w:w="20" w:type="dxa"/>
            </w:tcMar>
            <w:vAlign w:val="bottom"/>
          </w:tcPr>
          <w:p w14:paraId="5A1B160D" w14:textId="77777777" w:rsidR="00960BB8" w:rsidRDefault="00C06650">
            <w:pPr>
              <w:textAlignment w:val="bottom"/>
            </w:pPr>
            <w:r>
              <w:rPr>
                <w:rFonts w:ascii="Arial" w:eastAsia="宋体" w:hAnsi="Arial" w:cs="Arial"/>
                <w:color w:val="262626"/>
                <w:sz w:val="18"/>
                <w:szCs w:val="18"/>
              </w:rPr>
              <w:t>Cash dividends declared ($1.46 per share of common stock)</w:t>
            </w:r>
          </w:p>
        </w:tc>
        <w:tc>
          <w:tcPr>
            <w:tcW w:w="0" w:type="auto"/>
            <w:gridSpan w:val="3"/>
            <w:shd w:val="clear" w:color="auto" w:fill="auto"/>
            <w:tcMar>
              <w:top w:w="0" w:type="dxa"/>
              <w:left w:w="20" w:type="dxa"/>
              <w:bottom w:w="0" w:type="dxa"/>
              <w:right w:w="20" w:type="dxa"/>
            </w:tcMar>
            <w:vAlign w:val="bottom"/>
          </w:tcPr>
          <w:p w14:paraId="5A1B160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60F"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61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61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612"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61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614"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61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616" w14:textId="77777777" w:rsidR="00960BB8" w:rsidRDefault="00C06650">
            <w:pPr>
              <w:jc w:val="right"/>
              <w:textAlignment w:val="bottom"/>
            </w:pPr>
            <w:r>
              <w:rPr>
                <w:rFonts w:ascii="Arial" w:eastAsia="宋体" w:hAnsi="Arial" w:cs="Arial"/>
                <w:color w:val="0068B5"/>
                <w:sz w:val="18"/>
                <w:szCs w:val="18"/>
              </w:rPr>
              <w:t>(5,997)</w:t>
            </w:r>
          </w:p>
        </w:tc>
        <w:tc>
          <w:tcPr>
            <w:tcW w:w="0" w:type="auto"/>
            <w:shd w:val="clear" w:color="auto" w:fill="auto"/>
            <w:tcMar>
              <w:top w:w="40" w:type="dxa"/>
              <w:left w:w="0" w:type="dxa"/>
              <w:bottom w:w="40" w:type="dxa"/>
              <w:right w:w="20" w:type="dxa"/>
            </w:tcMar>
            <w:vAlign w:val="bottom"/>
          </w:tcPr>
          <w:p w14:paraId="5A1B161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61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619"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61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61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61C" w14:textId="77777777" w:rsidR="00960BB8" w:rsidRDefault="00C06650">
            <w:pPr>
              <w:jc w:val="right"/>
              <w:textAlignment w:val="bottom"/>
            </w:pPr>
            <w:r>
              <w:rPr>
                <w:rFonts w:ascii="Arial" w:eastAsia="宋体" w:hAnsi="Arial" w:cs="Arial"/>
                <w:color w:val="0068B5"/>
                <w:sz w:val="18"/>
                <w:szCs w:val="18"/>
              </w:rPr>
              <w:t>(5,997)</w:t>
            </w:r>
          </w:p>
        </w:tc>
        <w:tc>
          <w:tcPr>
            <w:tcW w:w="0" w:type="auto"/>
            <w:shd w:val="clear" w:color="auto" w:fill="auto"/>
            <w:tcMar>
              <w:top w:w="40" w:type="dxa"/>
              <w:left w:w="0" w:type="dxa"/>
              <w:bottom w:w="40" w:type="dxa"/>
              <w:right w:w="20" w:type="dxa"/>
            </w:tcMar>
            <w:vAlign w:val="bottom"/>
          </w:tcPr>
          <w:p w14:paraId="5A1B161D" w14:textId="77777777" w:rsidR="00960BB8" w:rsidRDefault="00960BB8">
            <w:pPr>
              <w:jc w:val="right"/>
              <w:rPr>
                <w:rFonts w:ascii="宋体"/>
              </w:rPr>
            </w:pPr>
          </w:p>
        </w:tc>
      </w:tr>
      <w:tr w:rsidR="00960BB8" w14:paraId="5A1B1637" w14:textId="77777777">
        <w:tc>
          <w:tcPr>
            <w:tcW w:w="0" w:type="auto"/>
            <w:gridSpan w:val="3"/>
            <w:shd w:val="clear" w:color="auto" w:fill="auto"/>
            <w:tcMar>
              <w:top w:w="40" w:type="dxa"/>
              <w:left w:w="20" w:type="dxa"/>
              <w:bottom w:w="40" w:type="dxa"/>
              <w:right w:w="20" w:type="dxa"/>
            </w:tcMar>
            <w:vAlign w:val="bottom"/>
          </w:tcPr>
          <w:p w14:paraId="5A1B161F" w14:textId="77777777" w:rsidR="00960BB8" w:rsidRDefault="00C06650">
            <w:pPr>
              <w:textAlignment w:val="bottom"/>
            </w:pPr>
            <w:r>
              <w:rPr>
                <w:rFonts w:ascii="Arial" w:eastAsia="宋体" w:hAnsi="Arial" w:cs="Arial"/>
                <w:b/>
                <w:bCs/>
                <w:color w:val="262626"/>
                <w:sz w:val="18"/>
                <w:szCs w:val="18"/>
              </w:rPr>
              <w:t>Balance as of December 31, 2022</w:t>
            </w:r>
          </w:p>
        </w:tc>
        <w:tc>
          <w:tcPr>
            <w:tcW w:w="0" w:type="auto"/>
            <w:gridSpan w:val="3"/>
            <w:shd w:val="clear" w:color="auto" w:fill="auto"/>
            <w:tcMar>
              <w:top w:w="0" w:type="dxa"/>
              <w:left w:w="20" w:type="dxa"/>
              <w:bottom w:w="0" w:type="dxa"/>
              <w:right w:w="20" w:type="dxa"/>
            </w:tcMar>
            <w:vAlign w:val="bottom"/>
          </w:tcPr>
          <w:p w14:paraId="5A1B1620" w14:textId="77777777" w:rsidR="00960BB8" w:rsidRDefault="00960BB8">
            <w:pPr>
              <w:rPr>
                <w:rFonts w:ascii="宋体"/>
              </w:rPr>
            </w:pP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621" w14:textId="77777777" w:rsidR="00960BB8" w:rsidRDefault="00C06650">
            <w:pPr>
              <w:jc w:val="right"/>
              <w:textAlignment w:val="bottom"/>
            </w:pPr>
            <w:r>
              <w:rPr>
                <w:rFonts w:ascii="Arial" w:eastAsia="宋体" w:hAnsi="Arial" w:cs="Arial"/>
                <w:b/>
                <w:bCs/>
                <w:color w:val="0068B5"/>
                <w:sz w:val="18"/>
                <w:szCs w:val="18"/>
              </w:rPr>
              <w:t>4,137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62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623"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624"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625" w14:textId="77777777" w:rsidR="00960BB8" w:rsidRDefault="00C06650">
            <w:pPr>
              <w:jc w:val="right"/>
              <w:textAlignment w:val="bottom"/>
            </w:pPr>
            <w:r>
              <w:rPr>
                <w:rFonts w:ascii="Arial" w:eastAsia="宋体" w:hAnsi="Arial" w:cs="Arial"/>
                <w:b/>
                <w:bCs/>
                <w:color w:val="0068B5"/>
                <w:sz w:val="18"/>
                <w:szCs w:val="18"/>
              </w:rPr>
              <w:t>31,580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62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627"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628"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629" w14:textId="77777777" w:rsidR="00960BB8" w:rsidRDefault="00C06650">
            <w:pPr>
              <w:jc w:val="right"/>
              <w:textAlignment w:val="bottom"/>
            </w:pPr>
            <w:r>
              <w:rPr>
                <w:rFonts w:ascii="Arial" w:eastAsia="宋体" w:hAnsi="Arial" w:cs="Arial"/>
                <w:b/>
                <w:bCs/>
                <w:color w:val="0068B5"/>
                <w:sz w:val="18"/>
                <w:szCs w:val="18"/>
              </w:rPr>
              <w:t>(562)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62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62B"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62C"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62D" w14:textId="77777777" w:rsidR="00960BB8" w:rsidRDefault="00C06650">
            <w:pPr>
              <w:jc w:val="right"/>
              <w:textAlignment w:val="bottom"/>
            </w:pPr>
            <w:r>
              <w:rPr>
                <w:rFonts w:ascii="Arial" w:eastAsia="宋体" w:hAnsi="Arial" w:cs="Arial"/>
                <w:b/>
                <w:bCs/>
                <w:color w:val="0068B5"/>
                <w:sz w:val="18"/>
                <w:szCs w:val="18"/>
              </w:rPr>
              <w:t>70,405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62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62F"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630"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631" w14:textId="77777777" w:rsidR="00960BB8" w:rsidRDefault="00C06650">
            <w:pPr>
              <w:jc w:val="right"/>
              <w:textAlignment w:val="bottom"/>
            </w:pPr>
            <w:r>
              <w:rPr>
                <w:rFonts w:ascii="Arial" w:eastAsia="宋体" w:hAnsi="Arial" w:cs="Arial"/>
                <w:b/>
                <w:bCs/>
                <w:color w:val="0068B5"/>
                <w:sz w:val="18"/>
                <w:szCs w:val="18"/>
              </w:rPr>
              <w:t>1,863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63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633"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634"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635" w14:textId="77777777" w:rsidR="00960BB8" w:rsidRDefault="00C06650">
            <w:pPr>
              <w:jc w:val="right"/>
              <w:textAlignment w:val="bottom"/>
            </w:pPr>
            <w:r>
              <w:rPr>
                <w:rFonts w:ascii="Arial" w:eastAsia="宋体" w:hAnsi="Arial" w:cs="Arial"/>
                <w:b/>
                <w:bCs/>
                <w:color w:val="0068B5"/>
                <w:sz w:val="18"/>
                <w:szCs w:val="18"/>
              </w:rPr>
              <w:t>103,286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636" w14:textId="77777777" w:rsidR="00960BB8" w:rsidRDefault="00960BB8">
            <w:pPr>
              <w:jc w:val="right"/>
              <w:rPr>
                <w:rFonts w:ascii="宋体"/>
              </w:rPr>
            </w:pPr>
          </w:p>
        </w:tc>
      </w:tr>
    </w:tbl>
    <w:p w14:paraId="5A1B1638" w14:textId="77777777" w:rsidR="00960BB8" w:rsidRDefault="00C06650">
      <w:pPr>
        <w:spacing w:before="10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960BB8" w14:paraId="5A1B1645" w14:textId="77777777">
        <w:tc>
          <w:tcPr>
            <w:tcW w:w="50" w:type="pct"/>
            <w:shd w:val="clear" w:color="auto" w:fill="auto"/>
            <w:vAlign w:val="bottom"/>
          </w:tcPr>
          <w:p w14:paraId="5A1B1639" w14:textId="77777777" w:rsidR="00960BB8" w:rsidRDefault="00960BB8">
            <w:pPr>
              <w:rPr>
                <w:rFonts w:ascii="宋体"/>
              </w:rPr>
            </w:pPr>
          </w:p>
        </w:tc>
        <w:tc>
          <w:tcPr>
            <w:tcW w:w="276" w:type="pct"/>
            <w:shd w:val="clear" w:color="auto" w:fill="auto"/>
            <w:vAlign w:val="bottom"/>
          </w:tcPr>
          <w:p w14:paraId="5A1B163A" w14:textId="77777777" w:rsidR="00960BB8" w:rsidRDefault="00960BB8">
            <w:pPr>
              <w:rPr>
                <w:rFonts w:ascii="宋体"/>
              </w:rPr>
            </w:pPr>
          </w:p>
        </w:tc>
        <w:tc>
          <w:tcPr>
            <w:tcW w:w="5" w:type="pct"/>
            <w:shd w:val="clear" w:color="auto" w:fill="auto"/>
            <w:vAlign w:val="bottom"/>
          </w:tcPr>
          <w:p w14:paraId="5A1B163B" w14:textId="77777777" w:rsidR="00960BB8" w:rsidRDefault="00960BB8">
            <w:pPr>
              <w:rPr>
                <w:rFonts w:ascii="宋体"/>
              </w:rPr>
            </w:pPr>
          </w:p>
        </w:tc>
        <w:tc>
          <w:tcPr>
            <w:tcW w:w="50" w:type="pct"/>
            <w:shd w:val="clear" w:color="auto" w:fill="auto"/>
            <w:vAlign w:val="bottom"/>
          </w:tcPr>
          <w:p w14:paraId="5A1B163C" w14:textId="77777777" w:rsidR="00960BB8" w:rsidRDefault="00960BB8">
            <w:pPr>
              <w:rPr>
                <w:rFonts w:ascii="宋体"/>
              </w:rPr>
            </w:pPr>
          </w:p>
        </w:tc>
        <w:tc>
          <w:tcPr>
            <w:tcW w:w="940" w:type="pct"/>
            <w:shd w:val="clear" w:color="auto" w:fill="auto"/>
            <w:vAlign w:val="bottom"/>
          </w:tcPr>
          <w:p w14:paraId="5A1B163D" w14:textId="77777777" w:rsidR="00960BB8" w:rsidRDefault="00960BB8">
            <w:pPr>
              <w:rPr>
                <w:rFonts w:ascii="宋体"/>
              </w:rPr>
            </w:pPr>
          </w:p>
        </w:tc>
        <w:tc>
          <w:tcPr>
            <w:tcW w:w="5" w:type="pct"/>
            <w:shd w:val="clear" w:color="auto" w:fill="auto"/>
            <w:vAlign w:val="bottom"/>
          </w:tcPr>
          <w:p w14:paraId="5A1B163E" w14:textId="77777777" w:rsidR="00960BB8" w:rsidRDefault="00960BB8">
            <w:pPr>
              <w:rPr>
                <w:rFonts w:ascii="宋体"/>
              </w:rPr>
            </w:pPr>
          </w:p>
        </w:tc>
        <w:tc>
          <w:tcPr>
            <w:tcW w:w="50" w:type="pct"/>
            <w:shd w:val="clear" w:color="auto" w:fill="auto"/>
            <w:vAlign w:val="bottom"/>
          </w:tcPr>
          <w:p w14:paraId="5A1B163F" w14:textId="77777777" w:rsidR="00960BB8" w:rsidRDefault="00960BB8">
            <w:pPr>
              <w:rPr>
                <w:rFonts w:ascii="宋体"/>
              </w:rPr>
            </w:pPr>
          </w:p>
        </w:tc>
        <w:tc>
          <w:tcPr>
            <w:tcW w:w="1837" w:type="pct"/>
            <w:shd w:val="clear" w:color="auto" w:fill="auto"/>
            <w:vAlign w:val="bottom"/>
          </w:tcPr>
          <w:p w14:paraId="5A1B1640" w14:textId="77777777" w:rsidR="00960BB8" w:rsidRDefault="00960BB8">
            <w:pPr>
              <w:rPr>
                <w:rFonts w:ascii="宋体"/>
              </w:rPr>
            </w:pPr>
          </w:p>
        </w:tc>
        <w:tc>
          <w:tcPr>
            <w:tcW w:w="5" w:type="pct"/>
            <w:shd w:val="clear" w:color="auto" w:fill="auto"/>
            <w:vAlign w:val="bottom"/>
          </w:tcPr>
          <w:p w14:paraId="5A1B1641" w14:textId="77777777" w:rsidR="00960BB8" w:rsidRDefault="00960BB8">
            <w:pPr>
              <w:rPr>
                <w:rFonts w:ascii="宋体"/>
              </w:rPr>
            </w:pPr>
          </w:p>
        </w:tc>
        <w:tc>
          <w:tcPr>
            <w:tcW w:w="50" w:type="pct"/>
            <w:shd w:val="clear" w:color="auto" w:fill="auto"/>
            <w:vAlign w:val="bottom"/>
          </w:tcPr>
          <w:p w14:paraId="5A1B1642" w14:textId="77777777" w:rsidR="00960BB8" w:rsidRDefault="00960BB8">
            <w:pPr>
              <w:rPr>
                <w:rFonts w:ascii="宋体"/>
              </w:rPr>
            </w:pPr>
          </w:p>
        </w:tc>
        <w:tc>
          <w:tcPr>
            <w:tcW w:w="1724" w:type="pct"/>
            <w:shd w:val="clear" w:color="auto" w:fill="auto"/>
            <w:vAlign w:val="bottom"/>
          </w:tcPr>
          <w:p w14:paraId="5A1B1643" w14:textId="77777777" w:rsidR="00960BB8" w:rsidRDefault="00960BB8">
            <w:pPr>
              <w:rPr>
                <w:rFonts w:ascii="宋体"/>
              </w:rPr>
            </w:pPr>
          </w:p>
        </w:tc>
        <w:tc>
          <w:tcPr>
            <w:tcW w:w="5" w:type="pct"/>
            <w:shd w:val="clear" w:color="auto" w:fill="auto"/>
            <w:vAlign w:val="bottom"/>
          </w:tcPr>
          <w:p w14:paraId="5A1B1644" w14:textId="77777777" w:rsidR="00960BB8" w:rsidRDefault="00960BB8">
            <w:pPr>
              <w:rPr>
                <w:rFonts w:ascii="宋体"/>
              </w:rPr>
            </w:pPr>
          </w:p>
        </w:tc>
      </w:tr>
      <w:tr w:rsidR="00960BB8" w14:paraId="5A1B164A"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46"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72" wp14:editId="5A1B4473">
                  <wp:extent cx="304800" cy="304800"/>
                  <wp:effectExtent l="0" t="0" r="0" b="0"/>
                  <wp:docPr id="64" name="图片 24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4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47"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648" w14:textId="77777777" w:rsidR="00960BB8" w:rsidRDefault="00C06650">
            <w:pPr>
              <w:textAlignment w:val="center"/>
            </w:pPr>
            <w:r>
              <w:rPr>
                <w:rFonts w:ascii="Arial" w:eastAsia="宋体" w:hAnsi="Arial" w:cs="Arial"/>
                <w:color w:val="262626"/>
                <w:sz w:val="16"/>
                <w:szCs w:val="16"/>
              </w:rPr>
              <w:t>Consolidated Statements of Stockholders' Equity</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49" w14:textId="77777777" w:rsidR="00960BB8" w:rsidRDefault="00C06650">
            <w:pPr>
              <w:jc w:val="right"/>
              <w:textAlignment w:val="center"/>
            </w:pPr>
            <w:r>
              <w:rPr>
                <w:rFonts w:ascii="Arial" w:eastAsia="宋体" w:hAnsi="Arial" w:cs="Arial"/>
                <w:color w:val="262626"/>
                <w:sz w:val="16"/>
                <w:szCs w:val="16"/>
              </w:rPr>
              <w:t>80</w:t>
            </w:r>
          </w:p>
        </w:tc>
      </w:tr>
    </w:tbl>
    <w:p w14:paraId="5A1B164B" w14:textId="77777777" w:rsidR="00960BB8" w:rsidRDefault="00C06650">
      <w:r>
        <w:pict w14:anchorId="5A1B4474">
          <v:rect id="_x0000_i1106" style="width:415.3pt;height:1.5pt" o:hralign="center" o:hrstd="t" o:hr="t" fillcolor="#a0a0a0" stroked="f"/>
        </w:pict>
      </w:r>
    </w:p>
    <w:p w14:paraId="5A1B164C" w14:textId="77777777" w:rsidR="00960BB8" w:rsidRDefault="00C06650">
      <w:pPr>
        <w:jc w:val="right"/>
      </w:pPr>
      <w:hyperlink r:id="rId129" w:anchor="i8aaa7b4dbd2e419ca0f5c30af85a11aa_16" w:history="1">
        <w:r>
          <w:rPr>
            <w:rStyle w:val="a5"/>
            <w:rFonts w:ascii="Arial" w:eastAsia="宋体" w:hAnsi="Arial" w:cs="Arial"/>
            <w:b/>
            <w:bCs/>
            <w:sz w:val="16"/>
            <w:szCs w:val="16"/>
          </w:rPr>
          <w:t>Table of Contents</w:t>
        </w:r>
      </w:hyperlink>
    </w:p>
    <w:p w14:paraId="5A1B164D"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1654" w14:textId="77777777">
        <w:tc>
          <w:tcPr>
            <w:tcW w:w="50" w:type="pct"/>
            <w:shd w:val="clear" w:color="auto" w:fill="auto"/>
            <w:vAlign w:val="bottom"/>
          </w:tcPr>
          <w:p w14:paraId="5A1B164E" w14:textId="77777777" w:rsidR="00960BB8" w:rsidRDefault="00960BB8">
            <w:pPr>
              <w:rPr>
                <w:rFonts w:ascii="宋体"/>
              </w:rPr>
            </w:pPr>
          </w:p>
        </w:tc>
        <w:tc>
          <w:tcPr>
            <w:tcW w:w="4870" w:type="pct"/>
            <w:shd w:val="clear" w:color="auto" w:fill="auto"/>
            <w:vAlign w:val="bottom"/>
          </w:tcPr>
          <w:p w14:paraId="5A1B164F" w14:textId="77777777" w:rsidR="00960BB8" w:rsidRDefault="00960BB8">
            <w:pPr>
              <w:rPr>
                <w:rFonts w:ascii="宋体"/>
              </w:rPr>
            </w:pPr>
          </w:p>
        </w:tc>
        <w:tc>
          <w:tcPr>
            <w:tcW w:w="5" w:type="pct"/>
            <w:shd w:val="clear" w:color="auto" w:fill="auto"/>
            <w:vAlign w:val="bottom"/>
          </w:tcPr>
          <w:p w14:paraId="5A1B1650" w14:textId="77777777" w:rsidR="00960BB8" w:rsidRDefault="00960BB8">
            <w:pPr>
              <w:rPr>
                <w:rFonts w:ascii="宋体"/>
              </w:rPr>
            </w:pPr>
          </w:p>
        </w:tc>
        <w:tc>
          <w:tcPr>
            <w:tcW w:w="5" w:type="pct"/>
            <w:shd w:val="clear" w:color="auto" w:fill="auto"/>
            <w:vAlign w:val="bottom"/>
          </w:tcPr>
          <w:p w14:paraId="5A1B1651" w14:textId="77777777" w:rsidR="00960BB8" w:rsidRDefault="00960BB8">
            <w:pPr>
              <w:rPr>
                <w:rFonts w:ascii="宋体"/>
              </w:rPr>
            </w:pPr>
          </w:p>
        </w:tc>
        <w:tc>
          <w:tcPr>
            <w:tcW w:w="64" w:type="pct"/>
            <w:shd w:val="clear" w:color="auto" w:fill="auto"/>
            <w:vAlign w:val="bottom"/>
          </w:tcPr>
          <w:p w14:paraId="5A1B1652" w14:textId="77777777" w:rsidR="00960BB8" w:rsidRDefault="00960BB8">
            <w:pPr>
              <w:rPr>
                <w:rFonts w:ascii="宋体"/>
              </w:rPr>
            </w:pPr>
          </w:p>
        </w:tc>
        <w:tc>
          <w:tcPr>
            <w:tcW w:w="5" w:type="pct"/>
            <w:shd w:val="clear" w:color="auto" w:fill="auto"/>
            <w:vAlign w:val="bottom"/>
          </w:tcPr>
          <w:p w14:paraId="5A1B1653" w14:textId="77777777" w:rsidR="00960BB8" w:rsidRDefault="00960BB8">
            <w:pPr>
              <w:rPr>
                <w:rFonts w:ascii="宋体"/>
              </w:rPr>
            </w:pPr>
          </w:p>
        </w:tc>
      </w:tr>
      <w:tr w:rsidR="00960BB8" w14:paraId="5A1B1657" w14:textId="77777777">
        <w:tc>
          <w:tcPr>
            <w:tcW w:w="0" w:type="auto"/>
            <w:gridSpan w:val="3"/>
            <w:shd w:val="clear" w:color="auto" w:fill="004A86"/>
            <w:tcMar>
              <w:top w:w="40" w:type="dxa"/>
              <w:left w:w="20" w:type="dxa"/>
              <w:bottom w:w="40" w:type="dxa"/>
              <w:right w:w="20" w:type="dxa"/>
            </w:tcMar>
            <w:vAlign w:val="center"/>
          </w:tcPr>
          <w:p w14:paraId="5A1B1655" w14:textId="77777777" w:rsidR="00960BB8" w:rsidRDefault="00C06650">
            <w:pPr>
              <w:textAlignment w:val="center"/>
            </w:pPr>
            <w:r>
              <w:rPr>
                <w:rFonts w:ascii="Arial" w:eastAsia="宋体" w:hAnsi="Arial" w:cs="Arial"/>
                <w:color w:val="FFFFFF"/>
                <w:sz w:val="36"/>
                <w:szCs w:val="36"/>
              </w:rPr>
              <w:t>Notes to Consolidated Financial Statements</w:t>
            </w:r>
          </w:p>
        </w:tc>
        <w:tc>
          <w:tcPr>
            <w:tcW w:w="0" w:type="auto"/>
            <w:gridSpan w:val="3"/>
            <w:shd w:val="clear" w:color="auto" w:fill="auto"/>
            <w:tcMar>
              <w:top w:w="0" w:type="dxa"/>
              <w:left w:w="20" w:type="dxa"/>
              <w:bottom w:w="0" w:type="dxa"/>
              <w:right w:w="20" w:type="dxa"/>
            </w:tcMar>
            <w:vAlign w:val="bottom"/>
          </w:tcPr>
          <w:p w14:paraId="5A1B1656" w14:textId="77777777" w:rsidR="00960BB8" w:rsidRDefault="00960BB8">
            <w:pPr>
              <w:rPr>
                <w:rFonts w:ascii="宋体"/>
              </w:rPr>
            </w:pPr>
          </w:p>
        </w:tc>
      </w:tr>
      <w:tr w:rsidR="00960BB8" w14:paraId="5A1B165A" w14:textId="77777777">
        <w:trPr>
          <w:trHeight w:val="160"/>
        </w:trPr>
        <w:tc>
          <w:tcPr>
            <w:tcW w:w="0" w:type="auto"/>
            <w:gridSpan w:val="3"/>
            <w:shd w:val="clear" w:color="auto" w:fill="auto"/>
            <w:tcMar>
              <w:top w:w="0" w:type="dxa"/>
              <w:left w:w="20" w:type="dxa"/>
              <w:bottom w:w="0" w:type="dxa"/>
              <w:right w:w="20" w:type="dxa"/>
            </w:tcMar>
            <w:vAlign w:val="bottom"/>
          </w:tcPr>
          <w:p w14:paraId="5A1B1658"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1659" w14:textId="77777777" w:rsidR="00960BB8" w:rsidRDefault="00960BB8">
            <w:pPr>
              <w:rPr>
                <w:rFonts w:ascii="宋体"/>
              </w:rPr>
            </w:pPr>
          </w:p>
        </w:tc>
      </w:tr>
    </w:tbl>
    <w:p w14:paraId="5A1B165B"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960BB8" w14:paraId="5A1B1662" w14:textId="77777777">
        <w:tc>
          <w:tcPr>
            <w:tcW w:w="50" w:type="pct"/>
            <w:shd w:val="clear" w:color="auto" w:fill="auto"/>
            <w:vAlign w:val="bottom"/>
          </w:tcPr>
          <w:p w14:paraId="5A1B165C" w14:textId="77777777" w:rsidR="00960BB8" w:rsidRDefault="00960BB8">
            <w:pPr>
              <w:rPr>
                <w:rFonts w:ascii="宋体"/>
              </w:rPr>
            </w:pPr>
          </w:p>
        </w:tc>
        <w:tc>
          <w:tcPr>
            <w:tcW w:w="491" w:type="pct"/>
            <w:shd w:val="clear" w:color="auto" w:fill="auto"/>
            <w:vAlign w:val="bottom"/>
          </w:tcPr>
          <w:p w14:paraId="5A1B165D" w14:textId="77777777" w:rsidR="00960BB8" w:rsidRDefault="00960BB8">
            <w:pPr>
              <w:rPr>
                <w:rFonts w:ascii="宋体"/>
              </w:rPr>
            </w:pPr>
          </w:p>
        </w:tc>
        <w:tc>
          <w:tcPr>
            <w:tcW w:w="5" w:type="pct"/>
            <w:shd w:val="clear" w:color="auto" w:fill="auto"/>
            <w:vAlign w:val="bottom"/>
          </w:tcPr>
          <w:p w14:paraId="5A1B165E" w14:textId="77777777" w:rsidR="00960BB8" w:rsidRDefault="00960BB8">
            <w:pPr>
              <w:rPr>
                <w:rFonts w:ascii="宋体"/>
              </w:rPr>
            </w:pPr>
          </w:p>
        </w:tc>
        <w:tc>
          <w:tcPr>
            <w:tcW w:w="50" w:type="pct"/>
            <w:shd w:val="clear" w:color="auto" w:fill="auto"/>
            <w:vAlign w:val="bottom"/>
          </w:tcPr>
          <w:p w14:paraId="5A1B165F" w14:textId="77777777" w:rsidR="00960BB8" w:rsidRDefault="00960BB8">
            <w:pPr>
              <w:rPr>
                <w:rFonts w:ascii="宋体"/>
              </w:rPr>
            </w:pPr>
          </w:p>
        </w:tc>
        <w:tc>
          <w:tcPr>
            <w:tcW w:w="4398" w:type="pct"/>
            <w:shd w:val="clear" w:color="auto" w:fill="auto"/>
            <w:vAlign w:val="bottom"/>
          </w:tcPr>
          <w:p w14:paraId="5A1B1660" w14:textId="77777777" w:rsidR="00960BB8" w:rsidRDefault="00960BB8">
            <w:pPr>
              <w:rPr>
                <w:rFonts w:ascii="宋体"/>
              </w:rPr>
            </w:pPr>
          </w:p>
        </w:tc>
        <w:tc>
          <w:tcPr>
            <w:tcW w:w="5" w:type="pct"/>
            <w:shd w:val="clear" w:color="auto" w:fill="auto"/>
            <w:vAlign w:val="bottom"/>
          </w:tcPr>
          <w:p w14:paraId="5A1B1661" w14:textId="77777777" w:rsidR="00960BB8" w:rsidRDefault="00960BB8">
            <w:pPr>
              <w:rPr>
                <w:rFonts w:ascii="宋体"/>
              </w:rPr>
            </w:pPr>
          </w:p>
        </w:tc>
      </w:tr>
      <w:tr w:rsidR="00960BB8" w14:paraId="5A1B1665"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1663" w14:textId="77777777" w:rsidR="00960BB8" w:rsidRDefault="00C06650">
            <w:pPr>
              <w:textAlignment w:val="bottom"/>
            </w:pPr>
            <w:r>
              <w:rPr>
                <w:rFonts w:ascii="Arial" w:eastAsia="宋体" w:hAnsi="Arial" w:cs="Arial"/>
                <w:color w:val="FFFFFF"/>
                <w:sz w:val="28"/>
                <w:szCs w:val="28"/>
              </w:rPr>
              <w:t xml:space="preserve">Note 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664" w14:textId="77777777" w:rsidR="00960BB8" w:rsidRDefault="00C06650">
            <w:pPr>
              <w:textAlignment w:val="bottom"/>
            </w:pPr>
            <w:r>
              <w:rPr>
                <w:rFonts w:ascii="Arial" w:eastAsia="宋体" w:hAnsi="Arial" w:cs="Arial"/>
                <w:color w:val="0068B5"/>
                <w:sz w:val="28"/>
                <w:szCs w:val="28"/>
              </w:rPr>
              <w:t xml:space="preserve">Basis of </w:t>
            </w:r>
            <w:r>
              <w:rPr>
                <w:rFonts w:ascii="Arial" w:eastAsia="宋体" w:hAnsi="Arial" w:cs="Arial"/>
                <w:color w:val="0068B5"/>
                <w:sz w:val="28"/>
                <w:szCs w:val="28"/>
              </w:rPr>
              <w:t>Presentation</w:t>
            </w:r>
          </w:p>
        </w:tc>
      </w:tr>
    </w:tbl>
    <w:p w14:paraId="5A1B1666" w14:textId="77777777" w:rsidR="00960BB8" w:rsidRDefault="00C06650">
      <w:pPr>
        <w:spacing w:after="180"/>
      </w:pPr>
      <w:r>
        <w:rPr>
          <w:rFonts w:ascii="Arial" w:eastAsia="宋体" w:hAnsi="Arial" w:cs="Arial"/>
          <w:color w:val="262626"/>
          <w:sz w:val="18"/>
          <w:szCs w:val="18"/>
        </w:rPr>
        <w:t>We have a 52- or 53-week fiscal year that ends on the last Saturday in December. Fiscal year 2022 was a 53-week fiscal year. Fiscal years 2021 and 2020 were 52-week fiscal years. Fiscal 2023</w:t>
      </w:r>
      <w:r>
        <w:rPr>
          <w:rFonts w:ascii="Arial" w:eastAsia="宋体" w:hAnsi="Arial" w:cs="Arial"/>
          <w:color w:val="262626"/>
          <w:sz w:val="16"/>
          <w:szCs w:val="16"/>
        </w:rPr>
        <w:t xml:space="preserve"> </w:t>
      </w:r>
      <w:r>
        <w:rPr>
          <w:rFonts w:ascii="Arial" w:eastAsia="宋体" w:hAnsi="Arial" w:cs="Arial"/>
          <w:color w:val="262626"/>
          <w:sz w:val="18"/>
          <w:szCs w:val="18"/>
        </w:rPr>
        <w:t xml:space="preserve">is a 52-week fiscal year. Our </w:t>
      </w:r>
      <w:r>
        <w:rPr>
          <w:rFonts w:ascii="Arial" w:eastAsia="宋体" w:hAnsi="Arial" w:cs="Arial"/>
          <w:color w:val="262626"/>
          <w:sz w:val="18"/>
          <w:szCs w:val="18"/>
        </w:rPr>
        <w:t xml:space="preserve">Consolidated Financial Statements include the accounts of Intel and our wholly-owned and majority-owned subsidiaries, which include entities consolidated under the variable interest model. We have eliminated intercompany accounts and transactions. We have </w:t>
      </w:r>
      <w:r>
        <w:rPr>
          <w:rFonts w:ascii="Arial" w:eastAsia="宋体" w:hAnsi="Arial" w:cs="Arial"/>
          <w:color w:val="262626"/>
          <w:sz w:val="18"/>
          <w:szCs w:val="18"/>
        </w:rPr>
        <w:t>reclassified certain prior period amounts to conform to current period presentation.</w:t>
      </w:r>
    </w:p>
    <w:p w14:paraId="5A1B1667" w14:textId="77777777" w:rsidR="00960BB8" w:rsidRDefault="00C06650">
      <w:pPr>
        <w:spacing w:after="180"/>
      </w:pPr>
      <w:r>
        <w:rPr>
          <w:rFonts w:ascii="Arial" w:eastAsia="宋体" w:hAnsi="Arial" w:cs="Arial"/>
          <w:color w:val="262626"/>
          <w:sz w:val="18"/>
          <w:szCs w:val="18"/>
        </w:rPr>
        <w:t>In the first quarter of 2022, we reclassified the presentation of cash paid and received under our credit support annex agreements with derivative counterparties within ou</w:t>
      </w:r>
      <w:r>
        <w:rPr>
          <w:rFonts w:ascii="Arial" w:eastAsia="宋体" w:hAnsi="Arial" w:cs="Arial"/>
          <w:color w:val="262626"/>
          <w:sz w:val="18"/>
          <w:szCs w:val="18"/>
        </w:rPr>
        <w:t xml:space="preserve">r Consolidated Statements of Cash Flows. These reclassifications better reflect the economic intent of the credit support annex agreements, and result in changes to amounts previously reported for </w:t>
      </w:r>
      <w:r>
        <w:rPr>
          <w:rFonts w:ascii="Arial" w:eastAsia="宋体" w:hAnsi="Arial" w:cs="Arial"/>
          <w:i/>
          <w:iCs/>
          <w:color w:val="262626"/>
          <w:sz w:val="18"/>
          <w:szCs w:val="18"/>
        </w:rPr>
        <w:t>net cash provided by (used for) operating, investing</w:t>
      </w:r>
      <w:r>
        <w:rPr>
          <w:rFonts w:ascii="Arial" w:eastAsia="宋体" w:hAnsi="Arial" w:cs="Arial"/>
          <w:color w:val="262626"/>
          <w:sz w:val="18"/>
          <w:szCs w:val="18"/>
        </w:rPr>
        <w:t xml:space="preserve">, and </w:t>
      </w:r>
      <w:r>
        <w:rPr>
          <w:rFonts w:ascii="Arial" w:eastAsia="宋体" w:hAnsi="Arial" w:cs="Arial"/>
          <w:i/>
          <w:iCs/>
          <w:color w:val="262626"/>
          <w:sz w:val="18"/>
          <w:szCs w:val="18"/>
        </w:rPr>
        <w:t>f</w:t>
      </w:r>
      <w:r>
        <w:rPr>
          <w:rFonts w:ascii="Arial" w:eastAsia="宋体" w:hAnsi="Arial" w:cs="Arial"/>
          <w:i/>
          <w:iCs/>
          <w:color w:val="262626"/>
          <w:sz w:val="18"/>
          <w:szCs w:val="18"/>
        </w:rPr>
        <w:t>inancing activities</w:t>
      </w:r>
      <w:r>
        <w:rPr>
          <w:rFonts w:ascii="Arial" w:eastAsia="宋体" w:hAnsi="Arial" w:cs="Arial"/>
          <w:color w:val="262626"/>
          <w:sz w:val="18"/>
          <w:szCs w:val="18"/>
        </w:rPr>
        <w:t>.</w:t>
      </w:r>
    </w:p>
    <w:p w14:paraId="5A1B1668" w14:textId="77777777" w:rsidR="00960BB8" w:rsidRDefault="00C06650">
      <w:pPr>
        <w:spacing w:after="180"/>
      </w:pPr>
      <w:r>
        <w:rPr>
          <w:rFonts w:ascii="Arial" w:eastAsia="宋体" w:hAnsi="Arial" w:cs="Arial"/>
          <w:color w:val="262626"/>
          <w:sz w:val="18"/>
          <w:szCs w:val="18"/>
        </w:rPr>
        <w:t>In the first quarter of 2022, we reclassified the presentation of certain marketable debt investments within our Consolidated Balance Sheets, combining all marketable debt investments with original contractual maturities of three month</w:t>
      </w:r>
      <w:r>
        <w:rPr>
          <w:rFonts w:ascii="Arial" w:eastAsia="宋体" w:hAnsi="Arial" w:cs="Arial"/>
          <w:color w:val="262626"/>
          <w:sz w:val="18"/>
          <w:szCs w:val="18"/>
        </w:rPr>
        <w:t xml:space="preserve">s or more into </w:t>
      </w:r>
      <w:r>
        <w:rPr>
          <w:rFonts w:ascii="Arial" w:eastAsia="宋体" w:hAnsi="Arial" w:cs="Arial"/>
          <w:i/>
          <w:iCs/>
          <w:color w:val="262626"/>
          <w:sz w:val="18"/>
          <w:szCs w:val="18"/>
        </w:rPr>
        <w:t>short-term investments</w:t>
      </w:r>
      <w:r>
        <w:rPr>
          <w:rFonts w:ascii="Arial" w:eastAsia="宋体" w:hAnsi="Arial" w:cs="Arial"/>
          <w:color w:val="262626"/>
          <w:sz w:val="18"/>
          <w:szCs w:val="18"/>
        </w:rPr>
        <w:t xml:space="preserve"> as they represent the investment of cash available for current operations. These reclassifications simplify our Consolidated Balance Sheets and result in changes to amounts previously reported as </w:t>
      </w:r>
      <w:r>
        <w:rPr>
          <w:rFonts w:ascii="Arial" w:eastAsia="宋体" w:hAnsi="Arial" w:cs="Arial"/>
          <w:i/>
          <w:iCs/>
          <w:color w:val="262626"/>
          <w:sz w:val="18"/>
          <w:szCs w:val="18"/>
        </w:rPr>
        <w:t>short-term investments</w:t>
      </w:r>
      <w:r>
        <w:rPr>
          <w:rFonts w:ascii="Arial" w:eastAsia="宋体" w:hAnsi="Arial" w:cs="Arial"/>
          <w:color w:val="262626"/>
          <w:sz w:val="18"/>
          <w:szCs w:val="18"/>
        </w:rPr>
        <w:t xml:space="preserve">, </w:t>
      </w:r>
      <w:r>
        <w:rPr>
          <w:rFonts w:ascii="Arial" w:eastAsia="宋体" w:hAnsi="Arial" w:cs="Arial"/>
          <w:i/>
          <w:iCs/>
          <w:color w:val="262626"/>
          <w:sz w:val="18"/>
          <w:szCs w:val="18"/>
        </w:rPr>
        <w:t>trading assets</w:t>
      </w:r>
      <w:r>
        <w:rPr>
          <w:rFonts w:ascii="Arial" w:eastAsia="宋体" w:hAnsi="Arial" w:cs="Arial"/>
          <w:color w:val="262626"/>
          <w:sz w:val="18"/>
          <w:szCs w:val="18"/>
        </w:rPr>
        <w:t xml:space="preserve">, and </w:t>
      </w:r>
      <w:r>
        <w:rPr>
          <w:rFonts w:ascii="Arial" w:eastAsia="宋体" w:hAnsi="Arial" w:cs="Arial"/>
          <w:i/>
          <w:iCs/>
          <w:color w:val="262626"/>
          <w:sz w:val="18"/>
          <w:szCs w:val="18"/>
        </w:rPr>
        <w:t>other long-term investments</w:t>
      </w:r>
      <w:r>
        <w:rPr>
          <w:rFonts w:ascii="Arial" w:eastAsia="宋体" w:hAnsi="Arial" w:cs="Arial"/>
          <w:color w:val="262626"/>
          <w:sz w:val="18"/>
          <w:szCs w:val="18"/>
        </w:rPr>
        <w:t>.</w:t>
      </w:r>
    </w:p>
    <w:p w14:paraId="5A1B1669" w14:textId="77777777" w:rsidR="00960BB8" w:rsidRDefault="00C06650">
      <w:pPr>
        <w:spacing w:after="180"/>
      </w:pPr>
      <w:r>
        <w:rPr>
          <w:rFonts w:ascii="Arial" w:eastAsia="宋体" w:hAnsi="Arial" w:cs="Arial"/>
          <w:color w:val="0068B5"/>
        </w:rPr>
        <w:t>Use of Estimates</w:t>
      </w:r>
    </w:p>
    <w:p w14:paraId="5A1B166A" w14:textId="77777777" w:rsidR="00960BB8" w:rsidRDefault="00C06650">
      <w:pPr>
        <w:spacing w:after="180"/>
      </w:pPr>
      <w:r>
        <w:rPr>
          <w:rFonts w:ascii="Arial" w:eastAsia="宋体" w:hAnsi="Arial" w:cs="Arial"/>
          <w:color w:val="262626"/>
          <w:sz w:val="18"/>
          <w:szCs w:val="18"/>
        </w:rPr>
        <w:t xml:space="preserve">The preparation of Consolidated Financial Statements in conformity with US GAAP requires us to make estimates and judgments that affect the amounts reported in our Consolidated </w:t>
      </w:r>
      <w:r>
        <w:rPr>
          <w:rFonts w:ascii="Arial" w:eastAsia="宋体" w:hAnsi="Arial" w:cs="Arial"/>
          <w:color w:val="262626"/>
          <w:sz w:val="18"/>
          <w:szCs w:val="18"/>
        </w:rPr>
        <w:t>Financial Statements and the accompanying notes. The actual results that we experience may differ materially from our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960BB8" w14:paraId="5A1B1671" w14:textId="77777777">
        <w:tc>
          <w:tcPr>
            <w:tcW w:w="50" w:type="pct"/>
            <w:shd w:val="clear" w:color="auto" w:fill="auto"/>
            <w:vAlign w:val="bottom"/>
          </w:tcPr>
          <w:p w14:paraId="5A1B166B" w14:textId="77777777" w:rsidR="00960BB8" w:rsidRDefault="00960BB8">
            <w:pPr>
              <w:rPr>
                <w:rFonts w:ascii="宋体"/>
              </w:rPr>
            </w:pPr>
          </w:p>
        </w:tc>
        <w:tc>
          <w:tcPr>
            <w:tcW w:w="491" w:type="pct"/>
            <w:shd w:val="clear" w:color="auto" w:fill="auto"/>
            <w:vAlign w:val="bottom"/>
          </w:tcPr>
          <w:p w14:paraId="5A1B166C" w14:textId="77777777" w:rsidR="00960BB8" w:rsidRDefault="00960BB8">
            <w:pPr>
              <w:rPr>
                <w:rFonts w:ascii="宋体"/>
              </w:rPr>
            </w:pPr>
          </w:p>
        </w:tc>
        <w:tc>
          <w:tcPr>
            <w:tcW w:w="5" w:type="pct"/>
            <w:shd w:val="clear" w:color="auto" w:fill="auto"/>
            <w:vAlign w:val="bottom"/>
          </w:tcPr>
          <w:p w14:paraId="5A1B166D" w14:textId="77777777" w:rsidR="00960BB8" w:rsidRDefault="00960BB8">
            <w:pPr>
              <w:rPr>
                <w:rFonts w:ascii="宋体"/>
              </w:rPr>
            </w:pPr>
          </w:p>
        </w:tc>
        <w:tc>
          <w:tcPr>
            <w:tcW w:w="50" w:type="pct"/>
            <w:shd w:val="clear" w:color="auto" w:fill="auto"/>
            <w:vAlign w:val="bottom"/>
          </w:tcPr>
          <w:p w14:paraId="5A1B166E" w14:textId="77777777" w:rsidR="00960BB8" w:rsidRDefault="00960BB8">
            <w:pPr>
              <w:rPr>
                <w:rFonts w:ascii="宋体"/>
              </w:rPr>
            </w:pPr>
          </w:p>
        </w:tc>
        <w:tc>
          <w:tcPr>
            <w:tcW w:w="4398" w:type="pct"/>
            <w:shd w:val="clear" w:color="auto" w:fill="auto"/>
            <w:vAlign w:val="bottom"/>
          </w:tcPr>
          <w:p w14:paraId="5A1B166F" w14:textId="77777777" w:rsidR="00960BB8" w:rsidRDefault="00960BB8">
            <w:pPr>
              <w:rPr>
                <w:rFonts w:ascii="宋体"/>
              </w:rPr>
            </w:pPr>
          </w:p>
        </w:tc>
        <w:tc>
          <w:tcPr>
            <w:tcW w:w="5" w:type="pct"/>
            <w:shd w:val="clear" w:color="auto" w:fill="auto"/>
            <w:vAlign w:val="bottom"/>
          </w:tcPr>
          <w:p w14:paraId="5A1B1670" w14:textId="77777777" w:rsidR="00960BB8" w:rsidRDefault="00960BB8">
            <w:pPr>
              <w:rPr>
                <w:rFonts w:ascii="宋体"/>
              </w:rPr>
            </w:pPr>
          </w:p>
        </w:tc>
      </w:tr>
      <w:tr w:rsidR="00960BB8" w14:paraId="5A1B1674"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1672" w14:textId="77777777" w:rsidR="00960BB8" w:rsidRDefault="00C06650">
            <w:pPr>
              <w:textAlignment w:val="bottom"/>
            </w:pPr>
            <w:r>
              <w:rPr>
                <w:rFonts w:ascii="Arial" w:eastAsia="宋体" w:hAnsi="Arial" w:cs="Arial"/>
                <w:color w:val="FFFFFF"/>
                <w:sz w:val="28"/>
                <w:szCs w:val="28"/>
              </w:rPr>
              <w:t xml:space="preserve">Note 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673" w14:textId="77777777" w:rsidR="00960BB8" w:rsidRDefault="00C06650">
            <w:pPr>
              <w:textAlignment w:val="bottom"/>
            </w:pPr>
            <w:r>
              <w:rPr>
                <w:rFonts w:ascii="Arial" w:eastAsia="宋体" w:hAnsi="Arial" w:cs="Arial"/>
                <w:color w:val="0068B5"/>
                <w:sz w:val="28"/>
                <w:szCs w:val="28"/>
              </w:rPr>
              <w:t>Accounting Policies</w:t>
            </w:r>
          </w:p>
        </w:tc>
      </w:tr>
    </w:tbl>
    <w:p w14:paraId="5A1B1675" w14:textId="77777777" w:rsidR="00960BB8" w:rsidRDefault="00C06650">
      <w:pPr>
        <w:spacing w:before="180" w:after="180"/>
      </w:pPr>
      <w:r>
        <w:rPr>
          <w:rFonts w:ascii="Arial" w:eastAsia="宋体" w:hAnsi="Arial" w:cs="Arial"/>
          <w:color w:val="0068B5"/>
        </w:rPr>
        <w:t>Revenue Recognition</w:t>
      </w:r>
    </w:p>
    <w:p w14:paraId="5A1B1676" w14:textId="77777777" w:rsidR="00960BB8" w:rsidRDefault="00C06650">
      <w:pPr>
        <w:spacing w:after="180"/>
      </w:pPr>
      <w:r>
        <w:rPr>
          <w:rFonts w:ascii="Arial" w:eastAsia="宋体" w:hAnsi="Arial" w:cs="Arial"/>
          <w:color w:val="262626"/>
          <w:sz w:val="18"/>
          <w:szCs w:val="18"/>
        </w:rPr>
        <w:t>We recognize net product revenue when we satisfy performance obligations as evidenced by the transfer of control of our products or services to customers. Substantially all of our revenue is derived from product sales. Our products often include a software</w:t>
      </w:r>
      <w:r>
        <w:rPr>
          <w:rFonts w:ascii="Arial" w:eastAsia="宋体" w:hAnsi="Arial" w:cs="Arial"/>
          <w:color w:val="262626"/>
          <w:sz w:val="18"/>
          <w:szCs w:val="18"/>
        </w:rPr>
        <w:t xml:space="preserve"> component, such as firmware, that is highly interdependent and interrelated with the product and is substantially accounted for as a combined performance obligation. In accordance with contract terms, the revenue for combined performance obligations and s</w:t>
      </w:r>
      <w:r>
        <w:rPr>
          <w:rFonts w:ascii="Arial" w:eastAsia="宋体" w:hAnsi="Arial" w:cs="Arial"/>
          <w:color w:val="262626"/>
          <w:sz w:val="18"/>
          <w:szCs w:val="18"/>
        </w:rPr>
        <w:t xml:space="preserve">tandalone product sales is recognized at the time of product shipment from our facilities or delivery to the customer location, as determined by the agreed-upon shipping terms. </w:t>
      </w:r>
    </w:p>
    <w:p w14:paraId="5A1B1677" w14:textId="77777777" w:rsidR="00960BB8" w:rsidRDefault="00C06650">
      <w:pPr>
        <w:spacing w:after="180"/>
      </w:pPr>
      <w:r>
        <w:rPr>
          <w:rFonts w:ascii="Arial" w:eastAsia="宋体" w:hAnsi="Arial" w:cs="Arial"/>
          <w:color w:val="262626"/>
          <w:sz w:val="18"/>
          <w:szCs w:val="18"/>
        </w:rPr>
        <w:t>We measure revenue based on the amount of consideration we expect to be entitl</w:t>
      </w:r>
      <w:r>
        <w:rPr>
          <w:rFonts w:ascii="Arial" w:eastAsia="宋体" w:hAnsi="Arial" w:cs="Arial"/>
          <w:color w:val="262626"/>
          <w:sz w:val="18"/>
          <w:szCs w:val="18"/>
        </w:rPr>
        <w:t>ed to in exchange for products or services. Variable consideration is estimated and reflected as an adjustment to the transaction price. We determine variable consideration, which consists primarily of various sales price concessions, by estimating the mos</w:t>
      </w:r>
      <w:r>
        <w:rPr>
          <w:rFonts w:ascii="Arial" w:eastAsia="宋体" w:hAnsi="Arial" w:cs="Arial"/>
          <w:color w:val="262626"/>
          <w:sz w:val="18"/>
          <w:szCs w:val="18"/>
        </w:rPr>
        <w:t xml:space="preserve">t likely amount of consideration we expect to receive from the customer based on historical analysis of customer purchase volumes. Sales rebates earned by customers are offset against their receivable balances. Rebates earned by customers when they do not </w:t>
      </w:r>
      <w:r>
        <w:rPr>
          <w:rFonts w:ascii="Arial" w:eastAsia="宋体" w:hAnsi="Arial" w:cs="Arial"/>
          <w:color w:val="262626"/>
          <w:sz w:val="18"/>
          <w:szCs w:val="18"/>
        </w:rPr>
        <w:t>have outstanding receivable balances are recorded within</w:t>
      </w:r>
      <w:r>
        <w:rPr>
          <w:rFonts w:ascii="Arial" w:eastAsia="宋体" w:hAnsi="Arial" w:cs="Arial"/>
          <w:i/>
          <w:iCs/>
          <w:color w:val="262626"/>
          <w:sz w:val="18"/>
          <w:szCs w:val="18"/>
        </w:rPr>
        <w:t xml:space="preserve"> other accrued liabilities</w:t>
      </w:r>
      <w:r>
        <w:rPr>
          <w:rFonts w:ascii="Arial" w:eastAsia="宋体" w:hAnsi="Arial" w:cs="Arial"/>
          <w:color w:val="262626"/>
          <w:sz w:val="18"/>
          <w:szCs w:val="18"/>
        </w:rPr>
        <w:t>.</w:t>
      </w:r>
    </w:p>
    <w:p w14:paraId="5A1B1678" w14:textId="77777777" w:rsidR="00960BB8" w:rsidRDefault="00C06650">
      <w:pPr>
        <w:spacing w:after="180"/>
      </w:pPr>
      <w:r>
        <w:rPr>
          <w:rFonts w:ascii="Arial" w:eastAsia="宋体" w:hAnsi="Arial" w:cs="Arial"/>
          <w:color w:val="262626"/>
          <w:sz w:val="18"/>
          <w:szCs w:val="18"/>
        </w:rPr>
        <w:t>We make payments to our customers through cooperative advertising programs for marketing activities for some of our products. We generally record the payment as a reduction</w:t>
      </w:r>
      <w:r>
        <w:rPr>
          <w:rFonts w:ascii="Arial" w:eastAsia="宋体" w:hAnsi="Arial" w:cs="Arial"/>
          <w:color w:val="262626"/>
          <w:sz w:val="18"/>
          <w:szCs w:val="18"/>
        </w:rPr>
        <w:t xml:space="preserve"> in revenue in the period that the revenue is earned, unless the payment is for a distinct service, which we record as an expense when the marketing activities occur.</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685" w14:textId="77777777">
        <w:tc>
          <w:tcPr>
            <w:tcW w:w="50" w:type="pct"/>
            <w:shd w:val="clear" w:color="auto" w:fill="auto"/>
            <w:vAlign w:val="bottom"/>
          </w:tcPr>
          <w:p w14:paraId="5A1B1679" w14:textId="77777777" w:rsidR="00960BB8" w:rsidRDefault="00960BB8">
            <w:pPr>
              <w:rPr>
                <w:rFonts w:ascii="宋体"/>
              </w:rPr>
            </w:pPr>
          </w:p>
        </w:tc>
        <w:tc>
          <w:tcPr>
            <w:tcW w:w="276" w:type="pct"/>
            <w:shd w:val="clear" w:color="auto" w:fill="auto"/>
            <w:vAlign w:val="bottom"/>
          </w:tcPr>
          <w:p w14:paraId="5A1B167A" w14:textId="77777777" w:rsidR="00960BB8" w:rsidRDefault="00960BB8">
            <w:pPr>
              <w:rPr>
                <w:rFonts w:ascii="宋体"/>
              </w:rPr>
            </w:pPr>
          </w:p>
        </w:tc>
        <w:tc>
          <w:tcPr>
            <w:tcW w:w="5" w:type="pct"/>
            <w:shd w:val="clear" w:color="auto" w:fill="auto"/>
            <w:vAlign w:val="bottom"/>
          </w:tcPr>
          <w:p w14:paraId="5A1B167B" w14:textId="77777777" w:rsidR="00960BB8" w:rsidRDefault="00960BB8">
            <w:pPr>
              <w:rPr>
                <w:rFonts w:ascii="宋体"/>
              </w:rPr>
            </w:pPr>
          </w:p>
        </w:tc>
        <w:tc>
          <w:tcPr>
            <w:tcW w:w="50" w:type="pct"/>
            <w:shd w:val="clear" w:color="auto" w:fill="auto"/>
            <w:vAlign w:val="bottom"/>
          </w:tcPr>
          <w:p w14:paraId="5A1B167C" w14:textId="77777777" w:rsidR="00960BB8" w:rsidRDefault="00960BB8">
            <w:pPr>
              <w:rPr>
                <w:rFonts w:ascii="宋体"/>
              </w:rPr>
            </w:pPr>
          </w:p>
        </w:tc>
        <w:tc>
          <w:tcPr>
            <w:tcW w:w="940" w:type="pct"/>
            <w:shd w:val="clear" w:color="auto" w:fill="auto"/>
            <w:vAlign w:val="bottom"/>
          </w:tcPr>
          <w:p w14:paraId="5A1B167D" w14:textId="77777777" w:rsidR="00960BB8" w:rsidRDefault="00960BB8">
            <w:pPr>
              <w:rPr>
                <w:rFonts w:ascii="宋体"/>
              </w:rPr>
            </w:pPr>
          </w:p>
        </w:tc>
        <w:tc>
          <w:tcPr>
            <w:tcW w:w="5" w:type="pct"/>
            <w:shd w:val="clear" w:color="auto" w:fill="auto"/>
            <w:vAlign w:val="bottom"/>
          </w:tcPr>
          <w:p w14:paraId="5A1B167E" w14:textId="77777777" w:rsidR="00960BB8" w:rsidRDefault="00960BB8">
            <w:pPr>
              <w:rPr>
                <w:rFonts w:ascii="宋体"/>
              </w:rPr>
            </w:pPr>
          </w:p>
        </w:tc>
        <w:tc>
          <w:tcPr>
            <w:tcW w:w="50" w:type="pct"/>
            <w:shd w:val="clear" w:color="auto" w:fill="auto"/>
            <w:vAlign w:val="bottom"/>
          </w:tcPr>
          <w:p w14:paraId="5A1B167F" w14:textId="77777777" w:rsidR="00960BB8" w:rsidRDefault="00960BB8">
            <w:pPr>
              <w:rPr>
                <w:rFonts w:ascii="宋体"/>
              </w:rPr>
            </w:pPr>
          </w:p>
        </w:tc>
        <w:tc>
          <w:tcPr>
            <w:tcW w:w="1837" w:type="pct"/>
            <w:shd w:val="clear" w:color="auto" w:fill="auto"/>
            <w:vAlign w:val="bottom"/>
          </w:tcPr>
          <w:p w14:paraId="5A1B1680" w14:textId="77777777" w:rsidR="00960BB8" w:rsidRDefault="00960BB8">
            <w:pPr>
              <w:rPr>
                <w:rFonts w:ascii="宋体"/>
              </w:rPr>
            </w:pPr>
          </w:p>
        </w:tc>
        <w:tc>
          <w:tcPr>
            <w:tcW w:w="5" w:type="pct"/>
            <w:shd w:val="clear" w:color="auto" w:fill="auto"/>
            <w:vAlign w:val="bottom"/>
          </w:tcPr>
          <w:p w14:paraId="5A1B1681" w14:textId="77777777" w:rsidR="00960BB8" w:rsidRDefault="00960BB8">
            <w:pPr>
              <w:rPr>
                <w:rFonts w:ascii="宋体"/>
              </w:rPr>
            </w:pPr>
          </w:p>
        </w:tc>
        <w:tc>
          <w:tcPr>
            <w:tcW w:w="50" w:type="pct"/>
            <w:shd w:val="clear" w:color="auto" w:fill="auto"/>
            <w:vAlign w:val="bottom"/>
          </w:tcPr>
          <w:p w14:paraId="5A1B1682" w14:textId="77777777" w:rsidR="00960BB8" w:rsidRDefault="00960BB8">
            <w:pPr>
              <w:rPr>
                <w:rFonts w:ascii="宋体"/>
              </w:rPr>
            </w:pPr>
          </w:p>
        </w:tc>
        <w:tc>
          <w:tcPr>
            <w:tcW w:w="1724" w:type="pct"/>
            <w:shd w:val="clear" w:color="auto" w:fill="auto"/>
            <w:vAlign w:val="bottom"/>
          </w:tcPr>
          <w:p w14:paraId="5A1B1683" w14:textId="77777777" w:rsidR="00960BB8" w:rsidRDefault="00960BB8">
            <w:pPr>
              <w:rPr>
                <w:rFonts w:ascii="宋体"/>
              </w:rPr>
            </w:pPr>
          </w:p>
        </w:tc>
        <w:tc>
          <w:tcPr>
            <w:tcW w:w="5" w:type="pct"/>
            <w:shd w:val="clear" w:color="auto" w:fill="auto"/>
            <w:vAlign w:val="bottom"/>
          </w:tcPr>
          <w:p w14:paraId="5A1B1684" w14:textId="77777777" w:rsidR="00960BB8" w:rsidRDefault="00960BB8">
            <w:pPr>
              <w:rPr>
                <w:rFonts w:ascii="宋体"/>
              </w:rPr>
            </w:pPr>
          </w:p>
        </w:tc>
      </w:tr>
      <w:tr w:rsidR="00960BB8" w14:paraId="5A1B168A"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86"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75" wp14:editId="5A1B4476">
                  <wp:extent cx="304800" cy="304800"/>
                  <wp:effectExtent l="0" t="0" r="0" b="0"/>
                  <wp:docPr id="151" name="图片 25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5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87"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688"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89" w14:textId="77777777" w:rsidR="00960BB8" w:rsidRDefault="00C06650">
            <w:pPr>
              <w:jc w:val="right"/>
              <w:textAlignment w:val="center"/>
            </w:pPr>
            <w:r>
              <w:rPr>
                <w:rFonts w:ascii="Arial" w:eastAsia="宋体" w:hAnsi="Arial" w:cs="Arial"/>
                <w:color w:val="262626"/>
                <w:sz w:val="16"/>
                <w:szCs w:val="16"/>
              </w:rPr>
              <w:t>81</w:t>
            </w:r>
          </w:p>
        </w:tc>
      </w:tr>
    </w:tbl>
    <w:p w14:paraId="5A1B168B" w14:textId="77777777" w:rsidR="00960BB8" w:rsidRDefault="00C06650">
      <w:r>
        <w:pict w14:anchorId="5A1B4477">
          <v:rect id="_x0000_i1107" style="width:415.3pt;height:1.5pt" o:hralign="center" o:hrstd="t" o:hr="t" fillcolor="#a0a0a0" stroked="f"/>
        </w:pict>
      </w:r>
    </w:p>
    <w:p w14:paraId="5A1B168C" w14:textId="77777777" w:rsidR="00960BB8" w:rsidRDefault="00C06650">
      <w:pPr>
        <w:jc w:val="right"/>
      </w:pPr>
      <w:hyperlink r:id="rId130" w:anchor="i8aaa7b4dbd2e419ca0f5c30af85a11aa_16" w:history="1">
        <w:r>
          <w:rPr>
            <w:rStyle w:val="a5"/>
            <w:rFonts w:ascii="Arial" w:eastAsia="宋体" w:hAnsi="Arial" w:cs="Arial"/>
            <w:b/>
            <w:bCs/>
            <w:sz w:val="16"/>
            <w:szCs w:val="16"/>
          </w:rPr>
          <w:t>Table of Contents</w:t>
        </w:r>
      </w:hyperlink>
    </w:p>
    <w:p w14:paraId="5A1B168D" w14:textId="77777777" w:rsidR="00960BB8" w:rsidRDefault="00960BB8">
      <w:pPr>
        <w:jc w:val="right"/>
      </w:pPr>
    </w:p>
    <w:p w14:paraId="5A1B168E" w14:textId="77777777" w:rsidR="00960BB8" w:rsidRDefault="00C06650">
      <w:pPr>
        <w:spacing w:before="180" w:after="180"/>
      </w:pPr>
      <w:r>
        <w:rPr>
          <w:rFonts w:ascii="Arial" w:eastAsia="宋体" w:hAnsi="Arial" w:cs="Arial"/>
          <w:color w:val="0068B5"/>
        </w:rPr>
        <w:t>Inventories</w:t>
      </w:r>
    </w:p>
    <w:p w14:paraId="5A1B168F" w14:textId="77777777" w:rsidR="00960BB8" w:rsidRDefault="00C06650">
      <w:pPr>
        <w:spacing w:after="180"/>
      </w:pPr>
      <w:r>
        <w:rPr>
          <w:rFonts w:ascii="Arial" w:eastAsia="宋体" w:hAnsi="Arial" w:cs="Arial"/>
          <w:color w:val="262626"/>
          <w:sz w:val="18"/>
          <w:szCs w:val="18"/>
        </w:rPr>
        <w:t>We compute inventory cost on a first-in, first-out basis. Our process a</w:t>
      </w:r>
      <w:r>
        <w:rPr>
          <w:rFonts w:ascii="Arial" w:eastAsia="宋体" w:hAnsi="Arial" w:cs="Arial"/>
          <w:color w:val="262626"/>
          <w:sz w:val="18"/>
          <w:szCs w:val="18"/>
        </w:rPr>
        <w:t>nd product development life cycle corresponds with substantive engineering milestones. These engineering milestones are regularly and consistently applied in assessing the point at which our activities and associated costs change in nature from R&amp;D to cost</w:t>
      </w:r>
      <w:r>
        <w:rPr>
          <w:rFonts w:ascii="Arial" w:eastAsia="宋体" w:hAnsi="Arial" w:cs="Arial"/>
          <w:color w:val="262626"/>
          <w:sz w:val="18"/>
          <w:szCs w:val="18"/>
        </w:rPr>
        <w:t xml:space="preserve"> of sales, and when cost of sales can be capitalized as inventory. </w:t>
      </w:r>
    </w:p>
    <w:p w14:paraId="5A1B1690" w14:textId="77777777" w:rsidR="00960BB8" w:rsidRDefault="00C06650">
      <w:pPr>
        <w:spacing w:after="180"/>
      </w:pPr>
      <w:r>
        <w:rPr>
          <w:rFonts w:ascii="Arial" w:eastAsia="宋体" w:hAnsi="Arial" w:cs="Arial"/>
          <w:color w:val="262626"/>
          <w:sz w:val="18"/>
          <w:szCs w:val="18"/>
        </w:rPr>
        <w:t xml:space="preserve">For a product to be manufactured in high volumes and sold to our customers under our standard warranty, it must meet our rigorous technical quality specifications. This milestone is known </w:t>
      </w:r>
      <w:r>
        <w:rPr>
          <w:rFonts w:ascii="Arial" w:eastAsia="宋体" w:hAnsi="Arial" w:cs="Arial"/>
          <w:color w:val="262626"/>
          <w:sz w:val="18"/>
          <w:szCs w:val="18"/>
        </w:rPr>
        <w:t>as PRQ. We have identified PRQ as the point at which the costs incurred to manufacture our products are included in the valuation of inventory. A single PRQ has previously valued inventory up to $870 million in the quarter the PRQ milestone was achieved. P</w:t>
      </w:r>
      <w:r>
        <w:rPr>
          <w:rFonts w:ascii="Arial" w:eastAsia="宋体" w:hAnsi="Arial" w:cs="Arial"/>
          <w:color w:val="262626"/>
          <w:sz w:val="18"/>
          <w:szCs w:val="18"/>
        </w:rPr>
        <w:t>rior to PRQ, costs that do not meet the criteria for R&amp;D are included in cost of sales in the period incurred.</w:t>
      </w:r>
    </w:p>
    <w:p w14:paraId="5A1B1691" w14:textId="77777777" w:rsidR="00960BB8" w:rsidRDefault="00C06650">
      <w:pPr>
        <w:spacing w:after="180"/>
      </w:pPr>
      <w:r>
        <w:rPr>
          <w:rFonts w:ascii="Arial" w:eastAsia="宋体" w:hAnsi="Arial" w:cs="Arial"/>
          <w:color w:val="262626"/>
          <w:sz w:val="18"/>
          <w:szCs w:val="18"/>
        </w:rPr>
        <w:t>The valuation of inventory includes determining which fixed production overhead costs can be included in inventory based on the normal capacity o</w:t>
      </w:r>
      <w:r>
        <w:rPr>
          <w:rFonts w:ascii="Arial" w:eastAsia="宋体" w:hAnsi="Arial" w:cs="Arial"/>
          <w:color w:val="262626"/>
          <w:sz w:val="18"/>
          <w:szCs w:val="18"/>
        </w:rPr>
        <w:t>f our manufacturing and assembly and test facilities. We apply our historical loadings compared to our total available capacity in a statistical model to determine our normal capacity level. If the factory loadings are below the established normal capacity</w:t>
      </w:r>
      <w:r>
        <w:rPr>
          <w:rFonts w:ascii="Arial" w:eastAsia="宋体" w:hAnsi="Arial" w:cs="Arial"/>
          <w:color w:val="262626"/>
          <w:sz w:val="18"/>
          <w:szCs w:val="18"/>
        </w:rPr>
        <w:t xml:space="preserve"> level, a portion of our fixed production overhead costs would not be included in the cost of inventory; instead, it would be recognized as cost of sales in that period. We refer to these costs as excess capacity charges. Excess capacity charges were $423 </w:t>
      </w:r>
      <w:r>
        <w:rPr>
          <w:rFonts w:ascii="Arial" w:eastAsia="宋体" w:hAnsi="Arial" w:cs="Arial"/>
          <w:color w:val="262626"/>
          <w:sz w:val="18"/>
          <w:szCs w:val="18"/>
        </w:rPr>
        <w:t>million in 2022 and insignificant in the comparative periods presented. Charges in years prior to those presented have ranged up to $1.1 billion taken in a particular fiscal year, such as in connection with the 2009 economic recession.</w:t>
      </w:r>
    </w:p>
    <w:p w14:paraId="5A1B1692" w14:textId="77777777" w:rsidR="00960BB8" w:rsidRDefault="00C06650">
      <w:pPr>
        <w:spacing w:after="180"/>
      </w:pPr>
      <w:r>
        <w:rPr>
          <w:rFonts w:ascii="Arial" w:eastAsia="宋体" w:hAnsi="Arial" w:cs="Arial"/>
          <w:color w:val="262626"/>
          <w:sz w:val="18"/>
          <w:szCs w:val="18"/>
        </w:rPr>
        <w:t xml:space="preserve">Inventory is valued </w:t>
      </w:r>
      <w:r>
        <w:rPr>
          <w:rFonts w:ascii="Arial" w:eastAsia="宋体" w:hAnsi="Arial" w:cs="Arial"/>
          <w:color w:val="262626"/>
          <w:sz w:val="18"/>
          <w:szCs w:val="18"/>
        </w:rPr>
        <w:t>at the lower of cost or net realizable value, based upon assumptions about future demand and market conditions. Product-specific facts and circumstances reviewed in the inventory valuation process include a review of our customer base, the stage of the pro</w:t>
      </w:r>
      <w:r>
        <w:rPr>
          <w:rFonts w:ascii="Arial" w:eastAsia="宋体" w:hAnsi="Arial" w:cs="Arial"/>
          <w:color w:val="262626"/>
          <w:sz w:val="18"/>
          <w:szCs w:val="18"/>
        </w:rPr>
        <w:t xml:space="preserve">duct life cycle, variations in market pricing, and an assessment of selling price in relation to product cost. Lower of cost or net realizable value inventory reserves fluctuate as we ramp new process technologies, with costs generally improving over time </w:t>
      </w:r>
      <w:r>
        <w:rPr>
          <w:rFonts w:ascii="Arial" w:eastAsia="宋体" w:hAnsi="Arial" w:cs="Arial"/>
          <w:color w:val="262626"/>
          <w:sz w:val="18"/>
          <w:szCs w:val="18"/>
        </w:rPr>
        <w:t>due to scale and improved yields. Additionally, inventory valuation is impacted by cyclical changes in market conditions and the associated pricing environment.</w:t>
      </w:r>
    </w:p>
    <w:p w14:paraId="5A1B1693" w14:textId="77777777" w:rsidR="00960BB8" w:rsidRDefault="00C06650">
      <w:pPr>
        <w:spacing w:after="180"/>
      </w:pPr>
      <w:r>
        <w:rPr>
          <w:rFonts w:ascii="Arial" w:eastAsia="宋体" w:hAnsi="Arial" w:cs="Arial"/>
          <w:color w:val="262626"/>
          <w:sz w:val="18"/>
          <w:szCs w:val="18"/>
        </w:rPr>
        <w:t xml:space="preserve">The valuation of inventory also requires us to estimate obsolete and excess inventory, as well </w:t>
      </w:r>
      <w:r>
        <w:rPr>
          <w:rFonts w:ascii="Arial" w:eastAsia="宋体" w:hAnsi="Arial" w:cs="Arial"/>
          <w:color w:val="262626"/>
          <w:sz w:val="18"/>
          <w:szCs w:val="18"/>
        </w:rPr>
        <w:t>as inventory that is not of saleable quality. We use a demand forecast to develop our short-term manufacturing plans to enable consistency between inventory valuations and build decisions. For certain new products, we have limited historical data when deve</w:t>
      </w:r>
      <w:r>
        <w:rPr>
          <w:rFonts w:ascii="Arial" w:eastAsia="宋体" w:hAnsi="Arial" w:cs="Arial"/>
          <w:color w:val="262626"/>
          <w:sz w:val="18"/>
          <w:szCs w:val="18"/>
        </w:rPr>
        <w:t xml:space="preserve">loping these demand forecasts. We compare the estimate of future demand to work in process and finished goods inventory levels to determine the amount, if any, of obsolete or excess inventory. When our demand forecast for specific products is greater than </w:t>
      </w:r>
      <w:r>
        <w:rPr>
          <w:rFonts w:ascii="Arial" w:eastAsia="宋体" w:hAnsi="Arial" w:cs="Arial"/>
          <w:color w:val="262626"/>
          <w:sz w:val="18"/>
          <w:szCs w:val="18"/>
        </w:rPr>
        <w:t xml:space="preserve">actual demand and we fail to reduce manufacturing output accordingly, we write off amounts considered to be excess inventory. </w:t>
      </w:r>
    </w:p>
    <w:p w14:paraId="5A1B1694" w14:textId="77777777" w:rsidR="00960BB8" w:rsidRDefault="00C06650">
      <w:pPr>
        <w:spacing w:after="180"/>
      </w:pPr>
      <w:r>
        <w:rPr>
          <w:rFonts w:ascii="Arial" w:eastAsia="宋体" w:hAnsi="Arial" w:cs="Arial"/>
          <w:color w:val="0068B5"/>
        </w:rPr>
        <w:br/>
        <w:t>Long-Lived Assets</w:t>
      </w:r>
    </w:p>
    <w:p w14:paraId="5A1B1695" w14:textId="77777777" w:rsidR="00960BB8" w:rsidRDefault="00C06650">
      <w:pPr>
        <w:spacing w:after="120"/>
      </w:pPr>
      <w:r>
        <w:rPr>
          <w:rFonts w:ascii="Arial" w:eastAsia="宋体" w:hAnsi="Arial" w:cs="Arial"/>
          <w:color w:val="0068B5"/>
          <w:sz w:val="20"/>
          <w:szCs w:val="20"/>
        </w:rPr>
        <w:t>Property, Plant and Equipment</w:t>
      </w:r>
    </w:p>
    <w:p w14:paraId="5A1B1696" w14:textId="77777777" w:rsidR="00960BB8" w:rsidRDefault="00C06650">
      <w:pPr>
        <w:spacing w:after="180"/>
      </w:pPr>
      <w:r>
        <w:rPr>
          <w:rFonts w:ascii="Arial" w:eastAsia="宋体" w:hAnsi="Arial" w:cs="Arial"/>
          <w:color w:val="262626"/>
          <w:sz w:val="18"/>
          <w:szCs w:val="18"/>
        </w:rPr>
        <w:t>We compute depreciation using the straight-line method over the estimated useful life of assets. We also capitalize interest on borrowings related to eligible capital expenditures. Capitalized interest is added to the cost of qualified assets and depreciat</w:t>
      </w:r>
      <w:r>
        <w:rPr>
          <w:rFonts w:ascii="Arial" w:eastAsia="宋体" w:hAnsi="Arial" w:cs="Arial"/>
          <w:color w:val="262626"/>
          <w:sz w:val="18"/>
          <w:szCs w:val="18"/>
        </w:rPr>
        <w:t xml:space="preserve">ed together with that asset cost. </w:t>
      </w:r>
    </w:p>
    <w:p w14:paraId="5A1B1697" w14:textId="77777777" w:rsidR="00960BB8" w:rsidRDefault="00C06650">
      <w:pPr>
        <w:spacing w:after="180"/>
      </w:pPr>
      <w:r>
        <w:rPr>
          <w:rFonts w:ascii="Arial" w:eastAsia="宋体" w:hAnsi="Arial" w:cs="Arial"/>
          <w:color w:val="262626"/>
          <w:sz w:val="18"/>
          <w:szCs w:val="18"/>
        </w:rPr>
        <w:t xml:space="preserve">At least annually, we evaluate the period over which we expect to recover the economic value of our property, plant and equipment, considering factors such as the process technology cadence between node </w:t>
      </w:r>
      <w:r>
        <w:rPr>
          <w:rFonts w:ascii="Arial" w:eastAsia="宋体" w:hAnsi="Arial" w:cs="Arial"/>
          <w:color w:val="262626"/>
          <w:sz w:val="18"/>
          <w:szCs w:val="18"/>
        </w:rPr>
        <w:t xml:space="preserve">transitions, changes in machinery and equipment technology, and re-use of machinery and tools across each generation of process technology. As we make manufacturing process conversions and other factory planning decisions, we use assumptions involving the </w:t>
      </w:r>
      <w:r>
        <w:rPr>
          <w:rFonts w:ascii="Arial" w:eastAsia="宋体" w:hAnsi="Arial" w:cs="Arial"/>
          <w:color w:val="262626"/>
          <w:sz w:val="18"/>
          <w:szCs w:val="18"/>
        </w:rPr>
        <w:t>use of management judgments regarding the remaining useful lives of assets, primarily process-specific semiconductor manufacturing tools and building improvements. When we determine that the useful lives of assets are shorter or longer than we had original</w:t>
      </w:r>
      <w:r>
        <w:rPr>
          <w:rFonts w:ascii="Arial" w:eastAsia="宋体" w:hAnsi="Arial" w:cs="Arial"/>
          <w:color w:val="262626"/>
          <w:sz w:val="18"/>
          <w:szCs w:val="18"/>
        </w:rPr>
        <w:t>ly estimated, we adjust the rate of depreciation to reflect the assets' revised useful lives. Based on our latest evaluation, effective January 2023, the estimated useful life of certain machinery and equipment in our wafer fabrication facilities will incr</w:t>
      </w:r>
      <w:r>
        <w:rPr>
          <w:rFonts w:ascii="Arial" w:eastAsia="宋体" w:hAnsi="Arial" w:cs="Arial"/>
          <w:color w:val="262626"/>
          <w:sz w:val="18"/>
          <w:szCs w:val="18"/>
        </w:rPr>
        <w:t>ease from 5 to 8 years. This change in estimate will be applied prospectively beginning in the first quarter of 2023.</w:t>
      </w:r>
    </w:p>
    <w:p w14:paraId="5A1B1698" w14:textId="77777777" w:rsidR="00960BB8" w:rsidRDefault="00C06650">
      <w:pPr>
        <w:spacing w:after="180"/>
      </w:pPr>
      <w:r>
        <w:rPr>
          <w:rFonts w:ascii="Arial" w:eastAsia="宋体" w:hAnsi="Arial" w:cs="Arial"/>
          <w:color w:val="262626"/>
          <w:sz w:val="18"/>
          <w:szCs w:val="18"/>
        </w:rPr>
        <w:t>Assets are categorized and evaluated for impairment at the lowest level of identifiable cash flows. Factors that we consider in deciding w</w:t>
      </w:r>
      <w:r>
        <w:rPr>
          <w:rFonts w:ascii="Arial" w:eastAsia="宋体" w:hAnsi="Arial" w:cs="Arial"/>
          <w:color w:val="262626"/>
          <w:sz w:val="18"/>
          <w:szCs w:val="18"/>
        </w:rPr>
        <w:t xml:space="preserve">hen to perform an impairment review include significant under-performance of a business or product line in relation to expectations, significant negative industry or economic trends, and significant changes or planned changes in our use and fungibility of </w:t>
      </w:r>
      <w:r>
        <w:rPr>
          <w:rFonts w:ascii="Arial" w:eastAsia="宋体" w:hAnsi="Arial" w:cs="Arial"/>
          <w:color w:val="262626"/>
          <w:sz w:val="18"/>
          <w:szCs w:val="18"/>
        </w:rPr>
        <w:t>the assets. If an asset grouping carrying value is not recoverable through the related undiscounted cash flows, the asset grouping is considered to be impaired.</w:t>
      </w:r>
    </w:p>
    <w:p w14:paraId="5A1B1699" w14:textId="77777777" w:rsidR="00960BB8" w:rsidRDefault="00C06650">
      <w:pPr>
        <w:spacing w:after="120"/>
      </w:pPr>
      <w:r>
        <w:rPr>
          <w:rFonts w:ascii="Arial" w:eastAsia="宋体" w:hAnsi="Arial" w:cs="Arial"/>
          <w:color w:val="0068B5"/>
          <w:sz w:val="20"/>
          <w:szCs w:val="20"/>
        </w:rPr>
        <w:t>Identified Intangible Assets</w:t>
      </w:r>
    </w:p>
    <w:p w14:paraId="5A1B169A" w14:textId="77777777" w:rsidR="00960BB8" w:rsidRDefault="00C06650">
      <w:pPr>
        <w:spacing w:after="180"/>
      </w:pPr>
      <w:r>
        <w:rPr>
          <w:rFonts w:ascii="Arial" w:eastAsia="宋体" w:hAnsi="Arial" w:cs="Arial"/>
          <w:color w:val="262626"/>
          <w:sz w:val="18"/>
          <w:szCs w:val="18"/>
        </w:rPr>
        <w:t>We amortize acquisition-related intangible assets that are subject</w:t>
      </w:r>
      <w:r>
        <w:rPr>
          <w:rFonts w:ascii="Arial" w:eastAsia="宋体" w:hAnsi="Arial" w:cs="Arial"/>
          <w:color w:val="262626"/>
          <w:sz w:val="18"/>
          <w:szCs w:val="18"/>
        </w:rPr>
        <w:t xml:space="preserve"> to amortization over their estimated useful lives. Acquisition-related, in-process R&amp;D assets represent the fair value of incomplete R&amp;D projects that had not reached technological feasibility as of the date of acquisition; initially, these are classified</w:t>
      </w:r>
      <w:r>
        <w:rPr>
          <w:rFonts w:ascii="Arial" w:eastAsia="宋体" w:hAnsi="Arial" w:cs="Arial"/>
          <w:color w:val="262626"/>
          <w:sz w:val="18"/>
          <w:szCs w:val="18"/>
        </w:rPr>
        <w:t xml:space="preserve"> as in-process R&amp;D and are not subject to amortization. Once these R&amp;D projects are completed, the asset balances are transferred from in-process R&amp;D to acquisition-related developed technology and are subject to amortization from that point forward. The a</w:t>
      </w:r>
      <w:r>
        <w:rPr>
          <w:rFonts w:ascii="Arial" w:eastAsia="宋体" w:hAnsi="Arial" w:cs="Arial"/>
          <w:color w:val="262626"/>
          <w:sz w:val="18"/>
          <w:szCs w:val="18"/>
        </w:rPr>
        <w:t>sset balances relating to projects that are abandoned after acquisition are impaired and expensed to R&amp;D.</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6A7" w14:textId="77777777">
        <w:tc>
          <w:tcPr>
            <w:tcW w:w="50" w:type="pct"/>
            <w:shd w:val="clear" w:color="auto" w:fill="auto"/>
            <w:vAlign w:val="bottom"/>
          </w:tcPr>
          <w:p w14:paraId="5A1B169B" w14:textId="77777777" w:rsidR="00960BB8" w:rsidRDefault="00960BB8">
            <w:pPr>
              <w:rPr>
                <w:rFonts w:ascii="宋体"/>
              </w:rPr>
            </w:pPr>
          </w:p>
        </w:tc>
        <w:tc>
          <w:tcPr>
            <w:tcW w:w="276" w:type="pct"/>
            <w:shd w:val="clear" w:color="auto" w:fill="auto"/>
            <w:vAlign w:val="bottom"/>
          </w:tcPr>
          <w:p w14:paraId="5A1B169C" w14:textId="77777777" w:rsidR="00960BB8" w:rsidRDefault="00960BB8">
            <w:pPr>
              <w:rPr>
                <w:rFonts w:ascii="宋体"/>
              </w:rPr>
            </w:pPr>
          </w:p>
        </w:tc>
        <w:tc>
          <w:tcPr>
            <w:tcW w:w="5" w:type="pct"/>
            <w:shd w:val="clear" w:color="auto" w:fill="auto"/>
            <w:vAlign w:val="bottom"/>
          </w:tcPr>
          <w:p w14:paraId="5A1B169D" w14:textId="77777777" w:rsidR="00960BB8" w:rsidRDefault="00960BB8">
            <w:pPr>
              <w:rPr>
                <w:rFonts w:ascii="宋体"/>
              </w:rPr>
            </w:pPr>
          </w:p>
        </w:tc>
        <w:tc>
          <w:tcPr>
            <w:tcW w:w="50" w:type="pct"/>
            <w:shd w:val="clear" w:color="auto" w:fill="auto"/>
            <w:vAlign w:val="bottom"/>
          </w:tcPr>
          <w:p w14:paraId="5A1B169E" w14:textId="77777777" w:rsidR="00960BB8" w:rsidRDefault="00960BB8">
            <w:pPr>
              <w:rPr>
                <w:rFonts w:ascii="宋体"/>
              </w:rPr>
            </w:pPr>
          </w:p>
        </w:tc>
        <w:tc>
          <w:tcPr>
            <w:tcW w:w="940" w:type="pct"/>
            <w:shd w:val="clear" w:color="auto" w:fill="auto"/>
            <w:vAlign w:val="bottom"/>
          </w:tcPr>
          <w:p w14:paraId="5A1B169F" w14:textId="77777777" w:rsidR="00960BB8" w:rsidRDefault="00960BB8">
            <w:pPr>
              <w:rPr>
                <w:rFonts w:ascii="宋体"/>
              </w:rPr>
            </w:pPr>
          </w:p>
        </w:tc>
        <w:tc>
          <w:tcPr>
            <w:tcW w:w="5" w:type="pct"/>
            <w:shd w:val="clear" w:color="auto" w:fill="auto"/>
            <w:vAlign w:val="bottom"/>
          </w:tcPr>
          <w:p w14:paraId="5A1B16A0" w14:textId="77777777" w:rsidR="00960BB8" w:rsidRDefault="00960BB8">
            <w:pPr>
              <w:rPr>
                <w:rFonts w:ascii="宋体"/>
              </w:rPr>
            </w:pPr>
          </w:p>
        </w:tc>
        <w:tc>
          <w:tcPr>
            <w:tcW w:w="50" w:type="pct"/>
            <w:shd w:val="clear" w:color="auto" w:fill="auto"/>
            <w:vAlign w:val="bottom"/>
          </w:tcPr>
          <w:p w14:paraId="5A1B16A1" w14:textId="77777777" w:rsidR="00960BB8" w:rsidRDefault="00960BB8">
            <w:pPr>
              <w:rPr>
                <w:rFonts w:ascii="宋体"/>
              </w:rPr>
            </w:pPr>
          </w:p>
        </w:tc>
        <w:tc>
          <w:tcPr>
            <w:tcW w:w="1837" w:type="pct"/>
            <w:shd w:val="clear" w:color="auto" w:fill="auto"/>
            <w:vAlign w:val="bottom"/>
          </w:tcPr>
          <w:p w14:paraId="5A1B16A2" w14:textId="77777777" w:rsidR="00960BB8" w:rsidRDefault="00960BB8">
            <w:pPr>
              <w:rPr>
                <w:rFonts w:ascii="宋体"/>
              </w:rPr>
            </w:pPr>
          </w:p>
        </w:tc>
        <w:tc>
          <w:tcPr>
            <w:tcW w:w="5" w:type="pct"/>
            <w:shd w:val="clear" w:color="auto" w:fill="auto"/>
            <w:vAlign w:val="bottom"/>
          </w:tcPr>
          <w:p w14:paraId="5A1B16A3" w14:textId="77777777" w:rsidR="00960BB8" w:rsidRDefault="00960BB8">
            <w:pPr>
              <w:rPr>
                <w:rFonts w:ascii="宋体"/>
              </w:rPr>
            </w:pPr>
          </w:p>
        </w:tc>
        <w:tc>
          <w:tcPr>
            <w:tcW w:w="50" w:type="pct"/>
            <w:shd w:val="clear" w:color="auto" w:fill="auto"/>
            <w:vAlign w:val="bottom"/>
          </w:tcPr>
          <w:p w14:paraId="5A1B16A4" w14:textId="77777777" w:rsidR="00960BB8" w:rsidRDefault="00960BB8">
            <w:pPr>
              <w:rPr>
                <w:rFonts w:ascii="宋体"/>
              </w:rPr>
            </w:pPr>
          </w:p>
        </w:tc>
        <w:tc>
          <w:tcPr>
            <w:tcW w:w="1724" w:type="pct"/>
            <w:shd w:val="clear" w:color="auto" w:fill="auto"/>
            <w:vAlign w:val="bottom"/>
          </w:tcPr>
          <w:p w14:paraId="5A1B16A5" w14:textId="77777777" w:rsidR="00960BB8" w:rsidRDefault="00960BB8">
            <w:pPr>
              <w:rPr>
                <w:rFonts w:ascii="宋体"/>
              </w:rPr>
            </w:pPr>
          </w:p>
        </w:tc>
        <w:tc>
          <w:tcPr>
            <w:tcW w:w="5" w:type="pct"/>
            <w:shd w:val="clear" w:color="auto" w:fill="auto"/>
            <w:vAlign w:val="bottom"/>
          </w:tcPr>
          <w:p w14:paraId="5A1B16A6" w14:textId="77777777" w:rsidR="00960BB8" w:rsidRDefault="00960BB8">
            <w:pPr>
              <w:rPr>
                <w:rFonts w:ascii="宋体"/>
              </w:rPr>
            </w:pPr>
          </w:p>
        </w:tc>
      </w:tr>
      <w:tr w:rsidR="00960BB8" w14:paraId="5A1B16AC"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A8"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78" wp14:editId="5A1B4479">
                  <wp:extent cx="304800" cy="304800"/>
                  <wp:effectExtent l="0" t="0" r="0" b="0"/>
                  <wp:docPr id="76" name="图片 25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53"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A9"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6AA"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AB" w14:textId="77777777" w:rsidR="00960BB8" w:rsidRDefault="00C06650">
            <w:pPr>
              <w:jc w:val="right"/>
              <w:textAlignment w:val="center"/>
            </w:pPr>
            <w:r>
              <w:rPr>
                <w:rFonts w:ascii="Arial" w:eastAsia="宋体" w:hAnsi="Arial" w:cs="Arial"/>
                <w:color w:val="262626"/>
                <w:sz w:val="16"/>
                <w:szCs w:val="16"/>
              </w:rPr>
              <w:t>82</w:t>
            </w:r>
          </w:p>
        </w:tc>
      </w:tr>
    </w:tbl>
    <w:p w14:paraId="5A1B16AD" w14:textId="77777777" w:rsidR="00960BB8" w:rsidRDefault="00C06650">
      <w:r>
        <w:pict w14:anchorId="5A1B447A">
          <v:rect id="_x0000_i1108" style="width:415.3pt;height:1.5pt" o:hralign="center" o:hrstd="t" o:hr="t" fillcolor="#a0a0a0" stroked="f"/>
        </w:pict>
      </w:r>
    </w:p>
    <w:p w14:paraId="5A1B16AE" w14:textId="77777777" w:rsidR="00960BB8" w:rsidRDefault="00C06650">
      <w:pPr>
        <w:jc w:val="right"/>
      </w:pPr>
      <w:hyperlink r:id="rId131" w:anchor="i8aaa7b4dbd2e419ca0f5c30af85a11aa_16" w:history="1">
        <w:r>
          <w:rPr>
            <w:rStyle w:val="a5"/>
            <w:rFonts w:ascii="Arial" w:eastAsia="宋体" w:hAnsi="Arial" w:cs="Arial"/>
            <w:b/>
            <w:bCs/>
            <w:sz w:val="16"/>
            <w:szCs w:val="16"/>
          </w:rPr>
          <w:t>Table of Contents</w:t>
        </w:r>
      </w:hyperlink>
    </w:p>
    <w:p w14:paraId="5A1B16AF" w14:textId="77777777" w:rsidR="00960BB8" w:rsidRDefault="00960BB8">
      <w:pPr>
        <w:jc w:val="right"/>
      </w:pPr>
    </w:p>
    <w:p w14:paraId="5A1B16B0" w14:textId="77777777" w:rsidR="00960BB8" w:rsidRDefault="00C06650">
      <w:pPr>
        <w:spacing w:after="180"/>
      </w:pPr>
      <w:r>
        <w:rPr>
          <w:rFonts w:ascii="Arial" w:eastAsia="宋体" w:hAnsi="Arial" w:cs="Arial"/>
          <w:color w:val="262626"/>
          <w:sz w:val="18"/>
          <w:szCs w:val="18"/>
        </w:rPr>
        <w:t xml:space="preserve">We perform periodic reviews of significant finite-lived identified </w:t>
      </w:r>
      <w:r>
        <w:rPr>
          <w:rFonts w:ascii="Arial" w:eastAsia="宋体" w:hAnsi="Arial" w:cs="Arial"/>
          <w:color w:val="262626"/>
          <w:sz w:val="18"/>
          <w:szCs w:val="18"/>
        </w:rPr>
        <w:t>intangible assets to determine whether facts and circumstances indicate that the carrying amount may not be recoverable. These reviews can be affected by various factors, including external factors such as industry and economic trends, and internal factors</w:t>
      </w:r>
      <w:r>
        <w:rPr>
          <w:rFonts w:ascii="Arial" w:eastAsia="宋体" w:hAnsi="Arial" w:cs="Arial"/>
          <w:color w:val="262626"/>
          <w:sz w:val="18"/>
          <w:szCs w:val="18"/>
        </w:rPr>
        <w:t xml:space="preserve"> such as changes in our business strategy and our forecasts for specific product lines. Periodically, we also evaluate the estimated remaining useful lives of purchased intangible assets and whether events or changes in circumstances warrant a revision to </w:t>
      </w:r>
      <w:r>
        <w:rPr>
          <w:rFonts w:ascii="Arial" w:eastAsia="宋体" w:hAnsi="Arial" w:cs="Arial"/>
          <w:color w:val="262626"/>
          <w:sz w:val="18"/>
          <w:szCs w:val="18"/>
        </w:rPr>
        <w:t>the remaining periods of amortization. We may adjust the period over which these assets are amortized to reflect the period in which they contribute to our cash flows.</w:t>
      </w:r>
    </w:p>
    <w:p w14:paraId="5A1B16B1" w14:textId="77777777" w:rsidR="00960BB8" w:rsidRDefault="00C06650">
      <w:pPr>
        <w:spacing w:after="120"/>
      </w:pPr>
      <w:r>
        <w:rPr>
          <w:rFonts w:ascii="Arial" w:eastAsia="宋体" w:hAnsi="Arial" w:cs="Arial"/>
          <w:color w:val="0068B5"/>
          <w:sz w:val="20"/>
          <w:szCs w:val="20"/>
        </w:rPr>
        <w:t>Goodwill</w:t>
      </w:r>
    </w:p>
    <w:p w14:paraId="5A1B16B2" w14:textId="77777777" w:rsidR="00960BB8" w:rsidRDefault="00C06650">
      <w:pPr>
        <w:spacing w:after="180"/>
      </w:pPr>
      <w:r>
        <w:rPr>
          <w:rFonts w:ascii="Arial" w:eastAsia="宋体" w:hAnsi="Arial" w:cs="Arial"/>
          <w:color w:val="262626"/>
          <w:sz w:val="18"/>
          <w:szCs w:val="18"/>
        </w:rPr>
        <w:t>Our reporting units are the same as our operating segments. We evaluate our rep</w:t>
      </w:r>
      <w:r>
        <w:rPr>
          <w:rFonts w:ascii="Arial" w:eastAsia="宋体" w:hAnsi="Arial" w:cs="Arial"/>
          <w:color w:val="262626"/>
          <w:sz w:val="18"/>
          <w:szCs w:val="18"/>
        </w:rPr>
        <w:t>orting units annually or when triggered, such as upon reorganization of our operating segments. We perform an annual impairment assessment of goodwill at the reporting unit level in the fourth quarter of each year, or more frequently if indicators of poten</w:t>
      </w:r>
      <w:r>
        <w:rPr>
          <w:rFonts w:ascii="Arial" w:eastAsia="宋体" w:hAnsi="Arial" w:cs="Arial"/>
          <w:color w:val="262626"/>
          <w:sz w:val="18"/>
          <w:szCs w:val="18"/>
        </w:rPr>
        <w:t>tial impairment exist. The reporting unit's carrying value used in an impairment assessment represents the assignment of various assets and liabilities, excluding certain corporate assets and liabilities, such as cash, investments, and debt. The impairment</w:t>
      </w:r>
      <w:r>
        <w:rPr>
          <w:rFonts w:ascii="Arial" w:eastAsia="宋体" w:hAnsi="Arial" w:cs="Arial"/>
          <w:color w:val="262626"/>
          <w:sz w:val="18"/>
          <w:szCs w:val="18"/>
        </w:rPr>
        <w:t xml:space="preserve"> assessment may include both qualitative and quantitative factors to assess the likelihood of an impairment.</w:t>
      </w:r>
    </w:p>
    <w:p w14:paraId="5A1B16B3" w14:textId="77777777" w:rsidR="00960BB8" w:rsidRDefault="00C06650">
      <w:pPr>
        <w:spacing w:after="180"/>
      </w:pPr>
      <w:r>
        <w:rPr>
          <w:rFonts w:ascii="Arial" w:eastAsia="宋体" w:hAnsi="Arial" w:cs="Arial"/>
          <w:color w:val="262626"/>
          <w:sz w:val="18"/>
          <w:szCs w:val="18"/>
        </w:rPr>
        <w:t>Qualitative factors used include industry and market considerations, overall financial performance, and other relevant events and factors affecting</w:t>
      </w:r>
      <w:r>
        <w:rPr>
          <w:rFonts w:ascii="Arial" w:eastAsia="宋体" w:hAnsi="Arial" w:cs="Arial"/>
          <w:color w:val="262626"/>
          <w:sz w:val="18"/>
          <w:szCs w:val="18"/>
        </w:rPr>
        <w:t xml:space="preserve"> the reporting unit. We may also perform a quantitative analysis to support the qualitative factors by applying sensitivities to assumptions and inputs used in measuring a reporting unit's fair value.</w:t>
      </w:r>
    </w:p>
    <w:p w14:paraId="5A1B16B4" w14:textId="77777777" w:rsidR="00960BB8" w:rsidRDefault="00C06650">
      <w:pPr>
        <w:spacing w:after="180"/>
      </w:pPr>
      <w:r>
        <w:rPr>
          <w:rFonts w:ascii="Arial" w:eastAsia="宋体" w:hAnsi="Arial" w:cs="Arial"/>
          <w:color w:val="262626"/>
          <w:sz w:val="18"/>
          <w:szCs w:val="18"/>
        </w:rPr>
        <w:t>Our quantitative impairment assessment considers both t</w:t>
      </w:r>
      <w:r>
        <w:rPr>
          <w:rFonts w:ascii="Arial" w:eastAsia="宋体" w:hAnsi="Arial" w:cs="Arial"/>
          <w:color w:val="262626"/>
          <w:sz w:val="18"/>
          <w:szCs w:val="18"/>
        </w:rPr>
        <w:t>he income approach and the market approach to estimate a reporting unit's fair value. Significant estimates include market segment growth rates, our assumed market segment share, estimated gross margins, operating expenses, and discount rates based on a re</w:t>
      </w:r>
      <w:r>
        <w:rPr>
          <w:rFonts w:ascii="Arial" w:eastAsia="宋体" w:hAnsi="Arial" w:cs="Arial"/>
          <w:color w:val="262626"/>
          <w:sz w:val="18"/>
          <w:szCs w:val="18"/>
        </w:rPr>
        <w:t>porting unit's weighted average cost of capital. We test the reasonableness of the inputs and outcomes of our discounted cash flow analysis against available market data. These estimates change from year to year based on operating results, market condition</w:t>
      </w:r>
      <w:r>
        <w:rPr>
          <w:rFonts w:ascii="Arial" w:eastAsia="宋体" w:hAnsi="Arial" w:cs="Arial"/>
          <w:color w:val="262626"/>
          <w:sz w:val="18"/>
          <w:szCs w:val="18"/>
        </w:rPr>
        <w:t>s, and other factors and could materially affect the determination of each reporting unit's fair value and potential goodwill impairment for each reporting unit. Our quantitative assessment is sensitive to changes in underlying estimates and assumptions, t</w:t>
      </w:r>
      <w:r>
        <w:rPr>
          <w:rFonts w:ascii="Arial" w:eastAsia="宋体" w:hAnsi="Arial" w:cs="Arial"/>
          <w:color w:val="262626"/>
          <w:sz w:val="18"/>
          <w:szCs w:val="18"/>
        </w:rPr>
        <w:t>he most sensitive of which is the discount rate.</w:t>
      </w:r>
    </w:p>
    <w:p w14:paraId="5A1B16B5" w14:textId="77777777" w:rsidR="00960BB8" w:rsidRDefault="00C06650">
      <w:pPr>
        <w:spacing w:after="180"/>
      </w:pPr>
      <w:r>
        <w:rPr>
          <w:rFonts w:ascii="Arial" w:eastAsia="宋体" w:hAnsi="Arial" w:cs="Arial"/>
          <w:color w:val="262626"/>
          <w:sz w:val="18"/>
          <w:szCs w:val="18"/>
        </w:rPr>
        <w:t>Our 2022 annual qualitative assessment indicated that a more detailed quantitative analysis was necessary for one of our reporting units. No impairment was required, even when considering a hypothetical incr</w:t>
      </w:r>
      <w:r>
        <w:rPr>
          <w:rFonts w:ascii="Arial" w:eastAsia="宋体" w:hAnsi="Arial" w:cs="Arial"/>
          <w:color w:val="262626"/>
          <w:sz w:val="18"/>
          <w:szCs w:val="18"/>
        </w:rPr>
        <w:t>ease in the discount rate of 1%, which would cause a material decrease in the estimated fair value of the reporting unit.</w:t>
      </w:r>
    </w:p>
    <w:p w14:paraId="5A1B16B6" w14:textId="77777777" w:rsidR="00960BB8" w:rsidRDefault="00C06650">
      <w:pPr>
        <w:spacing w:after="180"/>
      </w:pPr>
      <w:r>
        <w:rPr>
          <w:rFonts w:ascii="Arial" w:eastAsia="宋体" w:hAnsi="Arial" w:cs="Arial"/>
          <w:color w:val="0068B5"/>
        </w:rPr>
        <w:t>Government Incentives</w:t>
      </w:r>
    </w:p>
    <w:p w14:paraId="5A1B16B7" w14:textId="77777777" w:rsidR="00960BB8" w:rsidRDefault="00C06650">
      <w:pPr>
        <w:spacing w:after="180"/>
      </w:pPr>
      <w:r>
        <w:rPr>
          <w:rFonts w:ascii="Arial" w:eastAsia="宋体" w:hAnsi="Arial" w:cs="Arial"/>
          <w:color w:val="262626"/>
          <w:sz w:val="18"/>
          <w:szCs w:val="18"/>
        </w:rPr>
        <w:t>We enter into government incentive arrangements with domestic and foreign, local, regional, and national governm</w:t>
      </w:r>
      <w:r>
        <w:rPr>
          <w:rFonts w:ascii="Arial" w:eastAsia="宋体" w:hAnsi="Arial" w:cs="Arial"/>
          <w:color w:val="262626"/>
          <w:sz w:val="18"/>
          <w:szCs w:val="18"/>
        </w:rPr>
        <w:t>ents, which vary in size, duration, and conditions. These arrangements allow us to maintain a market-comparable foothold across various geographies. We receive capital-related and operating grants, the benefits of which generally offset the cost of acquire</w:t>
      </w:r>
      <w:r>
        <w:rPr>
          <w:rFonts w:ascii="Arial" w:eastAsia="宋体" w:hAnsi="Arial" w:cs="Arial"/>
          <w:color w:val="262626"/>
          <w:sz w:val="18"/>
          <w:szCs w:val="18"/>
        </w:rPr>
        <w:t>d capital and other expenses and are primarily structured as cash grants and non-income tax incentives. Government grants, including non-income tax incentives, are recognized when there is reasonable assurance that the grant will be received and we will co</w:t>
      </w:r>
      <w:r>
        <w:rPr>
          <w:rFonts w:ascii="Arial" w:eastAsia="宋体" w:hAnsi="Arial" w:cs="Arial"/>
          <w:color w:val="262626"/>
          <w:sz w:val="18"/>
          <w:szCs w:val="18"/>
        </w:rPr>
        <w:t>mply with the conditions specified in the grant agreement. We are eligible to receive these grants because we engage in qualifying capital investments, research and development, and other activities as defined by the relevant government entities awarding t</w:t>
      </w:r>
      <w:r>
        <w:rPr>
          <w:rFonts w:ascii="Arial" w:eastAsia="宋体" w:hAnsi="Arial" w:cs="Arial"/>
          <w:color w:val="262626"/>
          <w:sz w:val="18"/>
          <w:szCs w:val="18"/>
        </w:rPr>
        <w:t xml:space="preserve">he grants. Each grant agreement requires that we comply with certain conditions, including achievement of future operational targets and committing to minimum levels of capital investment. </w:t>
      </w:r>
    </w:p>
    <w:p w14:paraId="5A1B16B8" w14:textId="77777777" w:rsidR="00960BB8" w:rsidRDefault="00C06650">
      <w:pPr>
        <w:spacing w:after="180"/>
      </w:pPr>
      <w:r>
        <w:rPr>
          <w:rFonts w:ascii="Arial" w:eastAsia="宋体" w:hAnsi="Arial" w:cs="Arial"/>
          <w:color w:val="262626"/>
          <w:sz w:val="18"/>
          <w:szCs w:val="18"/>
        </w:rPr>
        <w:t xml:space="preserve">We record capital-related grants as a reduction to </w:t>
      </w:r>
      <w:r>
        <w:rPr>
          <w:rFonts w:ascii="Arial" w:eastAsia="宋体" w:hAnsi="Arial" w:cs="Arial"/>
          <w:i/>
          <w:iCs/>
          <w:color w:val="262626"/>
          <w:sz w:val="18"/>
          <w:szCs w:val="18"/>
        </w:rPr>
        <w:t>property, plant</w:t>
      </w:r>
      <w:r>
        <w:rPr>
          <w:rFonts w:ascii="Arial" w:eastAsia="宋体" w:hAnsi="Arial" w:cs="Arial"/>
          <w:i/>
          <w:iCs/>
          <w:color w:val="262626"/>
          <w:sz w:val="18"/>
          <w:szCs w:val="18"/>
        </w:rPr>
        <w:t xml:space="preserve"> and equipment, net</w:t>
      </w:r>
      <w:r>
        <w:rPr>
          <w:rFonts w:ascii="Arial" w:eastAsia="宋体" w:hAnsi="Arial" w:cs="Arial"/>
          <w:color w:val="262626"/>
          <w:sz w:val="18"/>
          <w:szCs w:val="18"/>
        </w:rPr>
        <w:t xml:space="preserve"> within our Consolidated Balance Sheets and recognize a reduction to depreciation and amortization expense over the useful life of the corresponding acquired asset. We record operating grants as a reduction to expense in the same line it</w:t>
      </w:r>
      <w:r>
        <w:rPr>
          <w:rFonts w:ascii="Arial" w:eastAsia="宋体" w:hAnsi="Arial" w:cs="Arial"/>
          <w:color w:val="262626"/>
          <w:sz w:val="18"/>
          <w:szCs w:val="18"/>
        </w:rPr>
        <w:t>em on the Consolidated Statements of Income as the expenditure for which the grant is intended to compensate. Capital-related grants reduced gross property, plant and equipment by $3.3 billion as of December 31, 2022, of which $373 million was recognized i</w:t>
      </w:r>
      <w:r>
        <w:rPr>
          <w:rFonts w:ascii="Arial" w:eastAsia="宋体" w:hAnsi="Arial" w:cs="Arial"/>
          <w:color w:val="262626"/>
          <w:sz w:val="18"/>
          <w:szCs w:val="18"/>
        </w:rPr>
        <w:t xml:space="preserve">n 2022. Contra-depreciation expense reduced </w:t>
      </w:r>
      <w:r>
        <w:rPr>
          <w:rFonts w:ascii="Arial" w:eastAsia="宋体" w:hAnsi="Arial" w:cs="Arial"/>
          <w:i/>
          <w:iCs/>
          <w:color w:val="262626"/>
          <w:sz w:val="18"/>
          <w:szCs w:val="18"/>
        </w:rPr>
        <w:t>cost of sales</w:t>
      </w:r>
      <w:r>
        <w:rPr>
          <w:rFonts w:ascii="Arial" w:eastAsia="宋体" w:hAnsi="Arial" w:cs="Arial"/>
          <w:color w:val="262626"/>
          <w:sz w:val="18"/>
          <w:szCs w:val="18"/>
        </w:rPr>
        <w:t xml:space="preserve"> by $230 million in 2022. A majority of operating grants are recognized as a reduction to </w:t>
      </w:r>
      <w:r>
        <w:rPr>
          <w:rFonts w:ascii="Arial" w:eastAsia="宋体" w:hAnsi="Arial" w:cs="Arial"/>
          <w:i/>
          <w:iCs/>
          <w:color w:val="262626"/>
          <w:sz w:val="18"/>
          <w:szCs w:val="18"/>
        </w:rPr>
        <w:t>cost of sales</w:t>
      </w:r>
      <w:r>
        <w:rPr>
          <w:rFonts w:ascii="Arial" w:eastAsia="宋体" w:hAnsi="Arial" w:cs="Arial"/>
          <w:color w:val="262626"/>
          <w:sz w:val="18"/>
          <w:szCs w:val="18"/>
        </w:rPr>
        <w:t xml:space="preserve">, benefiting </w:t>
      </w:r>
      <w:r>
        <w:rPr>
          <w:rFonts w:ascii="Arial" w:eastAsia="宋体" w:hAnsi="Arial" w:cs="Arial"/>
          <w:i/>
          <w:iCs/>
          <w:color w:val="262626"/>
          <w:sz w:val="18"/>
          <w:szCs w:val="18"/>
        </w:rPr>
        <w:t>operating income</w:t>
      </w:r>
      <w:r>
        <w:rPr>
          <w:rFonts w:ascii="Arial" w:eastAsia="宋体" w:hAnsi="Arial" w:cs="Arial"/>
          <w:color w:val="262626"/>
          <w:sz w:val="18"/>
          <w:szCs w:val="18"/>
        </w:rPr>
        <w:t xml:space="preserve"> by $104 million in 2022. Capital-related and operating grants rece</w:t>
      </w:r>
      <w:r>
        <w:rPr>
          <w:rFonts w:ascii="Arial" w:eastAsia="宋体" w:hAnsi="Arial" w:cs="Arial"/>
          <w:color w:val="262626"/>
          <w:sz w:val="18"/>
          <w:szCs w:val="18"/>
        </w:rPr>
        <w:t xml:space="preserve">ivables totaled $437 million as of December 31, 2022 and a substantial majority of the capital-related and operating grants receivables were reflected within </w:t>
      </w:r>
      <w:r>
        <w:rPr>
          <w:rFonts w:ascii="Arial" w:eastAsia="宋体" w:hAnsi="Arial" w:cs="Arial"/>
          <w:i/>
          <w:iCs/>
          <w:color w:val="262626"/>
          <w:sz w:val="18"/>
          <w:szCs w:val="18"/>
        </w:rPr>
        <w:t>other long-term assets</w:t>
      </w:r>
      <w:r>
        <w:rPr>
          <w:rFonts w:ascii="Arial" w:eastAsia="宋体" w:hAnsi="Arial" w:cs="Arial"/>
          <w:color w:val="262626"/>
          <w:sz w:val="18"/>
          <w:szCs w:val="18"/>
        </w:rPr>
        <w:t xml:space="preserve"> on our Consolidated Balance Sheets.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6C5" w14:textId="77777777">
        <w:tc>
          <w:tcPr>
            <w:tcW w:w="50" w:type="pct"/>
            <w:shd w:val="clear" w:color="auto" w:fill="auto"/>
            <w:vAlign w:val="bottom"/>
          </w:tcPr>
          <w:p w14:paraId="5A1B16B9" w14:textId="77777777" w:rsidR="00960BB8" w:rsidRDefault="00960BB8">
            <w:pPr>
              <w:rPr>
                <w:rFonts w:ascii="宋体"/>
              </w:rPr>
            </w:pPr>
          </w:p>
        </w:tc>
        <w:tc>
          <w:tcPr>
            <w:tcW w:w="276" w:type="pct"/>
            <w:shd w:val="clear" w:color="auto" w:fill="auto"/>
            <w:vAlign w:val="bottom"/>
          </w:tcPr>
          <w:p w14:paraId="5A1B16BA" w14:textId="77777777" w:rsidR="00960BB8" w:rsidRDefault="00960BB8">
            <w:pPr>
              <w:rPr>
                <w:rFonts w:ascii="宋体"/>
              </w:rPr>
            </w:pPr>
          </w:p>
        </w:tc>
        <w:tc>
          <w:tcPr>
            <w:tcW w:w="5" w:type="pct"/>
            <w:shd w:val="clear" w:color="auto" w:fill="auto"/>
            <w:vAlign w:val="bottom"/>
          </w:tcPr>
          <w:p w14:paraId="5A1B16BB" w14:textId="77777777" w:rsidR="00960BB8" w:rsidRDefault="00960BB8">
            <w:pPr>
              <w:rPr>
                <w:rFonts w:ascii="宋体"/>
              </w:rPr>
            </w:pPr>
          </w:p>
        </w:tc>
        <w:tc>
          <w:tcPr>
            <w:tcW w:w="50" w:type="pct"/>
            <w:shd w:val="clear" w:color="auto" w:fill="auto"/>
            <w:vAlign w:val="bottom"/>
          </w:tcPr>
          <w:p w14:paraId="5A1B16BC" w14:textId="77777777" w:rsidR="00960BB8" w:rsidRDefault="00960BB8">
            <w:pPr>
              <w:rPr>
                <w:rFonts w:ascii="宋体"/>
              </w:rPr>
            </w:pPr>
          </w:p>
        </w:tc>
        <w:tc>
          <w:tcPr>
            <w:tcW w:w="940" w:type="pct"/>
            <w:shd w:val="clear" w:color="auto" w:fill="auto"/>
            <w:vAlign w:val="bottom"/>
          </w:tcPr>
          <w:p w14:paraId="5A1B16BD" w14:textId="77777777" w:rsidR="00960BB8" w:rsidRDefault="00960BB8">
            <w:pPr>
              <w:rPr>
                <w:rFonts w:ascii="宋体"/>
              </w:rPr>
            </w:pPr>
          </w:p>
        </w:tc>
        <w:tc>
          <w:tcPr>
            <w:tcW w:w="5" w:type="pct"/>
            <w:shd w:val="clear" w:color="auto" w:fill="auto"/>
            <w:vAlign w:val="bottom"/>
          </w:tcPr>
          <w:p w14:paraId="5A1B16BE" w14:textId="77777777" w:rsidR="00960BB8" w:rsidRDefault="00960BB8">
            <w:pPr>
              <w:rPr>
                <w:rFonts w:ascii="宋体"/>
              </w:rPr>
            </w:pPr>
          </w:p>
        </w:tc>
        <w:tc>
          <w:tcPr>
            <w:tcW w:w="50" w:type="pct"/>
            <w:shd w:val="clear" w:color="auto" w:fill="auto"/>
            <w:vAlign w:val="bottom"/>
          </w:tcPr>
          <w:p w14:paraId="5A1B16BF" w14:textId="77777777" w:rsidR="00960BB8" w:rsidRDefault="00960BB8">
            <w:pPr>
              <w:rPr>
                <w:rFonts w:ascii="宋体"/>
              </w:rPr>
            </w:pPr>
          </w:p>
        </w:tc>
        <w:tc>
          <w:tcPr>
            <w:tcW w:w="1837" w:type="pct"/>
            <w:shd w:val="clear" w:color="auto" w:fill="auto"/>
            <w:vAlign w:val="bottom"/>
          </w:tcPr>
          <w:p w14:paraId="5A1B16C0" w14:textId="77777777" w:rsidR="00960BB8" w:rsidRDefault="00960BB8">
            <w:pPr>
              <w:rPr>
                <w:rFonts w:ascii="宋体"/>
              </w:rPr>
            </w:pPr>
          </w:p>
        </w:tc>
        <w:tc>
          <w:tcPr>
            <w:tcW w:w="5" w:type="pct"/>
            <w:shd w:val="clear" w:color="auto" w:fill="auto"/>
            <w:vAlign w:val="bottom"/>
          </w:tcPr>
          <w:p w14:paraId="5A1B16C1" w14:textId="77777777" w:rsidR="00960BB8" w:rsidRDefault="00960BB8">
            <w:pPr>
              <w:rPr>
                <w:rFonts w:ascii="宋体"/>
              </w:rPr>
            </w:pPr>
          </w:p>
        </w:tc>
        <w:tc>
          <w:tcPr>
            <w:tcW w:w="50" w:type="pct"/>
            <w:shd w:val="clear" w:color="auto" w:fill="auto"/>
            <w:vAlign w:val="bottom"/>
          </w:tcPr>
          <w:p w14:paraId="5A1B16C2" w14:textId="77777777" w:rsidR="00960BB8" w:rsidRDefault="00960BB8">
            <w:pPr>
              <w:rPr>
                <w:rFonts w:ascii="宋体"/>
              </w:rPr>
            </w:pPr>
          </w:p>
        </w:tc>
        <w:tc>
          <w:tcPr>
            <w:tcW w:w="1724" w:type="pct"/>
            <w:shd w:val="clear" w:color="auto" w:fill="auto"/>
            <w:vAlign w:val="bottom"/>
          </w:tcPr>
          <w:p w14:paraId="5A1B16C3" w14:textId="77777777" w:rsidR="00960BB8" w:rsidRDefault="00960BB8">
            <w:pPr>
              <w:rPr>
                <w:rFonts w:ascii="宋体"/>
              </w:rPr>
            </w:pPr>
          </w:p>
        </w:tc>
        <w:tc>
          <w:tcPr>
            <w:tcW w:w="5" w:type="pct"/>
            <w:shd w:val="clear" w:color="auto" w:fill="auto"/>
            <w:vAlign w:val="bottom"/>
          </w:tcPr>
          <w:p w14:paraId="5A1B16C4" w14:textId="77777777" w:rsidR="00960BB8" w:rsidRDefault="00960BB8">
            <w:pPr>
              <w:rPr>
                <w:rFonts w:ascii="宋体"/>
              </w:rPr>
            </w:pPr>
          </w:p>
        </w:tc>
      </w:tr>
      <w:tr w:rsidR="00960BB8" w14:paraId="5A1B16CA"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C6"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7B" wp14:editId="5A1B447C">
                  <wp:extent cx="304800" cy="304800"/>
                  <wp:effectExtent l="0" t="0" r="0" b="0"/>
                  <wp:docPr id="67" name="图片 25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5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C7"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6C8"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C9" w14:textId="77777777" w:rsidR="00960BB8" w:rsidRDefault="00C06650">
            <w:pPr>
              <w:jc w:val="right"/>
              <w:textAlignment w:val="center"/>
            </w:pPr>
            <w:r>
              <w:rPr>
                <w:rFonts w:ascii="Arial" w:eastAsia="宋体" w:hAnsi="Arial" w:cs="Arial"/>
                <w:color w:val="262626"/>
                <w:sz w:val="16"/>
                <w:szCs w:val="16"/>
              </w:rPr>
              <w:t>83</w:t>
            </w:r>
          </w:p>
        </w:tc>
      </w:tr>
    </w:tbl>
    <w:p w14:paraId="5A1B16CB" w14:textId="77777777" w:rsidR="00960BB8" w:rsidRDefault="00C06650">
      <w:r>
        <w:pict w14:anchorId="5A1B447D">
          <v:rect id="_x0000_i1109" style="width:415.3pt;height:1.5pt" o:hralign="center" o:hrstd="t" o:hr="t" fillcolor="#a0a0a0" stroked="f"/>
        </w:pict>
      </w:r>
    </w:p>
    <w:p w14:paraId="5A1B16CC" w14:textId="77777777" w:rsidR="00960BB8" w:rsidRDefault="00C06650">
      <w:pPr>
        <w:jc w:val="right"/>
      </w:pPr>
      <w:hyperlink r:id="rId132" w:anchor="i8aaa7b4dbd2e419ca0f5c30af85a11aa_16" w:history="1">
        <w:r>
          <w:rPr>
            <w:rStyle w:val="a5"/>
            <w:rFonts w:ascii="Arial" w:eastAsia="宋体" w:hAnsi="Arial" w:cs="Arial"/>
            <w:b/>
            <w:bCs/>
            <w:sz w:val="16"/>
            <w:szCs w:val="16"/>
          </w:rPr>
          <w:t>Table of Contents</w:t>
        </w:r>
      </w:hyperlink>
    </w:p>
    <w:p w14:paraId="5A1B16CD" w14:textId="77777777" w:rsidR="00960BB8" w:rsidRDefault="00960BB8">
      <w:pPr>
        <w:jc w:val="right"/>
      </w:pPr>
    </w:p>
    <w:p w14:paraId="5A1B16CE" w14:textId="77777777" w:rsidR="00960BB8" w:rsidRDefault="00C06650">
      <w:pPr>
        <w:spacing w:before="180" w:after="180"/>
      </w:pPr>
      <w:r>
        <w:rPr>
          <w:rFonts w:ascii="Arial" w:eastAsia="宋体" w:hAnsi="Arial" w:cs="Arial"/>
          <w:color w:val="0068B5"/>
        </w:rPr>
        <w:t>Fair Value</w:t>
      </w:r>
    </w:p>
    <w:p w14:paraId="5A1B16CF" w14:textId="77777777" w:rsidR="00960BB8" w:rsidRDefault="00C06650">
      <w:pPr>
        <w:spacing w:after="180"/>
      </w:pPr>
      <w:r>
        <w:rPr>
          <w:rFonts w:ascii="Arial" w:eastAsia="宋体" w:hAnsi="Arial" w:cs="Arial"/>
          <w:color w:val="262626"/>
          <w:sz w:val="18"/>
          <w:szCs w:val="18"/>
        </w:rPr>
        <w:t>When determining fair value, we consider the principal or most advantage</w:t>
      </w:r>
      <w:r>
        <w:rPr>
          <w:rFonts w:ascii="Arial" w:eastAsia="宋体" w:hAnsi="Arial" w:cs="Arial"/>
          <w:color w:val="262626"/>
          <w:sz w:val="18"/>
          <w:szCs w:val="18"/>
        </w:rPr>
        <w:t>ous market in which we would transact, as well as assumptions that market participants would use when pricing the asset or liability. Our financial assets are measured and recorded at fair value on a recurring basis, except for equity securities measured u</w:t>
      </w:r>
      <w:r>
        <w:rPr>
          <w:rFonts w:ascii="Arial" w:eastAsia="宋体" w:hAnsi="Arial" w:cs="Arial"/>
          <w:color w:val="262626"/>
          <w:sz w:val="18"/>
          <w:szCs w:val="18"/>
        </w:rPr>
        <w:t>sing the measurement alternative, equity method investments, and grants receivable. We assess fair value hierarchy levels for our issued debt and fixed-income investment portfolio based on the underlying instrument type.</w:t>
      </w:r>
    </w:p>
    <w:p w14:paraId="5A1B16D0" w14:textId="77777777" w:rsidR="00960BB8" w:rsidRDefault="00C06650">
      <w:pPr>
        <w:spacing w:after="120"/>
      </w:pPr>
      <w:r>
        <w:rPr>
          <w:rFonts w:ascii="Arial" w:eastAsia="宋体" w:hAnsi="Arial" w:cs="Arial"/>
          <w:color w:val="262626"/>
          <w:sz w:val="18"/>
          <w:szCs w:val="18"/>
        </w:rPr>
        <w:t>The three levels of inputs that may</w:t>
      </w:r>
      <w:r>
        <w:rPr>
          <w:rFonts w:ascii="Arial" w:eastAsia="宋体" w:hAnsi="Arial" w:cs="Arial"/>
          <w:color w:val="262626"/>
          <w:sz w:val="18"/>
          <w:szCs w:val="18"/>
        </w:rPr>
        <w:t xml:space="preserve"> be used to measure fair value are: </w:t>
      </w:r>
    </w:p>
    <w:p w14:paraId="5A1B16D1" w14:textId="77777777" w:rsidR="00960BB8" w:rsidRDefault="00C06650">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Level 1</w:t>
      </w:r>
      <w:r>
        <w:rPr>
          <w:rFonts w:ascii="Arial" w:eastAsia="宋体" w:hAnsi="Arial" w:cs="Arial"/>
          <w:color w:val="0068B5"/>
          <w:sz w:val="20"/>
          <w:szCs w:val="20"/>
        </w:rPr>
        <w:t>.</w:t>
      </w:r>
      <w:r>
        <w:rPr>
          <w:rFonts w:ascii="Arial" w:eastAsia="宋体" w:hAnsi="Arial" w:cs="Arial"/>
          <w:color w:val="0068B5"/>
          <w:sz w:val="18"/>
          <w:szCs w:val="18"/>
        </w:rPr>
        <w:t xml:space="preserve"> </w:t>
      </w:r>
      <w:r>
        <w:rPr>
          <w:rFonts w:ascii="Arial" w:eastAsia="宋体" w:hAnsi="Arial" w:cs="Arial"/>
          <w:color w:val="262626"/>
          <w:sz w:val="18"/>
          <w:szCs w:val="18"/>
        </w:rPr>
        <w:t>Quoted prices in active markets for identical assets or liabilities. We evaluate security-specific market data when determining whether a market is active.</w:t>
      </w:r>
    </w:p>
    <w:p w14:paraId="5A1B16D2" w14:textId="77777777" w:rsidR="00960BB8" w:rsidRDefault="00C06650">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Level 2.</w:t>
      </w:r>
      <w:r>
        <w:rPr>
          <w:rFonts w:ascii="Arial" w:eastAsia="宋体" w:hAnsi="Arial" w:cs="Arial"/>
          <w:i/>
          <w:iCs/>
          <w:color w:val="262626"/>
          <w:sz w:val="18"/>
          <w:szCs w:val="18"/>
        </w:rPr>
        <w:t xml:space="preserve"> </w:t>
      </w:r>
      <w:r>
        <w:rPr>
          <w:rFonts w:ascii="Arial" w:eastAsia="宋体" w:hAnsi="Arial" w:cs="Arial"/>
          <w:color w:val="262626"/>
          <w:sz w:val="18"/>
          <w:szCs w:val="18"/>
        </w:rPr>
        <w:t xml:space="preserve">Observable inputs other than Level 1 </w:t>
      </w:r>
      <w:r>
        <w:rPr>
          <w:rFonts w:ascii="Arial" w:eastAsia="宋体" w:hAnsi="Arial" w:cs="Arial"/>
          <w:color w:val="262626"/>
          <w:sz w:val="18"/>
          <w:szCs w:val="18"/>
        </w:rPr>
        <w:t>prices, such as quoted prices for similar assets or liabilities, quoted prices in less active markets, or model-derived valuations. All significant inputs used in our valuations, such as discounted cash flows, are observable or can be derived principally f</w:t>
      </w:r>
      <w:r>
        <w:rPr>
          <w:rFonts w:ascii="Arial" w:eastAsia="宋体" w:hAnsi="Arial" w:cs="Arial"/>
          <w:color w:val="262626"/>
          <w:sz w:val="18"/>
          <w:szCs w:val="18"/>
        </w:rPr>
        <w:t>rom or corroborated with observable market data for substantially the full term of the assets or liabilities. We use LIBOR- and SOFR-based yield curves, overnight indexed swap curves, currency spot and forward rates, and credit ratings as significant input</w:t>
      </w:r>
      <w:r>
        <w:rPr>
          <w:rFonts w:ascii="Arial" w:eastAsia="宋体" w:hAnsi="Arial" w:cs="Arial"/>
          <w:color w:val="262626"/>
          <w:sz w:val="18"/>
          <w:szCs w:val="18"/>
        </w:rPr>
        <w:t>s in our valuations. Level 2 inputs also include non-binding market consensus prices, as well as quoted prices that were adjusted for security-specific restrictions. When we use non-binding market consensus prices, we corroborate them with quoted market pr</w:t>
      </w:r>
      <w:r>
        <w:rPr>
          <w:rFonts w:ascii="Arial" w:eastAsia="宋体" w:hAnsi="Arial" w:cs="Arial"/>
          <w:color w:val="262626"/>
          <w:sz w:val="18"/>
          <w:szCs w:val="18"/>
        </w:rPr>
        <w:t>ices for similar instruments or compare them to output from internally developed pricing models such as discounted cash flow models.</w:t>
      </w:r>
    </w:p>
    <w:p w14:paraId="5A1B16D3" w14:textId="77777777" w:rsidR="00960BB8" w:rsidRDefault="00C06650">
      <w:pP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Level 3.</w:t>
      </w:r>
      <w:r>
        <w:rPr>
          <w:rFonts w:ascii="Arial" w:eastAsia="宋体" w:hAnsi="Arial" w:cs="Arial"/>
          <w:i/>
          <w:iCs/>
          <w:color w:val="262626"/>
          <w:sz w:val="18"/>
          <w:szCs w:val="18"/>
        </w:rPr>
        <w:t xml:space="preserve"> </w:t>
      </w:r>
      <w:r>
        <w:rPr>
          <w:rFonts w:ascii="Arial" w:eastAsia="宋体" w:hAnsi="Arial" w:cs="Arial"/>
          <w:color w:val="262626"/>
          <w:sz w:val="18"/>
          <w:szCs w:val="18"/>
        </w:rPr>
        <w:t>Unobservable inputs to the valuation methodology that are significant to the measurement of the fair value of ass</w:t>
      </w:r>
      <w:r>
        <w:rPr>
          <w:rFonts w:ascii="Arial" w:eastAsia="宋体" w:hAnsi="Arial" w:cs="Arial"/>
          <w:color w:val="262626"/>
          <w:sz w:val="18"/>
          <w:szCs w:val="18"/>
        </w:rPr>
        <w:t>ets or liabilities. We monitor and review the inputs and results of these valuation models to help confirm that the fair value measurements are reasonable and consistent with market experience in similar asset classes. Level 3 inputs also include non-bindi</w:t>
      </w:r>
      <w:r>
        <w:rPr>
          <w:rFonts w:ascii="Arial" w:eastAsia="宋体" w:hAnsi="Arial" w:cs="Arial"/>
          <w:color w:val="262626"/>
          <w:sz w:val="18"/>
          <w:szCs w:val="18"/>
        </w:rPr>
        <w:t>ng market consensus prices or non-binding broker quotes that we were unable to corroborate with observable market data.</w:t>
      </w:r>
    </w:p>
    <w:p w14:paraId="5A1B16D4" w14:textId="77777777" w:rsidR="00960BB8" w:rsidRDefault="00C06650">
      <w:pPr>
        <w:spacing w:before="180" w:after="180"/>
      </w:pPr>
      <w:r>
        <w:rPr>
          <w:rFonts w:ascii="Arial" w:eastAsia="宋体" w:hAnsi="Arial" w:cs="Arial"/>
          <w:color w:val="0068B5"/>
        </w:rPr>
        <w:t>Debt Investments</w:t>
      </w:r>
    </w:p>
    <w:p w14:paraId="5A1B16D5" w14:textId="77777777" w:rsidR="00960BB8" w:rsidRDefault="00C06650">
      <w:pPr>
        <w:spacing w:after="180"/>
      </w:pPr>
      <w:r>
        <w:rPr>
          <w:rFonts w:ascii="Arial" w:eastAsia="宋体" w:hAnsi="Arial" w:cs="Arial"/>
          <w:color w:val="262626"/>
          <w:sz w:val="18"/>
          <w:szCs w:val="18"/>
        </w:rPr>
        <w:t xml:space="preserve">Debt investments include investments in corporate debt, government debt, and financial institution instruments. Debt investments with original maturities of approximately three months or less from the date of purchase are classified within </w:t>
      </w:r>
      <w:r>
        <w:rPr>
          <w:rFonts w:ascii="Arial" w:eastAsia="宋体" w:hAnsi="Arial" w:cs="Arial"/>
          <w:i/>
          <w:iCs/>
          <w:color w:val="262626"/>
          <w:sz w:val="18"/>
          <w:szCs w:val="18"/>
        </w:rPr>
        <w:t>cash and cash eq</w:t>
      </w:r>
      <w:r>
        <w:rPr>
          <w:rFonts w:ascii="Arial" w:eastAsia="宋体" w:hAnsi="Arial" w:cs="Arial"/>
          <w:i/>
          <w:iCs/>
          <w:color w:val="262626"/>
          <w:sz w:val="18"/>
          <w:szCs w:val="18"/>
        </w:rPr>
        <w:t>uivalents</w:t>
      </w:r>
      <w:r>
        <w:rPr>
          <w:rFonts w:ascii="Arial" w:eastAsia="宋体" w:hAnsi="Arial" w:cs="Arial"/>
          <w:color w:val="262626"/>
          <w:sz w:val="18"/>
          <w:szCs w:val="18"/>
        </w:rPr>
        <w:t xml:space="preserve">. Debt investments with original maturities at the date of purchase greater than approximately three months are classified as </w:t>
      </w:r>
      <w:r>
        <w:rPr>
          <w:rFonts w:ascii="Arial" w:eastAsia="宋体" w:hAnsi="Arial" w:cs="Arial"/>
          <w:i/>
          <w:iCs/>
          <w:color w:val="262626"/>
          <w:sz w:val="18"/>
          <w:szCs w:val="18"/>
        </w:rPr>
        <w:t>short-term investments</w:t>
      </w:r>
      <w:r>
        <w:rPr>
          <w:rFonts w:ascii="Arial" w:eastAsia="宋体" w:hAnsi="Arial" w:cs="Arial"/>
          <w:color w:val="262626"/>
          <w:sz w:val="18"/>
          <w:szCs w:val="18"/>
        </w:rPr>
        <w:t xml:space="preserve">, as they represent the investment of cash available for current operations. </w:t>
      </w:r>
    </w:p>
    <w:p w14:paraId="5A1B16D6" w14:textId="77777777" w:rsidR="00960BB8" w:rsidRDefault="00C06650">
      <w:pPr>
        <w:spacing w:after="180"/>
      </w:pPr>
      <w:r>
        <w:rPr>
          <w:rFonts w:ascii="Arial" w:eastAsia="宋体" w:hAnsi="Arial" w:cs="Arial"/>
          <w:color w:val="262626"/>
          <w:sz w:val="18"/>
          <w:szCs w:val="18"/>
        </w:rPr>
        <w:t>For certain of our ma</w:t>
      </w:r>
      <w:r>
        <w:rPr>
          <w:rFonts w:ascii="Arial" w:eastAsia="宋体" w:hAnsi="Arial" w:cs="Arial"/>
          <w:color w:val="262626"/>
          <w:sz w:val="18"/>
          <w:szCs w:val="18"/>
        </w:rPr>
        <w:t>rketable debt investments, we economically hedge market risks at inception with a related derivative instrument, or the marketable debt investment itself is used to economically hedge currency exchange rate risk from remeasurement. These hedged investments</w:t>
      </w:r>
      <w:r>
        <w:rPr>
          <w:rFonts w:ascii="Arial" w:eastAsia="宋体" w:hAnsi="Arial" w:cs="Arial"/>
          <w:color w:val="262626"/>
          <w:sz w:val="18"/>
          <w:szCs w:val="18"/>
        </w:rPr>
        <w:t xml:space="preserve"> are reported at fair value. Gains or losses on these investments arising from changes in fair value due to interest rate and currency market fluctuations and credit market volatility, largely offset by losses or gains on the related derivative instruments</w:t>
      </w:r>
      <w:r>
        <w:rPr>
          <w:rFonts w:ascii="Arial" w:eastAsia="宋体" w:hAnsi="Arial" w:cs="Arial"/>
          <w:color w:val="262626"/>
          <w:sz w:val="18"/>
          <w:szCs w:val="18"/>
        </w:rPr>
        <w:t xml:space="preserve"> and balance sheet remeasurement, are recorded in </w:t>
      </w:r>
      <w:r>
        <w:rPr>
          <w:rFonts w:ascii="Arial" w:eastAsia="宋体" w:hAnsi="Arial" w:cs="Arial"/>
          <w:i/>
          <w:iCs/>
          <w:color w:val="262626"/>
          <w:sz w:val="18"/>
          <w:szCs w:val="18"/>
        </w:rPr>
        <w:t>interest and other, net</w:t>
      </w:r>
      <w:r>
        <w:rPr>
          <w:rFonts w:ascii="Arial" w:eastAsia="宋体" w:hAnsi="Arial" w:cs="Arial"/>
          <w:color w:val="262626"/>
          <w:sz w:val="18"/>
          <w:szCs w:val="18"/>
        </w:rPr>
        <w:t xml:space="preserve">. Our remaining unhedged marketable debt investments are reported at fair value, with unrealized gains or losses, net of tax, recorded in </w:t>
      </w:r>
      <w:r>
        <w:rPr>
          <w:rFonts w:ascii="Arial" w:eastAsia="宋体" w:hAnsi="Arial" w:cs="Arial"/>
          <w:i/>
          <w:iCs/>
          <w:color w:val="262626"/>
          <w:sz w:val="18"/>
          <w:szCs w:val="18"/>
        </w:rPr>
        <w:t>accumulated other comprehensive income (loss)</w:t>
      </w:r>
      <w:r>
        <w:rPr>
          <w:rFonts w:ascii="Arial" w:eastAsia="宋体" w:hAnsi="Arial" w:cs="Arial"/>
          <w:color w:val="262626"/>
          <w:sz w:val="18"/>
          <w:szCs w:val="18"/>
        </w:rPr>
        <w:t xml:space="preserve">. We determine the cost of the investment sold based on an average cost basis at the individual security level and record the interest income and realized gains or losses on the sale of these investments in </w:t>
      </w:r>
      <w:r>
        <w:rPr>
          <w:rFonts w:ascii="Arial" w:eastAsia="宋体" w:hAnsi="Arial" w:cs="Arial"/>
          <w:i/>
          <w:iCs/>
          <w:color w:val="262626"/>
          <w:sz w:val="18"/>
          <w:szCs w:val="18"/>
        </w:rPr>
        <w:t>interest and other, net</w:t>
      </w:r>
      <w:r>
        <w:rPr>
          <w:rFonts w:ascii="Arial" w:eastAsia="宋体" w:hAnsi="Arial" w:cs="Arial"/>
          <w:color w:val="262626"/>
          <w:sz w:val="18"/>
          <w:szCs w:val="18"/>
        </w:rPr>
        <w:t>.</w:t>
      </w:r>
    </w:p>
    <w:p w14:paraId="5A1B16D7" w14:textId="77777777" w:rsidR="00960BB8" w:rsidRDefault="00C06650">
      <w:pPr>
        <w:spacing w:after="180"/>
      </w:pPr>
      <w:r>
        <w:rPr>
          <w:rFonts w:ascii="Arial" w:eastAsia="宋体" w:hAnsi="Arial" w:cs="Arial"/>
          <w:color w:val="262626"/>
          <w:sz w:val="18"/>
          <w:szCs w:val="18"/>
        </w:rPr>
        <w:t>Unhedged debt investment</w:t>
      </w:r>
      <w:r>
        <w:rPr>
          <w:rFonts w:ascii="Arial" w:eastAsia="宋体" w:hAnsi="Arial" w:cs="Arial"/>
          <w:color w:val="262626"/>
          <w:sz w:val="18"/>
          <w:szCs w:val="18"/>
        </w:rPr>
        <w:t>s are subject to periodic impairment reviews. For investments in an unrealized loss position, we determine whether a credit loss exists by considering information about the collectability of the instrument, current market conditions, and reasonable and sup</w:t>
      </w:r>
      <w:r>
        <w:rPr>
          <w:rFonts w:ascii="Arial" w:eastAsia="宋体" w:hAnsi="Arial" w:cs="Arial"/>
          <w:color w:val="262626"/>
          <w:sz w:val="18"/>
          <w:szCs w:val="18"/>
        </w:rPr>
        <w:t>portable forecasts of economic conditions. We recognize an allowance for credit losses, up to the amount of the unrealized loss when appropriate, and write down the amortized cost basis of the investment if it is more likely than not we will be required or</w:t>
      </w:r>
      <w:r>
        <w:rPr>
          <w:rFonts w:ascii="Arial" w:eastAsia="宋体" w:hAnsi="Arial" w:cs="Arial"/>
          <w:color w:val="262626"/>
          <w:sz w:val="18"/>
          <w:szCs w:val="18"/>
        </w:rPr>
        <w:t xml:space="preserve"> we intend to sell the investment before recovery of its amortized cost basis. Allowances for credit losses and write-downs are recognized in </w:t>
      </w:r>
      <w:r>
        <w:rPr>
          <w:rFonts w:ascii="Arial" w:eastAsia="宋体" w:hAnsi="Arial" w:cs="Arial"/>
          <w:i/>
          <w:iCs/>
          <w:color w:val="262626"/>
          <w:sz w:val="18"/>
          <w:szCs w:val="18"/>
        </w:rPr>
        <w:t>interest and other, net</w:t>
      </w:r>
      <w:r>
        <w:rPr>
          <w:rFonts w:ascii="Arial" w:eastAsia="宋体" w:hAnsi="Arial" w:cs="Arial"/>
          <w:color w:val="262626"/>
          <w:sz w:val="18"/>
          <w:szCs w:val="18"/>
        </w:rPr>
        <w:t xml:space="preserve">, and unrealized losses not related to credit losses are recognized in </w:t>
      </w:r>
      <w:r>
        <w:rPr>
          <w:rFonts w:ascii="Arial" w:eastAsia="宋体" w:hAnsi="Arial" w:cs="Arial"/>
          <w:i/>
          <w:iCs/>
          <w:color w:val="262626"/>
          <w:sz w:val="18"/>
          <w:szCs w:val="18"/>
        </w:rPr>
        <w:t xml:space="preserve">other comprehensive </w:t>
      </w:r>
      <w:r>
        <w:rPr>
          <w:rFonts w:ascii="Arial" w:eastAsia="宋体" w:hAnsi="Arial" w:cs="Arial"/>
          <w:i/>
          <w:iCs/>
          <w:color w:val="262626"/>
          <w:sz w:val="18"/>
          <w:szCs w:val="18"/>
        </w:rPr>
        <w:t>income (loss)</w:t>
      </w:r>
      <w:r>
        <w:rPr>
          <w:rFonts w:ascii="Arial" w:eastAsia="宋体" w:hAnsi="Arial" w:cs="Arial"/>
          <w:color w:val="262626"/>
          <w:sz w:val="18"/>
          <w:szCs w:val="18"/>
        </w:rPr>
        <w:t>.</w:t>
      </w:r>
    </w:p>
    <w:p w14:paraId="5A1B16D8" w14:textId="77777777" w:rsidR="00960BB8" w:rsidRDefault="00C06650">
      <w:pPr>
        <w:spacing w:before="180" w:after="180"/>
      </w:pPr>
      <w:r>
        <w:rPr>
          <w:rFonts w:ascii="Arial" w:eastAsia="宋体" w:hAnsi="Arial" w:cs="Arial"/>
          <w:color w:val="0068B5"/>
        </w:rPr>
        <w:t>Equity Investments</w:t>
      </w:r>
    </w:p>
    <w:p w14:paraId="5A1B16D9" w14:textId="77777777" w:rsidR="00960BB8" w:rsidRDefault="00C06650">
      <w:pPr>
        <w:spacing w:after="120"/>
      </w:pPr>
      <w:r>
        <w:rPr>
          <w:rFonts w:ascii="Arial" w:eastAsia="宋体" w:hAnsi="Arial" w:cs="Arial"/>
          <w:color w:val="262626"/>
          <w:sz w:val="18"/>
          <w:szCs w:val="18"/>
        </w:rPr>
        <w:t xml:space="preserve">We regularly invest in equity securities of public and private companies to promote business and strategic objectives. Equity investments are measured and recorded as follows: </w:t>
      </w:r>
    </w:p>
    <w:p w14:paraId="5A1B16DA" w14:textId="77777777" w:rsidR="00960BB8" w:rsidRDefault="00C06650">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Marketable equity securities</w:t>
      </w:r>
      <w:r>
        <w:rPr>
          <w:rFonts w:ascii="Arial" w:eastAsia="宋体" w:hAnsi="Arial" w:cs="Arial"/>
          <w:color w:val="262626"/>
          <w:sz w:val="18"/>
          <w:szCs w:val="18"/>
        </w:rPr>
        <w:t xml:space="preserve"> are equity secu</w:t>
      </w:r>
      <w:r>
        <w:rPr>
          <w:rFonts w:ascii="Arial" w:eastAsia="宋体" w:hAnsi="Arial" w:cs="Arial"/>
          <w:color w:val="262626"/>
          <w:sz w:val="18"/>
          <w:szCs w:val="18"/>
        </w:rPr>
        <w:t xml:space="preserve">rities with RDFV that are measured and recorded at fair value on a recurring basis with changes in fair value, whether realized or unrealized, recorded through the income statement. </w:t>
      </w:r>
    </w:p>
    <w:p w14:paraId="5A1B16DB" w14:textId="77777777" w:rsidR="00960BB8" w:rsidRDefault="00C06650">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Non-marketable equity securities</w:t>
      </w:r>
      <w:r>
        <w:rPr>
          <w:rFonts w:ascii="Arial" w:eastAsia="宋体" w:hAnsi="Arial" w:cs="Arial"/>
          <w:i/>
          <w:iCs/>
          <w:color w:val="262626"/>
          <w:sz w:val="18"/>
          <w:szCs w:val="18"/>
        </w:rPr>
        <w:t xml:space="preserve"> </w:t>
      </w:r>
      <w:r>
        <w:rPr>
          <w:rFonts w:ascii="Arial" w:eastAsia="宋体" w:hAnsi="Arial" w:cs="Arial"/>
          <w:color w:val="262626"/>
          <w:sz w:val="18"/>
          <w:szCs w:val="18"/>
        </w:rPr>
        <w:t>are equity securities without RDFV that</w:t>
      </w:r>
      <w:r>
        <w:rPr>
          <w:rFonts w:ascii="Arial" w:eastAsia="宋体" w:hAnsi="Arial" w:cs="Arial"/>
          <w:color w:val="262626"/>
          <w:sz w:val="18"/>
          <w:szCs w:val="18"/>
        </w:rPr>
        <w:t xml:space="preserve"> are measured and recorded using a measurement alternative that measures the securities at cost minus impairment, if any, plus or minus changes resulting from qualifying observable price changes.</w:t>
      </w:r>
    </w:p>
    <w:p w14:paraId="5A1B16DC" w14:textId="77777777" w:rsidR="00960BB8" w:rsidRDefault="00C06650">
      <w:pP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Equity method investments</w:t>
      </w:r>
      <w:r>
        <w:rPr>
          <w:rFonts w:ascii="Arial" w:eastAsia="宋体" w:hAnsi="Arial" w:cs="Arial"/>
          <w:color w:val="262626"/>
          <w:sz w:val="20"/>
          <w:szCs w:val="20"/>
        </w:rPr>
        <w:t xml:space="preserve"> </w:t>
      </w:r>
      <w:r>
        <w:rPr>
          <w:rFonts w:ascii="Arial" w:eastAsia="宋体" w:hAnsi="Arial" w:cs="Arial"/>
          <w:color w:val="262626"/>
          <w:sz w:val="18"/>
          <w:szCs w:val="18"/>
        </w:rPr>
        <w:t xml:space="preserve">are equity securities in </w:t>
      </w:r>
      <w:r>
        <w:rPr>
          <w:rFonts w:ascii="Arial" w:eastAsia="宋体" w:hAnsi="Arial" w:cs="Arial"/>
          <w:color w:val="262626"/>
          <w:sz w:val="18"/>
          <w:szCs w:val="18"/>
        </w:rPr>
        <w:t>investees we do not control but over which we have the ability to exercise significant influence. Equity method investments are measured at cost minus impairment, if any, plus or minus our share of equity method investee income or loss. Our proportionate s</w:t>
      </w:r>
      <w:r>
        <w:rPr>
          <w:rFonts w:ascii="Arial" w:eastAsia="宋体" w:hAnsi="Arial" w:cs="Arial"/>
          <w:color w:val="262626"/>
          <w:sz w:val="18"/>
          <w:szCs w:val="18"/>
        </w:rPr>
        <w:t>hare of the income or loss from equity method investments is recognized on a one-quarter lag.</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6E9" w14:textId="77777777">
        <w:tc>
          <w:tcPr>
            <w:tcW w:w="50" w:type="pct"/>
            <w:shd w:val="clear" w:color="auto" w:fill="auto"/>
            <w:vAlign w:val="bottom"/>
          </w:tcPr>
          <w:p w14:paraId="5A1B16DD" w14:textId="77777777" w:rsidR="00960BB8" w:rsidRDefault="00960BB8">
            <w:pPr>
              <w:rPr>
                <w:rFonts w:ascii="宋体"/>
              </w:rPr>
            </w:pPr>
          </w:p>
        </w:tc>
        <w:tc>
          <w:tcPr>
            <w:tcW w:w="276" w:type="pct"/>
            <w:shd w:val="clear" w:color="auto" w:fill="auto"/>
            <w:vAlign w:val="bottom"/>
          </w:tcPr>
          <w:p w14:paraId="5A1B16DE" w14:textId="77777777" w:rsidR="00960BB8" w:rsidRDefault="00960BB8">
            <w:pPr>
              <w:rPr>
                <w:rFonts w:ascii="宋体"/>
              </w:rPr>
            </w:pPr>
          </w:p>
        </w:tc>
        <w:tc>
          <w:tcPr>
            <w:tcW w:w="5" w:type="pct"/>
            <w:shd w:val="clear" w:color="auto" w:fill="auto"/>
            <w:vAlign w:val="bottom"/>
          </w:tcPr>
          <w:p w14:paraId="5A1B16DF" w14:textId="77777777" w:rsidR="00960BB8" w:rsidRDefault="00960BB8">
            <w:pPr>
              <w:rPr>
                <w:rFonts w:ascii="宋体"/>
              </w:rPr>
            </w:pPr>
          </w:p>
        </w:tc>
        <w:tc>
          <w:tcPr>
            <w:tcW w:w="50" w:type="pct"/>
            <w:shd w:val="clear" w:color="auto" w:fill="auto"/>
            <w:vAlign w:val="bottom"/>
          </w:tcPr>
          <w:p w14:paraId="5A1B16E0" w14:textId="77777777" w:rsidR="00960BB8" w:rsidRDefault="00960BB8">
            <w:pPr>
              <w:rPr>
                <w:rFonts w:ascii="宋体"/>
              </w:rPr>
            </w:pPr>
          </w:p>
        </w:tc>
        <w:tc>
          <w:tcPr>
            <w:tcW w:w="940" w:type="pct"/>
            <w:shd w:val="clear" w:color="auto" w:fill="auto"/>
            <w:vAlign w:val="bottom"/>
          </w:tcPr>
          <w:p w14:paraId="5A1B16E1" w14:textId="77777777" w:rsidR="00960BB8" w:rsidRDefault="00960BB8">
            <w:pPr>
              <w:rPr>
                <w:rFonts w:ascii="宋体"/>
              </w:rPr>
            </w:pPr>
          </w:p>
        </w:tc>
        <w:tc>
          <w:tcPr>
            <w:tcW w:w="5" w:type="pct"/>
            <w:shd w:val="clear" w:color="auto" w:fill="auto"/>
            <w:vAlign w:val="bottom"/>
          </w:tcPr>
          <w:p w14:paraId="5A1B16E2" w14:textId="77777777" w:rsidR="00960BB8" w:rsidRDefault="00960BB8">
            <w:pPr>
              <w:rPr>
                <w:rFonts w:ascii="宋体"/>
              </w:rPr>
            </w:pPr>
          </w:p>
        </w:tc>
        <w:tc>
          <w:tcPr>
            <w:tcW w:w="50" w:type="pct"/>
            <w:shd w:val="clear" w:color="auto" w:fill="auto"/>
            <w:vAlign w:val="bottom"/>
          </w:tcPr>
          <w:p w14:paraId="5A1B16E3" w14:textId="77777777" w:rsidR="00960BB8" w:rsidRDefault="00960BB8">
            <w:pPr>
              <w:rPr>
                <w:rFonts w:ascii="宋体"/>
              </w:rPr>
            </w:pPr>
          </w:p>
        </w:tc>
        <w:tc>
          <w:tcPr>
            <w:tcW w:w="1837" w:type="pct"/>
            <w:shd w:val="clear" w:color="auto" w:fill="auto"/>
            <w:vAlign w:val="bottom"/>
          </w:tcPr>
          <w:p w14:paraId="5A1B16E4" w14:textId="77777777" w:rsidR="00960BB8" w:rsidRDefault="00960BB8">
            <w:pPr>
              <w:rPr>
                <w:rFonts w:ascii="宋体"/>
              </w:rPr>
            </w:pPr>
          </w:p>
        </w:tc>
        <w:tc>
          <w:tcPr>
            <w:tcW w:w="5" w:type="pct"/>
            <w:shd w:val="clear" w:color="auto" w:fill="auto"/>
            <w:vAlign w:val="bottom"/>
          </w:tcPr>
          <w:p w14:paraId="5A1B16E5" w14:textId="77777777" w:rsidR="00960BB8" w:rsidRDefault="00960BB8">
            <w:pPr>
              <w:rPr>
                <w:rFonts w:ascii="宋体"/>
              </w:rPr>
            </w:pPr>
          </w:p>
        </w:tc>
        <w:tc>
          <w:tcPr>
            <w:tcW w:w="50" w:type="pct"/>
            <w:shd w:val="clear" w:color="auto" w:fill="auto"/>
            <w:vAlign w:val="bottom"/>
          </w:tcPr>
          <w:p w14:paraId="5A1B16E6" w14:textId="77777777" w:rsidR="00960BB8" w:rsidRDefault="00960BB8">
            <w:pPr>
              <w:rPr>
                <w:rFonts w:ascii="宋体"/>
              </w:rPr>
            </w:pPr>
          </w:p>
        </w:tc>
        <w:tc>
          <w:tcPr>
            <w:tcW w:w="1724" w:type="pct"/>
            <w:shd w:val="clear" w:color="auto" w:fill="auto"/>
            <w:vAlign w:val="bottom"/>
          </w:tcPr>
          <w:p w14:paraId="5A1B16E7" w14:textId="77777777" w:rsidR="00960BB8" w:rsidRDefault="00960BB8">
            <w:pPr>
              <w:rPr>
                <w:rFonts w:ascii="宋体"/>
              </w:rPr>
            </w:pPr>
          </w:p>
        </w:tc>
        <w:tc>
          <w:tcPr>
            <w:tcW w:w="5" w:type="pct"/>
            <w:shd w:val="clear" w:color="auto" w:fill="auto"/>
            <w:vAlign w:val="bottom"/>
          </w:tcPr>
          <w:p w14:paraId="5A1B16E8" w14:textId="77777777" w:rsidR="00960BB8" w:rsidRDefault="00960BB8">
            <w:pPr>
              <w:rPr>
                <w:rFonts w:ascii="宋体"/>
              </w:rPr>
            </w:pPr>
          </w:p>
        </w:tc>
      </w:tr>
      <w:tr w:rsidR="00960BB8" w14:paraId="5A1B16EE"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EA"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7E" wp14:editId="5A1B447F">
                  <wp:extent cx="304800" cy="304800"/>
                  <wp:effectExtent l="0" t="0" r="0" b="0"/>
                  <wp:docPr id="61" name="图片 25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5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EB"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6EC"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6ED" w14:textId="77777777" w:rsidR="00960BB8" w:rsidRDefault="00C06650">
            <w:pPr>
              <w:jc w:val="right"/>
              <w:textAlignment w:val="center"/>
            </w:pPr>
            <w:r>
              <w:rPr>
                <w:rFonts w:ascii="Arial" w:eastAsia="宋体" w:hAnsi="Arial" w:cs="Arial"/>
                <w:color w:val="262626"/>
                <w:sz w:val="16"/>
                <w:szCs w:val="16"/>
              </w:rPr>
              <w:t>84</w:t>
            </w:r>
          </w:p>
        </w:tc>
      </w:tr>
    </w:tbl>
    <w:p w14:paraId="5A1B16EF" w14:textId="77777777" w:rsidR="00960BB8" w:rsidRDefault="00C06650">
      <w:r>
        <w:pict w14:anchorId="5A1B4480">
          <v:rect id="_x0000_i1110" style="width:415.3pt;height:1.5pt" o:hralign="center" o:hrstd="t" o:hr="t" fillcolor="#a0a0a0" stroked="f"/>
        </w:pict>
      </w:r>
    </w:p>
    <w:p w14:paraId="5A1B16F0" w14:textId="77777777" w:rsidR="00960BB8" w:rsidRDefault="00C06650">
      <w:pPr>
        <w:jc w:val="right"/>
      </w:pPr>
      <w:hyperlink r:id="rId133" w:anchor="i8aaa7b4dbd2e419ca0f5c30af85a11aa_16" w:history="1">
        <w:r>
          <w:rPr>
            <w:rStyle w:val="a5"/>
            <w:rFonts w:ascii="Arial" w:eastAsia="宋体" w:hAnsi="Arial" w:cs="Arial"/>
            <w:b/>
            <w:bCs/>
            <w:sz w:val="16"/>
            <w:szCs w:val="16"/>
          </w:rPr>
          <w:t>Table of Contents</w:t>
        </w:r>
      </w:hyperlink>
    </w:p>
    <w:p w14:paraId="5A1B16F1" w14:textId="77777777" w:rsidR="00960BB8" w:rsidRDefault="00960BB8">
      <w:pPr>
        <w:jc w:val="right"/>
      </w:pPr>
    </w:p>
    <w:p w14:paraId="5A1B16F2" w14:textId="77777777" w:rsidR="00960BB8" w:rsidRDefault="00C06650">
      <w:pPr>
        <w:spacing w:after="180"/>
      </w:pPr>
      <w:r>
        <w:rPr>
          <w:rFonts w:ascii="Arial" w:eastAsia="宋体" w:hAnsi="Arial" w:cs="Arial"/>
          <w:color w:val="262626"/>
          <w:sz w:val="18"/>
          <w:szCs w:val="18"/>
        </w:rPr>
        <w:t>Realized and unrealized gains and losses resulting from changes in fair value or th</w:t>
      </w:r>
      <w:r>
        <w:rPr>
          <w:rFonts w:ascii="Arial" w:eastAsia="宋体" w:hAnsi="Arial" w:cs="Arial"/>
          <w:color w:val="262626"/>
          <w:sz w:val="18"/>
          <w:szCs w:val="18"/>
        </w:rPr>
        <w:t xml:space="preserve">e sale of our equity investments are recorded in </w:t>
      </w:r>
      <w:r>
        <w:rPr>
          <w:rFonts w:ascii="Arial" w:eastAsia="宋体" w:hAnsi="Arial" w:cs="Arial"/>
          <w:i/>
          <w:iCs/>
          <w:color w:val="262626"/>
          <w:sz w:val="18"/>
          <w:szCs w:val="18"/>
        </w:rPr>
        <w:t>gains (losses) on equity investments, net</w:t>
      </w:r>
      <w:r>
        <w:rPr>
          <w:rFonts w:ascii="Arial" w:eastAsia="宋体" w:hAnsi="Arial" w:cs="Arial"/>
          <w:color w:val="262626"/>
          <w:sz w:val="18"/>
          <w:szCs w:val="18"/>
        </w:rPr>
        <w:t>. The carrying value of our non-marketable equity securities is adjusted for qualifying observable price changes resulting from the issuance of similar or identical securities in an orderly transaction by the same issuer. Determining whether an observed tr</w:t>
      </w:r>
      <w:r>
        <w:rPr>
          <w:rFonts w:ascii="Arial" w:eastAsia="宋体" w:hAnsi="Arial" w:cs="Arial"/>
          <w:color w:val="262626"/>
          <w:sz w:val="18"/>
          <w:szCs w:val="18"/>
        </w:rPr>
        <w:t>ansaction is similar to a security within our portfolio requires judgment based on the rights and preferences of the securities. Recording upward and downward adjustments to the carrying value of our equity securities as a result of observable price change</w:t>
      </w:r>
      <w:r>
        <w:rPr>
          <w:rFonts w:ascii="Arial" w:eastAsia="宋体" w:hAnsi="Arial" w:cs="Arial"/>
          <w:color w:val="262626"/>
          <w:sz w:val="18"/>
          <w:szCs w:val="18"/>
        </w:rPr>
        <w:t xml:space="preserve">s requires quantitative assessments of the fair value of our securities using various valuation methodologies and involves the use of estimates. </w:t>
      </w:r>
    </w:p>
    <w:p w14:paraId="5A1B16F3" w14:textId="77777777" w:rsidR="00960BB8" w:rsidRDefault="00C06650">
      <w:pPr>
        <w:spacing w:after="120"/>
      </w:pPr>
      <w:r>
        <w:rPr>
          <w:rFonts w:ascii="Arial" w:eastAsia="宋体" w:hAnsi="Arial" w:cs="Arial"/>
          <w:color w:val="262626"/>
          <w:sz w:val="18"/>
          <w:szCs w:val="18"/>
        </w:rPr>
        <w:t>Non-marketable equity securities and equity method investments (collectively referred to as non-marketable equ</w:t>
      </w:r>
      <w:r>
        <w:rPr>
          <w:rFonts w:ascii="Arial" w:eastAsia="宋体" w:hAnsi="Arial" w:cs="Arial"/>
          <w:color w:val="262626"/>
          <w:sz w:val="18"/>
          <w:szCs w:val="18"/>
        </w:rPr>
        <w:t xml:space="preserve">ity investments) are also subject to periodic impairment reviews. Our quarterly impairment analysis considers both qualitative and quantitative factors that may have a significant impact on the investee's fair value. Qualitative factors considered include </w:t>
      </w:r>
      <w:r>
        <w:rPr>
          <w:rFonts w:ascii="Arial" w:eastAsia="宋体" w:hAnsi="Arial" w:cs="Arial"/>
          <w:color w:val="262626"/>
          <w:sz w:val="18"/>
          <w:szCs w:val="18"/>
        </w:rPr>
        <w:t>the investee's financial condition and business outlook, industry and sector performance, market for technology, operational and financing cash flow activities, and other relevant events and factors affecting the investee. When indicators of impairment exi</w:t>
      </w:r>
      <w:r>
        <w:rPr>
          <w:rFonts w:ascii="Arial" w:eastAsia="宋体" w:hAnsi="Arial" w:cs="Arial"/>
          <w:color w:val="262626"/>
          <w:sz w:val="18"/>
          <w:szCs w:val="18"/>
        </w:rPr>
        <w:t>st, we prepare quantitative assessments of the fair value of our non-marketable equity investments using both the market and income approaches, which require judgment and the use of estimates, including discount rates, investee revenue and costs, and compa</w:t>
      </w:r>
      <w:r>
        <w:rPr>
          <w:rFonts w:ascii="Arial" w:eastAsia="宋体" w:hAnsi="Arial" w:cs="Arial"/>
          <w:color w:val="262626"/>
          <w:sz w:val="18"/>
          <w:szCs w:val="18"/>
        </w:rPr>
        <w:t xml:space="preserve">rable market data of private and public companies, among others. </w:t>
      </w:r>
    </w:p>
    <w:p w14:paraId="5A1B16F4" w14:textId="77777777" w:rsidR="00960BB8" w:rsidRDefault="00C06650">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Non-marketable equity securities</w:t>
      </w:r>
      <w:r>
        <w:rPr>
          <w:rFonts w:ascii="Arial" w:eastAsia="宋体" w:hAnsi="Arial" w:cs="Arial"/>
          <w:color w:val="262626"/>
          <w:sz w:val="18"/>
          <w:szCs w:val="18"/>
        </w:rPr>
        <w:t xml:space="preserve"> are tested for impairment using a qualitative model similar to the model used for goodwill and property, plant and equipment. Upon determining that an impai</w:t>
      </w:r>
      <w:r>
        <w:rPr>
          <w:rFonts w:ascii="Arial" w:eastAsia="宋体" w:hAnsi="Arial" w:cs="Arial"/>
          <w:color w:val="262626"/>
          <w:sz w:val="18"/>
          <w:szCs w:val="18"/>
        </w:rPr>
        <w:t>rment may exist, the security's fair value is calculated and compared to its carrying value and an impairment is recognized immediately if the carrying value exceeds the fair value.</w:t>
      </w:r>
    </w:p>
    <w:p w14:paraId="5A1B16F5" w14:textId="77777777" w:rsidR="00960BB8" w:rsidRDefault="00C06650">
      <w:pP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Equity method investments</w:t>
      </w:r>
      <w:r>
        <w:rPr>
          <w:rFonts w:ascii="Arial" w:eastAsia="宋体" w:hAnsi="Arial" w:cs="Arial"/>
          <w:color w:val="262626"/>
          <w:sz w:val="18"/>
          <w:szCs w:val="18"/>
        </w:rPr>
        <w:t xml:space="preserve"> are subject to periodic impairment reviews usin</w:t>
      </w:r>
      <w:r>
        <w:rPr>
          <w:rFonts w:ascii="Arial" w:eastAsia="宋体" w:hAnsi="Arial" w:cs="Arial"/>
          <w:color w:val="262626"/>
          <w:sz w:val="18"/>
          <w:szCs w:val="18"/>
        </w:rPr>
        <w:t xml:space="preserve">g the other-than-temporary impairment model, which considers the severity and duration of a decline in fair value below cost and our ability and intent to hold the investment for a sufficient period of time to allow for recovery. </w:t>
      </w:r>
    </w:p>
    <w:p w14:paraId="5A1B16F6" w14:textId="77777777" w:rsidR="00960BB8" w:rsidRDefault="00C06650">
      <w:pPr>
        <w:spacing w:after="180"/>
      </w:pPr>
      <w:r>
        <w:rPr>
          <w:rFonts w:ascii="Arial" w:eastAsia="宋体" w:hAnsi="Arial" w:cs="Arial"/>
          <w:color w:val="262626"/>
          <w:sz w:val="18"/>
          <w:szCs w:val="18"/>
        </w:rPr>
        <w:t>Impairments of equity inv</w:t>
      </w:r>
      <w:r>
        <w:rPr>
          <w:rFonts w:ascii="Arial" w:eastAsia="宋体" w:hAnsi="Arial" w:cs="Arial"/>
          <w:color w:val="262626"/>
          <w:sz w:val="18"/>
          <w:szCs w:val="18"/>
        </w:rPr>
        <w:t xml:space="preserve">estments are recorded in </w:t>
      </w:r>
      <w:r>
        <w:rPr>
          <w:rFonts w:ascii="Arial" w:eastAsia="宋体" w:hAnsi="Arial" w:cs="Arial"/>
          <w:i/>
          <w:iCs/>
          <w:color w:val="262626"/>
          <w:sz w:val="18"/>
          <w:szCs w:val="18"/>
        </w:rPr>
        <w:t>gains (losses) on equity investments, net</w:t>
      </w:r>
      <w:r>
        <w:rPr>
          <w:rFonts w:ascii="Arial" w:eastAsia="宋体" w:hAnsi="Arial" w:cs="Arial"/>
          <w:color w:val="262626"/>
          <w:sz w:val="18"/>
          <w:szCs w:val="18"/>
        </w:rPr>
        <w:t>.</w:t>
      </w:r>
    </w:p>
    <w:p w14:paraId="5A1B16F7" w14:textId="77777777" w:rsidR="00960BB8" w:rsidRDefault="00C06650">
      <w:pPr>
        <w:spacing w:before="180" w:after="180"/>
      </w:pPr>
      <w:r>
        <w:rPr>
          <w:rFonts w:ascii="Arial" w:eastAsia="宋体" w:hAnsi="Arial" w:cs="Arial"/>
          <w:color w:val="0068B5"/>
        </w:rPr>
        <w:t>Derivative Financial Instruments</w:t>
      </w:r>
    </w:p>
    <w:p w14:paraId="5A1B16F8" w14:textId="77777777" w:rsidR="00960BB8" w:rsidRDefault="00C06650">
      <w:pPr>
        <w:spacing w:after="180"/>
      </w:pPr>
      <w:r>
        <w:rPr>
          <w:rFonts w:ascii="Arial" w:eastAsia="宋体" w:hAnsi="Arial" w:cs="Arial"/>
          <w:color w:val="262626"/>
          <w:sz w:val="18"/>
          <w:szCs w:val="18"/>
        </w:rPr>
        <w:t>Our primary objective for holding derivative financial instruments is to manage currency exchange rate risk and interest rate risk, and, to a lesser extent</w:t>
      </w:r>
      <w:r>
        <w:rPr>
          <w:rFonts w:ascii="Arial" w:eastAsia="宋体" w:hAnsi="Arial" w:cs="Arial"/>
          <w:color w:val="262626"/>
          <w:sz w:val="18"/>
          <w:szCs w:val="18"/>
        </w:rPr>
        <w:t>, equity market risk, commodity price risk, and credit risk. We enter into master netting arrangements to mitigate credit risk in derivative transactions by permitting net settlement of transactions with the same counterparty. We also enter into collateral</w:t>
      </w:r>
      <w:r>
        <w:rPr>
          <w:rFonts w:ascii="Arial" w:eastAsia="宋体" w:hAnsi="Arial" w:cs="Arial"/>
          <w:color w:val="262626"/>
          <w:sz w:val="18"/>
          <w:szCs w:val="18"/>
        </w:rPr>
        <w:t xml:space="preserve"> security arrangements with certain of our counterparties to exchange cash collateral when the net fair value of certain derivative instruments fluctuates from contractually established thresholds. For presentation on our Consolidated Balance Sheets, we do</w:t>
      </w:r>
      <w:r>
        <w:rPr>
          <w:rFonts w:ascii="Arial" w:eastAsia="宋体" w:hAnsi="Arial" w:cs="Arial"/>
          <w:color w:val="262626"/>
          <w:sz w:val="18"/>
          <w:szCs w:val="18"/>
        </w:rPr>
        <w:t xml:space="preserve"> not offset fair value amounts recognized for derivative instruments under master netting arrangements. Our derivative financial instruments, including related collateral amounts, are presented at fair value on a gross basis and are included in </w:t>
      </w:r>
      <w:r>
        <w:rPr>
          <w:rFonts w:ascii="Arial" w:eastAsia="宋体" w:hAnsi="Arial" w:cs="Arial"/>
          <w:i/>
          <w:iCs/>
          <w:color w:val="262626"/>
          <w:sz w:val="18"/>
          <w:szCs w:val="18"/>
        </w:rPr>
        <w:t>other curre</w:t>
      </w:r>
      <w:r>
        <w:rPr>
          <w:rFonts w:ascii="Arial" w:eastAsia="宋体" w:hAnsi="Arial" w:cs="Arial"/>
          <w:i/>
          <w:iCs/>
          <w:color w:val="262626"/>
          <w:sz w:val="18"/>
          <w:szCs w:val="18"/>
        </w:rPr>
        <w:t>nt assets</w:t>
      </w:r>
      <w:r>
        <w:rPr>
          <w:rFonts w:ascii="Arial" w:eastAsia="宋体" w:hAnsi="Arial" w:cs="Arial"/>
          <w:color w:val="262626"/>
          <w:sz w:val="18"/>
          <w:szCs w:val="18"/>
        </w:rPr>
        <w:t xml:space="preserve">, </w:t>
      </w:r>
      <w:r>
        <w:rPr>
          <w:rFonts w:ascii="Arial" w:eastAsia="宋体" w:hAnsi="Arial" w:cs="Arial"/>
          <w:i/>
          <w:iCs/>
          <w:color w:val="262626"/>
          <w:sz w:val="18"/>
          <w:szCs w:val="18"/>
        </w:rPr>
        <w:t>other long-term assets</w:t>
      </w:r>
      <w:r>
        <w:rPr>
          <w:rFonts w:ascii="Arial" w:eastAsia="宋体" w:hAnsi="Arial" w:cs="Arial"/>
          <w:color w:val="262626"/>
          <w:sz w:val="18"/>
          <w:szCs w:val="18"/>
        </w:rPr>
        <w:t xml:space="preserve">, </w:t>
      </w:r>
      <w:r>
        <w:rPr>
          <w:rFonts w:ascii="Arial" w:eastAsia="宋体" w:hAnsi="Arial" w:cs="Arial"/>
          <w:i/>
          <w:iCs/>
          <w:color w:val="262626"/>
          <w:sz w:val="18"/>
          <w:szCs w:val="18"/>
        </w:rPr>
        <w:t>other accrued liabilities</w:t>
      </w:r>
      <w:r>
        <w:rPr>
          <w:rFonts w:ascii="Arial" w:eastAsia="宋体" w:hAnsi="Arial" w:cs="Arial"/>
          <w:color w:val="262626"/>
          <w:sz w:val="18"/>
          <w:szCs w:val="18"/>
        </w:rPr>
        <w:t xml:space="preserve">, or </w:t>
      </w:r>
      <w:r>
        <w:rPr>
          <w:rFonts w:ascii="Arial" w:eastAsia="宋体" w:hAnsi="Arial" w:cs="Arial"/>
          <w:i/>
          <w:iCs/>
          <w:color w:val="262626"/>
          <w:sz w:val="18"/>
          <w:szCs w:val="18"/>
        </w:rPr>
        <w:t>other long-term liabilities</w:t>
      </w:r>
      <w:r>
        <w:rPr>
          <w:rFonts w:ascii="Arial" w:eastAsia="宋体" w:hAnsi="Arial" w:cs="Arial"/>
          <w:color w:val="262626"/>
          <w:sz w:val="18"/>
          <w:szCs w:val="18"/>
        </w:rPr>
        <w:t>.</w:t>
      </w:r>
    </w:p>
    <w:p w14:paraId="5A1B16F9" w14:textId="77777777" w:rsidR="00960BB8" w:rsidRDefault="00C06650">
      <w:pPr>
        <w:spacing w:after="180"/>
      </w:pPr>
      <w:r>
        <w:rPr>
          <w:rFonts w:ascii="Arial" w:eastAsia="宋体" w:hAnsi="Arial" w:cs="Arial"/>
          <w:color w:val="0068B5"/>
          <w:sz w:val="18"/>
          <w:szCs w:val="18"/>
        </w:rPr>
        <w:t>Cash flow hedges</w:t>
      </w:r>
      <w:r>
        <w:rPr>
          <w:rFonts w:ascii="Arial" w:eastAsia="宋体" w:hAnsi="Arial" w:cs="Arial"/>
          <w:color w:val="262626"/>
          <w:sz w:val="18"/>
          <w:szCs w:val="18"/>
        </w:rPr>
        <w:t xml:space="preserve"> use foreign currency contracts, such as currency forwards and currency interest rate swaps, to hedge exposures for variability in the US-dollar equivalent of non-US-dollar-denominated cash flows associated with our forecasted operating and capital purchas</w:t>
      </w:r>
      <w:r>
        <w:rPr>
          <w:rFonts w:ascii="Arial" w:eastAsia="宋体" w:hAnsi="Arial" w:cs="Arial"/>
          <w:color w:val="262626"/>
          <w:sz w:val="18"/>
          <w:szCs w:val="18"/>
        </w:rPr>
        <w:t>es spending.</w:t>
      </w:r>
    </w:p>
    <w:p w14:paraId="5A1B16FA" w14:textId="77777777" w:rsidR="00960BB8" w:rsidRDefault="00C06650">
      <w:pPr>
        <w:spacing w:after="180"/>
      </w:pPr>
      <w:r>
        <w:rPr>
          <w:rFonts w:ascii="Arial" w:eastAsia="宋体" w:hAnsi="Arial" w:cs="Arial"/>
          <w:color w:val="262626"/>
          <w:sz w:val="18"/>
          <w:szCs w:val="18"/>
        </w:rPr>
        <w:t xml:space="preserve">The after-tax gains or losses from the effective portion of a cash flow hedge is reported as a component of </w:t>
      </w:r>
      <w:r>
        <w:rPr>
          <w:rFonts w:ascii="Arial" w:eastAsia="宋体" w:hAnsi="Arial" w:cs="Arial"/>
          <w:i/>
          <w:iCs/>
          <w:color w:val="262626"/>
          <w:sz w:val="18"/>
          <w:szCs w:val="18"/>
        </w:rPr>
        <w:t>accumulated other comprehensive income (loss)</w:t>
      </w:r>
      <w:r>
        <w:rPr>
          <w:rFonts w:ascii="Arial" w:eastAsia="宋体" w:hAnsi="Arial" w:cs="Arial"/>
          <w:color w:val="262626"/>
          <w:sz w:val="18"/>
          <w:szCs w:val="18"/>
        </w:rPr>
        <w:t xml:space="preserve"> and reclassified into earnings in the same period or periods in which the hedged transact</w:t>
      </w:r>
      <w:r>
        <w:rPr>
          <w:rFonts w:ascii="Arial" w:eastAsia="宋体" w:hAnsi="Arial" w:cs="Arial"/>
          <w:color w:val="262626"/>
          <w:sz w:val="18"/>
          <w:szCs w:val="18"/>
        </w:rPr>
        <w:t>ion affects earnings, and in the same line item on the Consolidated Statements of Income as the impact of the hedge transaction. For foreign currency contracts hedging our capital purchases, forward points are excluded from the hedge effectiveness assessme</w:t>
      </w:r>
      <w:r>
        <w:rPr>
          <w:rFonts w:ascii="Arial" w:eastAsia="宋体" w:hAnsi="Arial" w:cs="Arial"/>
          <w:color w:val="262626"/>
          <w:sz w:val="18"/>
          <w:szCs w:val="18"/>
        </w:rPr>
        <w:t xml:space="preserve">nt, and are recognized in earnings in the same income statement line item used to present the earnings effect of the hedged item. If the cash flow hedge transactions become improbable, the corresponding amounts deferred in </w:t>
      </w:r>
      <w:r>
        <w:rPr>
          <w:rFonts w:ascii="Arial" w:eastAsia="宋体" w:hAnsi="Arial" w:cs="Arial"/>
          <w:i/>
          <w:iCs/>
          <w:color w:val="262626"/>
          <w:sz w:val="18"/>
          <w:szCs w:val="18"/>
        </w:rPr>
        <w:t>accumulated other comprehensive i</w:t>
      </w:r>
      <w:r>
        <w:rPr>
          <w:rFonts w:ascii="Arial" w:eastAsia="宋体" w:hAnsi="Arial" w:cs="Arial"/>
          <w:i/>
          <w:iCs/>
          <w:color w:val="262626"/>
          <w:sz w:val="18"/>
          <w:szCs w:val="18"/>
        </w:rPr>
        <w:t>ncome (loss)</w:t>
      </w:r>
      <w:r>
        <w:rPr>
          <w:rFonts w:ascii="Arial" w:eastAsia="宋体" w:hAnsi="Arial" w:cs="Arial"/>
          <w:color w:val="262626"/>
          <w:sz w:val="18"/>
          <w:szCs w:val="18"/>
        </w:rPr>
        <w:t xml:space="preserve"> would be immediately reclassified to </w:t>
      </w:r>
      <w:r>
        <w:rPr>
          <w:rFonts w:ascii="Arial" w:eastAsia="宋体" w:hAnsi="Arial" w:cs="Arial"/>
          <w:i/>
          <w:iCs/>
          <w:color w:val="262626"/>
          <w:sz w:val="18"/>
          <w:szCs w:val="18"/>
        </w:rPr>
        <w:t>interest and other, net</w:t>
      </w:r>
      <w:r>
        <w:rPr>
          <w:rFonts w:ascii="Arial" w:eastAsia="宋体" w:hAnsi="Arial" w:cs="Arial"/>
          <w:color w:val="262626"/>
          <w:sz w:val="18"/>
          <w:szCs w:val="18"/>
        </w:rPr>
        <w:t>. Cash flows associated with these derivatives are classified in the Consolidated Statements of Cash Flows in the same section as the underlying item.</w:t>
      </w:r>
    </w:p>
    <w:p w14:paraId="5A1B16FB" w14:textId="77777777" w:rsidR="00960BB8" w:rsidRDefault="00C06650">
      <w:pPr>
        <w:spacing w:after="180"/>
      </w:pPr>
      <w:r>
        <w:rPr>
          <w:rFonts w:ascii="Arial" w:eastAsia="宋体" w:hAnsi="Arial" w:cs="Arial"/>
          <w:color w:val="0068B5"/>
          <w:sz w:val="18"/>
          <w:szCs w:val="18"/>
        </w:rPr>
        <w:t>Fair value hedges</w:t>
      </w:r>
      <w:r>
        <w:rPr>
          <w:rFonts w:ascii="Arial" w:eastAsia="宋体" w:hAnsi="Arial" w:cs="Arial"/>
          <w:color w:val="262626"/>
          <w:sz w:val="18"/>
          <w:szCs w:val="18"/>
        </w:rPr>
        <w:t xml:space="preserve"> use interest r</w:t>
      </w:r>
      <w:r>
        <w:rPr>
          <w:rFonts w:ascii="Arial" w:eastAsia="宋体" w:hAnsi="Arial" w:cs="Arial"/>
          <w:color w:val="262626"/>
          <w:sz w:val="18"/>
          <w:szCs w:val="18"/>
        </w:rPr>
        <w:t>ate contracts, such as interest rate swaps, to hedge against changes in the fair value on certain of our fixed-rate indebtedness attributable to changes in the benchmark interest rate. The gains or losses on these hedges, as well as the offsetting losses o</w:t>
      </w:r>
      <w:r>
        <w:rPr>
          <w:rFonts w:ascii="Arial" w:eastAsia="宋体" w:hAnsi="Arial" w:cs="Arial"/>
          <w:color w:val="262626"/>
          <w:sz w:val="18"/>
          <w:szCs w:val="18"/>
        </w:rPr>
        <w:t xml:space="preserve">r gains related to the changes in the fair value of the underlying hedged item attributable to the hedged risk, are recognized in earnings in the current period, primarily in </w:t>
      </w:r>
      <w:r>
        <w:rPr>
          <w:rFonts w:ascii="Arial" w:eastAsia="宋体" w:hAnsi="Arial" w:cs="Arial"/>
          <w:i/>
          <w:iCs/>
          <w:color w:val="262626"/>
          <w:sz w:val="18"/>
          <w:szCs w:val="18"/>
        </w:rPr>
        <w:t>interest and other, net</w:t>
      </w:r>
      <w:r>
        <w:rPr>
          <w:rFonts w:ascii="Arial" w:eastAsia="宋体" w:hAnsi="Arial" w:cs="Arial"/>
          <w:color w:val="262626"/>
          <w:sz w:val="18"/>
          <w:szCs w:val="18"/>
        </w:rPr>
        <w:t>. Cash flows associated with these derivatives are classif</w:t>
      </w:r>
      <w:r>
        <w:rPr>
          <w:rFonts w:ascii="Arial" w:eastAsia="宋体" w:hAnsi="Arial" w:cs="Arial"/>
          <w:color w:val="262626"/>
          <w:sz w:val="18"/>
          <w:szCs w:val="18"/>
        </w:rPr>
        <w:t xml:space="preserve">ied in the Consolidated Statements of Cash Flows in the same section as the underlying item, primarily within </w:t>
      </w:r>
      <w:r>
        <w:rPr>
          <w:rFonts w:ascii="Arial" w:eastAsia="宋体" w:hAnsi="Arial" w:cs="Arial"/>
          <w:i/>
          <w:iCs/>
          <w:color w:val="262626"/>
          <w:sz w:val="18"/>
          <w:szCs w:val="18"/>
        </w:rPr>
        <w:t>cash flows from financing activities</w:t>
      </w:r>
      <w:r>
        <w:rPr>
          <w:rFonts w:ascii="Arial" w:eastAsia="宋体" w:hAnsi="Arial" w:cs="Arial"/>
          <w:color w:val="262626"/>
          <w:sz w:val="18"/>
          <w:szCs w:val="18"/>
        </w:rPr>
        <w:t>.</w:t>
      </w:r>
    </w:p>
    <w:p w14:paraId="5A1B16FC" w14:textId="77777777" w:rsidR="00960BB8" w:rsidRDefault="00C06650">
      <w:pPr>
        <w:spacing w:after="180"/>
      </w:pPr>
      <w:r>
        <w:rPr>
          <w:rFonts w:ascii="Arial" w:eastAsia="宋体" w:hAnsi="Arial" w:cs="Arial"/>
          <w:color w:val="0068B5"/>
          <w:sz w:val="18"/>
          <w:szCs w:val="18"/>
        </w:rPr>
        <w:t>Non-designated hedges</w:t>
      </w:r>
      <w:r>
        <w:rPr>
          <w:rFonts w:ascii="Arial" w:eastAsia="宋体" w:hAnsi="Arial" w:cs="Arial"/>
          <w:color w:val="262626"/>
          <w:sz w:val="18"/>
          <w:szCs w:val="18"/>
        </w:rPr>
        <w:t xml:space="preserve"> use foreign currency contracts to economically hedge the functional currency equivalen</w:t>
      </w:r>
      <w:r>
        <w:rPr>
          <w:rFonts w:ascii="Arial" w:eastAsia="宋体" w:hAnsi="Arial" w:cs="Arial"/>
          <w:color w:val="262626"/>
          <w:sz w:val="18"/>
          <w:szCs w:val="18"/>
        </w:rPr>
        <w:t>t cash flows of recognized monetary assets and liabilities, non-US-dollar-denominated debt instruments classified as hedged investments, and non-US-dollar-denominated loans receivable recognized at fair value. We also use interest rate contracts to hedge i</w:t>
      </w:r>
      <w:r>
        <w:rPr>
          <w:rFonts w:ascii="Arial" w:eastAsia="宋体" w:hAnsi="Arial" w:cs="Arial"/>
          <w:color w:val="262626"/>
          <w:sz w:val="18"/>
          <w:szCs w:val="18"/>
        </w:rPr>
        <w:t>nterest rate risk related to our US-dollar-denominated fixed-rate debt investments classified as hedged investments. The change in fair value of these derivatives is recorded through earnings in the line item on the Consolidated Statements of Income to whi</w:t>
      </w:r>
      <w:r>
        <w:rPr>
          <w:rFonts w:ascii="Arial" w:eastAsia="宋体" w:hAnsi="Arial" w:cs="Arial"/>
          <w:color w:val="262626"/>
          <w:sz w:val="18"/>
          <w:szCs w:val="18"/>
        </w:rPr>
        <w:t xml:space="preserve">ch the derivatives most closely relate, primarily in </w:t>
      </w:r>
      <w:r>
        <w:rPr>
          <w:rFonts w:ascii="Arial" w:eastAsia="宋体" w:hAnsi="Arial" w:cs="Arial"/>
          <w:i/>
          <w:iCs/>
          <w:color w:val="262626"/>
          <w:sz w:val="18"/>
          <w:szCs w:val="18"/>
        </w:rPr>
        <w:t>interest and other, net</w:t>
      </w:r>
      <w:r>
        <w:rPr>
          <w:rFonts w:ascii="Arial" w:eastAsia="宋体" w:hAnsi="Arial" w:cs="Arial"/>
          <w:color w:val="262626"/>
          <w:sz w:val="18"/>
          <w:szCs w:val="18"/>
        </w:rPr>
        <w:t>. Changes in the fair value of the underlying assets and liabilities associated with the hedged risk are generally offset by the changes in the fair value of the related derivative</w:t>
      </w:r>
      <w:r>
        <w:rPr>
          <w:rFonts w:ascii="Arial" w:eastAsia="宋体" w:hAnsi="Arial" w:cs="Arial"/>
          <w:color w:val="262626"/>
          <w:sz w:val="18"/>
          <w:szCs w:val="18"/>
        </w:rPr>
        <w:t xml:space="preserve">s.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709" w14:textId="77777777">
        <w:tc>
          <w:tcPr>
            <w:tcW w:w="50" w:type="pct"/>
            <w:shd w:val="clear" w:color="auto" w:fill="auto"/>
            <w:vAlign w:val="bottom"/>
          </w:tcPr>
          <w:p w14:paraId="5A1B16FD" w14:textId="77777777" w:rsidR="00960BB8" w:rsidRDefault="00960BB8">
            <w:pPr>
              <w:rPr>
                <w:rFonts w:ascii="宋体"/>
              </w:rPr>
            </w:pPr>
          </w:p>
        </w:tc>
        <w:tc>
          <w:tcPr>
            <w:tcW w:w="276" w:type="pct"/>
            <w:shd w:val="clear" w:color="auto" w:fill="auto"/>
            <w:vAlign w:val="bottom"/>
          </w:tcPr>
          <w:p w14:paraId="5A1B16FE" w14:textId="77777777" w:rsidR="00960BB8" w:rsidRDefault="00960BB8">
            <w:pPr>
              <w:rPr>
                <w:rFonts w:ascii="宋体"/>
              </w:rPr>
            </w:pPr>
          </w:p>
        </w:tc>
        <w:tc>
          <w:tcPr>
            <w:tcW w:w="5" w:type="pct"/>
            <w:shd w:val="clear" w:color="auto" w:fill="auto"/>
            <w:vAlign w:val="bottom"/>
          </w:tcPr>
          <w:p w14:paraId="5A1B16FF" w14:textId="77777777" w:rsidR="00960BB8" w:rsidRDefault="00960BB8">
            <w:pPr>
              <w:rPr>
                <w:rFonts w:ascii="宋体"/>
              </w:rPr>
            </w:pPr>
          </w:p>
        </w:tc>
        <w:tc>
          <w:tcPr>
            <w:tcW w:w="50" w:type="pct"/>
            <w:shd w:val="clear" w:color="auto" w:fill="auto"/>
            <w:vAlign w:val="bottom"/>
          </w:tcPr>
          <w:p w14:paraId="5A1B1700" w14:textId="77777777" w:rsidR="00960BB8" w:rsidRDefault="00960BB8">
            <w:pPr>
              <w:rPr>
                <w:rFonts w:ascii="宋体"/>
              </w:rPr>
            </w:pPr>
          </w:p>
        </w:tc>
        <w:tc>
          <w:tcPr>
            <w:tcW w:w="940" w:type="pct"/>
            <w:shd w:val="clear" w:color="auto" w:fill="auto"/>
            <w:vAlign w:val="bottom"/>
          </w:tcPr>
          <w:p w14:paraId="5A1B1701" w14:textId="77777777" w:rsidR="00960BB8" w:rsidRDefault="00960BB8">
            <w:pPr>
              <w:rPr>
                <w:rFonts w:ascii="宋体"/>
              </w:rPr>
            </w:pPr>
          </w:p>
        </w:tc>
        <w:tc>
          <w:tcPr>
            <w:tcW w:w="5" w:type="pct"/>
            <w:shd w:val="clear" w:color="auto" w:fill="auto"/>
            <w:vAlign w:val="bottom"/>
          </w:tcPr>
          <w:p w14:paraId="5A1B1702" w14:textId="77777777" w:rsidR="00960BB8" w:rsidRDefault="00960BB8">
            <w:pPr>
              <w:rPr>
                <w:rFonts w:ascii="宋体"/>
              </w:rPr>
            </w:pPr>
          </w:p>
        </w:tc>
        <w:tc>
          <w:tcPr>
            <w:tcW w:w="50" w:type="pct"/>
            <w:shd w:val="clear" w:color="auto" w:fill="auto"/>
            <w:vAlign w:val="bottom"/>
          </w:tcPr>
          <w:p w14:paraId="5A1B1703" w14:textId="77777777" w:rsidR="00960BB8" w:rsidRDefault="00960BB8">
            <w:pPr>
              <w:rPr>
                <w:rFonts w:ascii="宋体"/>
              </w:rPr>
            </w:pPr>
          </w:p>
        </w:tc>
        <w:tc>
          <w:tcPr>
            <w:tcW w:w="1837" w:type="pct"/>
            <w:shd w:val="clear" w:color="auto" w:fill="auto"/>
            <w:vAlign w:val="bottom"/>
          </w:tcPr>
          <w:p w14:paraId="5A1B1704" w14:textId="77777777" w:rsidR="00960BB8" w:rsidRDefault="00960BB8">
            <w:pPr>
              <w:rPr>
                <w:rFonts w:ascii="宋体"/>
              </w:rPr>
            </w:pPr>
          </w:p>
        </w:tc>
        <w:tc>
          <w:tcPr>
            <w:tcW w:w="5" w:type="pct"/>
            <w:shd w:val="clear" w:color="auto" w:fill="auto"/>
            <w:vAlign w:val="bottom"/>
          </w:tcPr>
          <w:p w14:paraId="5A1B1705" w14:textId="77777777" w:rsidR="00960BB8" w:rsidRDefault="00960BB8">
            <w:pPr>
              <w:rPr>
                <w:rFonts w:ascii="宋体"/>
              </w:rPr>
            </w:pPr>
          </w:p>
        </w:tc>
        <w:tc>
          <w:tcPr>
            <w:tcW w:w="50" w:type="pct"/>
            <w:shd w:val="clear" w:color="auto" w:fill="auto"/>
            <w:vAlign w:val="bottom"/>
          </w:tcPr>
          <w:p w14:paraId="5A1B1706" w14:textId="77777777" w:rsidR="00960BB8" w:rsidRDefault="00960BB8">
            <w:pPr>
              <w:rPr>
                <w:rFonts w:ascii="宋体"/>
              </w:rPr>
            </w:pPr>
          </w:p>
        </w:tc>
        <w:tc>
          <w:tcPr>
            <w:tcW w:w="1724" w:type="pct"/>
            <w:shd w:val="clear" w:color="auto" w:fill="auto"/>
            <w:vAlign w:val="bottom"/>
          </w:tcPr>
          <w:p w14:paraId="5A1B1707" w14:textId="77777777" w:rsidR="00960BB8" w:rsidRDefault="00960BB8">
            <w:pPr>
              <w:rPr>
                <w:rFonts w:ascii="宋体"/>
              </w:rPr>
            </w:pPr>
          </w:p>
        </w:tc>
        <w:tc>
          <w:tcPr>
            <w:tcW w:w="5" w:type="pct"/>
            <w:shd w:val="clear" w:color="auto" w:fill="auto"/>
            <w:vAlign w:val="bottom"/>
          </w:tcPr>
          <w:p w14:paraId="5A1B1708" w14:textId="77777777" w:rsidR="00960BB8" w:rsidRDefault="00960BB8">
            <w:pPr>
              <w:rPr>
                <w:rFonts w:ascii="宋体"/>
              </w:rPr>
            </w:pPr>
          </w:p>
        </w:tc>
      </w:tr>
      <w:tr w:rsidR="00960BB8" w14:paraId="5A1B170E"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0A"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81" wp14:editId="5A1B4482">
                  <wp:extent cx="304800" cy="304800"/>
                  <wp:effectExtent l="0" t="0" r="0" b="0"/>
                  <wp:docPr id="58" name="图片 25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5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0B"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70C"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0D" w14:textId="77777777" w:rsidR="00960BB8" w:rsidRDefault="00C06650">
            <w:pPr>
              <w:jc w:val="right"/>
              <w:textAlignment w:val="center"/>
            </w:pPr>
            <w:r>
              <w:rPr>
                <w:rFonts w:ascii="Arial" w:eastAsia="宋体" w:hAnsi="Arial" w:cs="Arial"/>
                <w:color w:val="262626"/>
                <w:sz w:val="16"/>
                <w:szCs w:val="16"/>
              </w:rPr>
              <w:t>85</w:t>
            </w:r>
          </w:p>
        </w:tc>
      </w:tr>
    </w:tbl>
    <w:p w14:paraId="5A1B170F" w14:textId="77777777" w:rsidR="00960BB8" w:rsidRDefault="00C06650">
      <w:r>
        <w:pict w14:anchorId="5A1B4483">
          <v:rect id="_x0000_i1111" style="width:415.3pt;height:1.5pt" o:hralign="center" o:hrstd="t" o:hr="t" fillcolor="#a0a0a0" stroked="f"/>
        </w:pict>
      </w:r>
    </w:p>
    <w:p w14:paraId="5A1B1710" w14:textId="77777777" w:rsidR="00960BB8" w:rsidRDefault="00C06650">
      <w:pPr>
        <w:jc w:val="right"/>
      </w:pPr>
      <w:hyperlink r:id="rId134" w:anchor="i8aaa7b4dbd2e419ca0f5c30af85a11aa_16" w:history="1">
        <w:r>
          <w:rPr>
            <w:rStyle w:val="a5"/>
            <w:rFonts w:ascii="Arial" w:eastAsia="宋体" w:hAnsi="Arial" w:cs="Arial"/>
            <w:b/>
            <w:bCs/>
            <w:sz w:val="16"/>
            <w:szCs w:val="16"/>
          </w:rPr>
          <w:t>Table of Contents</w:t>
        </w:r>
      </w:hyperlink>
    </w:p>
    <w:p w14:paraId="5A1B1711" w14:textId="77777777" w:rsidR="00960BB8" w:rsidRDefault="00960BB8">
      <w:pPr>
        <w:jc w:val="right"/>
      </w:pPr>
    </w:p>
    <w:p w14:paraId="5A1B1712" w14:textId="77777777" w:rsidR="00960BB8" w:rsidRDefault="00C06650">
      <w:pPr>
        <w:spacing w:before="180" w:after="180"/>
      </w:pPr>
      <w:r>
        <w:rPr>
          <w:rFonts w:ascii="Arial" w:eastAsia="宋体" w:hAnsi="Arial" w:cs="Arial"/>
          <w:color w:val="0068B5"/>
        </w:rPr>
        <w:t>Credit Risk</w:t>
      </w:r>
    </w:p>
    <w:p w14:paraId="5A1B1713" w14:textId="77777777" w:rsidR="00960BB8" w:rsidRDefault="00C06650">
      <w:pPr>
        <w:spacing w:after="180"/>
      </w:pPr>
      <w:r>
        <w:rPr>
          <w:rFonts w:ascii="Arial" w:eastAsia="宋体" w:hAnsi="Arial" w:cs="Arial"/>
          <w:color w:val="262626"/>
          <w:sz w:val="18"/>
          <w:szCs w:val="18"/>
        </w:rPr>
        <w:t xml:space="preserve">Financial instruments that potentially subject us to concentrations of </w:t>
      </w:r>
      <w:r>
        <w:rPr>
          <w:rFonts w:ascii="Arial" w:eastAsia="宋体" w:hAnsi="Arial" w:cs="Arial"/>
          <w:color w:val="262626"/>
          <w:sz w:val="18"/>
          <w:szCs w:val="18"/>
        </w:rPr>
        <w:t>credit risk consist principally of investments in debt instruments, derivative financial instruments, loans receivable, reverse repurchase agreements, and trade receivables. We generally place investments with high-credit-quality counterparties and, by pol</w:t>
      </w:r>
      <w:r>
        <w:rPr>
          <w:rFonts w:ascii="Arial" w:eastAsia="宋体" w:hAnsi="Arial" w:cs="Arial"/>
          <w:color w:val="262626"/>
          <w:sz w:val="18"/>
          <w:szCs w:val="18"/>
        </w:rPr>
        <w:t>icy, we limit the amount of credit exposure to any one counterparty based on our analysis of that counterparty's relative credit standing. As required per our investment policy, substantially all of our investments in debt instruments are in investment-gra</w:t>
      </w:r>
      <w:r>
        <w:rPr>
          <w:rFonts w:ascii="Arial" w:eastAsia="宋体" w:hAnsi="Arial" w:cs="Arial"/>
          <w:color w:val="262626"/>
          <w:sz w:val="18"/>
          <w:szCs w:val="18"/>
        </w:rPr>
        <w:t xml:space="preserve">de instruments. Credit-rating criteria for derivative instruments are similar to those for other investments. </w:t>
      </w:r>
    </w:p>
    <w:p w14:paraId="5A1B1714" w14:textId="77777777" w:rsidR="00960BB8" w:rsidRDefault="00C06650">
      <w:pPr>
        <w:spacing w:after="180"/>
      </w:pPr>
      <w:r>
        <w:rPr>
          <w:rFonts w:ascii="Arial" w:eastAsia="宋体" w:hAnsi="Arial" w:cs="Arial"/>
          <w:color w:val="262626"/>
          <w:sz w:val="18"/>
          <w:szCs w:val="18"/>
        </w:rPr>
        <w:t>We enter into master netting arrangements to mitigate credit risk in derivative transactions by permitting net settlement of transactions with th</w:t>
      </w:r>
      <w:r>
        <w:rPr>
          <w:rFonts w:ascii="Arial" w:eastAsia="宋体" w:hAnsi="Arial" w:cs="Arial"/>
          <w:color w:val="262626"/>
          <w:sz w:val="18"/>
          <w:szCs w:val="18"/>
        </w:rPr>
        <w:t>e same counterparty. Due to master netting arrangements, the amounts subject to credit risk related to derivative instruments are generally limited to the amounts, if any, by which the counterparty's obligations exceed our obligations with that counterpart</w:t>
      </w:r>
      <w:r>
        <w:rPr>
          <w:rFonts w:ascii="Arial" w:eastAsia="宋体" w:hAnsi="Arial" w:cs="Arial"/>
          <w:color w:val="262626"/>
          <w:sz w:val="18"/>
          <w:szCs w:val="18"/>
        </w:rPr>
        <w:t>y. As of December 31, 2022, our total credit exposure to any single counterparty, excluding money market funds invested in US treasury and US agency securities and reverse repurchase agreements collateralized by treasury and agency securities, did not exce</w:t>
      </w:r>
      <w:r>
        <w:rPr>
          <w:rFonts w:ascii="Arial" w:eastAsia="宋体" w:hAnsi="Arial" w:cs="Arial"/>
          <w:color w:val="262626"/>
          <w:sz w:val="18"/>
          <w:szCs w:val="18"/>
        </w:rPr>
        <w:t>ed $2.9 billion. To further reduce credit risk, we enter into collateral security arrangements with certain of our derivative counterparties and obtain and secure collateral from counterparties against obligations, including securities lending transactions</w:t>
      </w:r>
      <w:r>
        <w:rPr>
          <w:rFonts w:ascii="Arial" w:eastAsia="宋体" w:hAnsi="Arial" w:cs="Arial"/>
          <w:color w:val="262626"/>
          <w:sz w:val="18"/>
          <w:szCs w:val="18"/>
        </w:rPr>
        <w:t xml:space="preserve"> when we deem it appropriate. Cash collateral exchanged under our collateral security arrangements is included in </w:t>
      </w:r>
      <w:r>
        <w:rPr>
          <w:rFonts w:ascii="Arial" w:eastAsia="宋体" w:hAnsi="Arial" w:cs="Arial"/>
          <w:i/>
          <w:iCs/>
          <w:color w:val="262626"/>
          <w:sz w:val="18"/>
          <w:szCs w:val="18"/>
        </w:rPr>
        <w:t>other current assets</w:t>
      </w:r>
      <w:r>
        <w:rPr>
          <w:rFonts w:ascii="Arial" w:eastAsia="宋体" w:hAnsi="Arial" w:cs="Arial"/>
          <w:color w:val="262626"/>
          <w:sz w:val="18"/>
          <w:szCs w:val="18"/>
        </w:rPr>
        <w:t xml:space="preserve">, </w:t>
      </w:r>
      <w:r>
        <w:rPr>
          <w:rFonts w:ascii="Arial" w:eastAsia="宋体" w:hAnsi="Arial" w:cs="Arial"/>
          <w:i/>
          <w:iCs/>
          <w:color w:val="262626"/>
          <w:sz w:val="18"/>
          <w:szCs w:val="18"/>
        </w:rPr>
        <w:t>other long-term assets</w:t>
      </w:r>
      <w:r>
        <w:rPr>
          <w:rFonts w:ascii="Arial" w:eastAsia="宋体" w:hAnsi="Arial" w:cs="Arial"/>
          <w:color w:val="262626"/>
          <w:sz w:val="18"/>
          <w:szCs w:val="18"/>
        </w:rPr>
        <w:t xml:space="preserve">, </w:t>
      </w:r>
      <w:r>
        <w:rPr>
          <w:rFonts w:ascii="Arial" w:eastAsia="宋体" w:hAnsi="Arial" w:cs="Arial"/>
          <w:i/>
          <w:iCs/>
          <w:color w:val="262626"/>
          <w:sz w:val="18"/>
          <w:szCs w:val="18"/>
        </w:rPr>
        <w:t>other accrued liabilities</w:t>
      </w:r>
      <w:r>
        <w:rPr>
          <w:rFonts w:ascii="Arial" w:eastAsia="宋体" w:hAnsi="Arial" w:cs="Arial"/>
          <w:color w:val="262626"/>
          <w:sz w:val="18"/>
          <w:szCs w:val="18"/>
        </w:rPr>
        <w:t xml:space="preserve">, or </w:t>
      </w:r>
      <w:r>
        <w:rPr>
          <w:rFonts w:ascii="Arial" w:eastAsia="宋体" w:hAnsi="Arial" w:cs="Arial"/>
          <w:i/>
          <w:iCs/>
          <w:color w:val="262626"/>
          <w:sz w:val="18"/>
          <w:szCs w:val="18"/>
        </w:rPr>
        <w:t>other long-term liabilities</w:t>
      </w:r>
      <w:r>
        <w:rPr>
          <w:rFonts w:ascii="Arial" w:eastAsia="宋体" w:hAnsi="Arial" w:cs="Arial"/>
          <w:color w:val="262626"/>
          <w:sz w:val="18"/>
          <w:szCs w:val="18"/>
        </w:rPr>
        <w:t xml:space="preserve">. For reverse repurchase </w:t>
      </w:r>
      <w:r>
        <w:rPr>
          <w:rFonts w:ascii="Arial" w:eastAsia="宋体" w:hAnsi="Arial" w:cs="Arial"/>
          <w:color w:val="262626"/>
          <w:sz w:val="18"/>
          <w:szCs w:val="18"/>
        </w:rPr>
        <w:t>agreements collateralized by other securities, we do not record the collateral as an asset or a liability unless the collateral is repledged.</w:t>
      </w:r>
    </w:p>
    <w:p w14:paraId="5A1B1715" w14:textId="77777777" w:rsidR="00960BB8" w:rsidRDefault="00C06650">
      <w:pPr>
        <w:spacing w:after="180"/>
      </w:pPr>
      <w:r>
        <w:rPr>
          <w:rFonts w:ascii="Arial" w:eastAsia="宋体" w:hAnsi="Arial" w:cs="Arial"/>
          <w:color w:val="262626"/>
          <w:sz w:val="18"/>
          <w:szCs w:val="18"/>
        </w:rPr>
        <w:t>A majority</w:t>
      </w:r>
      <w:r>
        <w:rPr>
          <w:rFonts w:ascii="Arial" w:eastAsia="宋体" w:hAnsi="Arial" w:cs="Arial"/>
          <w:b/>
          <w:bCs/>
          <w:color w:val="262626"/>
          <w:sz w:val="18"/>
          <w:szCs w:val="18"/>
        </w:rPr>
        <w:t xml:space="preserve"> </w:t>
      </w:r>
      <w:r>
        <w:rPr>
          <w:rFonts w:ascii="Arial" w:eastAsia="宋体" w:hAnsi="Arial" w:cs="Arial"/>
          <w:color w:val="262626"/>
          <w:sz w:val="18"/>
          <w:szCs w:val="18"/>
        </w:rPr>
        <w:t>of our trade receivables are derived from sales to OEMs and ODMs. We also have accounts receivable deri</w:t>
      </w:r>
      <w:r>
        <w:rPr>
          <w:rFonts w:ascii="Arial" w:eastAsia="宋体" w:hAnsi="Arial" w:cs="Arial"/>
          <w:color w:val="262626"/>
          <w:sz w:val="18"/>
          <w:szCs w:val="18"/>
        </w:rPr>
        <w:t>ved from sales to industrial and communications equipment manufacturers in the computing and communications industries. We believe the net accounts receivable balances from our three largest customers (53% as of December 31, 2022) do not represent a signif</w:t>
      </w:r>
      <w:r>
        <w:rPr>
          <w:rFonts w:ascii="Arial" w:eastAsia="宋体" w:hAnsi="Arial" w:cs="Arial"/>
          <w:color w:val="262626"/>
          <w:sz w:val="18"/>
          <w:szCs w:val="18"/>
        </w:rPr>
        <w:t xml:space="preserve">icant credit risk, based on cash flow forecasts, balance sheet analysis, and past collection experience. </w:t>
      </w:r>
    </w:p>
    <w:p w14:paraId="5A1B1716" w14:textId="77777777" w:rsidR="00960BB8" w:rsidRDefault="00C06650">
      <w:pPr>
        <w:spacing w:after="180"/>
      </w:pPr>
      <w:r>
        <w:rPr>
          <w:rFonts w:ascii="Arial" w:eastAsia="宋体" w:hAnsi="Arial" w:cs="Arial"/>
          <w:color w:val="262626"/>
          <w:sz w:val="18"/>
          <w:szCs w:val="18"/>
        </w:rPr>
        <w:t xml:space="preserve">We have adopted credit policies and standards intended to accommodate industry growth and inherent risk. We believe credit risks are moderated by the </w:t>
      </w:r>
      <w:r>
        <w:rPr>
          <w:rFonts w:ascii="Arial" w:eastAsia="宋体" w:hAnsi="Arial" w:cs="Arial"/>
          <w:color w:val="262626"/>
          <w:sz w:val="18"/>
          <w:szCs w:val="18"/>
        </w:rPr>
        <w:t>financial stability of our major customers. We assess credit risk through quantitative and qualitative analysis. From this analysis, we establish shipping and credit limits and determine whether we will seek to use one or more credit support protection dev</w:t>
      </w:r>
      <w:r>
        <w:rPr>
          <w:rFonts w:ascii="Arial" w:eastAsia="宋体" w:hAnsi="Arial" w:cs="Arial"/>
          <w:color w:val="262626"/>
          <w:sz w:val="18"/>
          <w:szCs w:val="18"/>
        </w:rPr>
        <w:t>ices, such as obtaining a parent guarantee, standby letter of credit, or credit insurance.</w:t>
      </w:r>
    </w:p>
    <w:p w14:paraId="5A1B1717" w14:textId="77777777" w:rsidR="00960BB8" w:rsidRDefault="00C06650">
      <w:pPr>
        <w:spacing w:after="180"/>
      </w:pPr>
      <w:r>
        <w:rPr>
          <w:rFonts w:ascii="Arial" w:eastAsia="宋体" w:hAnsi="Arial" w:cs="Arial"/>
          <w:color w:val="0068B5"/>
        </w:rPr>
        <w:t>Variable Interest Entities</w:t>
      </w:r>
    </w:p>
    <w:p w14:paraId="5A1B1718" w14:textId="77777777" w:rsidR="00960BB8" w:rsidRDefault="00C06650">
      <w:pPr>
        <w:spacing w:after="180"/>
      </w:pPr>
      <w:r>
        <w:rPr>
          <w:rFonts w:ascii="Arial" w:eastAsia="宋体" w:hAnsi="Arial" w:cs="Arial"/>
          <w:color w:val="262626"/>
          <w:sz w:val="18"/>
          <w:szCs w:val="18"/>
        </w:rPr>
        <w:t>We have economic interests in entities that are VIEs. If we conclude we are the primary beneficiary of the VIE, we are required to consoli</w:t>
      </w:r>
      <w:r>
        <w:rPr>
          <w:rFonts w:ascii="Arial" w:eastAsia="宋体" w:hAnsi="Arial" w:cs="Arial"/>
          <w:color w:val="262626"/>
          <w:sz w:val="18"/>
          <w:szCs w:val="18"/>
        </w:rPr>
        <w:t>date the entity in our financial statements. To determine if we are the primary beneficiary, we evaluate whether we have the power to direct the activities that most significantly impact the VIE’s economic performance and the obligation to absorb losses or</w:t>
      </w:r>
      <w:r>
        <w:rPr>
          <w:rFonts w:ascii="Arial" w:eastAsia="宋体" w:hAnsi="Arial" w:cs="Arial"/>
          <w:color w:val="262626"/>
          <w:sz w:val="18"/>
          <w:szCs w:val="18"/>
        </w:rPr>
        <w:t xml:space="preserve"> the right to receive benefits of the VIE that could potentially be significant to the VIE. Our evaluation includes identification of significant activities and an assessment of our ability to direct those activities based on governance provisions and arra</w:t>
      </w:r>
      <w:r>
        <w:rPr>
          <w:rFonts w:ascii="Arial" w:eastAsia="宋体" w:hAnsi="Arial" w:cs="Arial"/>
          <w:color w:val="262626"/>
          <w:sz w:val="18"/>
          <w:szCs w:val="18"/>
        </w:rPr>
        <w:t>ngements to provide services to the VIE. Periodically, we assess whether any changes in our interest or relationship with the entity affect our determination of whether the entity is a VIE and, if so, whether we are the primary beneficiary.</w:t>
      </w:r>
    </w:p>
    <w:p w14:paraId="5A1B1719" w14:textId="77777777" w:rsidR="00960BB8" w:rsidRDefault="00C06650">
      <w:pPr>
        <w:spacing w:before="180" w:after="180"/>
      </w:pPr>
      <w:r>
        <w:rPr>
          <w:rFonts w:ascii="Arial" w:eastAsia="宋体" w:hAnsi="Arial" w:cs="Arial"/>
          <w:color w:val="0068B5"/>
        </w:rPr>
        <w:t>Business Combin</w:t>
      </w:r>
      <w:r>
        <w:rPr>
          <w:rFonts w:ascii="Arial" w:eastAsia="宋体" w:hAnsi="Arial" w:cs="Arial"/>
          <w:color w:val="0068B5"/>
        </w:rPr>
        <w:t>ations</w:t>
      </w:r>
    </w:p>
    <w:p w14:paraId="5A1B171A" w14:textId="77777777" w:rsidR="00960BB8" w:rsidRDefault="00C06650">
      <w:pPr>
        <w:spacing w:after="120"/>
      </w:pPr>
      <w:r>
        <w:rPr>
          <w:rFonts w:ascii="Arial" w:eastAsia="宋体" w:hAnsi="Arial" w:cs="Arial"/>
          <w:color w:val="262626"/>
          <w:sz w:val="18"/>
          <w:szCs w:val="18"/>
        </w:rPr>
        <w:t>We allocate the purchase price paid for assets acquired and liabilities assumed in connection with our acquisitions based on their estimated fair values at the time of acquisition. This allocation involves a number of assumptions, estimates, and jud</w:t>
      </w:r>
      <w:r>
        <w:rPr>
          <w:rFonts w:ascii="Arial" w:eastAsia="宋体" w:hAnsi="Arial" w:cs="Arial"/>
          <w:color w:val="262626"/>
          <w:sz w:val="18"/>
          <w:szCs w:val="18"/>
        </w:rPr>
        <w:t>gments in determining the fair value of the following:</w:t>
      </w:r>
    </w:p>
    <w:p w14:paraId="5A1B171B"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inventory; property, plant and equipment; pre-existing liabilities or legal claims; and contingent consideration; each as may be applicable; </w:t>
      </w:r>
    </w:p>
    <w:p w14:paraId="5A1B171C"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intangible assets, including the valuation methodology, estimations of future cash flows, discount rates, market </w:t>
      </w:r>
      <w:r>
        <w:rPr>
          <w:rFonts w:ascii="Arial" w:eastAsia="宋体" w:hAnsi="Arial" w:cs="Arial"/>
          <w:color w:val="262626"/>
          <w:sz w:val="18"/>
          <w:szCs w:val="18"/>
        </w:rPr>
        <w:t>segment growth rates, and our assumed market segment share, as well as the estimated useful life of intangible assets;</w:t>
      </w:r>
    </w:p>
    <w:p w14:paraId="5A1B171D"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deferred tax assets and liabilities, uncertain tax positions, and tax-related valuation allowances, which are initially estimated as of </w:t>
      </w:r>
      <w:r>
        <w:rPr>
          <w:rFonts w:ascii="Arial" w:eastAsia="宋体" w:hAnsi="Arial" w:cs="Arial"/>
          <w:color w:val="262626"/>
          <w:sz w:val="18"/>
          <w:szCs w:val="18"/>
        </w:rPr>
        <w:t>the acquisition date; and</w:t>
      </w:r>
    </w:p>
    <w:p w14:paraId="5A1B171E"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goodwill as measured as the excess of consideration transferred over the net of the acquisition date fair values of the assets acquired and the liabilities assumed.</w:t>
      </w:r>
    </w:p>
    <w:p w14:paraId="5A1B171F" w14:textId="77777777" w:rsidR="00960BB8" w:rsidRDefault="00C06650">
      <w:pPr>
        <w:spacing w:after="180"/>
      </w:pPr>
      <w:r>
        <w:rPr>
          <w:rFonts w:ascii="Arial" w:eastAsia="宋体" w:hAnsi="Arial" w:cs="Arial"/>
          <w:color w:val="262626"/>
          <w:sz w:val="18"/>
          <w:szCs w:val="18"/>
        </w:rPr>
        <w:t>Our assumptions and estimates are based upon comparable market d</w:t>
      </w:r>
      <w:r>
        <w:rPr>
          <w:rFonts w:ascii="Arial" w:eastAsia="宋体" w:hAnsi="Arial" w:cs="Arial"/>
          <w:color w:val="262626"/>
          <w:sz w:val="18"/>
          <w:szCs w:val="18"/>
        </w:rPr>
        <w:t>ata and information obtained from our management and the management of the acquired companies. We allocate goodwill to the reporting units of the business that are expected to benefit from the business combination.</w:t>
      </w:r>
    </w:p>
    <w:p w14:paraId="5A1B1720" w14:textId="77777777" w:rsidR="00960BB8" w:rsidRDefault="00C06650">
      <w:pPr>
        <w:spacing w:before="180" w:after="180"/>
      </w:pPr>
      <w:r>
        <w:rPr>
          <w:rFonts w:ascii="Arial" w:eastAsia="宋体" w:hAnsi="Arial" w:cs="Arial"/>
          <w:color w:val="0068B5"/>
        </w:rPr>
        <w:t>Employee Equity Incentive Plans</w:t>
      </w:r>
    </w:p>
    <w:p w14:paraId="5A1B1721" w14:textId="77777777" w:rsidR="00960BB8" w:rsidRDefault="00C06650">
      <w:pPr>
        <w:spacing w:after="180"/>
      </w:pPr>
      <w:r>
        <w:rPr>
          <w:rFonts w:ascii="Arial" w:eastAsia="宋体" w:hAnsi="Arial" w:cs="Arial"/>
          <w:color w:val="262626"/>
          <w:sz w:val="18"/>
          <w:szCs w:val="18"/>
        </w:rPr>
        <w:t>We use th</w:t>
      </w:r>
      <w:r>
        <w:rPr>
          <w:rFonts w:ascii="Arial" w:eastAsia="宋体" w:hAnsi="Arial" w:cs="Arial"/>
          <w:color w:val="262626"/>
          <w:sz w:val="18"/>
          <w:szCs w:val="18"/>
        </w:rPr>
        <w:t xml:space="preserve">e straight-line amortization method to recognize share-based compensation expense over the service period of the award, net of estimated forfeitures. Upon exercise, cancellation, forfeiture, or expiration of stock options, or upon vesting or forfeiture of </w:t>
      </w:r>
      <w:r>
        <w:rPr>
          <w:rFonts w:ascii="Arial" w:eastAsia="宋体" w:hAnsi="Arial" w:cs="Arial"/>
          <w:color w:val="262626"/>
          <w:sz w:val="18"/>
          <w:szCs w:val="18"/>
        </w:rPr>
        <w:t>RSUs, we eliminate deferred tax assets for options and RSUs with multiple vesting dates for each vesting period on a first-in, first-out basis as if each vesting period were a separate award.</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72E" w14:textId="77777777">
        <w:tc>
          <w:tcPr>
            <w:tcW w:w="50" w:type="pct"/>
            <w:shd w:val="clear" w:color="auto" w:fill="auto"/>
            <w:vAlign w:val="bottom"/>
          </w:tcPr>
          <w:p w14:paraId="5A1B1722" w14:textId="77777777" w:rsidR="00960BB8" w:rsidRDefault="00960BB8">
            <w:pPr>
              <w:rPr>
                <w:rFonts w:ascii="宋体"/>
              </w:rPr>
            </w:pPr>
          </w:p>
        </w:tc>
        <w:tc>
          <w:tcPr>
            <w:tcW w:w="276" w:type="pct"/>
            <w:shd w:val="clear" w:color="auto" w:fill="auto"/>
            <w:vAlign w:val="bottom"/>
          </w:tcPr>
          <w:p w14:paraId="5A1B1723" w14:textId="77777777" w:rsidR="00960BB8" w:rsidRDefault="00960BB8">
            <w:pPr>
              <w:rPr>
                <w:rFonts w:ascii="宋体"/>
              </w:rPr>
            </w:pPr>
          </w:p>
        </w:tc>
        <w:tc>
          <w:tcPr>
            <w:tcW w:w="5" w:type="pct"/>
            <w:shd w:val="clear" w:color="auto" w:fill="auto"/>
            <w:vAlign w:val="bottom"/>
          </w:tcPr>
          <w:p w14:paraId="5A1B1724" w14:textId="77777777" w:rsidR="00960BB8" w:rsidRDefault="00960BB8">
            <w:pPr>
              <w:rPr>
                <w:rFonts w:ascii="宋体"/>
              </w:rPr>
            </w:pPr>
          </w:p>
        </w:tc>
        <w:tc>
          <w:tcPr>
            <w:tcW w:w="50" w:type="pct"/>
            <w:shd w:val="clear" w:color="auto" w:fill="auto"/>
            <w:vAlign w:val="bottom"/>
          </w:tcPr>
          <w:p w14:paraId="5A1B1725" w14:textId="77777777" w:rsidR="00960BB8" w:rsidRDefault="00960BB8">
            <w:pPr>
              <w:rPr>
                <w:rFonts w:ascii="宋体"/>
              </w:rPr>
            </w:pPr>
          </w:p>
        </w:tc>
        <w:tc>
          <w:tcPr>
            <w:tcW w:w="940" w:type="pct"/>
            <w:shd w:val="clear" w:color="auto" w:fill="auto"/>
            <w:vAlign w:val="bottom"/>
          </w:tcPr>
          <w:p w14:paraId="5A1B1726" w14:textId="77777777" w:rsidR="00960BB8" w:rsidRDefault="00960BB8">
            <w:pPr>
              <w:rPr>
                <w:rFonts w:ascii="宋体"/>
              </w:rPr>
            </w:pPr>
          </w:p>
        </w:tc>
        <w:tc>
          <w:tcPr>
            <w:tcW w:w="5" w:type="pct"/>
            <w:shd w:val="clear" w:color="auto" w:fill="auto"/>
            <w:vAlign w:val="bottom"/>
          </w:tcPr>
          <w:p w14:paraId="5A1B1727" w14:textId="77777777" w:rsidR="00960BB8" w:rsidRDefault="00960BB8">
            <w:pPr>
              <w:rPr>
                <w:rFonts w:ascii="宋体"/>
              </w:rPr>
            </w:pPr>
          </w:p>
        </w:tc>
        <w:tc>
          <w:tcPr>
            <w:tcW w:w="50" w:type="pct"/>
            <w:shd w:val="clear" w:color="auto" w:fill="auto"/>
            <w:vAlign w:val="bottom"/>
          </w:tcPr>
          <w:p w14:paraId="5A1B1728" w14:textId="77777777" w:rsidR="00960BB8" w:rsidRDefault="00960BB8">
            <w:pPr>
              <w:rPr>
                <w:rFonts w:ascii="宋体"/>
              </w:rPr>
            </w:pPr>
          </w:p>
        </w:tc>
        <w:tc>
          <w:tcPr>
            <w:tcW w:w="1837" w:type="pct"/>
            <w:shd w:val="clear" w:color="auto" w:fill="auto"/>
            <w:vAlign w:val="bottom"/>
          </w:tcPr>
          <w:p w14:paraId="5A1B1729" w14:textId="77777777" w:rsidR="00960BB8" w:rsidRDefault="00960BB8">
            <w:pPr>
              <w:rPr>
                <w:rFonts w:ascii="宋体"/>
              </w:rPr>
            </w:pPr>
          </w:p>
        </w:tc>
        <w:tc>
          <w:tcPr>
            <w:tcW w:w="5" w:type="pct"/>
            <w:shd w:val="clear" w:color="auto" w:fill="auto"/>
            <w:vAlign w:val="bottom"/>
          </w:tcPr>
          <w:p w14:paraId="5A1B172A" w14:textId="77777777" w:rsidR="00960BB8" w:rsidRDefault="00960BB8">
            <w:pPr>
              <w:rPr>
                <w:rFonts w:ascii="宋体"/>
              </w:rPr>
            </w:pPr>
          </w:p>
        </w:tc>
        <w:tc>
          <w:tcPr>
            <w:tcW w:w="50" w:type="pct"/>
            <w:shd w:val="clear" w:color="auto" w:fill="auto"/>
            <w:vAlign w:val="bottom"/>
          </w:tcPr>
          <w:p w14:paraId="5A1B172B" w14:textId="77777777" w:rsidR="00960BB8" w:rsidRDefault="00960BB8">
            <w:pPr>
              <w:rPr>
                <w:rFonts w:ascii="宋体"/>
              </w:rPr>
            </w:pPr>
          </w:p>
        </w:tc>
        <w:tc>
          <w:tcPr>
            <w:tcW w:w="1724" w:type="pct"/>
            <w:shd w:val="clear" w:color="auto" w:fill="auto"/>
            <w:vAlign w:val="bottom"/>
          </w:tcPr>
          <w:p w14:paraId="5A1B172C" w14:textId="77777777" w:rsidR="00960BB8" w:rsidRDefault="00960BB8">
            <w:pPr>
              <w:rPr>
                <w:rFonts w:ascii="宋体"/>
              </w:rPr>
            </w:pPr>
          </w:p>
        </w:tc>
        <w:tc>
          <w:tcPr>
            <w:tcW w:w="5" w:type="pct"/>
            <w:shd w:val="clear" w:color="auto" w:fill="auto"/>
            <w:vAlign w:val="bottom"/>
          </w:tcPr>
          <w:p w14:paraId="5A1B172D" w14:textId="77777777" w:rsidR="00960BB8" w:rsidRDefault="00960BB8">
            <w:pPr>
              <w:rPr>
                <w:rFonts w:ascii="宋体"/>
              </w:rPr>
            </w:pPr>
          </w:p>
        </w:tc>
      </w:tr>
      <w:tr w:rsidR="00960BB8" w14:paraId="5A1B1733"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2F"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84" wp14:editId="5A1B4485">
                  <wp:extent cx="304800" cy="304800"/>
                  <wp:effectExtent l="0" t="0" r="0" b="0"/>
                  <wp:docPr id="84" name="图片 26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6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30"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731"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32" w14:textId="77777777" w:rsidR="00960BB8" w:rsidRDefault="00C06650">
            <w:pPr>
              <w:jc w:val="right"/>
              <w:textAlignment w:val="center"/>
            </w:pPr>
            <w:r>
              <w:rPr>
                <w:rFonts w:ascii="Arial" w:eastAsia="宋体" w:hAnsi="Arial" w:cs="Arial"/>
                <w:color w:val="262626"/>
                <w:sz w:val="16"/>
                <w:szCs w:val="16"/>
              </w:rPr>
              <w:t>86</w:t>
            </w:r>
          </w:p>
        </w:tc>
      </w:tr>
    </w:tbl>
    <w:p w14:paraId="5A1B1734" w14:textId="77777777" w:rsidR="00960BB8" w:rsidRDefault="00C06650">
      <w:r>
        <w:pict w14:anchorId="5A1B4486">
          <v:rect id="_x0000_i1112" style="width:415.3pt;height:1.5pt" o:hralign="center" o:hrstd="t" o:hr="t" fillcolor="#a0a0a0" stroked="f"/>
        </w:pict>
      </w:r>
    </w:p>
    <w:p w14:paraId="5A1B1735" w14:textId="77777777" w:rsidR="00960BB8" w:rsidRDefault="00C06650">
      <w:pPr>
        <w:jc w:val="right"/>
      </w:pPr>
      <w:hyperlink r:id="rId135" w:anchor="i8aaa7b4dbd2e419ca0f5c30af85a11aa_16" w:history="1">
        <w:r>
          <w:rPr>
            <w:rStyle w:val="a5"/>
            <w:rFonts w:ascii="Arial" w:eastAsia="宋体" w:hAnsi="Arial" w:cs="Arial"/>
            <w:b/>
            <w:bCs/>
            <w:sz w:val="16"/>
            <w:szCs w:val="16"/>
          </w:rPr>
          <w:t>Table of Contents</w:t>
        </w:r>
      </w:hyperlink>
    </w:p>
    <w:p w14:paraId="5A1B1736" w14:textId="77777777" w:rsidR="00960BB8" w:rsidRDefault="00960BB8">
      <w:pPr>
        <w:jc w:val="right"/>
      </w:pPr>
    </w:p>
    <w:p w14:paraId="5A1B1737" w14:textId="77777777" w:rsidR="00960BB8" w:rsidRDefault="00C06650">
      <w:pPr>
        <w:spacing w:after="180"/>
      </w:pPr>
      <w:r>
        <w:rPr>
          <w:rFonts w:ascii="Arial" w:eastAsia="宋体" w:hAnsi="Arial" w:cs="Arial"/>
          <w:color w:val="262626"/>
          <w:sz w:val="18"/>
          <w:szCs w:val="18"/>
        </w:rPr>
        <w:t>For the majority of RSUs granted, the number of shares of common stock issued on th</w:t>
      </w:r>
      <w:r>
        <w:rPr>
          <w:rFonts w:ascii="Arial" w:eastAsia="宋体" w:hAnsi="Arial" w:cs="Arial"/>
          <w:color w:val="262626"/>
          <w:sz w:val="18"/>
          <w:szCs w:val="18"/>
        </w:rPr>
        <w:t>e date the RSUs vest is net of the minimum statutory withholding requirements that we pay in cash to the appropriate taxing authorities on behalf of our employees. The obligation to pay the relevant taxing authority is contingent upon continued employment.</w:t>
      </w:r>
      <w:r>
        <w:rPr>
          <w:rFonts w:ascii="Arial" w:eastAsia="宋体" w:hAnsi="Arial" w:cs="Arial"/>
          <w:color w:val="262626"/>
          <w:sz w:val="18"/>
          <w:szCs w:val="18"/>
        </w:rPr>
        <w:t xml:space="preserve"> In addition, the amount of the obligation is unknown, as it is based in part on the market price of our common stock when the awards vest.</w:t>
      </w:r>
    </w:p>
    <w:p w14:paraId="5A1B1738" w14:textId="77777777" w:rsidR="00960BB8" w:rsidRDefault="00C06650">
      <w:pPr>
        <w:spacing w:before="180" w:after="180"/>
      </w:pPr>
      <w:r>
        <w:rPr>
          <w:rFonts w:ascii="Arial" w:eastAsia="宋体" w:hAnsi="Arial" w:cs="Arial"/>
          <w:color w:val="0068B5"/>
        </w:rPr>
        <w:t>Income Taxes</w:t>
      </w:r>
    </w:p>
    <w:p w14:paraId="5A1B1739" w14:textId="77777777" w:rsidR="00960BB8" w:rsidRDefault="00C06650">
      <w:pPr>
        <w:spacing w:after="180"/>
      </w:pPr>
      <w:r>
        <w:rPr>
          <w:rFonts w:ascii="Arial" w:eastAsia="宋体" w:hAnsi="Arial" w:cs="Arial"/>
          <w:color w:val="262626"/>
          <w:sz w:val="18"/>
          <w:szCs w:val="18"/>
        </w:rPr>
        <w:t>We compute the provision for income taxes using the asset and liability method, under which deferred ta</w:t>
      </w:r>
      <w:r>
        <w:rPr>
          <w:rFonts w:ascii="Arial" w:eastAsia="宋体" w:hAnsi="Arial" w:cs="Arial"/>
          <w:color w:val="262626"/>
          <w:sz w:val="18"/>
          <w:szCs w:val="18"/>
        </w:rPr>
        <w:t>x assets and liabilities are recognized for the expected future tax consequences of temporary differences between the financial reporting and tax bases of assets and liabilities, and for operating losses and tax credit carryforwards. We measure deferred ta</w:t>
      </w:r>
      <w:r>
        <w:rPr>
          <w:rFonts w:ascii="Arial" w:eastAsia="宋体" w:hAnsi="Arial" w:cs="Arial"/>
          <w:color w:val="262626"/>
          <w:sz w:val="18"/>
          <w:szCs w:val="18"/>
        </w:rPr>
        <w:t xml:space="preserve">x assets and liabilities using the currently enacted tax rates that apply to taxable income in effect for the years in which those tax assets are expected to be realized or settled. </w:t>
      </w:r>
    </w:p>
    <w:p w14:paraId="5A1B173A" w14:textId="77777777" w:rsidR="00960BB8" w:rsidRDefault="00C06650">
      <w:pPr>
        <w:spacing w:after="180"/>
      </w:pPr>
      <w:r>
        <w:rPr>
          <w:rFonts w:ascii="Arial" w:eastAsia="宋体" w:hAnsi="Arial" w:cs="Arial"/>
          <w:color w:val="262626"/>
          <w:sz w:val="18"/>
          <w:szCs w:val="18"/>
        </w:rPr>
        <w:t>We assess the likelihood that we will be able to recover our deferred tax</w:t>
      </w:r>
      <w:r>
        <w:rPr>
          <w:rFonts w:ascii="Arial" w:eastAsia="宋体" w:hAnsi="Arial" w:cs="Arial"/>
          <w:color w:val="262626"/>
          <w:sz w:val="18"/>
          <w:szCs w:val="18"/>
        </w:rPr>
        <w:t xml:space="preserve"> assets. If recovery is not likely, we must increase our provision for taxes by recording a valuation allowance against the deferred tax assets that we estimate will not ultimately be recoverable. We believe that we will ultimately recover the deferred tax</w:t>
      </w:r>
      <w:r>
        <w:rPr>
          <w:rFonts w:ascii="Arial" w:eastAsia="宋体" w:hAnsi="Arial" w:cs="Arial"/>
          <w:color w:val="262626"/>
          <w:sz w:val="18"/>
          <w:szCs w:val="18"/>
        </w:rPr>
        <w:t xml:space="preserve"> assets recorded on our Consolidated Balance Sheets. Recovery of a portion of our deferred tax assets is affected by management's plans with respect to holding or disposing of certain investments; therefore, such changes could also affect our future provis</w:t>
      </w:r>
      <w:r>
        <w:rPr>
          <w:rFonts w:ascii="Arial" w:eastAsia="宋体" w:hAnsi="Arial" w:cs="Arial"/>
          <w:color w:val="262626"/>
          <w:sz w:val="18"/>
          <w:szCs w:val="18"/>
        </w:rPr>
        <w:t>ion for taxes.</w:t>
      </w:r>
    </w:p>
    <w:p w14:paraId="5A1B173B" w14:textId="77777777" w:rsidR="00960BB8" w:rsidRDefault="00C06650">
      <w:pPr>
        <w:spacing w:after="180"/>
      </w:pPr>
      <w:r>
        <w:rPr>
          <w:rFonts w:ascii="Arial" w:eastAsia="宋体" w:hAnsi="Arial" w:cs="Arial"/>
          <w:color w:val="262626"/>
          <w:sz w:val="18"/>
          <w:szCs w:val="18"/>
        </w:rPr>
        <w:t>We recognize tax benefits from uncertain tax positions only if (based on the technical merits of the position) it is more likely than not that the tax positions will be sustained on examination by the tax authority. The tax benefits recogniz</w:t>
      </w:r>
      <w:r>
        <w:rPr>
          <w:rFonts w:ascii="Arial" w:eastAsia="宋体" w:hAnsi="Arial" w:cs="Arial"/>
          <w:color w:val="262626"/>
          <w:sz w:val="18"/>
          <w:szCs w:val="18"/>
        </w:rPr>
        <w:t xml:space="preserve">ed in the financial statements from such positions are measured based on the largest amount that is more than 50% likely to be realized upon ultimate settlement. We recognize interest and penalties related to unrecognized tax benefits within the </w:t>
      </w:r>
      <w:r>
        <w:rPr>
          <w:rFonts w:ascii="Arial" w:eastAsia="宋体" w:hAnsi="Arial" w:cs="Arial"/>
          <w:i/>
          <w:iCs/>
          <w:color w:val="262626"/>
          <w:sz w:val="18"/>
          <w:szCs w:val="18"/>
        </w:rPr>
        <w:t xml:space="preserve">provision </w:t>
      </w:r>
      <w:r>
        <w:rPr>
          <w:rFonts w:ascii="Arial" w:eastAsia="宋体" w:hAnsi="Arial" w:cs="Arial"/>
          <w:i/>
          <w:iCs/>
          <w:color w:val="262626"/>
          <w:sz w:val="18"/>
          <w:szCs w:val="18"/>
        </w:rPr>
        <w:t>for (benefit from) taxes</w:t>
      </w:r>
      <w:r>
        <w:rPr>
          <w:rFonts w:ascii="Arial" w:eastAsia="宋体" w:hAnsi="Arial" w:cs="Arial"/>
          <w:color w:val="262626"/>
          <w:sz w:val="18"/>
          <w:szCs w:val="18"/>
        </w:rPr>
        <w:t xml:space="preserve"> on the Consolidated Statements of Income.</w:t>
      </w:r>
    </w:p>
    <w:p w14:paraId="5A1B173C" w14:textId="77777777" w:rsidR="00960BB8" w:rsidRDefault="00C06650">
      <w:pPr>
        <w:spacing w:after="180"/>
      </w:pPr>
      <w:r>
        <w:rPr>
          <w:rFonts w:ascii="Arial" w:eastAsia="宋体" w:hAnsi="Arial" w:cs="Arial"/>
          <w:color w:val="262626"/>
          <w:sz w:val="18"/>
          <w:szCs w:val="18"/>
        </w:rPr>
        <w:t>We recognize the tax impact of including certain foreign earnings in US taxable income as a period cost. We have recognized deferred income taxes for local country income and withholding taxes that could be incurred on distributions of certain non-US earni</w:t>
      </w:r>
      <w:r>
        <w:rPr>
          <w:rFonts w:ascii="Arial" w:eastAsia="宋体" w:hAnsi="Arial" w:cs="Arial"/>
          <w:color w:val="262626"/>
          <w:sz w:val="18"/>
          <w:szCs w:val="18"/>
        </w:rPr>
        <w:t xml:space="preserve">ngs or for outside basis differences in our subsidiaries, because we do not plan to indefinitely reinvest such earnings and basis differences. Remittances of non-US earnings are based on estimates and judgments of projected cash flow needs, as well as the </w:t>
      </w:r>
      <w:r>
        <w:rPr>
          <w:rFonts w:ascii="Arial" w:eastAsia="宋体" w:hAnsi="Arial" w:cs="Arial"/>
          <w:color w:val="262626"/>
          <w:sz w:val="18"/>
          <w:szCs w:val="18"/>
        </w:rPr>
        <w:t>working capital and investment requirements of our non-US and US operations. Material changes in our estimates of cash, working capital, and investment needs in various jurisdictions could require repatriation of indefinitely reinvested non-US earnings, wh</w:t>
      </w:r>
      <w:r>
        <w:rPr>
          <w:rFonts w:ascii="Arial" w:eastAsia="宋体" w:hAnsi="Arial" w:cs="Arial"/>
          <w:color w:val="262626"/>
          <w:sz w:val="18"/>
          <w:szCs w:val="18"/>
        </w:rPr>
        <w:t xml:space="preserve">ich could be subject to applicable non-US income and withholding taxes. </w:t>
      </w:r>
    </w:p>
    <w:p w14:paraId="5A1B173D" w14:textId="77777777" w:rsidR="00960BB8" w:rsidRDefault="00C06650">
      <w:pPr>
        <w:spacing w:before="180" w:after="180"/>
      </w:pPr>
      <w:r>
        <w:rPr>
          <w:rFonts w:ascii="Arial" w:eastAsia="宋体" w:hAnsi="Arial" w:cs="Arial"/>
          <w:color w:val="0068B5"/>
        </w:rPr>
        <w:t>Leases</w:t>
      </w:r>
    </w:p>
    <w:p w14:paraId="5A1B173E" w14:textId="77777777" w:rsidR="00960BB8" w:rsidRDefault="00C06650">
      <w:pPr>
        <w:spacing w:after="180"/>
      </w:pPr>
      <w:r>
        <w:rPr>
          <w:rFonts w:ascii="Arial" w:eastAsia="宋体" w:hAnsi="Arial" w:cs="Arial"/>
          <w:color w:val="262626"/>
          <w:sz w:val="18"/>
          <w:szCs w:val="18"/>
        </w:rPr>
        <w:t xml:space="preserve">Leases consist of real property and machinery and equipment. Our lease terms may include options to extend when it is reasonably certain that we will exercise such options. We </w:t>
      </w:r>
      <w:r>
        <w:rPr>
          <w:rFonts w:ascii="Arial" w:eastAsia="宋体" w:hAnsi="Arial" w:cs="Arial"/>
          <w:color w:val="262626"/>
          <w:sz w:val="18"/>
          <w:szCs w:val="18"/>
        </w:rPr>
        <w:t>have lease agreements with lease and non-lease components, and the non-lease components are accounted for separately and not included in our leased assets and corresponding liabilities. Payments on leases may be fixed or variable, and variable lease paymen</w:t>
      </w:r>
      <w:r>
        <w:rPr>
          <w:rFonts w:ascii="Arial" w:eastAsia="宋体" w:hAnsi="Arial" w:cs="Arial"/>
          <w:color w:val="262626"/>
          <w:sz w:val="18"/>
          <w:szCs w:val="18"/>
        </w:rPr>
        <w:t>ts are based on output of the underlying leased assets.</w:t>
      </w:r>
    </w:p>
    <w:p w14:paraId="5A1B173F" w14:textId="77777777" w:rsidR="00960BB8" w:rsidRDefault="00C06650">
      <w:pPr>
        <w:spacing w:before="180" w:after="180"/>
      </w:pPr>
      <w:r>
        <w:rPr>
          <w:rFonts w:ascii="Arial" w:eastAsia="宋体" w:hAnsi="Arial" w:cs="Arial"/>
          <w:color w:val="0068B5"/>
        </w:rPr>
        <w:t>Loss Contingencies</w:t>
      </w:r>
    </w:p>
    <w:p w14:paraId="5A1B1740" w14:textId="77777777" w:rsidR="00960BB8" w:rsidRDefault="00C06650">
      <w:pPr>
        <w:spacing w:after="180"/>
      </w:pPr>
      <w:r>
        <w:rPr>
          <w:rFonts w:ascii="Arial" w:eastAsia="宋体" w:hAnsi="Arial" w:cs="Arial"/>
          <w:color w:val="262626"/>
          <w:sz w:val="18"/>
          <w:szCs w:val="18"/>
        </w:rPr>
        <w:t>We are subject to loss contingencies, including various legal and regulatory proceedings, asserted and potential claims, liabilities related to repair or replacement of parts in con</w:t>
      </w:r>
      <w:r>
        <w:rPr>
          <w:rFonts w:ascii="Arial" w:eastAsia="宋体" w:hAnsi="Arial" w:cs="Arial"/>
          <w:color w:val="262626"/>
          <w:sz w:val="18"/>
          <w:szCs w:val="18"/>
        </w:rPr>
        <w:t>nection with product defects, as well as product warranties and potential asset impairments that arise in the ordinary course of business and are subject to change, including due to sudden or rapid developments in proceedings or claims. An estimated loss f</w:t>
      </w:r>
      <w:r>
        <w:rPr>
          <w:rFonts w:ascii="Arial" w:eastAsia="宋体" w:hAnsi="Arial" w:cs="Arial"/>
          <w:color w:val="262626"/>
          <w:sz w:val="18"/>
          <w:szCs w:val="18"/>
        </w:rPr>
        <w:t>rom such contingencies is recognized as a charge to income if it is probable that a liability has been incurred and the amount of the loss can be reasonably estimated. We evaluate developments that could affect prior disclosures or previously-accrued liabi</w:t>
      </w:r>
      <w:r>
        <w:rPr>
          <w:rFonts w:ascii="Arial" w:eastAsia="宋体" w:hAnsi="Arial" w:cs="Arial"/>
          <w:color w:val="262626"/>
          <w:sz w:val="18"/>
          <w:szCs w:val="18"/>
        </w:rPr>
        <w:t xml:space="preserve">lities, and make adjustments as appropriate. Significant judgment is required to determine both likelihood of there being, and the estimated amount of, a loss related to such matters. If one or more of these matters were resolved against us for amounts in </w:t>
      </w:r>
      <w:r>
        <w:rPr>
          <w:rFonts w:ascii="Arial" w:eastAsia="宋体" w:hAnsi="Arial" w:cs="Arial"/>
          <w:color w:val="262626"/>
          <w:sz w:val="18"/>
          <w:szCs w:val="18"/>
        </w:rPr>
        <w:t>excess of management's estimates of losses, our results of operations and financial condition could be materially adversely affected.</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74D" w14:textId="77777777">
        <w:tc>
          <w:tcPr>
            <w:tcW w:w="50" w:type="pct"/>
            <w:shd w:val="clear" w:color="auto" w:fill="auto"/>
            <w:vAlign w:val="bottom"/>
          </w:tcPr>
          <w:p w14:paraId="5A1B1741" w14:textId="77777777" w:rsidR="00960BB8" w:rsidRDefault="00960BB8">
            <w:pPr>
              <w:rPr>
                <w:rFonts w:ascii="宋体"/>
              </w:rPr>
            </w:pPr>
          </w:p>
        </w:tc>
        <w:tc>
          <w:tcPr>
            <w:tcW w:w="276" w:type="pct"/>
            <w:shd w:val="clear" w:color="auto" w:fill="auto"/>
            <w:vAlign w:val="bottom"/>
          </w:tcPr>
          <w:p w14:paraId="5A1B1742" w14:textId="77777777" w:rsidR="00960BB8" w:rsidRDefault="00960BB8">
            <w:pPr>
              <w:rPr>
                <w:rFonts w:ascii="宋体"/>
              </w:rPr>
            </w:pPr>
          </w:p>
        </w:tc>
        <w:tc>
          <w:tcPr>
            <w:tcW w:w="5" w:type="pct"/>
            <w:shd w:val="clear" w:color="auto" w:fill="auto"/>
            <w:vAlign w:val="bottom"/>
          </w:tcPr>
          <w:p w14:paraId="5A1B1743" w14:textId="77777777" w:rsidR="00960BB8" w:rsidRDefault="00960BB8">
            <w:pPr>
              <w:rPr>
                <w:rFonts w:ascii="宋体"/>
              </w:rPr>
            </w:pPr>
          </w:p>
        </w:tc>
        <w:tc>
          <w:tcPr>
            <w:tcW w:w="50" w:type="pct"/>
            <w:shd w:val="clear" w:color="auto" w:fill="auto"/>
            <w:vAlign w:val="bottom"/>
          </w:tcPr>
          <w:p w14:paraId="5A1B1744" w14:textId="77777777" w:rsidR="00960BB8" w:rsidRDefault="00960BB8">
            <w:pPr>
              <w:rPr>
                <w:rFonts w:ascii="宋体"/>
              </w:rPr>
            </w:pPr>
          </w:p>
        </w:tc>
        <w:tc>
          <w:tcPr>
            <w:tcW w:w="940" w:type="pct"/>
            <w:shd w:val="clear" w:color="auto" w:fill="auto"/>
            <w:vAlign w:val="bottom"/>
          </w:tcPr>
          <w:p w14:paraId="5A1B1745" w14:textId="77777777" w:rsidR="00960BB8" w:rsidRDefault="00960BB8">
            <w:pPr>
              <w:rPr>
                <w:rFonts w:ascii="宋体"/>
              </w:rPr>
            </w:pPr>
          </w:p>
        </w:tc>
        <w:tc>
          <w:tcPr>
            <w:tcW w:w="5" w:type="pct"/>
            <w:shd w:val="clear" w:color="auto" w:fill="auto"/>
            <w:vAlign w:val="bottom"/>
          </w:tcPr>
          <w:p w14:paraId="5A1B1746" w14:textId="77777777" w:rsidR="00960BB8" w:rsidRDefault="00960BB8">
            <w:pPr>
              <w:rPr>
                <w:rFonts w:ascii="宋体"/>
              </w:rPr>
            </w:pPr>
          </w:p>
        </w:tc>
        <w:tc>
          <w:tcPr>
            <w:tcW w:w="50" w:type="pct"/>
            <w:shd w:val="clear" w:color="auto" w:fill="auto"/>
            <w:vAlign w:val="bottom"/>
          </w:tcPr>
          <w:p w14:paraId="5A1B1747" w14:textId="77777777" w:rsidR="00960BB8" w:rsidRDefault="00960BB8">
            <w:pPr>
              <w:rPr>
                <w:rFonts w:ascii="宋体"/>
              </w:rPr>
            </w:pPr>
          </w:p>
        </w:tc>
        <w:tc>
          <w:tcPr>
            <w:tcW w:w="1837" w:type="pct"/>
            <w:shd w:val="clear" w:color="auto" w:fill="auto"/>
            <w:vAlign w:val="bottom"/>
          </w:tcPr>
          <w:p w14:paraId="5A1B1748" w14:textId="77777777" w:rsidR="00960BB8" w:rsidRDefault="00960BB8">
            <w:pPr>
              <w:rPr>
                <w:rFonts w:ascii="宋体"/>
              </w:rPr>
            </w:pPr>
          </w:p>
        </w:tc>
        <w:tc>
          <w:tcPr>
            <w:tcW w:w="5" w:type="pct"/>
            <w:shd w:val="clear" w:color="auto" w:fill="auto"/>
            <w:vAlign w:val="bottom"/>
          </w:tcPr>
          <w:p w14:paraId="5A1B1749" w14:textId="77777777" w:rsidR="00960BB8" w:rsidRDefault="00960BB8">
            <w:pPr>
              <w:rPr>
                <w:rFonts w:ascii="宋体"/>
              </w:rPr>
            </w:pPr>
          </w:p>
        </w:tc>
        <w:tc>
          <w:tcPr>
            <w:tcW w:w="50" w:type="pct"/>
            <w:shd w:val="clear" w:color="auto" w:fill="auto"/>
            <w:vAlign w:val="bottom"/>
          </w:tcPr>
          <w:p w14:paraId="5A1B174A" w14:textId="77777777" w:rsidR="00960BB8" w:rsidRDefault="00960BB8">
            <w:pPr>
              <w:rPr>
                <w:rFonts w:ascii="宋体"/>
              </w:rPr>
            </w:pPr>
          </w:p>
        </w:tc>
        <w:tc>
          <w:tcPr>
            <w:tcW w:w="1724" w:type="pct"/>
            <w:shd w:val="clear" w:color="auto" w:fill="auto"/>
            <w:vAlign w:val="bottom"/>
          </w:tcPr>
          <w:p w14:paraId="5A1B174B" w14:textId="77777777" w:rsidR="00960BB8" w:rsidRDefault="00960BB8">
            <w:pPr>
              <w:rPr>
                <w:rFonts w:ascii="宋体"/>
              </w:rPr>
            </w:pPr>
          </w:p>
        </w:tc>
        <w:tc>
          <w:tcPr>
            <w:tcW w:w="5" w:type="pct"/>
            <w:shd w:val="clear" w:color="auto" w:fill="auto"/>
            <w:vAlign w:val="bottom"/>
          </w:tcPr>
          <w:p w14:paraId="5A1B174C" w14:textId="77777777" w:rsidR="00960BB8" w:rsidRDefault="00960BB8">
            <w:pPr>
              <w:rPr>
                <w:rFonts w:ascii="宋体"/>
              </w:rPr>
            </w:pPr>
          </w:p>
        </w:tc>
      </w:tr>
      <w:tr w:rsidR="00960BB8" w14:paraId="5A1B1752"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4E"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87" wp14:editId="5A1B4488">
                  <wp:extent cx="304800" cy="304800"/>
                  <wp:effectExtent l="0" t="0" r="0" b="0"/>
                  <wp:docPr id="100" name="图片 26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63"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4F"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750"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51" w14:textId="77777777" w:rsidR="00960BB8" w:rsidRDefault="00C06650">
            <w:pPr>
              <w:jc w:val="right"/>
              <w:textAlignment w:val="center"/>
            </w:pPr>
            <w:r>
              <w:rPr>
                <w:rFonts w:ascii="Arial" w:eastAsia="宋体" w:hAnsi="Arial" w:cs="Arial"/>
                <w:color w:val="262626"/>
                <w:sz w:val="16"/>
                <w:szCs w:val="16"/>
              </w:rPr>
              <w:t>87</w:t>
            </w:r>
          </w:p>
        </w:tc>
      </w:tr>
    </w:tbl>
    <w:p w14:paraId="5A1B1753" w14:textId="77777777" w:rsidR="00960BB8" w:rsidRDefault="00C06650">
      <w:r>
        <w:pict w14:anchorId="5A1B4489">
          <v:rect id="_x0000_i1113" style="width:415.3pt;height:1.5pt" o:hralign="center" o:hrstd="t" o:hr="t" fillcolor="#a0a0a0" stroked="f"/>
        </w:pict>
      </w:r>
    </w:p>
    <w:p w14:paraId="5A1B1754" w14:textId="77777777" w:rsidR="00960BB8" w:rsidRDefault="00C06650">
      <w:pPr>
        <w:jc w:val="right"/>
      </w:pPr>
      <w:hyperlink r:id="rId136" w:anchor="i8aaa7b4dbd2e419ca0f5c30af85a11aa_16" w:history="1">
        <w:r>
          <w:rPr>
            <w:rStyle w:val="a5"/>
            <w:rFonts w:ascii="Arial" w:eastAsia="宋体" w:hAnsi="Arial" w:cs="Arial"/>
            <w:b/>
            <w:bCs/>
            <w:sz w:val="16"/>
            <w:szCs w:val="16"/>
          </w:rPr>
          <w:t>Table of Contents</w:t>
        </w:r>
      </w:hyperlink>
    </w:p>
    <w:p w14:paraId="5A1B1755"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960BB8" w14:paraId="5A1B175C" w14:textId="77777777">
        <w:tc>
          <w:tcPr>
            <w:tcW w:w="50" w:type="pct"/>
            <w:shd w:val="clear" w:color="auto" w:fill="auto"/>
            <w:vAlign w:val="bottom"/>
          </w:tcPr>
          <w:p w14:paraId="5A1B1756" w14:textId="77777777" w:rsidR="00960BB8" w:rsidRDefault="00960BB8">
            <w:pPr>
              <w:rPr>
                <w:rFonts w:ascii="宋体"/>
              </w:rPr>
            </w:pPr>
          </w:p>
        </w:tc>
        <w:tc>
          <w:tcPr>
            <w:tcW w:w="491" w:type="pct"/>
            <w:shd w:val="clear" w:color="auto" w:fill="auto"/>
            <w:vAlign w:val="bottom"/>
          </w:tcPr>
          <w:p w14:paraId="5A1B1757" w14:textId="77777777" w:rsidR="00960BB8" w:rsidRDefault="00960BB8">
            <w:pPr>
              <w:rPr>
                <w:rFonts w:ascii="宋体"/>
              </w:rPr>
            </w:pPr>
          </w:p>
        </w:tc>
        <w:tc>
          <w:tcPr>
            <w:tcW w:w="5" w:type="pct"/>
            <w:shd w:val="clear" w:color="auto" w:fill="auto"/>
            <w:vAlign w:val="bottom"/>
          </w:tcPr>
          <w:p w14:paraId="5A1B1758" w14:textId="77777777" w:rsidR="00960BB8" w:rsidRDefault="00960BB8">
            <w:pPr>
              <w:rPr>
                <w:rFonts w:ascii="宋体"/>
              </w:rPr>
            </w:pPr>
          </w:p>
        </w:tc>
        <w:tc>
          <w:tcPr>
            <w:tcW w:w="50" w:type="pct"/>
            <w:shd w:val="clear" w:color="auto" w:fill="auto"/>
            <w:vAlign w:val="bottom"/>
          </w:tcPr>
          <w:p w14:paraId="5A1B1759" w14:textId="77777777" w:rsidR="00960BB8" w:rsidRDefault="00960BB8">
            <w:pPr>
              <w:rPr>
                <w:rFonts w:ascii="宋体"/>
              </w:rPr>
            </w:pPr>
          </w:p>
        </w:tc>
        <w:tc>
          <w:tcPr>
            <w:tcW w:w="4398" w:type="pct"/>
            <w:shd w:val="clear" w:color="auto" w:fill="auto"/>
            <w:vAlign w:val="bottom"/>
          </w:tcPr>
          <w:p w14:paraId="5A1B175A" w14:textId="77777777" w:rsidR="00960BB8" w:rsidRDefault="00960BB8">
            <w:pPr>
              <w:rPr>
                <w:rFonts w:ascii="宋体"/>
              </w:rPr>
            </w:pPr>
          </w:p>
        </w:tc>
        <w:tc>
          <w:tcPr>
            <w:tcW w:w="5" w:type="pct"/>
            <w:shd w:val="clear" w:color="auto" w:fill="auto"/>
            <w:vAlign w:val="bottom"/>
          </w:tcPr>
          <w:p w14:paraId="5A1B175B" w14:textId="77777777" w:rsidR="00960BB8" w:rsidRDefault="00960BB8">
            <w:pPr>
              <w:rPr>
                <w:rFonts w:ascii="宋体"/>
              </w:rPr>
            </w:pPr>
          </w:p>
        </w:tc>
      </w:tr>
      <w:tr w:rsidR="00960BB8" w14:paraId="5A1B175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175D" w14:textId="77777777" w:rsidR="00960BB8" w:rsidRDefault="00C06650">
            <w:pPr>
              <w:textAlignment w:val="bottom"/>
            </w:pPr>
            <w:r>
              <w:rPr>
                <w:rFonts w:ascii="Arial" w:eastAsia="宋体" w:hAnsi="Arial" w:cs="Arial"/>
                <w:color w:val="FFFFFF"/>
                <w:sz w:val="28"/>
                <w:szCs w:val="28"/>
              </w:rPr>
              <w:t xml:space="preserve">Note 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75E" w14:textId="77777777" w:rsidR="00960BB8" w:rsidRDefault="00C06650">
            <w:pPr>
              <w:textAlignment w:val="bottom"/>
            </w:pPr>
            <w:r>
              <w:rPr>
                <w:rFonts w:ascii="Arial" w:eastAsia="宋体" w:hAnsi="Arial" w:cs="Arial"/>
                <w:color w:val="0068B5"/>
                <w:sz w:val="28"/>
                <w:szCs w:val="28"/>
              </w:rPr>
              <w:t>Operating Segments</w:t>
            </w:r>
          </w:p>
        </w:tc>
      </w:tr>
    </w:tbl>
    <w:p w14:paraId="5A1B1760" w14:textId="77777777" w:rsidR="00960BB8" w:rsidRDefault="00C06650">
      <w:pPr>
        <w:spacing w:after="180"/>
      </w:pPr>
      <w:r>
        <w:rPr>
          <w:rFonts w:ascii="Arial" w:eastAsia="宋体" w:hAnsi="Arial" w:cs="Arial"/>
          <w:color w:val="262626"/>
          <w:sz w:val="18"/>
          <w:szCs w:val="18"/>
        </w:rPr>
        <w:t xml:space="preserve">We previously announced several </w:t>
      </w:r>
      <w:r>
        <w:rPr>
          <w:rFonts w:ascii="Arial" w:eastAsia="宋体" w:hAnsi="Arial" w:cs="Arial"/>
          <w:color w:val="262626"/>
          <w:sz w:val="18"/>
          <w:szCs w:val="18"/>
        </w:rPr>
        <w:t>organizational changes that would accelerate the execution and innovation of our company by allowing us to capture growth in both large traditional markets and high-growth emerging markets. This includes reorganization of our business units to capture this</w:t>
      </w:r>
      <w:r>
        <w:rPr>
          <w:rFonts w:ascii="Arial" w:eastAsia="宋体" w:hAnsi="Arial" w:cs="Arial"/>
          <w:color w:val="262626"/>
          <w:sz w:val="18"/>
          <w:szCs w:val="18"/>
        </w:rPr>
        <w:t xml:space="preserve"> growth and to provide increased transparency, focus, and accountability. As a result, we modified our segment reporting in the first quarter of 2022 to align to the previously announced business reorganization. All prior-period segment data has been retro</w:t>
      </w:r>
      <w:r>
        <w:rPr>
          <w:rFonts w:ascii="Arial" w:eastAsia="宋体" w:hAnsi="Arial" w:cs="Arial"/>
          <w:color w:val="262626"/>
          <w:sz w:val="18"/>
          <w:szCs w:val="18"/>
        </w:rPr>
        <w:t>spectively adjusted to reflect the way our CODM internally receives information and manages and monitors our operating segment performance starting in fiscal year 2022.</w:t>
      </w:r>
    </w:p>
    <w:p w14:paraId="5A1B1761" w14:textId="77777777" w:rsidR="00960BB8" w:rsidRDefault="00C06650">
      <w:pPr>
        <w:spacing w:after="180"/>
      </w:pPr>
      <w:r>
        <w:rPr>
          <w:rFonts w:ascii="Arial" w:eastAsia="宋体" w:hAnsi="Arial" w:cs="Arial"/>
          <w:color w:val="262626"/>
          <w:sz w:val="18"/>
          <w:szCs w:val="18"/>
        </w:rPr>
        <w:t>We manage our business through the following operating segments:</w:t>
      </w:r>
    </w:p>
    <w:p w14:paraId="5A1B1762"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Client </w:t>
      </w:r>
      <w:r>
        <w:rPr>
          <w:rFonts w:ascii="Arial" w:eastAsia="宋体" w:hAnsi="Arial" w:cs="Arial"/>
          <w:color w:val="262626"/>
          <w:sz w:val="18"/>
          <w:szCs w:val="18"/>
        </w:rPr>
        <w:t>Computing Group</w:t>
      </w:r>
    </w:p>
    <w:p w14:paraId="5A1B1763"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Data Center and AI</w:t>
      </w:r>
    </w:p>
    <w:p w14:paraId="5A1B1764"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Network and Edge </w:t>
      </w:r>
    </w:p>
    <w:p w14:paraId="5A1B1765"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Mobileye</w:t>
      </w:r>
    </w:p>
    <w:p w14:paraId="5A1B1766"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Accelerated Computing Systems and Graphics</w:t>
      </w:r>
    </w:p>
    <w:p w14:paraId="5A1B1767"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Intel Foundry Services</w:t>
      </w:r>
    </w:p>
    <w:p w14:paraId="5A1B1768" w14:textId="77777777" w:rsidR="00960BB8" w:rsidRDefault="00C06650">
      <w:pPr>
        <w:spacing w:after="180"/>
      </w:pPr>
      <w:r>
        <w:rPr>
          <w:rFonts w:ascii="Arial" w:eastAsia="宋体" w:hAnsi="Arial" w:cs="Arial"/>
          <w:color w:val="262626"/>
          <w:sz w:val="18"/>
          <w:szCs w:val="18"/>
        </w:rPr>
        <w:t>We derive a substantial majority of our revenue from our principal products that incorporate various components and technol</w:t>
      </w:r>
      <w:r>
        <w:rPr>
          <w:rFonts w:ascii="Arial" w:eastAsia="宋体" w:hAnsi="Arial" w:cs="Arial"/>
          <w:color w:val="262626"/>
          <w:sz w:val="18"/>
          <w:szCs w:val="18"/>
        </w:rPr>
        <w:t xml:space="preserve">ogies, including a microprocessor and chipset, a stand-alone SoC, or a multichip package, which are based on Intel architecture. </w:t>
      </w:r>
    </w:p>
    <w:p w14:paraId="5A1B1769" w14:textId="77777777" w:rsidR="00960BB8" w:rsidRDefault="00C06650">
      <w:pPr>
        <w:spacing w:after="180"/>
      </w:pPr>
      <w:r>
        <w:rPr>
          <w:rFonts w:ascii="Arial" w:eastAsia="宋体" w:hAnsi="Arial" w:cs="Arial"/>
          <w:color w:val="262626"/>
          <w:sz w:val="18"/>
          <w:szCs w:val="18"/>
        </w:rPr>
        <w:t>CCG, DCAI, NEX and AXG are our reportable operating segments. Mobileye, and IFS do not meet the quantitative thresholds to qua</w:t>
      </w:r>
      <w:r>
        <w:rPr>
          <w:rFonts w:ascii="Arial" w:eastAsia="宋体" w:hAnsi="Arial" w:cs="Arial"/>
          <w:color w:val="262626"/>
          <w:sz w:val="18"/>
          <w:szCs w:val="18"/>
        </w:rPr>
        <w:t xml:space="preserve">lify as reportable operating segments; however, we have elected to disclose the results of these non-reportable operating segments. AXG revenue includes integrated graphics royalties from our CCG and NEX operating segments and are recorded as if the sales </w:t>
      </w:r>
      <w:r>
        <w:rPr>
          <w:rFonts w:ascii="Arial" w:eastAsia="宋体" w:hAnsi="Arial" w:cs="Arial"/>
          <w:color w:val="262626"/>
          <w:sz w:val="18"/>
          <w:szCs w:val="18"/>
        </w:rPr>
        <w:t xml:space="preserve">or transfers were to third parties at prices that approximate market-based selling prices. When we enter into federal contracts, they are aligned to the sponsoring operating segment. </w:t>
      </w:r>
    </w:p>
    <w:p w14:paraId="5A1B176A" w14:textId="77777777" w:rsidR="00960BB8" w:rsidRDefault="00C06650">
      <w:pPr>
        <w:spacing w:after="180"/>
      </w:pPr>
      <w:r>
        <w:rPr>
          <w:rFonts w:ascii="Arial" w:eastAsia="宋体" w:hAnsi="Arial" w:cs="Arial"/>
          <w:color w:val="262626"/>
          <w:sz w:val="18"/>
          <w:szCs w:val="18"/>
        </w:rPr>
        <w:t>We have sales and marketing, manufacturing, engineering, finance, and ad</w:t>
      </w:r>
      <w:r>
        <w:rPr>
          <w:rFonts w:ascii="Arial" w:eastAsia="宋体" w:hAnsi="Arial" w:cs="Arial"/>
          <w:color w:val="262626"/>
          <w:sz w:val="18"/>
          <w:szCs w:val="18"/>
        </w:rPr>
        <w:t>ministration groups. Expenses for these groups are generally allocated to the operating segments.</w:t>
      </w:r>
    </w:p>
    <w:p w14:paraId="5A1B176B" w14:textId="77777777" w:rsidR="00960BB8" w:rsidRDefault="00C06650">
      <w:pPr>
        <w:spacing w:after="180"/>
      </w:pPr>
      <w:r>
        <w:rPr>
          <w:rFonts w:ascii="Arial" w:eastAsia="宋体" w:hAnsi="Arial" w:cs="Arial"/>
          <w:color w:val="262626"/>
          <w:sz w:val="18"/>
          <w:szCs w:val="18"/>
        </w:rPr>
        <w:t>We have an "all other" category that includes revenue, expenses, and charges such as:</w:t>
      </w:r>
    </w:p>
    <w:p w14:paraId="5A1B176C"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historical results of operations from divested businesses; </w:t>
      </w:r>
    </w:p>
    <w:p w14:paraId="5A1B176D"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results of</w:t>
      </w:r>
      <w:r>
        <w:rPr>
          <w:rFonts w:ascii="Arial" w:eastAsia="宋体" w:hAnsi="Arial" w:cs="Arial"/>
          <w:color w:val="262626"/>
          <w:sz w:val="18"/>
          <w:szCs w:val="18"/>
        </w:rPr>
        <w:t xml:space="preserve"> operations of start-up businesses that support our initiatives; </w:t>
      </w:r>
    </w:p>
    <w:p w14:paraId="5A1B176E"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amounts included within restructuring and other charges; </w:t>
      </w:r>
    </w:p>
    <w:p w14:paraId="5A1B176F"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employee benefits, compensation, impairment charges, and other expenses not allocated to the operating segments (beginning the first quarter of 2022, this includes all of our stock-based compensation); and </w:t>
      </w:r>
    </w:p>
    <w:p w14:paraId="5A1B1770"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acquisition-related costs, including amortizatio</w:t>
      </w:r>
      <w:r>
        <w:rPr>
          <w:rFonts w:ascii="Arial" w:eastAsia="宋体" w:hAnsi="Arial" w:cs="Arial"/>
          <w:color w:val="262626"/>
          <w:sz w:val="18"/>
          <w:szCs w:val="18"/>
        </w:rPr>
        <w:t>n and any impairment of acquisition-related intangibles and goodwill.</w:t>
      </w:r>
    </w:p>
    <w:p w14:paraId="5A1B1771" w14:textId="77777777" w:rsidR="00960BB8" w:rsidRDefault="00C06650">
      <w:pPr>
        <w:spacing w:after="180"/>
      </w:pPr>
      <w:r>
        <w:rPr>
          <w:rFonts w:ascii="Arial" w:eastAsia="宋体" w:hAnsi="Arial" w:cs="Arial"/>
          <w:color w:val="262626"/>
          <w:sz w:val="18"/>
          <w:szCs w:val="18"/>
        </w:rPr>
        <w:t>The CODM, who is our CEO, allocates resources to and assesses the performance of each operating segment using information about the operating segment's revenue and operating income (loss</w:t>
      </w:r>
      <w:r>
        <w:rPr>
          <w:rFonts w:ascii="Arial" w:eastAsia="宋体" w:hAnsi="Arial" w:cs="Arial"/>
          <w:color w:val="262626"/>
          <w:sz w:val="18"/>
          <w:szCs w:val="18"/>
        </w:rPr>
        <w:t>). The CODM does not evaluate operating segments using discrete asset information and we do not identify or allocate assets by operating segments. Based on the interchangeable nature of our manufacturing and assembly and test assets, most of the related de</w:t>
      </w:r>
      <w:r>
        <w:rPr>
          <w:rFonts w:ascii="Arial" w:eastAsia="宋体" w:hAnsi="Arial" w:cs="Arial"/>
          <w:color w:val="262626"/>
          <w:sz w:val="18"/>
          <w:szCs w:val="18"/>
        </w:rPr>
        <w:t>preciation expense is not directly identifiable within our operating segments, as it is included in overhead cost pools and subsequently absorbed into inventory as each product passes through our manufacturing process. Because our products are then sold ac</w:t>
      </w:r>
      <w:r>
        <w:rPr>
          <w:rFonts w:ascii="Arial" w:eastAsia="宋体" w:hAnsi="Arial" w:cs="Arial"/>
          <w:color w:val="262626"/>
          <w:sz w:val="18"/>
          <w:szCs w:val="18"/>
        </w:rPr>
        <w:t>ross multiple operating segments, it is impracticable to determine the total depreciation expense included as a component of each operating segment's operating income (loss) results. We do not allocate gains and losses from equity investments, interest and</w:t>
      </w:r>
      <w:r>
        <w:rPr>
          <w:rFonts w:ascii="Arial" w:eastAsia="宋体" w:hAnsi="Arial" w:cs="Arial"/>
          <w:color w:val="262626"/>
          <w:sz w:val="18"/>
          <w:szCs w:val="18"/>
        </w:rPr>
        <w:t xml:space="preserve"> other income, share-based compensation, or taxes to our operating segments. Although the CODM uses operating income (loss) to evaluate the segments, operating costs included in one segment may benefit other segments. The accounting policies for segment re</w:t>
      </w:r>
      <w:r>
        <w:rPr>
          <w:rFonts w:ascii="Arial" w:eastAsia="宋体" w:hAnsi="Arial" w:cs="Arial"/>
          <w:color w:val="262626"/>
          <w:sz w:val="18"/>
          <w:szCs w:val="18"/>
        </w:rPr>
        <w:t>porting are the same as for Intel as a whole.</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77E" w14:textId="77777777">
        <w:tc>
          <w:tcPr>
            <w:tcW w:w="50" w:type="pct"/>
            <w:shd w:val="clear" w:color="auto" w:fill="auto"/>
            <w:vAlign w:val="bottom"/>
          </w:tcPr>
          <w:p w14:paraId="5A1B1772" w14:textId="77777777" w:rsidR="00960BB8" w:rsidRDefault="00960BB8">
            <w:pPr>
              <w:rPr>
                <w:rFonts w:ascii="宋体"/>
              </w:rPr>
            </w:pPr>
          </w:p>
        </w:tc>
        <w:tc>
          <w:tcPr>
            <w:tcW w:w="276" w:type="pct"/>
            <w:shd w:val="clear" w:color="auto" w:fill="auto"/>
            <w:vAlign w:val="bottom"/>
          </w:tcPr>
          <w:p w14:paraId="5A1B1773" w14:textId="77777777" w:rsidR="00960BB8" w:rsidRDefault="00960BB8">
            <w:pPr>
              <w:rPr>
                <w:rFonts w:ascii="宋体"/>
              </w:rPr>
            </w:pPr>
          </w:p>
        </w:tc>
        <w:tc>
          <w:tcPr>
            <w:tcW w:w="5" w:type="pct"/>
            <w:shd w:val="clear" w:color="auto" w:fill="auto"/>
            <w:vAlign w:val="bottom"/>
          </w:tcPr>
          <w:p w14:paraId="5A1B1774" w14:textId="77777777" w:rsidR="00960BB8" w:rsidRDefault="00960BB8">
            <w:pPr>
              <w:rPr>
                <w:rFonts w:ascii="宋体"/>
              </w:rPr>
            </w:pPr>
          </w:p>
        </w:tc>
        <w:tc>
          <w:tcPr>
            <w:tcW w:w="50" w:type="pct"/>
            <w:shd w:val="clear" w:color="auto" w:fill="auto"/>
            <w:vAlign w:val="bottom"/>
          </w:tcPr>
          <w:p w14:paraId="5A1B1775" w14:textId="77777777" w:rsidR="00960BB8" w:rsidRDefault="00960BB8">
            <w:pPr>
              <w:rPr>
                <w:rFonts w:ascii="宋体"/>
              </w:rPr>
            </w:pPr>
          </w:p>
        </w:tc>
        <w:tc>
          <w:tcPr>
            <w:tcW w:w="940" w:type="pct"/>
            <w:shd w:val="clear" w:color="auto" w:fill="auto"/>
            <w:vAlign w:val="bottom"/>
          </w:tcPr>
          <w:p w14:paraId="5A1B1776" w14:textId="77777777" w:rsidR="00960BB8" w:rsidRDefault="00960BB8">
            <w:pPr>
              <w:rPr>
                <w:rFonts w:ascii="宋体"/>
              </w:rPr>
            </w:pPr>
          </w:p>
        </w:tc>
        <w:tc>
          <w:tcPr>
            <w:tcW w:w="5" w:type="pct"/>
            <w:shd w:val="clear" w:color="auto" w:fill="auto"/>
            <w:vAlign w:val="bottom"/>
          </w:tcPr>
          <w:p w14:paraId="5A1B1777" w14:textId="77777777" w:rsidR="00960BB8" w:rsidRDefault="00960BB8">
            <w:pPr>
              <w:rPr>
                <w:rFonts w:ascii="宋体"/>
              </w:rPr>
            </w:pPr>
          </w:p>
        </w:tc>
        <w:tc>
          <w:tcPr>
            <w:tcW w:w="50" w:type="pct"/>
            <w:shd w:val="clear" w:color="auto" w:fill="auto"/>
            <w:vAlign w:val="bottom"/>
          </w:tcPr>
          <w:p w14:paraId="5A1B1778" w14:textId="77777777" w:rsidR="00960BB8" w:rsidRDefault="00960BB8">
            <w:pPr>
              <w:rPr>
                <w:rFonts w:ascii="宋体"/>
              </w:rPr>
            </w:pPr>
          </w:p>
        </w:tc>
        <w:tc>
          <w:tcPr>
            <w:tcW w:w="1837" w:type="pct"/>
            <w:shd w:val="clear" w:color="auto" w:fill="auto"/>
            <w:vAlign w:val="bottom"/>
          </w:tcPr>
          <w:p w14:paraId="5A1B1779" w14:textId="77777777" w:rsidR="00960BB8" w:rsidRDefault="00960BB8">
            <w:pPr>
              <w:rPr>
                <w:rFonts w:ascii="宋体"/>
              </w:rPr>
            </w:pPr>
          </w:p>
        </w:tc>
        <w:tc>
          <w:tcPr>
            <w:tcW w:w="5" w:type="pct"/>
            <w:shd w:val="clear" w:color="auto" w:fill="auto"/>
            <w:vAlign w:val="bottom"/>
          </w:tcPr>
          <w:p w14:paraId="5A1B177A" w14:textId="77777777" w:rsidR="00960BB8" w:rsidRDefault="00960BB8">
            <w:pPr>
              <w:rPr>
                <w:rFonts w:ascii="宋体"/>
              </w:rPr>
            </w:pPr>
          </w:p>
        </w:tc>
        <w:tc>
          <w:tcPr>
            <w:tcW w:w="50" w:type="pct"/>
            <w:shd w:val="clear" w:color="auto" w:fill="auto"/>
            <w:vAlign w:val="bottom"/>
          </w:tcPr>
          <w:p w14:paraId="5A1B177B" w14:textId="77777777" w:rsidR="00960BB8" w:rsidRDefault="00960BB8">
            <w:pPr>
              <w:rPr>
                <w:rFonts w:ascii="宋体"/>
              </w:rPr>
            </w:pPr>
          </w:p>
        </w:tc>
        <w:tc>
          <w:tcPr>
            <w:tcW w:w="1724" w:type="pct"/>
            <w:shd w:val="clear" w:color="auto" w:fill="auto"/>
            <w:vAlign w:val="bottom"/>
          </w:tcPr>
          <w:p w14:paraId="5A1B177C" w14:textId="77777777" w:rsidR="00960BB8" w:rsidRDefault="00960BB8">
            <w:pPr>
              <w:rPr>
                <w:rFonts w:ascii="宋体"/>
              </w:rPr>
            </w:pPr>
          </w:p>
        </w:tc>
        <w:tc>
          <w:tcPr>
            <w:tcW w:w="5" w:type="pct"/>
            <w:shd w:val="clear" w:color="auto" w:fill="auto"/>
            <w:vAlign w:val="bottom"/>
          </w:tcPr>
          <w:p w14:paraId="5A1B177D" w14:textId="77777777" w:rsidR="00960BB8" w:rsidRDefault="00960BB8">
            <w:pPr>
              <w:rPr>
                <w:rFonts w:ascii="宋体"/>
              </w:rPr>
            </w:pPr>
          </w:p>
        </w:tc>
      </w:tr>
      <w:tr w:rsidR="00960BB8" w14:paraId="5A1B1783"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7F"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8A" wp14:editId="5A1B448B">
                  <wp:extent cx="304800" cy="304800"/>
                  <wp:effectExtent l="0" t="0" r="0" b="0"/>
                  <wp:docPr id="101" name="图片 26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6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80"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781"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782" w14:textId="77777777" w:rsidR="00960BB8" w:rsidRDefault="00C06650">
            <w:pPr>
              <w:jc w:val="right"/>
              <w:textAlignment w:val="center"/>
            </w:pPr>
            <w:r>
              <w:rPr>
                <w:rFonts w:ascii="Arial" w:eastAsia="宋体" w:hAnsi="Arial" w:cs="Arial"/>
                <w:color w:val="262626"/>
                <w:sz w:val="16"/>
                <w:szCs w:val="16"/>
              </w:rPr>
              <w:t>88</w:t>
            </w:r>
          </w:p>
        </w:tc>
      </w:tr>
    </w:tbl>
    <w:p w14:paraId="5A1B1784" w14:textId="77777777" w:rsidR="00960BB8" w:rsidRDefault="00C06650">
      <w:r>
        <w:pict w14:anchorId="5A1B448C">
          <v:rect id="_x0000_i1114" style="width:415.3pt;height:1.5pt" o:hralign="center" o:hrstd="t" o:hr="t" fillcolor="#a0a0a0" stroked="f"/>
        </w:pict>
      </w:r>
    </w:p>
    <w:p w14:paraId="5A1B1785" w14:textId="77777777" w:rsidR="00960BB8" w:rsidRDefault="00C06650">
      <w:pPr>
        <w:jc w:val="right"/>
      </w:pPr>
      <w:hyperlink r:id="rId137" w:anchor="i8aaa7b4dbd2e419ca0f5c30af85a11aa_16" w:history="1">
        <w:r>
          <w:rPr>
            <w:rStyle w:val="a5"/>
            <w:rFonts w:ascii="Arial" w:eastAsia="宋体" w:hAnsi="Arial" w:cs="Arial"/>
            <w:b/>
            <w:bCs/>
            <w:sz w:val="16"/>
            <w:szCs w:val="16"/>
          </w:rPr>
          <w:t>Table of Contents</w:t>
        </w:r>
      </w:hyperlink>
    </w:p>
    <w:p w14:paraId="5A1B1786" w14:textId="77777777" w:rsidR="00960BB8" w:rsidRDefault="00960BB8">
      <w:pPr>
        <w:jc w:val="right"/>
      </w:pPr>
    </w:p>
    <w:p w14:paraId="5A1B1787" w14:textId="77777777" w:rsidR="00960BB8" w:rsidRDefault="00C06650">
      <w:pPr>
        <w:spacing w:after="180"/>
      </w:pPr>
      <w:r>
        <w:rPr>
          <w:rFonts w:ascii="Arial" w:eastAsia="宋体" w:hAnsi="Arial" w:cs="Arial"/>
          <w:color w:val="262626"/>
          <w:sz w:val="18"/>
          <w:szCs w:val="18"/>
        </w:rPr>
        <w:t>Net revenue and operating income (loss)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047"/>
        <w:gridCol w:w="39"/>
        <w:gridCol w:w="36"/>
        <w:gridCol w:w="36"/>
        <w:gridCol w:w="36"/>
        <w:gridCol w:w="121"/>
        <w:gridCol w:w="805"/>
        <w:gridCol w:w="36"/>
        <w:gridCol w:w="36"/>
        <w:gridCol w:w="36"/>
        <w:gridCol w:w="36"/>
        <w:gridCol w:w="121"/>
        <w:gridCol w:w="805"/>
        <w:gridCol w:w="36"/>
        <w:gridCol w:w="36"/>
        <w:gridCol w:w="36"/>
        <w:gridCol w:w="36"/>
        <w:gridCol w:w="121"/>
        <w:gridCol w:w="805"/>
        <w:gridCol w:w="36"/>
      </w:tblGrid>
      <w:tr w:rsidR="00960BB8" w14:paraId="5A1B179D" w14:textId="77777777">
        <w:tc>
          <w:tcPr>
            <w:tcW w:w="50" w:type="pct"/>
            <w:shd w:val="clear" w:color="auto" w:fill="auto"/>
            <w:vAlign w:val="bottom"/>
          </w:tcPr>
          <w:p w14:paraId="5A1B1788" w14:textId="77777777" w:rsidR="00960BB8" w:rsidRDefault="00960BB8">
            <w:pPr>
              <w:rPr>
                <w:rFonts w:ascii="宋体"/>
              </w:rPr>
            </w:pPr>
          </w:p>
        </w:tc>
        <w:tc>
          <w:tcPr>
            <w:tcW w:w="3059" w:type="pct"/>
            <w:shd w:val="clear" w:color="auto" w:fill="auto"/>
            <w:vAlign w:val="bottom"/>
          </w:tcPr>
          <w:p w14:paraId="5A1B1789" w14:textId="77777777" w:rsidR="00960BB8" w:rsidRDefault="00960BB8">
            <w:pPr>
              <w:rPr>
                <w:rFonts w:ascii="宋体"/>
              </w:rPr>
            </w:pPr>
          </w:p>
        </w:tc>
        <w:tc>
          <w:tcPr>
            <w:tcW w:w="5" w:type="pct"/>
            <w:shd w:val="clear" w:color="auto" w:fill="auto"/>
            <w:vAlign w:val="bottom"/>
          </w:tcPr>
          <w:p w14:paraId="5A1B178A" w14:textId="77777777" w:rsidR="00960BB8" w:rsidRDefault="00960BB8">
            <w:pPr>
              <w:rPr>
                <w:rFonts w:ascii="宋体"/>
              </w:rPr>
            </w:pPr>
          </w:p>
        </w:tc>
        <w:tc>
          <w:tcPr>
            <w:tcW w:w="5" w:type="pct"/>
            <w:shd w:val="clear" w:color="auto" w:fill="auto"/>
            <w:vAlign w:val="bottom"/>
          </w:tcPr>
          <w:p w14:paraId="5A1B178B" w14:textId="77777777" w:rsidR="00960BB8" w:rsidRDefault="00960BB8">
            <w:pPr>
              <w:rPr>
                <w:rFonts w:ascii="宋体"/>
              </w:rPr>
            </w:pPr>
          </w:p>
        </w:tc>
        <w:tc>
          <w:tcPr>
            <w:tcW w:w="24" w:type="pct"/>
            <w:shd w:val="clear" w:color="auto" w:fill="auto"/>
            <w:vAlign w:val="bottom"/>
          </w:tcPr>
          <w:p w14:paraId="5A1B178C" w14:textId="77777777" w:rsidR="00960BB8" w:rsidRDefault="00960BB8">
            <w:pPr>
              <w:rPr>
                <w:rFonts w:ascii="宋体"/>
              </w:rPr>
            </w:pPr>
          </w:p>
        </w:tc>
        <w:tc>
          <w:tcPr>
            <w:tcW w:w="5" w:type="pct"/>
            <w:shd w:val="clear" w:color="auto" w:fill="auto"/>
            <w:vAlign w:val="bottom"/>
          </w:tcPr>
          <w:p w14:paraId="5A1B178D" w14:textId="77777777" w:rsidR="00960BB8" w:rsidRDefault="00960BB8">
            <w:pPr>
              <w:rPr>
                <w:rFonts w:ascii="宋体"/>
              </w:rPr>
            </w:pPr>
          </w:p>
        </w:tc>
        <w:tc>
          <w:tcPr>
            <w:tcW w:w="50" w:type="pct"/>
            <w:shd w:val="clear" w:color="auto" w:fill="auto"/>
            <w:vAlign w:val="bottom"/>
          </w:tcPr>
          <w:p w14:paraId="5A1B178E" w14:textId="77777777" w:rsidR="00960BB8" w:rsidRDefault="00960BB8">
            <w:pPr>
              <w:rPr>
                <w:rFonts w:ascii="宋体"/>
              </w:rPr>
            </w:pPr>
          </w:p>
        </w:tc>
        <w:tc>
          <w:tcPr>
            <w:tcW w:w="539" w:type="pct"/>
            <w:shd w:val="clear" w:color="auto" w:fill="auto"/>
            <w:vAlign w:val="bottom"/>
          </w:tcPr>
          <w:p w14:paraId="5A1B178F" w14:textId="77777777" w:rsidR="00960BB8" w:rsidRDefault="00960BB8">
            <w:pPr>
              <w:rPr>
                <w:rFonts w:ascii="宋体"/>
              </w:rPr>
            </w:pPr>
          </w:p>
        </w:tc>
        <w:tc>
          <w:tcPr>
            <w:tcW w:w="5" w:type="pct"/>
            <w:shd w:val="clear" w:color="auto" w:fill="auto"/>
            <w:vAlign w:val="bottom"/>
          </w:tcPr>
          <w:p w14:paraId="5A1B1790" w14:textId="77777777" w:rsidR="00960BB8" w:rsidRDefault="00960BB8">
            <w:pPr>
              <w:rPr>
                <w:rFonts w:ascii="宋体"/>
              </w:rPr>
            </w:pPr>
          </w:p>
        </w:tc>
        <w:tc>
          <w:tcPr>
            <w:tcW w:w="5" w:type="pct"/>
            <w:shd w:val="clear" w:color="auto" w:fill="auto"/>
            <w:vAlign w:val="bottom"/>
          </w:tcPr>
          <w:p w14:paraId="5A1B1791" w14:textId="77777777" w:rsidR="00960BB8" w:rsidRDefault="00960BB8">
            <w:pPr>
              <w:rPr>
                <w:rFonts w:ascii="宋体"/>
              </w:rPr>
            </w:pPr>
          </w:p>
        </w:tc>
        <w:tc>
          <w:tcPr>
            <w:tcW w:w="24" w:type="pct"/>
            <w:shd w:val="clear" w:color="auto" w:fill="auto"/>
            <w:vAlign w:val="bottom"/>
          </w:tcPr>
          <w:p w14:paraId="5A1B1792" w14:textId="77777777" w:rsidR="00960BB8" w:rsidRDefault="00960BB8">
            <w:pPr>
              <w:rPr>
                <w:rFonts w:ascii="宋体"/>
              </w:rPr>
            </w:pPr>
          </w:p>
        </w:tc>
        <w:tc>
          <w:tcPr>
            <w:tcW w:w="5" w:type="pct"/>
            <w:shd w:val="clear" w:color="auto" w:fill="auto"/>
            <w:vAlign w:val="bottom"/>
          </w:tcPr>
          <w:p w14:paraId="5A1B1793" w14:textId="77777777" w:rsidR="00960BB8" w:rsidRDefault="00960BB8">
            <w:pPr>
              <w:rPr>
                <w:rFonts w:ascii="宋体"/>
              </w:rPr>
            </w:pPr>
          </w:p>
        </w:tc>
        <w:tc>
          <w:tcPr>
            <w:tcW w:w="50" w:type="pct"/>
            <w:shd w:val="clear" w:color="auto" w:fill="auto"/>
            <w:vAlign w:val="bottom"/>
          </w:tcPr>
          <w:p w14:paraId="5A1B1794" w14:textId="77777777" w:rsidR="00960BB8" w:rsidRDefault="00960BB8">
            <w:pPr>
              <w:rPr>
                <w:rFonts w:ascii="宋体"/>
              </w:rPr>
            </w:pPr>
          </w:p>
        </w:tc>
        <w:tc>
          <w:tcPr>
            <w:tcW w:w="539" w:type="pct"/>
            <w:shd w:val="clear" w:color="auto" w:fill="auto"/>
            <w:vAlign w:val="bottom"/>
          </w:tcPr>
          <w:p w14:paraId="5A1B1795" w14:textId="77777777" w:rsidR="00960BB8" w:rsidRDefault="00960BB8">
            <w:pPr>
              <w:rPr>
                <w:rFonts w:ascii="宋体"/>
              </w:rPr>
            </w:pPr>
          </w:p>
        </w:tc>
        <w:tc>
          <w:tcPr>
            <w:tcW w:w="5" w:type="pct"/>
            <w:shd w:val="clear" w:color="auto" w:fill="auto"/>
            <w:vAlign w:val="bottom"/>
          </w:tcPr>
          <w:p w14:paraId="5A1B1796" w14:textId="77777777" w:rsidR="00960BB8" w:rsidRDefault="00960BB8">
            <w:pPr>
              <w:rPr>
                <w:rFonts w:ascii="宋体"/>
              </w:rPr>
            </w:pPr>
          </w:p>
        </w:tc>
        <w:tc>
          <w:tcPr>
            <w:tcW w:w="5" w:type="pct"/>
            <w:shd w:val="clear" w:color="auto" w:fill="auto"/>
            <w:vAlign w:val="bottom"/>
          </w:tcPr>
          <w:p w14:paraId="5A1B1797" w14:textId="77777777" w:rsidR="00960BB8" w:rsidRDefault="00960BB8">
            <w:pPr>
              <w:rPr>
                <w:rFonts w:ascii="宋体"/>
              </w:rPr>
            </w:pPr>
          </w:p>
        </w:tc>
        <w:tc>
          <w:tcPr>
            <w:tcW w:w="24" w:type="pct"/>
            <w:shd w:val="clear" w:color="auto" w:fill="auto"/>
            <w:vAlign w:val="bottom"/>
          </w:tcPr>
          <w:p w14:paraId="5A1B1798" w14:textId="77777777" w:rsidR="00960BB8" w:rsidRDefault="00960BB8">
            <w:pPr>
              <w:rPr>
                <w:rFonts w:ascii="宋体"/>
              </w:rPr>
            </w:pPr>
          </w:p>
        </w:tc>
        <w:tc>
          <w:tcPr>
            <w:tcW w:w="5" w:type="pct"/>
            <w:shd w:val="clear" w:color="auto" w:fill="auto"/>
            <w:vAlign w:val="bottom"/>
          </w:tcPr>
          <w:p w14:paraId="5A1B1799" w14:textId="77777777" w:rsidR="00960BB8" w:rsidRDefault="00960BB8">
            <w:pPr>
              <w:rPr>
                <w:rFonts w:ascii="宋体"/>
              </w:rPr>
            </w:pPr>
          </w:p>
        </w:tc>
        <w:tc>
          <w:tcPr>
            <w:tcW w:w="50" w:type="pct"/>
            <w:shd w:val="clear" w:color="auto" w:fill="auto"/>
            <w:vAlign w:val="bottom"/>
          </w:tcPr>
          <w:p w14:paraId="5A1B179A" w14:textId="77777777" w:rsidR="00960BB8" w:rsidRDefault="00960BB8">
            <w:pPr>
              <w:rPr>
                <w:rFonts w:ascii="宋体"/>
              </w:rPr>
            </w:pPr>
          </w:p>
        </w:tc>
        <w:tc>
          <w:tcPr>
            <w:tcW w:w="539" w:type="pct"/>
            <w:shd w:val="clear" w:color="auto" w:fill="auto"/>
            <w:vAlign w:val="bottom"/>
          </w:tcPr>
          <w:p w14:paraId="5A1B179B" w14:textId="77777777" w:rsidR="00960BB8" w:rsidRDefault="00960BB8">
            <w:pPr>
              <w:rPr>
                <w:rFonts w:ascii="宋体"/>
              </w:rPr>
            </w:pPr>
          </w:p>
        </w:tc>
        <w:tc>
          <w:tcPr>
            <w:tcW w:w="5" w:type="pct"/>
            <w:shd w:val="clear" w:color="auto" w:fill="auto"/>
            <w:vAlign w:val="bottom"/>
          </w:tcPr>
          <w:p w14:paraId="5A1B179C" w14:textId="77777777" w:rsidR="00960BB8" w:rsidRDefault="00960BB8">
            <w:pPr>
              <w:rPr>
                <w:rFonts w:ascii="宋体"/>
              </w:rPr>
            </w:pPr>
          </w:p>
        </w:tc>
      </w:tr>
      <w:tr w:rsidR="00960BB8" w14:paraId="5A1B17A5" w14:textId="77777777">
        <w:tc>
          <w:tcPr>
            <w:tcW w:w="0" w:type="auto"/>
            <w:gridSpan w:val="3"/>
            <w:shd w:val="clear" w:color="auto" w:fill="auto"/>
            <w:tcMar>
              <w:top w:w="40" w:type="dxa"/>
              <w:left w:w="20" w:type="dxa"/>
              <w:bottom w:w="40" w:type="dxa"/>
              <w:right w:w="20" w:type="dxa"/>
            </w:tcMar>
            <w:vAlign w:val="bottom"/>
          </w:tcPr>
          <w:p w14:paraId="5A1B179E" w14:textId="77777777" w:rsidR="00960BB8" w:rsidRDefault="00C06650">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5A1B179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7A0"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7A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7A2"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17A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7A4"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17A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7A6" w14:textId="77777777" w:rsidR="00960BB8" w:rsidRDefault="00C06650">
            <w:pPr>
              <w:textAlignment w:val="bottom"/>
            </w:pPr>
            <w:r>
              <w:rPr>
                <w:rFonts w:ascii="Arial" w:eastAsia="宋体" w:hAnsi="Arial" w:cs="Arial"/>
                <w:b/>
                <w:bCs/>
                <w:color w:val="262626"/>
                <w:sz w:val="18"/>
                <w:szCs w:val="18"/>
              </w:rPr>
              <w:t>Operating segment revenue:</w:t>
            </w:r>
          </w:p>
        </w:tc>
        <w:tc>
          <w:tcPr>
            <w:tcW w:w="0" w:type="auto"/>
            <w:gridSpan w:val="3"/>
            <w:shd w:val="clear" w:color="auto" w:fill="auto"/>
            <w:tcMar>
              <w:top w:w="0" w:type="dxa"/>
              <w:left w:w="20" w:type="dxa"/>
              <w:bottom w:w="0" w:type="dxa"/>
              <w:right w:w="20" w:type="dxa"/>
            </w:tcMar>
            <w:vAlign w:val="bottom"/>
          </w:tcPr>
          <w:p w14:paraId="5A1B17A7"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7A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A9"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7A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AB"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7AC" w14:textId="77777777" w:rsidR="00960BB8" w:rsidRDefault="00960BB8">
            <w:pPr>
              <w:rPr>
                <w:rFonts w:ascii="宋体"/>
              </w:rPr>
            </w:pPr>
          </w:p>
        </w:tc>
      </w:tr>
      <w:tr w:rsidR="00960BB8" w14:paraId="5A1B17B5" w14:textId="77777777">
        <w:tc>
          <w:tcPr>
            <w:tcW w:w="0" w:type="auto"/>
            <w:gridSpan w:val="3"/>
            <w:shd w:val="clear" w:color="auto" w:fill="auto"/>
            <w:tcMar>
              <w:top w:w="40" w:type="dxa"/>
              <w:left w:w="140" w:type="dxa"/>
              <w:bottom w:w="40" w:type="dxa"/>
              <w:right w:w="20" w:type="dxa"/>
            </w:tcMar>
            <w:vAlign w:val="bottom"/>
          </w:tcPr>
          <w:p w14:paraId="5A1B17AE" w14:textId="77777777" w:rsidR="00960BB8" w:rsidRDefault="00C06650">
            <w:pPr>
              <w:textAlignment w:val="bottom"/>
            </w:pPr>
            <w:r>
              <w:rPr>
                <w:rFonts w:ascii="Arial" w:eastAsia="宋体" w:hAnsi="Arial" w:cs="Arial"/>
                <w:b/>
                <w:bCs/>
                <w:color w:val="000000"/>
                <w:sz w:val="18"/>
                <w:szCs w:val="18"/>
              </w:rPr>
              <w:t>Client Computing</w:t>
            </w:r>
          </w:p>
        </w:tc>
        <w:tc>
          <w:tcPr>
            <w:tcW w:w="0" w:type="auto"/>
            <w:gridSpan w:val="3"/>
            <w:shd w:val="clear" w:color="auto" w:fill="auto"/>
            <w:tcMar>
              <w:top w:w="0" w:type="dxa"/>
              <w:left w:w="20" w:type="dxa"/>
              <w:bottom w:w="0" w:type="dxa"/>
              <w:right w:w="20" w:type="dxa"/>
            </w:tcMar>
            <w:vAlign w:val="bottom"/>
          </w:tcPr>
          <w:p w14:paraId="5A1B17A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B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B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B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B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B4" w14:textId="77777777" w:rsidR="00960BB8" w:rsidRDefault="00960BB8">
            <w:pPr>
              <w:rPr>
                <w:rFonts w:ascii="宋体"/>
              </w:rPr>
            </w:pPr>
          </w:p>
        </w:tc>
      </w:tr>
      <w:tr w:rsidR="00960BB8" w14:paraId="5A1B17C3" w14:textId="77777777">
        <w:tc>
          <w:tcPr>
            <w:tcW w:w="0" w:type="auto"/>
            <w:gridSpan w:val="3"/>
            <w:shd w:val="clear" w:color="auto" w:fill="auto"/>
            <w:tcMar>
              <w:top w:w="40" w:type="dxa"/>
              <w:left w:w="245" w:type="dxa"/>
              <w:bottom w:w="40" w:type="dxa"/>
              <w:right w:w="20" w:type="dxa"/>
            </w:tcMar>
          </w:tcPr>
          <w:p w14:paraId="5A1B17B6" w14:textId="77777777" w:rsidR="00960BB8" w:rsidRDefault="00C06650">
            <w:pPr>
              <w:textAlignment w:val="top"/>
            </w:pPr>
            <w:r>
              <w:rPr>
                <w:rFonts w:ascii="Arial" w:eastAsia="宋体" w:hAnsi="Arial" w:cs="Arial"/>
                <w:color w:val="262626"/>
                <w:sz w:val="18"/>
                <w:szCs w:val="18"/>
              </w:rPr>
              <w:t>Desktop</w:t>
            </w:r>
          </w:p>
        </w:tc>
        <w:tc>
          <w:tcPr>
            <w:tcW w:w="0" w:type="auto"/>
            <w:gridSpan w:val="3"/>
            <w:shd w:val="clear" w:color="auto" w:fill="auto"/>
            <w:tcMar>
              <w:top w:w="0" w:type="dxa"/>
              <w:left w:w="20" w:type="dxa"/>
              <w:bottom w:w="0" w:type="dxa"/>
              <w:right w:w="20" w:type="dxa"/>
            </w:tcMar>
            <w:vAlign w:val="bottom"/>
          </w:tcPr>
          <w:p w14:paraId="5A1B17B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7B8"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17B9" w14:textId="77777777" w:rsidR="00960BB8" w:rsidRDefault="00C06650">
            <w:pPr>
              <w:jc w:val="right"/>
              <w:textAlignment w:val="bottom"/>
            </w:pPr>
            <w:r>
              <w:rPr>
                <w:rFonts w:ascii="Arial" w:eastAsia="宋体" w:hAnsi="Arial" w:cs="Arial"/>
                <w:color w:val="0068B5"/>
                <w:sz w:val="18"/>
                <w:szCs w:val="18"/>
              </w:rPr>
              <w:t>10,661 </w:t>
            </w:r>
          </w:p>
        </w:tc>
        <w:tc>
          <w:tcPr>
            <w:tcW w:w="0" w:type="auto"/>
            <w:shd w:val="clear" w:color="auto" w:fill="auto"/>
            <w:tcMar>
              <w:top w:w="40" w:type="dxa"/>
              <w:left w:w="0" w:type="dxa"/>
              <w:bottom w:w="40" w:type="dxa"/>
              <w:right w:w="20" w:type="dxa"/>
            </w:tcMar>
            <w:vAlign w:val="bottom"/>
          </w:tcPr>
          <w:p w14:paraId="5A1B17B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B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7BC"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7BD" w14:textId="77777777" w:rsidR="00960BB8" w:rsidRDefault="00C06650">
            <w:pPr>
              <w:jc w:val="right"/>
              <w:textAlignment w:val="bottom"/>
            </w:pPr>
            <w:r>
              <w:rPr>
                <w:rFonts w:ascii="Arial" w:eastAsia="宋体" w:hAnsi="Arial" w:cs="Arial"/>
                <w:color w:val="262626"/>
                <w:sz w:val="18"/>
                <w:szCs w:val="18"/>
              </w:rPr>
              <w:t>12,437 </w:t>
            </w:r>
          </w:p>
        </w:tc>
        <w:tc>
          <w:tcPr>
            <w:tcW w:w="0" w:type="auto"/>
            <w:shd w:val="clear" w:color="auto" w:fill="auto"/>
            <w:tcMar>
              <w:top w:w="40" w:type="dxa"/>
              <w:left w:w="0" w:type="dxa"/>
              <w:bottom w:w="40" w:type="dxa"/>
              <w:right w:w="20" w:type="dxa"/>
            </w:tcMar>
            <w:vAlign w:val="bottom"/>
          </w:tcPr>
          <w:p w14:paraId="5A1B17B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B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7C0"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7C1" w14:textId="77777777" w:rsidR="00960BB8" w:rsidRDefault="00C06650">
            <w:pPr>
              <w:jc w:val="right"/>
              <w:textAlignment w:val="bottom"/>
            </w:pPr>
            <w:r>
              <w:rPr>
                <w:rFonts w:ascii="Arial" w:eastAsia="宋体" w:hAnsi="Arial" w:cs="Arial"/>
                <w:color w:val="262626"/>
                <w:sz w:val="18"/>
                <w:szCs w:val="18"/>
              </w:rPr>
              <w:t>11,179 </w:t>
            </w:r>
          </w:p>
        </w:tc>
        <w:tc>
          <w:tcPr>
            <w:tcW w:w="0" w:type="auto"/>
            <w:shd w:val="clear" w:color="auto" w:fill="auto"/>
            <w:tcMar>
              <w:top w:w="40" w:type="dxa"/>
              <w:left w:w="0" w:type="dxa"/>
              <w:bottom w:w="40" w:type="dxa"/>
              <w:right w:w="20" w:type="dxa"/>
            </w:tcMar>
            <w:vAlign w:val="bottom"/>
          </w:tcPr>
          <w:p w14:paraId="5A1B17C2" w14:textId="77777777" w:rsidR="00960BB8" w:rsidRDefault="00960BB8">
            <w:pPr>
              <w:jc w:val="right"/>
              <w:rPr>
                <w:rFonts w:ascii="宋体"/>
              </w:rPr>
            </w:pPr>
          </w:p>
        </w:tc>
      </w:tr>
      <w:tr w:rsidR="00960BB8" w14:paraId="5A1B17CE" w14:textId="77777777">
        <w:tc>
          <w:tcPr>
            <w:tcW w:w="0" w:type="auto"/>
            <w:gridSpan w:val="3"/>
            <w:shd w:val="clear" w:color="auto" w:fill="auto"/>
            <w:tcMar>
              <w:top w:w="40" w:type="dxa"/>
              <w:left w:w="245" w:type="dxa"/>
              <w:bottom w:w="40" w:type="dxa"/>
              <w:right w:w="20" w:type="dxa"/>
            </w:tcMar>
          </w:tcPr>
          <w:p w14:paraId="5A1B17C4" w14:textId="77777777" w:rsidR="00960BB8" w:rsidRDefault="00C06650">
            <w:pPr>
              <w:textAlignment w:val="top"/>
            </w:pPr>
            <w:r>
              <w:rPr>
                <w:rFonts w:ascii="Arial" w:eastAsia="宋体" w:hAnsi="Arial" w:cs="Arial"/>
                <w:color w:val="262626"/>
                <w:sz w:val="18"/>
                <w:szCs w:val="18"/>
              </w:rPr>
              <w:t>Notebook</w:t>
            </w:r>
          </w:p>
        </w:tc>
        <w:tc>
          <w:tcPr>
            <w:tcW w:w="0" w:type="auto"/>
            <w:gridSpan w:val="3"/>
            <w:shd w:val="clear" w:color="auto" w:fill="auto"/>
            <w:tcMar>
              <w:top w:w="0" w:type="dxa"/>
              <w:left w:w="20" w:type="dxa"/>
              <w:bottom w:w="0" w:type="dxa"/>
              <w:right w:w="20" w:type="dxa"/>
            </w:tcMar>
            <w:vAlign w:val="bottom"/>
          </w:tcPr>
          <w:p w14:paraId="5A1B17C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7C6" w14:textId="77777777" w:rsidR="00960BB8" w:rsidRDefault="00C06650">
            <w:pPr>
              <w:jc w:val="right"/>
              <w:textAlignment w:val="bottom"/>
            </w:pPr>
            <w:r>
              <w:rPr>
                <w:rFonts w:ascii="Arial" w:eastAsia="宋体" w:hAnsi="Arial" w:cs="Arial"/>
                <w:color w:val="0068B5"/>
                <w:sz w:val="18"/>
                <w:szCs w:val="18"/>
              </w:rPr>
              <w:t>18,783 </w:t>
            </w:r>
          </w:p>
        </w:tc>
        <w:tc>
          <w:tcPr>
            <w:tcW w:w="0" w:type="auto"/>
            <w:shd w:val="clear" w:color="auto" w:fill="auto"/>
            <w:tcMar>
              <w:top w:w="40" w:type="dxa"/>
              <w:left w:w="0" w:type="dxa"/>
              <w:bottom w:w="40" w:type="dxa"/>
              <w:right w:w="20" w:type="dxa"/>
            </w:tcMar>
            <w:vAlign w:val="bottom"/>
          </w:tcPr>
          <w:p w14:paraId="5A1B17C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C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7C9" w14:textId="77777777" w:rsidR="00960BB8" w:rsidRDefault="00C06650">
            <w:pPr>
              <w:jc w:val="right"/>
              <w:textAlignment w:val="bottom"/>
            </w:pPr>
            <w:r>
              <w:rPr>
                <w:rFonts w:ascii="Arial" w:eastAsia="宋体" w:hAnsi="Arial" w:cs="Arial"/>
                <w:color w:val="262626"/>
                <w:sz w:val="18"/>
                <w:szCs w:val="18"/>
              </w:rPr>
              <w:t>25,443 </w:t>
            </w:r>
          </w:p>
        </w:tc>
        <w:tc>
          <w:tcPr>
            <w:tcW w:w="0" w:type="auto"/>
            <w:shd w:val="clear" w:color="auto" w:fill="auto"/>
            <w:tcMar>
              <w:top w:w="40" w:type="dxa"/>
              <w:left w:w="0" w:type="dxa"/>
              <w:bottom w:w="40" w:type="dxa"/>
              <w:right w:w="20" w:type="dxa"/>
            </w:tcMar>
            <w:vAlign w:val="bottom"/>
          </w:tcPr>
          <w:p w14:paraId="5A1B17C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C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7CC" w14:textId="77777777" w:rsidR="00960BB8" w:rsidRDefault="00C06650">
            <w:pPr>
              <w:jc w:val="right"/>
              <w:textAlignment w:val="bottom"/>
            </w:pPr>
            <w:r>
              <w:rPr>
                <w:rFonts w:ascii="Arial" w:eastAsia="宋体" w:hAnsi="Arial" w:cs="Arial"/>
                <w:color w:val="262626"/>
                <w:sz w:val="18"/>
                <w:szCs w:val="18"/>
              </w:rPr>
              <w:t>24,897 </w:t>
            </w:r>
          </w:p>
        </w:tc>
        <w:tc>
          <w:tcPr>
            <w:tcW w:w="0" w:type="auto"/>
            <w:shd w:val="clear" w:color="auto" w:fill="auto"/>
            <w:tcMar>
              <w:top w:w="40" w:type="dxa"/>
              <w:left w:w="0" w:type="dxa"/>
              <w:bottom w:w="40" w:type="dxa"/>
              <w:right w:w="20" w:type="dxa"/>
            </w:tcMar>
            <w:vAlign w:val="bottom"/>
          </w:tcPr>
          <w:p w14:paraId="5A1B17CD" w14:textId="77777777" w:rsidR="00960BB8" w:rsidRDefault="00960BB8">
            <w:pPr>
              <w:jc w:val="right"/>
              <w:rPr>
                <w:rFonts w:ascii="宋体"/>
              </w:rPr>
            </w:pPr>
          </w:p>
        </w:tc>
      </w:tr>
      <w:tr w:rsidR="00960BB8" w14:paraId="5A1B17D9" w14:textId="77777777">
        <w:tc>
          <w:tcPr>
            <w:tcW w:w="0" w:type="auto"/>
            <w:gridSpan w:val="3"/>
            <w:shd w:val="clear" w:color="auto" w:fill="auto"/>
            <w:tcMar>
              <w:top w:w="40" w:type="dxa"/>
              <w:left w:w="245" w:type="dxa"/>
              <w:bottom w:w="40" w:type="dxa"/>
              <w:right w:w="20" w:type="dxa"/>
            </w:tcMar>
          </w:tcPr>
          <w:p w14:paraId="5A1B17CF" w14:textId="77777777" w:rsidR="00960BB8" w:rsidRDefault="00C06650">
            <w:pPr>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5A1B17D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7D1" w14:textId="77777777" w:rsidR="00960BB8" w:rsidRDefault="00C06650">
            <w:pPr>
              <w:jc w:val="right"/>
              <w:textAlignment w:val="bottom"/>
            </w:pPr>
            <w:r>
              <w:rPr>
                <w:rFonts w:ascii="Arial" w:eastAsia="宋体" w:hAnsi="Arial" w:cs="Arial"/>
                <w:color w:val="0068B5"/>
                <w:sz w:val="18"/>
                <w:szCs w:val="18"/>
              </w:rPr>
              <w:t>2,264 </w:t>
            </w:r>
          </w:p>
        </w:tc>
        <w:tc>
          <w:tcPr>
            <w:tcW w:w="0" w:type="auto"/>
            <w:shd w:val="clear" w:color="auto" w:fill="auto"/>
            <w:tcMar>
              <w:top w:w="40" w:type="dxa"/>
              <w:left w:w="0" w:type="dxa"/>
              <w:bottom w:w="40" w:type="dxa"/>
              <w:right w:w="20" w:type="dxa"/>
            </w:tcMar>
            <w:vAlign w:val="bottom"/>
          </w:tcPr>
          <w:p w14:paraId="5A1B17D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D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7D4" w14:textId="77777777" w:rsidR="00960BB8" w:rsidRDefault="00C06650">
            <w:pPr>
              <w:jc w:val="right"/>
              <w:textAlignment w:val="bottom"/>
            </w:pPr>
            <w:r>
              <w:rPr>
                <w:rFonts w:ascii="Arial" w:eastAsia="宋体" w:hAnsi="Arial" w:cs="Arial"/>
                <w:color w:val="262626"/>
                <w:sz w:val="18"/>
                <w:szCs w:val="18"/>
              </w:rPr>
              <w:t>3,187 </w:t>
            </w:r>
          </w:p>
        </w:tc>
        <w:tc>
          <w:tcPr>
            <w:tcW w:w="0" w:type="auto"/>
            <w:shd w:val="clear" w:color="auto" w:fill="auto"/>
            <w:tcMar>
              <w:top w:w="40" w:type="dxa"/>
              <w:left w:w="0" w:type="dxa"/>
              <w:bottom w:w="40" w:type="dxa"/>
              <w:right w:w="20" w:type="dxa"/>
            </w:tcMar>
            <w:vAlign w:val="bottom"/>
          </w:tcPr>
          <w:p w14:paraId="5A1B17D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D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7D7" w14:textId="77777777" w:rsidR="00960BB8" w:rsidRDefault="00C06650">
            <w:pPr>
              <w:jc w:val="right"/>
              <w:textAlignment w:val="bottom"/>
            </w:pPr>
            <w:r>
              <w:rPr>
                <w:rFonts w:ascii="Arial" w:eastAsia="宋体" w:hAnsi="Arial" w:cs="Arial"/>
                <w:color w:val="262626"/>
                <w:sz w:val="18"/>
                <w:szCs w:val="18"/>
              </w:rPr>
              <w:t>4,459 </w:t>
            </w:r>
          </w:p>
        </w:tc>
        <w:tc>
          <w:tcPr>
            <w:tcW w:w="0" w:type="auto"/>
            <w:shd w:val="clear" w:color="auto" w:fill="auto"/>
            <w:tcMar>
              <w:top w:w="40" w:type="dxa"/>
              <w:left w:w="0" w:type="dxa"/>
              <w:bottom w:w="40" w:type="dxa"/>
              <w:right w:w="20" w:type="dxa"/>
            </w:tcMar>
            <w:vAlign w:val="bottom"/>
          </w:tcPr>
          <w:p w14:paraId="5A1B17D8" w14:textId="77777777" w:rsidR="00960BB8" w:rsidRDefault="00960BB8">
            <w:pPr>
              <w:jc w:val="right"/>
              <w:rPr>
                <w:rFonts w:ascii="宋体"/>
              </w:rPr>
            </w:pPr>
          </w:p>
        </w:tc>
      </w:tr>
      <w:tr w:rsidR="00960BB8" w14:paraId="5A1B17E4" w14:textId="77777777">
        <w:tc>
          <w:tcPr>
            <w:tcW w:w="0" w:type="auto"/>
            <w:gridSpan w:val="3"/>
            <w:shd w:val="clear" w:color="auto" w:fill="auto"/>
            <w:tcMar>
              <w:top w:w="0" w:type="dxa"/>
              <w:left w:w="155" w:type="dxa"/>
              <w:bottom w:w="0" w:type="dxa"/>
              <w:right w:w="20" w:type="dxa"/>
            </w:tcMar>
            <w:vAlign w:val="bottom"/>
          </w:tcPr>
          <w:p w14:paraId="5A1B17D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DB"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7DC" w14:textId="77777777" w:rsidR="00960BB8" w:rsidRDefault="00C06650">
            <w:pPr>
              <w:jc w:val="right"/>
              <w:textAlignment w:val="bottom"/>
            </w:pPr>
            <w:r>
              <w:rPr>
                <w:rFonts w:ascii="Arial" w:eastAsia="宋体" w:hAnsi="Arial" w:cs="Arial"/>
                <w:b/>
                <w:bCs/>
                <w:color w:val="0068B5"/>
                <w:sz w:val="18"/>
                <w:szCs w:val="18"/>
              </w:rPr>
              <w:t>31,708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7D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DE"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7DF" w14:textId="77777777" w:rsidR="00960BB8" w:rsidRDefault="00C06650">
            <w:pPr>
              <w:jc w:val="right"/>
              <w:textAlignment w:val="bottom"/>
            </w:pPr>
            <w:r>
              <w:rPr>
                <w:rFonts w:ascii="Arial" w:eastAsia="宋体" w:hAnsi="Arial" w:cs="Arial"/>
                <w:b/>
                <w:bCs/>
                <w:color w:val="262626"/>
                <w:sz w:val="18"/>
                <w:szCs w:val="18"/>
              </w:rPr>
              <w:t>41,067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7E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E1"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7E2" w14:textId="77777777" w:rsidR="00960BB8" w:rsidRDefault="00C06650">
            <w:pPr>
              <w:jc w:val="right"/>
              <w:textAlignment w:val="bottom"/>
            </w:pPr>
            <w:r>
              <w:rPr>
                <w:rFonts w:ascii="Arial" w:eastAsia="宋体" w:hAnsi="Arial" w:cs="Arial"/>
                <w:b/>
                <w:bCs/>
                <w:color w:val="262626"/>
                <w:sz w:val="18"/>
                <w:szCs w:val="18"/>
              </w:rPr>
              <w:t>40,535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7E3" w14:textId="77777777" w:rsidR="00960BB8" w:rsidRDefault="00960BB8">
            <w:pPr>
              <w:jc w:val="right"/>
              <w:rPr>
                <w:rFonts w:ascii="宋体"/>
              </w:rPr>
            </w:pPr>
          </w:p>
        </w:tc>
      </w:tr>
      <w:tr w:rsidR="00960BB8" w14:paraId="5A1B17EC" w14:textId="77777777">
        <w:trPr>
          <w:trHeight w:val="280"/>
        </w:trPr>
        <w:tc>
          <w:tcPr>
            <w:tcW w:w="0" w:type="auto"/>
            <w:gridSpan w:val="3"/>
            <w:shd w:val="clear" w:color="auto" w:fill="auto"/>
            <w:tcMar>
              <w:top w:w="0" w:type="dxa"/>
              <w:left w:w="245" w:type="dxa"/>
              <w:bottom w:w="0" w:type="dxa"/>
              <w:right w:w="20" w:type="dxa"/>
            </w:tcMar>
            <w:vAlign w:val="bottom"/>
          </w:tcPr>
          <w:p w14:paraId="5A1B17E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E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E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E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E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E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7EB" w14:textId="77777777" w:rsidR="00960BB8" w:rsidRDefault="00960BB8">
            <w:pPr>
              <w:rPr>
                <w:rFonts w:ascii="宋体"/>
              </w:rPr>
            </w:pPr>
          </w:p>
        </w:tc>
      </w:tr>
      <w:tr w:rsidR="00960BB8" w14:paraId="5A1B17F7" w14:textId="77777777">
        <w:tc>
          <w:tcPr>
            <w:tcW w:w="0" w:type="auto"/>
            <w:gridSpan w:val="3"/>
            <w:shd w:val="clear" w:color="auto" w:fill="auto"/>
            <w:tcMar>
              <w:top w:w="40" w:type="dxa"/>
              <w:left w:w="140" w:type="dxa"/>
              <w:bottom w:w="40" w:type="dxa"/>
              <w:right w:w="20" w:type="dxa"/>
            </w:tcMar>
            <w:vAlign w:val="bottom"/>
          </w:tcPr>
          <w:p w14:paraId="5A1B17ED" w14:textId="77777777" w:rsidR="00960BB8" w:rsidRDefault="00C06650">
            <w:pPr>
              <w:textAlignment w:val="bottom"/>
            </w:pPr>
            <w:r>
              <w:rPr>
                <w:rFonts w:ascii="Arial" w:eastAsia="宋体" w:hAnsi="Arial" w:cs="Arial"/>
                <w:b/>
                <w:bCs/>
                <w:color w:val="000000"/>
                <w:sz w:val="18"/>
                <w:szCs w:val="18"/>
              </w:rPr>
              <w:t>Data Center and AI</w:t>
            </w:r>
          </w:p>
        </w:tc>
        <w:tc>
          <w:tcPr>
            <w:tcW w:w="0" w:type="auto"/>
            <w:gridSpan w:val="3"/>
            <w:shd w:val="clear" w:color="auto" w:fill="auto"/>
            <w:tcMar>
              <w:top w:w="0" w:type="dxa"/>
              <w:left w:w="20" w:type="dxa"/>
              <w:bottom w:w="0" w:type="dxa"/>
              <w:right w:w="20" w:type="dxa"/>
            </w:tcMar>
            <w:vAlign w:val="bottom"/>
          </w:tcPr>
          <w:p w14:paraId="5A1B17E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7EF" w14:textId="77777777" w:rsidR="00960BB8" w:rsidRDefault="00C06650">
            <w:pPr>
              <w:jc w:val="right"/>
              <w:textAlignment w:val="bottom"/>
            </w:pPr>
            <w:r>
              <w:rPr>
                <w:rFonts w:ascii="Arial" w:eastAsia="宋体" w:hAnsi="Arial" w:cs="Arial"/>
                <w:b/>
                <w:bCs/>
                <w:color w:val="0068B5"/>
                <w:sz w:val="18"/>
                <w:szCs w:val="18"/>
              </w:rPr>
              <w:t>19,196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7F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F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7F2" w14:textId="77777777" w:rsidR="00960BB8" w:rsidRDefault="00C06650">
            <w:pPr>
              <w:jc w:val="right"/>
              <w:textAlignment w:val="bottom"/>
            </w:pPr>
            <w:r>
              <w:rPr>
                <w:rFonts w:ascii="Arial" w:eastAsia="宋体" w:hAnsi="Arial" w:cs="Arial"/>
                <w:b/>
                <w:bCs/>
                <w:color w:val="262626"/>
                <w:sz w:val="18"/>
                <w:szCs w:val="18"/>
              </w:rPr>
              <w:t>22,691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7F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F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7F5" w14:textId="77777777" w:rsidR="00960BB8" w:rsidRDefault="00C06650">
            <w:pPr>
              <w:jc w:val="right"/>
              <w:textAlignment w:val="bottom"/>
            </w:pPr>
            <w:r>
              <w:rPr>
                <w:rFonts w:ascii="Arial" w:eastAsia="宋体" w:hAnsi="Arial" w:cs="Arial"/>
                <w:b/>
                <w:bCs/>
                <w:color w:val="262626"/>
                <w:sz w:val="18"/>
                <w:szCs w:val="18"/>
              </w:rPr>
              <w:t>23,413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7F6" w14:textId="77777777" w:rsidR="00960BB8" w:rsidRDefault="00960BB8">
            <w:pPr>
              <w:jc w:val="right"/>
              <w:rPr>
                <w:rFonts w:ascii="宋体"/>
              </w:rPr>
            </w:pPr>
          </w:p>
        </w:tc>
      </w:tr>
      <w:tr w:rsidR="00960BB8" w14:paraId="5A1B1802" w14:textId="77777777">
        <w:tc>
          <w:tcPr>
            <w:tcW w:w="0" w:type="auto"/>
            <w:gridSpan w:val="3"/>
            <w:shd w:val="clear" w:color="auto" w:fill="auto"/>
            <w:tcMar>
              <w:top w:w="40" w:type="dxa"/>
              <w:left w:w="140" w:type="dxa"/>
              <w:bottom w:w="40" w:type="dxa"/>
              <w:right w:w="20" w:type="dxa"/>
            </w:tcMar>
            <w:vAlign w:val="bottom"/>
          </w:tcPr>
          <w:p w14:paraId="5A1B17F8" w14:textId="77777777" w:rsidR="00960BB8" w:rsidRDefault="00C06650">
            <w:pPr>
              <w:textAlignment w:val="bottom"/>
            </w:pPr>
            <w:r>
              <w:rPr>
                <w:rFonts w:ascii="Arial" w:eastAsia="宋体" w:hAnsi="Arial" w:cs="Arial"/>
                <w:b/>
                <w:bCs/>
                <w:color w:val="000000"/>
                <w:sz w:val="18"/>
                <w:szCs w:val="18"/>
              </w:rPr>
              <w:t>Network and Edge</w:t>
            </w:r>
          </w:p>
        </w:tc>
        <w:tc>
          <w:tcPr>
            <w:tcW w:w="0" w:type="auto"/>
            <w:gridSpan w:val="3"/>
            <w:shd w:val="clear" w:color="auto" w:fill="auto"/>
            <w:tcMar>
              <w:top w:w="0" w:type="dxa"/>
              <w:left w:w="20" w:type="dxa"/>
              <w:bottom w:w="0" w:type="dxa"/>
              <w:right w:w="20" w:type="dxa"/>
            </w:tcMar>
            <w:vAlign w:val="bottom"/>
          </w:tcPr>
          <w:p w14:paraId="5A1B17F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7FA" w14:textId="77777777" w:rsidR="00960BB8" w:rsidRDefault="00C06650">
            <w:pPr>
              <w:jc w:val="right"/>
              <w:textAlignment w:val="bottom"/>
            </w:pPr>
            <w:r>
              <w:rPr>
                <w:rFonts w:ascii="Arial" w:eastAsia="宋体" w:hAnsi="Arial" w:cs="Arial"/>
                <w:b/>
                <w:bCs/>
                <w:color w:val="0068B5"/>
                <w:sz w:val="18"/>
                <w:szCs w:val="18"/>
              </w:rPr>
              <w:t>8,873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7F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F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7FD" w14:textId="77777777" w:rsidR="00960BB8" w:rsidRDefault="00C06650">
            <w:pPr>
              <w:jc w:val="right"/>
              <w:textAlignment w:val="bottom"/>
            </w:pPr>
            <w:r>
              <w:rPr>
                <w:rFonts w:ascii="Arial" w:eastAsia="宋体" w:hAnsi="Arial" w:cs="Arial"/>
                <w:b/>
                <w:bCs/>
                <w:color w:val="262626"/>
                <w:sz w:val="18"/>
                <w:szCs w:val="18"/>
              </w:rPr>
              <w:t>7,976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7F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7F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00" w14:textId="77777777" w:rsidR="00960BB8" w:rsidRDefault="00C06650">
            <w:pPr>
              <w:jc w:val="right"/>
              <w:textAlignment w:val="bottom"/>
            </w:pPr>
            <w:r>
              <w:rPr>
                <w:rFonts w:ascii="Arial" w:eastAsia="宋体" w:hAnsi="Arial" w:cs="Arial"/>
                <w:b/>
                <w:bCs/>
                <w:color w:val="262626"/>
                <w:sz w:val="18"/>
                <w:szCs w:val="18"/>
              </w:rPr>
              <w:t>7,132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01" w14:textId="77777777" w:rsidR="00960BB8" w:rsidRDefault="00960BB8">
            <w:pPr>
              <w:jc w:val="right"/>
              <w:rPr>
                <w:rFonts w:ascii="宋体"/>
              </w:rPr>
            </w:pPr>
          </w:p>
        </w:tc>
      </w:tr>
      <w:tr w:rsidR="00960BB8" w14:paraId="5A1B180D" w14:textId="77777777">
        <w:tc>
          <w:tcPr>
            <w:tcW w:w="0" w:type="auto"/>
            <w:gridSpan w:val="3"/>
            <w:shd w:val="clear" w:color="auto" w:fill="auto"/>
            <w:tcMar>
              <w:top w:w="40" w:type="dxa"/>
              <w:left w:w="140" w:type="dxa"/>
              <w:bottom w:w="40" w:type="dxa"/>
              <w:right w:w="20" w:type="dxa"/>
            </w:tcMar>
            <w:vAlign w:val="bottom"/>
          </w:tcPr>
          <w:p w14:paraId="5A1B1803" w14:textId="77777777" w:rsidR="00960BB8" w:rsidRDefault="00C06650">
            <w:pPr>
              <w:textAlignment w:val="bottom"/>
            </w:pPr>
            <w:r>
              <w:rPr>
                <w:rFonts w:ascii="Arial" w:eastAsia="宋体" w:hAnsi="Arial" w:cs="Arial"/>
                <w:b/>
                <w:bCs/>
                <w:color w:val="000000"/>
                <w:sz w:val="18"/>
                <w:szCs w:val="18"/>
              </w:rPr>
              <w:t>Mobileye</w:t>
            </w:r>
          </w:p>
        </w:tc>
        <w:tc>
          <w:tcPr>
            <w:tcW w:w="0" w:type="auto"/>
            <w:gridSpan w:val="3"/>
            <w:shd w:val="clear" w:color="auto" w:fill="auto"/>
            <w:tcMar>
              <w:top w:w="0" w:type="dxa"/>
              <w:left w:w="20" w:type="dxa"/>
              <w:bottom w:w="0" w:type="dxa"/>
              <w:right w:w="20" w:type="dxa"/>
            </w:tcMar>
            <w:vAlign w:val="bottom"/>
          </w:tcPr>
          <w:p w14:paraId="5A1B180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05" w14:textId="77777777" w:rsidR="00960BB8" w:rsidRDefault="00C06650">
            <w:pPr>
              <w:jc w:val="right"/>
              <w:textAlignment w:val="bottom"/>
            </w:pPr>
            <w:r>
              <w:rPr>
                <w:rFonts w:ascii="Arial" w:eastAsia="宋体" w:hAnsi="Arial" w:cs="Arial"/>
                <w:b/>
                <w:bCs/>
                <w:color w:val="0068B5"/>
                <w:sz w:val="18"/>
                <w:szCs w:val="18"/>
              </w:rPr>
              <w:t>1,869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80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0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08" w14:textId="77777777" w:rsidR="00960BB8" w:rsidRDefault="00C06650">
            <w:pPr>
              <w:jc w:val="right"/>
              <w:textAlignment w:val="bottom"/>
            </w:pPr>
            <w:r>
              <w:rPr>
                <w:rFonts w:ascii="Arial" w:eastAsia="宋体" w:hAnsi="Arial" w:cs="Arial"/>
                <w:b/>
                <w:bCs/>
                <w:color w:val="262626"/>
                <w:sz w:val="18"/>
                <w:szCs w:val="18"/>
              </w:rPr>
              <w:t>1,386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0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0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0B" w14:textId="77777777" w:rsidR="00960BB8" w:rsidRDefault="00C06650">
            <w:pPr>
              <w:jc w:val="right"/>
              <w:textAlignment w:val="bottom"/>
            </w:pPr>
            <w:r>
              <w:rPr>
                <w:rFonts w:ascii="Arial" w:eastAsia="宋体" w:hAnsi="Arial" w:cs="Arial"/>
                <w:b/>
                <w:bCs/>
                <w:color w:val="262626"/>
                <w:sz w:val="18"/>
                <w:szCs w:val="18"/>
              </w:rPr>
              <w:t>967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0C" w14:textId="77777777" w:rsidR="00960BB8" w:rsidRDefault="00960BB8">
            <w:pPr>
              <w:jc w:val="right"/>
              <w:rPr>
                <w:rFonts w:ascii="宋体"/>
              </w:rPr>
            </w:pPr>
          </w:p>
        </w:tc>
      </w:tr>
      <w:tr w:rsidR="00960BB8" w14:paraId="5A1B1818" w14:textId="77777777">
        <w:tc>
          <w:tcPr>
            <w:tcW w:w="0" w:type="auto"/>
            <w:gridSpan w:val="3"/>
            <w:shd w:val="clear" w:color="auto" w:fill="auto"/>
            <w:tcMar>
              <w:top w:w="40" w:type="dxa"/>
              <w:left w:w="140" w:type="dxa"/>
              <w:bottom w:w="40" w:type="dxa"/>
              <w:right w:w="20" w:type="dxa"/>
            </w:tcMar>
            <w:vAlign w:val="bottom"/>
          </w:tcPr>
          <w:p w14:paraId="5A1B180E" w14:textId="77777777" w:rsidR="00960BB8" w:rsidRDefault="00C06650">
            <w:pPr>
              <w:textAlignment w:val="bottom"/>
            </w:pPr>
            <w:r>
              <w:rPr>
                <w:rFonts w:ascii="Arial" w:eastAsia="宋体" w:hAnsi="Arial" w:cs="Arial"/>
                <w:b/>
                <w:bCs/>
                <w:color w:val="000000"/>
                <w:sz w:val="18"/>
                <w:szCs w:val="18"/>
              </w:rPr>
              <w:t>Accelerated Computing Systems and Graphics</w:t>
            </w:r>
          </w:p>
        </w:tc>
        <w:tc>
          <w:tcPr>
            <w:tcW w:w="0" w:type="auto"/>
            <w:gridSpan w:val="3"/>
            <w:shd w:val="clear" w:color="auto" w:fill="auto"/>
            <w:tcMar>
              <w:top w:w="0" w:type="dxa"/>
              <w:left w:w="20" w:type="dxa"/>
              <w:bottom w:w="0" w:type="dxa"/>
              <w:right w:w="20" w:type="dxa"/>
            </w:tcMar>
            <w:vAlign w:val="bottom"/>
          </w:tcPr>
          <w:p w14:paraId="5A1B180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10" w14:textId="77777777" w:rsidR="00960BB8" w:rsidRDefault="00C06650">
            <w:pPr>
              <w:jc w:val="right"/>
              <w:textAlignment w:val="bottom"/>
            </w:pPr>
            <w:r>
              <w:rPr>
                <w:rFonts w:ascii="Arial" w:eastAsia="宋体" w:hAnsi="Arial" w:cs="Arial"/>
                <w:b/>
                <w:bCs/>
                <w:color w:val="0068B5"/>
                <w:sz w:val="18"/>
                <w:szCs w:val="18"/>
              </w:rPr>
              <w:t>837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81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1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13" w14:textId="77777777" w:rsidR="00960BB8" w:rsidRDefault="00C06650">
            <w:pPr>
              <w:jc w:val="right"/>
              <w:textAlignment w:val="bottom"/>
            </w:pPr>
            <w:r>
              <w:rPr>
                <w:rFonts w:ascii="Arial" w:eastAsia="宋体" w:hAnsi="Arial" w:cs="Arial"/>
                <w:b/>
                <w:bCs/>
                <w:color w:val="262626"/>
                <w:sz w:val="18"/>
                <w:szCs w:val="18"/>
              </w:rPr>
              <w:t>774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1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1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16" w14:textId="77777777" w:rsidR="00960BB8" w:rsidRDefault="00C06650">
            <w:pPr>
              <w:jc w:val="right"/>
              <w:textAlignment w:val="bottom"/>
            </w:pPr>
            <w:r>
              <w:rPr>
                <w:rFonts w:ascii="Arial" w:eastAsia="宋体" w:hAnsi="Arial" w:cs="Arial"/>
                <w:b/>
                <w:bCs/>
                <w:color w:val="262626"/>
                <w:sz w:val="18"/>
                <w:szCs w:val="18"/>
              </w:rPr>
              <w:t>651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17" w14:textId="77777777" w:rsidR="00960BB8" w:rsidRDefault="00960BB8">
            <w:pPr>
              <w:jc w:val="right"/>
              <w:rPr>
                <w:rFonts w:ascii="宋体"/>
              </w:rPr>
            </w:pPr>
          </w:p>
        </w:tc>
      </w:tr>
      <w:tr w:rsidR="00960BB8" w14:paraId="5A1B1823" w14:textId="77777777">
        <w:tc>
          <w:tcPr>
            <w:tcW w:w="0" w:type="auto"/>
            <w:gridSpan w:val="3"/>
            <w:shd w:val="clear" w:color="auto" w:fill="FFFFFF"/>
            <w:tcMar>
              <w:top w:w="40" w:type="dxa"/>
              <w:left w:w="140" w:type="dxa"/>
              <w:bottom w:w="40" w:type="dxa"/>
              <w:right w:w="20" w:type="dxa"/>
            </w:tcMar>
            <w:vAlign w:val="bottom"/>
          </w:tcPr>
          <w:p w14:paraId="5A1B1819" w14:textId="77777777" w:rsidR="00960BB8" w:rsidRDefault="00C06650">
            <w:pPr>
              <w:textAlignment w:val="bottom"/>
            </w:pPr>
            <w:r>
              <w:rPr>
                <w:rFonts w:ascii="Arial" w:eastAsia="宋体" w:hAnsi="Arial" w:cs="Arial"/>
                <w:b/>
                <w:bCs/>
                <w:color w:val="000000"/>
                <w:sz w:val="18"/>
                <w:szCs w:val="18"/>
              </w:rPr>
              <w:t>Intel Foundry Services</w:t>
            </w:r>
          </w:p>
        </w:tc>
        <w:tc>
          <w:tcPr>
            <w:tcW w:w="0" w:type="auto"/>
            <w:gridSpan w:val="3"/>
            <w:shd w:val="clear" w:color="auto" w:fill="auto"/>
            <w:tcMar>
              <w:top w:w="0" w:type="dxa"/>
              <w:left w:w="20" w:type="dxa"/>
              <w:bottom w:w="0" w:type="dxa"/>
              <w:right w:w="20" w:type="dxa"/>
            </w:tcMar>
            <w:vAlign w:val="bottom"/>
          </w:tcPr>
          <w:p w14:paraId="5A1B181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1B" w14:textId="77777777" w:rsidR="00960BB8" w:rsidRDefault="00C06650">
            <w:pPr>
              <w:jc w:val="right"/>
              <w:textAlignment w:val="bottom"/>
            </w:pPr>
            <w:r>
              <w:rPr>
                <w:rFonts w:ascii="Arial" w:eastAsia="宋体" w:hAnsi="Arial" w:cs="Arial"/>
                <w:b/>
                <w:bCs/>
                <w:color w:val="0068B5"/>
                <w:sz w:val="18"/>
                <w:szCs w:val="18"/>
              </w:rPr>
              <w:t>895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81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1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1E" w14:textId="77777777" w:rsidR="00960BB8" w:rsidRDefault="00C06650">
            <w:pPr>
              <w:jc w:val="right"/>
              <w:textAlignment w:val="bottom"/>
            </w:pPr>
            <w:r>
              <w:rPr>
                <w:rFonts w:ascii="Arial" w:eastAsia="宋体" w:hAnsi="Arial" w:cs="Arial"/>
                <w:b/>
                <w:bCs/>
                <w:color w:val="262626"/>
                <w:sz w:val="18"/>
                <w:szCs w:val="18"/>
              </w:rPr>
              <w:t>786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1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2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21" w14:textId="77777777" w:rsidR="00960BB8" w:rsidRDefault="00C06650">
            <w:pPr>
              <w:jc w:val="right"/>
              <w:textAlignment w:val="bottom"/>
            </w:pPr>
            <w:r>
              <w:rPr>
                <w:rFonts w:ascii="Arial" w:eastAsia="宋体" w:hAnsi="Arial" w:cs="Arial"/>
                <w:b/>
                <w:bCs/>
                <w:color w:val="262626"/>
                <w:sz w:val="18"/>
                <w:szCs w:val="18"/>
              </w:rPr>
              <w:t>715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22" w14:textId="77777777" w:rsidR="00960BB8" w:rsidRDefault="00960BB8">
            <w:pPr>
              <w:jc w:val="right"/>
              <w:rPr>
                <w:rFonts w:ascii="宋体"/>
              </w:rPr>
            </w:pPr>
          </w:p>
        </w:tc>
      </w:tr>
      <w:tr w:rsidR="00960BB8" w14:paraId="5A1B182E" w14:textId="77777777">
        <w:tc>
          <w:tcPr>
            <w:tcW w:w="0" w:type="auto"/>
            <w:gridSpan w:val="3"/>
            <w:shd w:val="clear" w:color="auto" w:fill="FFFFFF"/>
            <w:tcMar>
              <w:top w:w="40" w:type="dxa"/>
              <w:left w:w="140" w:type="dxa"/>
              <w:bottom w:w="40" w:type="dxa"/>
              <w:right w:w="20" w:type="dxa"/>
            </w:tcMar>
            <w:vAlign w:val="bottom"/>
          </w:tcPr>
          <w:p w14:paraId="5A1B1824" w14:textId="77777777" w:rsidR="00960BB8" w:rsidRDefault="00C06650">
            <w:pPr>
              <w:textAlignment w:val="bottom"/>
            </w:pPr>
            <w:r>
              <w:rPr>
                <w:rFonts w:ascii="Arial" w:eastAsia="宋体" w:hAnsi="Arial" w:cs="Arial"/>
                <w:b/>
                <w:bCs/>
                <w:color w:val="000000"/>
                <w:sz w:val="18"/>
                <w:szCs w:val="18"/>
              </w:rPr>
              <w:t>All other</w:t>
            </w:r>
          </w:p>
        </w:tc>
        <w:tc>
          <w:tcPr>
            <w:tcW w:w="0" w:type="auto"/>
            <w:gridSpan w:val="3"/>
            <w:shd w:val="clear" w:color="auto" w:fill="auto"/>
            <w:tcMar>
              <w:top w:w="0" w:type="dxa"/>
              <w:left w:w="20" w:type="dxa"/>
              <w:bottom w:w="0" w:type="dxa"/>
              <w:right w:w="20" w:type="dxa"/>
            </w:tcMar>
            <w:vAlign w:val="bottom"/>
          </w:tcPr>
          <w:p w14:paraId="5A1B182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26" w14:textId="77777777" w:rsidR="00960BB8" w:rsidRDefault="00C06650">
            <w:pPr>
              <w:jc w:val="right"/>
              <w:textAlignment w:val="bottom"/>
            </w:pPr>
            <w:r>
              <w:rPr>
                <w:rFonts w:ascii="Arial" w:eastAsia="宋体" w:hAnsi="Arial" w:cs="Arial"/>
                <w:b/>
                <w:bCs/>
                <w:color w:val="0068B5"/>
                <w:sz w:val="18"/>
                <w:szCs w:val="18"/>
              </w:rPr>
              <w:t>196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82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2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29" w14:textId="77777777" w:rsidR="00960BB8" w:rsidRDefault="00C06650">
            <w:pPr>
              <w:jc w:val="right"/>
              <w:textAlignment w:val="bottom"/>
            </w:pPr>
            <w:r>
              <w:rPr>
                <w:rFonts w:ascii="Arial" w:eastAsia="宋体" w:hAnsi="Arial" w:cs="Arial"/>
                <w:b/>
                <w:bCs/>
                <w:color w:val="262626"/>
                <w:sz w:val="18"/>
                <w:szCs w:val="18"/>
              </w:rPr>
              <w:t>5,019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2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2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2C" w14:textId="77777777" w:rsidR="00960BB8" w:rsidRDefault="00C06650">
            <w:pPr>
              <w:jc w:val="right"/>
              <w:textAlignment w:val="bottom"/>
            </w:pPr>
            <w:r>
              <w:rPr>
                <w:rFonts w:ascii="Arial" w:eastAsia="宋体" w:hAnsi="Arial" w:cs="Arial"/>
                <w:b/>
                <w:bCs/>
                <w:color w:val="262626"/>
                <w:sz w:val="18"/>
                <w:szCs w:val="18"/>
              </w:rPr>
              <w:t>5,091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2D" w14:textId="77777777" w:rsidR="00960BB8" w:rsidRDefault="00960BB8">
            <w:pPr>
              <w:jc w:val="right"/>
              <w:rPr>
                <w:rFonts w:ascii="宋体"/>
              </w:rPr>
            </w:pPr>
          </w:p>
        </w:tc>
      </w:tr>
      <w:tr w:rsidR="00960BB8" w14:paraId="5A1B183C" w14:textId="77777777">
        <w:tc>
          <w:tcPr>
            <w:tcW w:w="0" w:type="auto"/>
            <w:gridSpan w:val="3"/>
            <w:shd w:val="clear" w:color="auto" w:fill="auto"/>
            <w:tcMar>
              <w:top w:w="40" w:type="dxa"/>
              <w:left w:w="380" w:type="dxa"/>
              <w:bottom w:w="40" w:type="dxa"/>
              <w:right w:w="20" w:type="dxa"/>
            </w:tcMar>
            <w:vAlign w:val="bottom"/>
          </w:tcPr>
          <w:p w14:paraId="5A1B182F" w14:textId="77777777" w:rsidR="00960BB8" w:rsidRDefault="00C06650">
            <w:pPr>
              <w:textAlignment w:val="bottom"/>
            </w:pPr>
            <w:r>
              <w:rPr>
                <w:rFonts w:ascii="Arial" w:eastAsia="宋体" w:hAnsi="Arial" w:cs="Arial"/>
                <w:b/>
                <w:bCs/>
                <w:color w:val="000000"/>
                <w:sz w:val="18"/>
                <w:szCs w:val="18"/>
              </w:rPr>
              <w:t>Total operating segment revenue</w:t>
            </w:r>
          </w:p>
        </w:tc>
        <w:tc>
          <w:tcPr>
            <w:tcW w:w="0" w:type="auto"/>
            <w:gridSpan w:val="3"/>
            <w:shd w:val="clear" w:color="auto" w:fill="auto"/>
            <w:tcMar>
              <w:top w:w="0" w:type="dxa"/>
              <w:left w:w="20" w:type="dxa"/>
              <w:bottom w:w="0" w:type="dxa"/>
              <w:right w:w="20" w:type="dxa"/>
            </w:tcMar>
            <w:vAlign w:val="bottom"/>
          </w:tcPr>
          <w:p w14:paraId="5A1B1830"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831"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832" w14:textId="77777777" w:rsidR="00960BB8" w:rsidRDefault="00C06650">
            <w:pPr>
              <w:jc w:val="right"/>
              <w:textAlignment w:val="bottom"/>
            </w:pPr>
            <w:r>
              <w:rPr>
                <w:rFonts w:ascii="Arial" w:eastAsia="宋体" w:hAnsi="Arial" w:cs="Arial"/>
                <w:b/>
                <w:bCs/>
                <w:color w:val="0068B5"/>
                <w:sz w:val="18"/>
                <w:szCs w:val="18"/>
              </w:rPr>
              <w:t>63,574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83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34"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835"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836" w14:textId="77777777" w:rsidR="00960BB8" w:rsidRDefault="00C06650">
            <w:pPr>
              <w:jc w:val="right"/>
              <w:textAlignment w:val="bottom"/>
            </w:pPr>
            <w:r>
              <w:rPr>
                <w:rFonts w:ascii="Arial" w:eastAsia="宋体" w:hAnsi="Arial" w:cs="Arial"/>
                <w:b/>
                <w:bCs/>
                <w:color w:val="262626"/>
                <w:sz w:val="18"/>
                <w:szCs w:val="18"/>
              </w:rPr>
              <w:t>79,699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83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38"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83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83A" w14:textId="77777777" w:rsidR="00960BB8" w:rsidRDefault="00C06650">
            <w:pPr>
              <w:jc w:val="right"/>
              <w:textAlignment w:val="bottom"/>
            </w:pPr>
            <w:r>
              <w:rPr>
                <w:rFonts w:ascii="Arial" w:eastAsia="宋体" w:hAnsi="Arial" w:cs="Arial"/>
                <w:b/>
                <w:bCs/>
                <w:color w:val="262626"/>
                <w:sz w:val="18"/>
                <w:szCs w:val="18"/>
              </w:rPr>
              <w:t>78,504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83B" w14:textId="77777777" w:rsidR="00960BB8" w:rsidRDefault="00960BB8">
            <w:pPr>
              <w:jc w:val="right"/>
              <w:rPr>
                <w:rFonts w:ascii="宋体"/>
              </w:rPr>
            </w:pPr>
          </w:p>
        </w:tc>
      </w:tr>
      <w:tr w:rsidR="00960BB8" w14:paraId="5A1B1844" w14:textId="77777777">
        <w:trPr>
          <w:trHeight w:val="280"/>
        </w:trPr>
        <w:tc>
          <w:tcPr>
            <w:tcW w:w="0" w:type="auto"/>
            <w:gridSpan w:val="3"/>
            <w:shd w:val="clear" w:color="auto" w:fill="auto"/>
            <w:tcMar>
              <w:top w:w="0" w:type="dxa"/>
              <w:left w:w="20" w:type="dxa"/>
              <w:bottom w:w="0" w:type="dxa"/>
              <w:right w:w="20" w:type="dxa"/>
            </w:tcMar>
            <w:vAlign w:val="bottom"/>
          </w:tcPr>
          <w:p w14:paraId="5A1B183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83E"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183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840"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184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842"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1843" w14:textId="77777777" w:rsidR="00960BB8" w:rsidRDefault="00960BB8">
            <w:pPr>
              <w:rPr>
                <w:rFonts w:ascii="宋体"/>
              </w:rPr>
            </w:pPr>
          </w:p>
        </w:tc>
      </w:tr>
      <w:tr w:rsidR="00960BB8" w14:paraId="5A1B184C" w14:textId="77777777">
        <w:tc>
          <w:tcPr>
            <w:tcW w:w="0" w:type="auto"/>
            <w:gridSpan w:val="3"/>
            <w:shd w:val="clear" w:color="auto" w:fill="auto"/>
            <w:tcMar>
              <w:top w:w="40" w:type="dxa"/>
              <w:left w:w="20" w:type="dxa"/>
              <w:bottom w:w="40" w:type="dxa"/>
              <w:right w:w="20" w:type="dxa"/>
            </w:tcMar>
            <w:vAlign w:val="bottom"/>
          </w:tcPr>
          <w:p w14:paraId="5A1B1845" w14:textId="77777777" w:rsidR="00960BB8" w:rsidRDefault="00C06650">
            <w:pPr>
              <w:textAlignment w:val="bottom"/>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vAlign w:val="bottom"/>
          </w:tcPr>
          <w:p w14:paraId="5A1B184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84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84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84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84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84B" w14:textId="77777777" w:rsidR="00960BB8" w:rsidRDefault="00960BB8">
            <w:pPr>
              <w:rPr>
                <w:rFonts w:ascii="宋体"/>
              </w:rPr>
            </w:pPr>
          </w:p>
        </w:tc>
      </w:tr>
      <w:tr w:rsidR="00960BB8" w14:paraId="5A1B185A" w14:textId="77777777">
        <w:tc>
          <w:tcPr>
            <w:tcW w:w="0" w:type="auto"/>
            <w:gridSpan w:val="3"/>
            <w:shd w:val="clear" w:color="auto" w:fill="auto"/>
            <w:tcMar>
              <w:top w:w="40" w:type="dxa"/>
              <w:left w:w="140" w:type="dxa"/>
              <w:bottom w:w="40" w:type="dxa"/>
              <w:right w:w="20" w:type="dxa"/>
            </w:tcMar>
            <w:vAlign w:val="bottom"/>
          </w:tcPr>
          <w:p w14:paraId="5A1B184D" w14:textId="77777777" w:rsidR="00960BB8" w:rsidRDefault="00C06650">
            <w:pPr>
              <w:textAlignment w:val="bottom"/>
            </w:pPr>
            <w:r>
              <w:rPr>
                <w:rFonts w:ascii="Arial" w:eastAsia="宋体" w:hAnsi="Arial" w:cs="Arial"/>
                <w:b/>
                <w:bCs/>
                <w:color w:val="000000"/>
                <w:sz w:val="18"/>
                <w:szCs w:val="18"/>
              </w:rPr>
              <w:t>Client Computing</w:t>
            </w:r>
          </w:p>
        </w:tc>
        <w:tc>
          <w:tcPr>
            <w:tcW w:w="0" w:type="auto"/>
            <w:gridSpan w:val="3"/>
            <w:shd w:val="clear" w:color="auto" w:fill="auto"/>
            <w:tcMar>
              <w:top w:w="0" w:type="dxa"/>
              <w:left w:w="20" w:type="dxa"/>
              <w:bottom w:w="0" w:type="dxa"/>
              <w:right w:w="20" w:type="dxa"/>
            </w:tcMar>
            <w:vAlign w:val="bottom"/>
          </w:tcPr>
          <w:p w14:paraId="5A1B184E"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84F" w14:textId="77777777" w:rsidR="00960BB8" w:rsidRDefault="00C06650">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A1B1850" w14:textId="77777777" w:rsidR="00960BB8" w:rsidRDefault="00C06650">
            <w:pPr>
              <w:jc w:val="right"/>
              <w:textAlignment w:val="bottom"/>
            </w:pPr>
            <w:r>
              <w:rPr>
                <w:rFonts w:ascii="Arial" w:eastAsia="宋体" w:hAnsi="Arial" w:cs="Arial"/>
                <w:b/>
                <w:bCs/>
                <w:color w:val="0068B5"/>
                <w:sz w:val="18"/>
                <w:szCs w:val="18"/>
              </w:rPr>
              <w:t>6,266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85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52"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853"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1854" w14:textId="77777777" w:rsidR="00960BB8" w:rsidRDefault="00C06650">
            <w:pPr>
              <w:jc w:val="right"/>
              <w:textAlignment w:val="bottom"/>
            </w:pPr>
            <w:r>
              <w:rPr>
                <w:rFonts w:ascii="Arial" w:eastAsia="宋体" w:hAnsi="Arial" w:cs="Arial"/>
                <w:b/>
                <w:bCs/>
                <w:color w:val="262626"/>
                <w:sz w:val="18"/>
                <w:szCs w:val="18"/>
              </w:rPr>
              <w:t>15,704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5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56"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857"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1858" w14:textId="77777777" w:rsidR="00960BB8" w:rsidRDefault="00C06650">
            <w:pPr>
              <w:jc w:val="right"/>
              <w:textAlignment w:val="bottom"/>
            </w:pPr>
            <w:r>
              <w:rPr>
                <w:rFonts w:ascii="Arial" w:eastAsia="宋体" w:hAnsi="Arial" w:cs="Arial"/>
                <w:b/>
                <w:bCs/>
                <w:color w:val="262626"/>
                <w:sz w:val="18"/>
                <w:szCs w:val="18"/>
              </w:rPr>
              <w:t>15,800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59" w14:textId="77777777" w:rsidR="00960BB8" w:rsidRDefault="00960BB8">
            <w:pPr>
              <w:jc w:val="right"/>
              <w:rPr>
                <w:rFonts w:ascii="宋体"/>
              </w:rPr>
            </w:pPr>
          </w:p>
        </w:tc>
      </w:tr>
      <w:tr w:rsidR="00960BB8" w14:paraId="5A1B1865" w14:textId="77777777">
        <w:tc>
          <w:tcPr>
            <w:tcW w:w="0" w:type="auto"/>
            <w:gridSpan w:val="3"/>
            <w:shd w:val="clear" w:color="auto" w:fill="auto"/>
            <w:tcMar>
              <w:top w:w="40" w:type="dxa"/>
              <w:left w:w="140" w:type="dxa"/>
              <w:bottom w:w="40" w:type="dxa"/>
              <w:right w:w="20" w:type="dxa"/>
            </w:tcMar>
            <w:vAlign w:val="bottom"/>
          </w:tcPr>
          <w:p w14:paraId="5A1B185B" w14:textId="77777777" w:rsidR="00960BB8" w:rsidRDefault="00C06650">
            <w:pPr>
              <w:textAlignment w:val="bottom"/>
            </w:pPr>
            <w:r>
              <w:rPr>
                <w:rFonts w:ascii="Arial" w:eastAsia="宋体" w:hAnsi="Arial" w:cs="Arial"/>
                <w:b/>
                <w:bCs/>
                <w:color w:val="000000"/>
                <w:sz w:val="18"/>
                <w:szCs w:val="18"/>
              </w:rPr>
              <w:t>Data Center and AI</w:t>
            </w:r>
          </w:p>
        </w:tc>
        <w:tc>
          <w:tcPr>
            <w:tcW w:w="0" w:type="auto"/>
            <w:gridSpan w:val="3"/>
            <w:shd w:val="clear" w:color="auto" w:fill="auto"/>
            <w:tcMar>
              <w:top w:w="0" w:type="dxa"/>
              <w:left w:w="20" w:type="dxa"/>
              <w:bottom w:w="0" w:type="dxa"/>
              <w:right w:w="20" w:type="dxa"/>
            </w:tcMar>
            <w:vAlign w:val="bottom"/>
          </w:tcPr>
          <w:p w14:paraId="5A1B185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5D" w14:textId="77777777" w:rsidR="00960BB8" w:rsidRDefault="00C06650">
            <w:pPr>
              <w:jc w:val="right"/>
              <w:textAlignment w:val="bottom"/>
            </w:pPr>
            <w:r>
              <w:rPr>
                <w:rFonts w:ascii="Arial" w:eastAsia="宋体" w:hAnsi="Arial" w:cs="Arial"/>
                <w:b/>
                <w:bCs/>
                <w:color w:val="0068B5"/>
                <w:sz w:val="18"/>
                <w:szCs w:val="18"/>
              </w:rPr>
              <w:t>2,288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85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5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60" w14:textId="77777777" w:rsidR="00960BB8" w:rsidRDefault="00C06650">
            <w:pPr>
              <w:jc w:val="right"/>
              <w:textAlignment w:val="bottom"/>
            </w:pPr>
            <w:r>
              <w:rPr>
                <w:rFonts w:ascii="Arial" w:eastAsia="宋体" w:hAnsi="Arial" w:cs="Arial"/>
                <w:b/>
                <w:bCs/>
                <w:color w:val="262626"/>
                <w:sz w:val="18"/>
                <w:szCs w:val="18"/>
              </w:rPr>
              <w:t>8,439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6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6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63" w14:textId="77777777" w:rsidR="00960BB8" w:rsidRDefault="00C06650">
            <w:pPr>
              <w:jc w:val="right"/>
              <w:textAlignment w:val="bottom"/>
            </w:pPr>
            <w:r>
              <w:rPr>
                <w:rFonts w:ascii="Arial" w:eastAsia="宋体" w:hAnsi="Arial" w:cs="Arial"/>
                <w:b/>
                <w:bCs/>
                <w:color w:val="262626"/>
                <w:sz w:val="18"/>
                <w:szCs w:val="18"/>
              </w:rPr>
              <w:t>11,076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64" w14:textId="77777777" w:rsidR="00960BB8" w:rsidRDefault="00960BB8">
            <w:pPr>
              <w:jc w:val="right"/>
              <w:rPr>
                <w:rFonts w:ascii="宋体"/>
              </w:rPr>
            </w:pPr>
          </w:p>
        </w:tc>
      </w:tr>
      <w:tr w:rsidR="00960BB8" w14:paraId="5A1B1870" w14:textId="77777777">
        <w:tc>
          <w:tcPr>
            <w:tcW w:w="0" w:type="auto"/>
            <w:gridSpan w:val="3"/>
            <w:shd w:val="clear" w:color="auto" w:fill="auto"/>
            <w:tcMar>
              <w:top w:w="40" w:type="dxa"/>
              <w:left w:w="140" w:type="dxa"/>
              <w:bottom w:w="40" w:type="dxa"/>
              <w:right w:w="20" w:type="dxa"/>
            </w:tcMar>
            <w:vAlign w:val="bottom"/>
          </w:tcPr>
          <w:p w14:paraId="5A1B1866" w14:textId="77777777" w:rsidR="00960BB8" w:rsidRDefault="00C06650">
            <w:pPr>
              <w:textAlignment w:val="bottom"/>
            </w:pPr>
            <w:r>
              <w:rPr>
                <w:rFonts w:ascii="Arial" w:eastAsia="宋体" w:hAnsi="Arial" w:cs="Arial"/>
                <w:b/>
                <w:bCs/>
                <w:color w:val="000000"/>
                <w:sz w:val="18"/>
                <w:szCs w:val="18"/>
              </w:rPr>
              <w:t>Network and Edge</w:t>
            </w:r>
          </w:p>
        </w:tc>
        <w:tc>
          <w:tcPr>
            <w:tcW w:w="0" w:type="auto"/>
            <w:gridSpan w:val="3"/>
            <w:shd w:val="clear" w:color="auto" w:fill="auto"/>
            <w:tcMar>
              <w:top w:w="0" w:type="dxa"/>
              <w:left w:w="20" w:type="dxa"/>
              <w:bottom w:w="0" w:type="dxa"/>
              <w:right w:w="20" w:type="dxa"/>
            </w:tcMar>
            <w:vAlign w:val="bottom"/>
          </w:tcPr>
          <w:p w14:paraId="5A1B186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68" w14:textId="77777777" w:rsidR="00960BB8" w:rsidRDefault="00C06650">
            <w:pPr>
              <w:jc w:val="right"/>
              <w:textAlignment w:val="bottom"/>
            </w:pPr>
            <w:r>
              <w:rPr>
                <w:rFonts w:ascii="Arial" w:eastAsia="宋体" w:hAnsi="Arial" w:cs="Arial"/>
                <w:b/>
                <w:bCs/>
                <w:color w:val="0068B5"/>
                <w:sz w:val="18"/>
                <w:szCs w:val="18"/>
              </w:rPr>
              <w:t>740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86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6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6B" w14:textId="77777777" w:rsidR="00960BB8" w:rsidRDefault="00C06650">
            <w:pPr>
              <w:jc w:val="right"/>
              <w:textAlignment w:val="bottom"/>
            </w:pPr>
            <w:r>
              <w:rPr>
                <w:rFonts w:ascii="Arial" w:eastAsia="宋体" w:hAnsi="Arial" w:cs="Arial"/>
                <w:b/>
                <w:bCs/>
                <w:color w:val="262626"/>
                <w:sz w:val="18"/>
                <w:szCs w:val="18"/>
              </w:rPr>
              <w:t>1,711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6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6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6E" w14:textId="77777777" w:rsidR="00960BB8" w:rsidRDefault="00C06650">
            <w:pPr>
              <w:jc w:val="right"/>
              <w:textAlignment w:val="bottom"/>
            </w:pPr>
            <w:r>
              <w:rPr>
                <w:rFonts w:ascii="Arial" w:eastAsia="宋体" w:hAnsi="Arial" w:cs="Arial"/>
                <w:b/>
                <w:bCs/>
                <w:color w:val="262626"/>
                <w:sz w:val="18"/>
                <w:szCs w:val="18"/>
              </w:rPr>
              <w:t>846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6F" w14:textId="77777777" w:rsidR="00960BB8" w:rsidRDefault="00960BB8">
            <w:pPr>
              <w:jc w:val="right"/>
              <w:rPr>
                <w:rFonts w:ascii="宋体"/>
              </w:rPr>
            </w:pPr>
          </w:p>
        </w:tc>
      </w:tr>
      <w:tr w:rsidR="00960BB8" w14:paraId="5A1B187B" w14:textId="77777777">
        <w:tc>
          <w:tcPr>
            <w:tcW w:w="0" w:type="auto"/>
            <w:gridSpan w:val="3"/>
            <w:shd w:val="clear" w:color="auto" w:fill="auto"/>
            <w:tcMar>
              <w:top w:w="40" w:type="dxa"/>
              <w:left w:w="140" w:type="dxa"/>
              <w:bottom w:w="40" w:type="dxa"/>
              <w:right w:w="20" w:type="dxa"/>
            </w:tcMar>
            <w:vAlign w:val="bottom"/>
          </w:tcPr>
          <w:p w14:paraId="5A1B1871" w14:textId="77777777" w:rsidR="00960BB8" w:rsidRDefault="00C06650">
            <w:pPr>
              <w:textAlignment w:val="bottom"/>
            </w:pPr>
            <w:r>
              <w:rPr>
                <w:rFonts w:ascii="Arial" w:eastAsia="宋体" w:hAnsi="Arial" w:cs="Arial"/>
                <w:b/>
                <w:bCs/>
                <w:color w:val="000000"/>
                <w:sz w:val="18"/>
                <w:szCs w:val="18"/>
              </w:rPr>
              <w:t>Mobileye</w:t>
            </w:r>
          </w:p>
        </w:tc>
        <w:tc>
          <w:tcPr>
            <w:tcW w:w="0" w:type="auto"/>
            <w:gridSpan w:val="3"/>
            <w:shd w:val="clear" w:color="auto" w:fill="auto"/>
            <w:tcMar>
              <w:top w:w="0" w:type="dxa"/>
              <w:left w:w="20" w:type="dxa"/>
              <w:bottom w:w="0" w:type="dxa"/>
              <w:right w:w="20" w:type="dxa"/>
            </w:tcMar>
            <w:vAlign w:val="bottom"/>
          </w:tcPr>
          <w:p w14:paraId="5A1B187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73" w14:textId="77777777" w:rsidR="00960BB8" w:rsidRDefault="00C06650">
            <w:pPr>
              <w:jc w:val="right"/>
              <w:textAlignment w:val="bottom"/>
            </w:pPr>
            <w:r>
              <w:rPr>
                <w:rFonts w:ascii="Arial" w:eastAsia="宋体" w:hAnsi="Arial" w:cs="Arial"/>
                <w:b/>
                <w:bCs/>
                <w:color w:val="0068B5"/>
                <w:sz w:val="18"/>
                <w:szCs w:val="18"/>
              </w:rPr>
              <w:t>690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87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7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76" w14:textId="77777777" w:rsidR="00960BB8" w:rsidRDefault="00C06650">
            <w:pPr>
              <w:jc w:val="right"/>
              <w:textAlignment w:val="bottom"/>
            </w:pPr>
            <w:r>
              <w:rPr>
                <w:rFonts w:ascii="Arial" w:eastAsia="宋体" w:hAnsi="Arial" w:cs="Arial"/>
                <w:b/>
                <w:bCs/>
                <w:color w:val="262626"/>
                <w:sz w:val="18"/>
                <w:szCs w:val="18"/>
              </w:rPr>
              <w:t>554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7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7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79" w14:textId="77777777" w:rsidR="00960BB8" w:rsidRDefault="00C06650">
            <w:pPr>
              <w:jc w:val="right"/>
              <w:textAlignment w:val="bottom"/>
            </w:pPr>
            <w:r>
              <w:rPr>
                <w:rFonts w:ascii="Arial" w:eastAsia="宋体" w:hAnsi="Arial" w:cs="Arial"/>
                <w:b/>
                <w:bCs/>
                <w:color w:val="262626"/>
                <w:sz w:val="18"/>
                <w:szCs w:val="18"/>
              </w:rPr>
              <w:t>323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7A" w14:textId="77777777" w:rsidR="00960BB8" w:rsidRDefault="00960BB8">
            <w:pPr>
              <w:jc w:val="right"/>
              <w:rPr>
                <w:rFonts w:ascii="宋体"/>
              </w:rPr>
            </w:pPr>
          </w:p>
        </w:tc>
      </w:tr>
      <w:tr w:rsidR="00960BB8" w14:paraId="5A1B1886" w14:textId="77777777">
        <w:tc>
          <w:tcPr>
            <w:tcW w:w="0" w:type="auto"/>
            <w:gridSpan w:val="3"/>
            <w:shd w:val="clear" w:color="auto" w:fill="auto"/>
            <w:tcMar>
              <w:top w:w="40" w:type="dxa"/>
              <w:left w:w="140" w:type="dxa"/>
              <w:bottom w:w="40" w:type="dxa"/>
              <w:right w:w="20" w:type="dxa"/>
            </w:tcMar>
            <w:vAlign w:val="bottom"/>
          </w:tcPr>
          <w:p w14:paraId="5A1B187C" w14:textId="77777777" w:rsidR="00960BB8" w:rsidRDefault="00C06650">
            <w:pPr>
              <w:textAlignment w:val="bottom"/>
            </w:pPr>
            <w:r>
              <w:rPr>
                <w:rFonts w:ascii="Arial" w:eastAsia="宋体" w:hAnsi="Arial" w:cs="Arial"/>
                <w:b/>
                <w:bCs/>
                <w:color w:val="000000"/>
                <w:sz w:val="18"/>
                <w:szCs w:val="18"/>
              </w:rPr>
              <w:t>Accelerated Computing Systems and Graphics</w:t>
            </w:r>
          </w:p>
        </w:tc>
        <w:tc>
          <w:tcPr>
            <w:tcW w:w="0" w:type="auto"/>
            <w:gridSpan w:val="3"/>
            <w:shd w:val="clear" w:color="auto" w:fill="auto"/>
            <w:tcMar>
              <w:top w:w="0" w:type="dxa"/>
              <w:left w:w="20" w:type="dxa"/>
              <w:bottom w:w="0" w:type="dxa"/>
              <w:right w:w="20" w:type="dxa"/>
            </w:tcMar>
            <w:vAlign w:val="bottom"/>
          </w:tcPr>
          <w:p w14:paraId="5A1B187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7E" w14:textId="77777777" w:rsidR="00960BB8" w:rsidRDefault="00C06650">
            <w:pPr>
              <w:jc w:val="right"/>
              <w:textAlignment w:val="bottom"/>
            </w:pPr>
            <w:r>
              <w:rPr>
                <w:rFonts w:ascii="Arial" w:eastAsia="宋体" w:hAnsi="Arial" w:cs="Arial"/>
                <w:b/>
                <w:bCs/>
                <w:color w:val="0068B5"/>
                <w:sz w:val="18"/>
                <w:szCs w:val="18"/>
              </w:rPr>
              <w:t>(1,716)</w:t>
            </w:r>
          </w:p>
        </w:tc>
        <w:tc>
          <w:tcPr>
            <w:tcW w:w="0" w:type="auto"/>
            <w:shd w:val="clear" w:color="auto" w:fill="auto"/>
            <w:tcMar>
              <w:top w:w="40" w:type="dxa"/>
              <w:left w:w="0" w:type="dxa"/>
              <w:bottom w:w="40" w:type="dxa"/>
              <w:right w:w="20" w:type="dxa"/>
            </w:tcMar>
            <w:vAlign w:val="bottom"/>
          </w:tcPr>
          <w:p w14:paraId="5A1B187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8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81" w14:textId="77777777" w:rsidR="00960BB8" w:rsidRDefault="00C06650">
            <w:pPr>
              <w:jc w:val="right"/>
              <w:textAlignment w:val="bottom"/>
            </w:pPr>
            <w:r>
              <w:rPr>
                <w:rFonts w:ascii="Arial" w:eastAsia="宋体" w:hAnsi="Arial" w:cs="Arial"/>
                <w:b/>
                <w:bCs/>
                <w:color w:val="262626"/>
                <w:sz w:val="18"/>
                <w:szCs w:val="18"/>
              </w:rPr>
              <w:t>(1,207)</w:t>
            </w:r>
          </w:p>
        </w:tc>
        <w:tc>
          <w:tcPr>
            <w:tcW w:w="0" w:type="auto"/>
            <w:shd w:val="clear" w:color="auto" w:fill="auto"/>
            <w:tcMar>
              <w:top w:w="40" w:type="dxa"/>
              <w:left w:w="0" w:type="dxa"/>
              <w:bottom w:w="40" w:type="dxa"/>
              <w:right w:w="20" w:type="dxa"/>
            </w:tcMar>
            <w:vAlign w:val="bottom"/>
          </w:tcPr>
          <w:p w14:paraId="5A1B188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8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84" w14:textId="77777777" w:rsidR="00960BB8" w:rsidRDefault="00C06650">
            <w:pPr>
              <w:jc w:val="right"/>
              <w:textAlignment w:val="bottom"/>
            </w:pPr>
            <w:r>
              <w:rPr>
                <w:rFonts w:ascii="Arial" w:eastAsia="宋体" w:hAnsi="Arial" w:cs="Arial"/>
                <w:b/>
                <w:bCs/>
                <w:color w:val="262626"/>
                <w:sz w:val="18"/>
                <w:szCs w:val="18"/>
              </w:rPr>
              <w:t>(403)</w:t>
            </w:r>
          </w:p>
        </w:tc>
        <w:tc>
          <w:tcPr>
            <w:tcW w:w="0" w:type="auto"/>
            <w:shd w:val="clear" w:color="auto" w:fill="auto"/>
            <w:tcMar>
              <w:top w:w="40" w:type="dxa"/>
              <w:left w:w="0" w:type="dxa"/>
              <w:bottom w:w="40" w:type="dxa"/>
              <w:right w:w="20" w:type="dxa"/>
            </w:tcMar>
            <w:vAlign w:val="bottom"/>
          </w:tcPr>
          <w:p w14:paraId="5A1B1885" w14:textId="77777777" w:rsidR="00960BB8" w:rsidRDefault="00960BB8">
            <w:pPr>
              <w:jc w:val="right"/>
              <w:rPr>
                <w:rFonts w:ascii="宋体"/>
              </w:rPr>
            </w:pPr>
          </w:p>
        </w:tc>
      </w:tr>
      <w:tr w:rsidR="00960BB8" w14:paraId="5A1B1891" w14:textId="77777777">
        <w:tc>
          <w:tcPr>
            <w:tcW w:w="0" w:type="auto"/>
            <w:gridSpan w:val="3"/>
            <w:shd w:val="clear" w:color="auto" w:fill="FFFFFF"/>
            <w:tcMar>
              <w:top w:w="40" w:type="dxa"/>
              <w:left w:w="140" w:type="dxa"/>
              <w:bottom w:w="40" w:type="dxa"/>
              <w:right w:w="20" w:type="dxa"/>
            </w:tcMar>
            <w:vAlign w:val="bottom"/>
          </w:tcPr>
          <w:p w14:paraId="5A1B1887" w14:textId="77777777" w:rsidR="00960BB8" w:rsidRDefault="00C06650">
            <w:pPr>
              <w:textAlignment w:val="bottom"/>
            </w:pPr>
            <w:r>
              <w:rPr>
                <w:rFonts w:ascii="Arial" w:eastAsia="宋体" w:hAnsi="Arial" w:cs="Arial"/>
                <w:b/>
                <w:bCs/>
                <w:color w:val="000000"/>
                <w:sz w:val="18"/>
                <w:szCs w:val="18"/>
              </w:rPr>
              <w:t>Intel Foundry Services</w:t>
            </w:r>
          </w:p>
        </w:tc>
        <w:tc>
          <w:tcPr>
            <w:tcW w:w="0" w:type="auto"/>
            <w:gridSpan w:val="3"/>
            <w:shd w:val="clear" w:color="auto" w:fill="auto"/>
            <w:tcMar>
              <w:top w:w="0" w:type="dxa"/>
              <w:left w:w="20" w:type="dxa"/>
              <w:bottom w:w="0" w:type="dxa"/>
              <w:right w:w="20" w:type="dxa"/>
            </w:tcMar>
            <w:vAlign w:val="bottom"/>
          </w:tcPr>
          <w:p w14:paraId="5A1B188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89" w14:textId="77777777" w:rsidR="00960BB8" w:rsidRDefault="00C06650">
            <w:pPr>
              <w:jc w:val="right"/>
              <w:textAlignment w:val="bottom"/>
            </w:pPr>
            <w:r>
              <w:rPr>
                <w:rFonts w:ascii="Arial" w:eastAsia="宋体" w:hAnsi="Arial" w:cs="Arial"/>
                <w:b/>
                <w:bCs/>
                <w:color w:val="0068B5"/>
                <w:sz w:val="18"/>
                <w:szCs w:val="18"/>
              </w:rPr>
              <w:t>(320)</w:t>
            </w:r>
          </w:p>
        </w:tc>
        <w:tc>
          <w:tcPr>
            <w:tcW w:w="0" w:type="auto"/>
            <w:shd w:val="clear" w:color="auto" w:fill="auto"/>
            <w:tcMar>
              <w:top w:w="40" w:type="dxa"/>
              <w:left w:w="0" w:type="dxa"/>
              <w:bottom w:w="40" w:type="dxa"/>
              <w:right w:w="20" w:type="dxa"/>
            </w:tcMar>
            <w:vAlign w:val="bottom"/>
          </w:tcPr>
          <w:p w14:paraId="5A1B188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8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8C" w14:textId="77777777" w:rsidR="00960BB8" w:rsidRDefault="00C06650">
            <w:pPr>
              <w:jc w:val="right"/>
              <w:textAlignment w:val="bottom"/>
            </w:pPr>
            <w:r>
              <w:rPr>
                <w:rFonts w:ascii="Arial" w:eastAsia="宋体" w:hAnsi="Arial" w:cs="Arial"/>
                <w:b/>
                <w:bCs/>
                <w:color w:val="262626"/>
                <w:sz w:val="18"/>
                <w:szCs w:val="18"/>
              </w:rPr>
              <w:t>(23)</w:t>
            </w:r>
          </w:p>
        </w:tc>
        <w:tc>
          <w:tcPr>
            <w:tcW w:w="0" w:type="auto"/>
            <w:shd w:val="clear" w:color="auto" w:fill="auto"/>
            <w:tcMar>
              <w:top w:w="40" w:type="dxa"/>
              <w:left w:w="0" w:type="dxa"/>
              <w:bottom w:w="40" w:type="dxa"/>
              <w:right w:w="20" w:type="dxa"/>
            </w:tcMar>
            <w:vAlign w:val="bottom"/>
          </w:tcPr>
          <w:p w14:paraId="5A1B188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8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8F" w14:textId="77777777" w:rsidR="00960BB8" w:rsidRDefault="00C06650">
            <w:pPr>
              <w:jc w:val="right"/>
              <w:textAlignment w:val="bottom"/>
            </w:pPr>
            <w:r>
              <w:rPr>
                <w:rFonts w:ascii="Arial" w:eastAsia="宋体" w:hAnsi="Arial" w:cs="Arial"/>
                <w:b/>
                <w:bCs/>
                <w:color w:val="262626"/>
                <w:sz w:val="18"/>
                <w:szCs w:val="18"/>
              </w:rPr>
              <w:t>45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890" w14:textId="77777777" w:rsidR="00960BB8" w:rsidRDefault="00960BB8">
            <w:pPr>
              <w:jc w:val="right"/>
              <w:rPr>
                <w:rFonts w:ascii="宋体"/>
              </w:rPr>
            </w:pPr>
          </w:p>
        </w:tc>
      </w:tr>
      <w:tr w:rsidR="00960BB8" w14:paraId="5A1B189C" w14:textId="77777777">
        <w:tc>
          <w:tcPr>
            <w:tcW w:w="0" w:type="auto"/>
            <w:gridSpan w:val="3"/>
            <w:shd w:val="clear" w:color="auto" w:fill="FFFFFF"/>
            <w:tcMar>
              <w:top w:w="40" w:type="dxa"/>
              <w:left w:w="140" w:type="dxa"/>
              <w:bottom w:w="40" w:type="dxa"/>
              <w:right w:w="20" w:type="dxa"/>
            </w:tcMar>
            <w:vAlign w:val="bottom"/>
          </w:tcPr>
          <w:p w14:paraId="5A1B1892" w14:textId="77777777" w:rsidR="00960BB8" w:rsidRDefault="00C06650">
            <w:pPr>
              <w:textAlignment w:val="bottom"/>
            </w:pPr>
            <w:r>
              <w:rPr>
                <w:rFonts w:ascii="Arial" w:eastAsia="宋体" w:hAnsi="Arial" w:cs="Arial"/>
                <w:b/>
                <w:bCs/>
                <w:color w:val="000000"/>
                <w:sz w:val="18"/>
                <w:szCs w:val="18"/>
              </w:rPr>
              <w:t>All other</w:t>
            </w:r>
          </w:p>
        </w:tc>
        <w:tc>
          <w:tcPr>
            <w:tcW w:w="0" w:type="auto"/>
            <w:gridSpan w:val="3"/>
            <w:shd w:val="clear" w:color="auto" w:fill="auto"/>
            <w:tcMar>
              <w:top w:w="0" w:type="dxa"/>
              <w:left w:w="20" w:type="dxa"/>
              <w:bottom w:w="0" w:type="dxa"/>
              <w:right w:w="20" w:type="dxa"/>
            </w:tcMar>
            <w:vAlign w:val="bottom"/>
          </w:tcPr>
          <w:p w14:paraId="5A1B189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94" w14:textId="77777777" w:rsidR="00960BB8" w:rsidRDefault="00C06650">
            <w:pPr>
              <w:jc w:val="right"/>
              <w:textAlignment w:val="bottom"/>
            </w:pPr>
            <w:r>
              <w:rPr>
                <w:rFonts w:ascii="Arial" w:eastAsia="宋体" w:hAnsi="Arial" w:cs="Arial"/>
                <w:b/>
                <w:bCs/>
                <w:color w:val="0068B5"/>
                <w:sz w:val="18"/>
                <w:szCs w:val="18"/>
              </w:rPr>
              <w:t>(5,614)</w:t>
            </w:r>
          </w:p>
        </w:tc>
        <w:tc>
          <w:tcPr>
            <w:tcW w:w="0" w:type="auto"/>
            <w:shd w:val="clear" w:color="auto" w:fill="auto"/>
            <w:tcMar>
              <w:top w:w="40" w:type="dxa"/>
              <w:left w:w="0" w:type="dxa"/>
              <w:bottom w:w="40" w:type="dxa"/>
              <w:right w:w="20" w:type="dxa"/>
            </w:tcMar>
            <w:vAlign w:val="bottom"/>
          </w:tcPr>
          <w:p w14:paraId="5A1B189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9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97" w14:textId="77777777" w:rsidR="00960BB8" w:rsidRDefault="00C06650">
            <w:pPr>
              <w:jc w:val="right"/>
              <w:textAlignment w:val="bottom"/>
            </w:pPr>
            <w:r>
              <w:rPr>
                <w:rFonts w:ascii="Arial" w:eastAsia="宋体" w:hAnsi="Arial" w:cs="Arial"/>
                <w:b/>
                <w:bCs/>
                <w:color w:val="262626"/>
                <w:sz w:val="18"/>
                <w:szCs w:val="18"/>
              </w:rPr>
              <w:t>(5,722)</w:t>
            </w:r>
          </w:p>
        </w:tc>
        <w:tc>
          <w:tcPr>
            <w:tcW w:w="0" w:type="auto"/>
            <w:shd w:val="clear" w:color="auto" w:fill="auto"/>
            <w:tcMar>
              <w:top w:w="40" w:type="dxa"/>
              <w:left w:w="0" w:type="dxa"/>
              <w:bottom w:w="40" w:type="dxa"/>
              <w:right w:w="20" w:type="dxa"/>
            </w:tcMar>
            <w:vAlign w:val="bottom"/>
          </w:tcPr>
          <w:p w14:paraId="5A1B189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9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9A" w14:textId="77777777" w:rsidR="00960BB8" w:rsidRDefault="00C06650">
            <w:pPr>
              <w:jc w:val="right"/>
              <w:textAlignment w:val="bottom"/>
            </w:pPr>
            <w:r>
              <w:rPr>
                <w:rFonts w:ascii="Arial" w:eastAsia="宋体" w:hAnsi="Arial" w:cs="Arial"/>
                <w:b/>
                <w:bCs/>
                <w:color w:val="262626"/>
                <w:sz w:val="18"/>
                <w:szCs w:val="18"/>
              </w:rPr>
              <w:t>(4,009)</w:t>
            </w:r>
          </w:p>
        </w:tc>
        <w:tc>
          <w:tcPr>
            <w:tcW w:w="0" w:type="auto"/>
            <w:shd w:val="clear" w:color="auto" w:fill="auto"/>
            <w:tcMar>
              <w:top w:w="40" w:type="dxa"/>
              <w:left w:w="0" w:type="dxa"/>
              <w:bottom w:w="40" w:type="dxa"/>
              <w:right w:w="20" w:type="dxa"/>
            </w:tcMar>
            <w:vAlign w:val="bottom"/>
          </w:tcPr>
          <w:p w14:paraId="5A1B189B" w14:textId="77777777" w:rsidR="00960BB8" w:rsidRDefault="00960BB8">
            <w:pPr>
              <w:jc w:val="right"/>
              <w:rPr>
                <w:rFonts w:ascii="宋体"/>
              </w:rPr>
            </w:pPr>
          </w:p>
        </w:tc>
      </w:tr>
      <w:tr w:rsidR="00960BB8" w14:paraId="5A1B18AA" w14:textId="77777777">
        <w:tc>
          <w:tcPr>
            <w:tcW w:w="0" w:type="auto"/>
            <w:gridSpan w:val="3"/>
            <w:shd w:val="clear" w:color="auto" w:fill="auto"/>
            <w:tcMar>
              <w:top w:w="40" w:type="dxa"/>
              <w:left w:w="20" w:type="dxa"/>
              <w:bottom w:w="40" w:type="dxa"/>
              <w:right w:w="20" w:type="dxa"/>
            </w:tcMar>
            <w:vAlign w:val="bottom"/>
          </w:tcPr>
          <w:p w14:paraId="5A1B189D" w14:textId="77777777" w:rsidR="00960BB8" w:rsidRDefault="00C06650">
            <w:pPr>
              <w:textAlignment w:val="bottom"/>
            </w:pPr>
            <w:r>
              <w:rPr>
                <w:rFonts w:ascii="Arial" w:eastAsia="宋体" w:hAnsi="Arial" w:cs="Arial"/>
                <w:b/>
                <w:bCs/>
                <w:color w:val="000000"/>
                <w:sz w:val="18"/>
                <w:szCs w:val="18"/>
              </w:rPr>
              <w:t>Total operating income</w:t>
            </w:r>
          </w:p>
        </w:tc>
        <w:tc>
          <w:tcPr>
            <w:tcW w:w="0" w:type="auto"/>
            <w:gridSpan w:val="3"/>
            <w:shd w:val="clear" w:color="auto" w:fill="auto"/>
            <w:tcMar>
              <w:top w:w="0" w:type="dxa"/>
              <w:left w:w="20" w:type="dxa"/>
              <w:bottom w:w="0" w:type="dxa"/>
              <w:right w:w="20" w:type="dxa"/>
            </w:tcMar>
            <w:vAlign w:val="bottom"/>
          </w:tcPr>
          <w:p w14:paraId="5A1B189E"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89F"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8A0" w14:textId="77777777" w:rsidR="00960BB8" w:rsidRDefault="00C06650">
            <w:pPr>
              <w:jc w:val="right"/>
              <w:textAlignment w:val="bottom"/>
            </w:pPr>
            <w:r>
              <w:rPr>
                <w:rFonts w:ascii="Arial" w:eastAsia="宋体" w:hAnsi="Arial" w:cs="Arial"/>
                <w:b/>
                <w:bCs/>
                <w:color w:val="0068B5"/>
                <w:sz w:val="18"/>
                <w:szCs w:val="18"/>
              </w:rPr>
              <w:t>2,334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8A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A2"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8A3"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8A4" w14:textId="77777777" w:rsidR="00960BB8" w:rsidRDefault="00C06650">
            <w:pPr>
              <w:jc w:val="right"/>
              <w:textAlignment w:val="bottom"/>
            </w:pPr>
            <w:r>
              <w:rPr>
                <w:rFonts w:ascii="Arial" w:eastAsia="宋体" w:hAnsi="Arial" w:cs="Arial"/>
                <w:b/>
                <w:bCs/>
                <w:color w:val="262626"/>
                <w:sz w:val="18"/>
                <w:szCs w:val="18"/>
              </w:rPr>
              <w:t>19,456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8A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A6"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8A7"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8A8" w14:textId="77777777" w:rsidR="00960BB8" w:rsidRDefault="00C06650">
            <w:pPr>
              <w:jc w:val="right"/>
              <w:textAlignment w:val="bottom"/>
            </w:pPr>
            <w:r>
              <w:rPr>
                <w:rFonts w:ascii="Arial" w:eastAsia="宋体" w:hAnsi="Arial" w:cs="Arial"/>
                <w:b/>
                <w:bCs/>
                <w:color w:val="262626"/>
                <w:sz w:val="18"/>
                <w:szCs w:val="18"/>
              </w:rPr>
              <w:t>23,678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8A9" w14:textId="77777777" w:rsidR="00960BB8" w:rsidRDefault="00960BB8">
            <w:pPr>
              <w:jc w:val="right"/>
              <w:rPr>
                <w:rFonts w:ascii="宋体"/>
              </w:rPr>
            </w:pPr>
          </w:p>
        </w:tc>
      </w:tr>
    </w:tbl>
    <w:p w14:paraId="5A1B18AB" w14:textId="77777777" w:rsidR="00960BB8" w:rsidRDefault="00C06650">
      <w:pPr>
        <w:spacing w:after="60"/>
      </w:pPr>
      <w:r>
        <w:rPr>
          <w:rFonts w:ascii="Arial" w:eastAsia="宋体" w:hAnsi="Arial" w:cs="Arial"/>
          <w:color w:val="262626"/>
          <w:sz w:val="18"/>
          <w:szCs w:val="18"/>
        </w:rPr>
        <w:t>The following table presents intersegment revenue before eliminations:</w:t>
      </w:r>
    </w:p>
    <w:tbl>
      <w:tblPr>
        <w:tblW w:w="4980" w:type="pct"/>
        <w:tblCellMar>
          <w:top w:w="15" w:type="dxa"/>
          <w:left w:w="15" w:type="dxa"/>
          <w:bottom w:w="15" w:type="dxa"/>
          <w:right w:w="15" w:type="dxa"/>
        </w:tblCellMar>
        <w:tblLook w:val="04A0" w:firstRow="1" w:lastRow="0" w:firstColumn="1" w:lastColumn="0" w:noHBand="0" w:noVBand="1"/>
      </w:tblPr>
      <w:tblGrid>
        <w:gridCol w:w="38"/>
        <w:gridCol w:w="4985"/>
        <w:gridCol w:w="37"/>
        <w:gridCol w:w="36"/>
        <w:gridCol w:w="36"/>
        <w:gridCol w:w="36"/>
        <w:gridCol w:w="121"/>
        <w:gridCol w:w="816"/>
        <w:gridCol w:w="36"/>
        <w:gridCol w:w="36"/>
        <w:gridCol w:w="36"/>
        <w:gridCol w:w="36"/>
        <w:gridCol w:w="121"/>
        <w:gridCol w:w="816"/>
        <w:gridCol w:w="36"/>
        <w:gridCol w:w="36"/>
        <w:gridCol w:w="36"/>
        <w:gridCol w:w="36"/>
        <w:gridCol w:w="121"/>
        <w:gridCol w:w="816"/>
        <w:gridCol w:w="36"/>
      </w:tblGrid>
      <w:tr w:rsidR="00960BB8" w14:paraId="5A1B18C1" w14:textId="77777777">
        <w:tc>
          <w:tcPr>
            <w:tcW w:w="50" w:type="pct"/>
            <w:shd w:val="clear" w:color="auto" w:fill="auto"/>
            <w:vAlign w:val="bottom"/>
          </w:tcPr>
          <w:p w14:paraId="5A1B18AC" w14:textId="77777777" w:rsidR="00960BB8" w:rsidRDefault="00960BB8">
            <w:pPr>
              <w:rPr>
                <w:rFonts w:ascii="宋体"/>
              </w:rPr>
            </w:pPr>
          </w:p>
        </w:tc>
        <w:tc>
          <w:tcPr>
            <w:tcW w:w="3072" w:type="pct"/>
            <w:shd w:val="clear" w:color="auto" w:fill="auto"/>
            <w:vAlign w:val="bottom"/>
          </w:tcPr>
          <w:p w14:paraId="5A1B18AD" w14:textId="77777777" w:rsidR="00960BB8" w:rsidRDefault="00960BB8">
            <w:pPr>
              <w:rPr>
                <w:rFonts w:ascii="宋体"/>
              </w:rPr>
            </w:pPr>
          </w:p>
        </w:tc>
        <w:tc>
          <w:tcPr>
            <w:tcW w:w="5" w:type="pct"/>
            <w:shd w:val="clear" w:color="auto" w:fill="auto"/>
            <w:vAlign w:val="bottom"/>
          </w:tcPr>
          <w:p w14:paraId="5A1B18AE" w14:textId="77777777" w:rsidR="00960BB8" w:rsidRDefault="00960BB8">
            <w:pPr>
              <w:rPr>
                <w:rFonts w:ascii="宋体"/>
              </w:rPr>
            </w:pPr>
          </w:p>
        </w:tc>
        <w:tc>
          <w:tcPr>
            <w:tcW w:w="5" w:type="pct"/>
            <w:shd w:val="clear" w:color="auto" w:fill="auto"/>
            <w:vAlign w:val="bottom"/>
          </w:tcPr>
          <w:p w14:paraId="5A1B18AF" w14:textId="77777777" w:rsidR="00960BB8" w:rsidRDefault="00960BB8">
            <w:pPr>
              <w:rPr>
                <w:rFonts w:ascii="宋体"/>
              </w:rPr>
            </w:pPr>
          </w:p>
        </w:tc>
        <w:tc>
          <w:tcPr>
            <w:tcW w:w="17" w:type="pct"/>
            <w:shd w:val="clear" w:color="auto" w:fill="auto"/>
            <w:vAlign w:val="bottom"/>
          </w:tcPr>
          <w:p w14:paraId="5A1B18B0" w14:textId="77777777" w:rsidR="00960BB8" w:rsidRDefault="00960BB8">
            <w:pPr>
              <w:rPr>
                <w:rFonts w:ascii="宋体"/>
              </w:rPr>
            </w:pPr>
          </w:p>
        </w:tc>
        <w:tc>
          <w:tcPr>
            <w:tcW w:w="5" w:type="pct"/>
            <w:shd w:val="clear" w:color="auto" w:fill="auto"/>
            <w:vAlign w:val="bottom"/>
          </w:tcPr>
          <w:p w14:paraId="5A1B18B1" w14:textId="77777777" w:rsidR="00960BB8" w:rsidRDefault="00960BB8">
            <w:pPr>
              <w:rPr>
                <w:rFonts w:ascii="宋体"/>
              </w:rPr>
            </w:pPr>
          </w:p>
        </w:tc>
        <w:tc>
          <w:tcPr>
            <w:tcW w:w="50" w:type="pct"/>
            <w:shd w:val="clear" w:color="auto" w:fill="auto"/>
            <w:vAlign w:val="bottom"/>
          </w:tcPr>
          <w:p w14:paraId="5A1B18B2" w14:textId="77777777" w:rsidR="00960BB8" w:rsidRDefault="00960BB8">
            <w:pPr>
              <w:rPr>
                <w:rFonts w:ascii="宋体"/>
              </w:rPr>
            </w:pPr>
          </w:p>
        </w:tc>
        <w:tc>
          <w:tcPr>
            <w:tcW w:w="541" w:type="pct"/>
            <w:shd w:val="clear" w:color="auto" w:fill="auto"/>
            <w:vAlign w:val="bottom"/>
          </w:tcPr>
          <w:p w14:paraId="5A1B18B3" w14:textId="77777777" w:rsidR="00960BB8" w:rsidRDefault="00960BB8">
            <w:pPr>
              <w:rPr>
                <w:rFonts w:ascii="宋体"/>
              </w:rPr>
            </w:pPr>
          </w:p>
        </w:tc>
        <w:tc>
          <w:tcPr>
            <w:tcW w:w="5" w:type="pct"/>
            <w:shd w:val="clear" w:color="auto" w:fill="auto"/>
            <w:vAlign w:val="bottom"/>
          </w:tcPr>
          <w:p w14:paraId="5A1B18B4" w14:textId="77777777" w:rsidR="00960BB8" w:rsidRDefault="00960BB8">
            <w:pPr>
              <w:rPr>
                <w:rFonts w:ascii="宋体"/>
              </w:rPr>
            </w:pPr>
          </w:p>
        </w:tc>
        <w:tc>
          <w:tcPr>
            <w:tcW w:w="5" w:type="pct"/>
            <w:shd w:val="clear" w:color="auto" w:fill="auto"/>
            <w:vAlign w:val="bottom"/>
          </w:tcPr>
          <w:p w14:paraId="5A1B18B5" w14:textId="77777777" w:rsidR="00960BB8" w:rsidRDefault="00960BB8">
            <w:pPr>
              <w:rPr>
                <w:rFonts w:ascii="宋体"/>
              </w:rPr>
            </w:pPr>
          </w:p>
        </w:tc>
        <w:tc>
          <w:tcPr>
            <w:tcW w:w="17" w:type="pct"/>
            <w:shd w:val="clear" w:color="auto" w:fill="auto"/>
            <w:vAlign w:val="bottom"/>
          </w:tcPr>
          <w:p w14:paraId="5A1B18B6" w14:textId="77777777" w:rsidR="00960BB8" w:rsidRDefault="00960BB8">
            <w:pPr>
              <w:rPr>
                <w:rFonts w:ascii="宋体"/>
              </w:rPr>
            </w:pPr>
          </w:p>
        </w:tc>
        <w:tc>
          <w:tcPr>
            <w:tcW w:w="5" w:type="pct"/>
            <w:shd w:val="clear" w:color="auto" w:fill="auto"/>
            <w:vAlign w:val="bottom"/>
          </w:tcPr>
          <w:p w14:paraId="5A1B18B7" w14:textId="77777777" w:rsidR="00960BB8" w:rsidRDefault="00960BB8">
            <w:pPr>
              <w:rPr>
                <w:rFonts w:ascii="宋体"/>
              </w:rPr>
            </w:pPr>
          </w:p>
        </w:tc>
        <w:tc>
          <w:tcPr>
            <w:tcW w:w="50" w:type="pct"/>
            <w:shd w:val="clear" w:color="auto" w:fill="auto"/>
            <w:vAlign w:val="bottom"/>
          </w:tcPr>
          <w:p w14:paraId="5A1B18B8" w14:textId="77777777" w:rsidR="00960BB8" w:rsidRDefault="00960BB8">
            <w:pPr>
              <w:rPr>
                <w:rFonts w:ascii="宋体"/>
              </w:rPr>
            </w:pPr>
          </w:p>
        </w:tc>
        <w:tc>
          <w:tcPr>
            <w:tcW w:w="541" w:type="pct"/>
            <w:shd w:val="clear" w:color="auto" w:fill="auto"/>
            <w:vAlign w:val="bottom"/>
          </w:tcPr>
          <w:p w14:paraId="5A1B18B9" w14:textId="77777777" w:rsidR="00960BB8" w:rsidRDefault="00960BB8">
            <w:pPr>
              <w:rPr>
                <w:rFonts w:ascii="宋体"/>
              </w:rPr>
            </w:pPr>
          </w:p>
        </w:tc>
        <w:tc>
          <w:tcPr>
            <w:tcW w:w="5" w:type="pct"/>
            <w:shd w:val="clear" w:color="auto" w:fill="auto"/>
            <w:vAlign w:val="bottom"/>
          </w:tcPr>
          <w:p w14:paraId="5A1B18BA" w14:textId="77777777" w:rsidR="00960BB8" w:rsidRDefault="00960BB8">
            <w:pPr>
              <w:rPr>
                <w:rFonts w:ascii="宋体"/>
              </w:rPr>
            </w:pPr>
          </w:p>
        </w:tc>
        <w:tc>
          <w:tcPr>
            <w:tcW w:w="5" w:type="pct"/>
            <w:shd w:val="clear" w:color="auto" w:fill="auto"/>
            <w:vAlign w:val="bottom"/>
          </w:tcPr>
          <w:p w14:paraId="5A1B18BB" w14:textId="77777777" w:rsidR="00960BB8" w:rsidRDefault="00960BB8">
            <w:pPr>
              <w:rPr>
                <w:rFonts w:ascii="宋体"/>
              </w:rPr>
            </w:pPr>
          </w:p>
        </w:tc>
        <w:tc>
          <w:tcPr>
            <w:tcW w:w="17" w:type="pct"/>
            <w:shd w:val="clear" w:color="auto" w:fill="auto"/>
            <w:vAlign w:val="bottom"/>
          </w:tcPr>
          <w:p w14:paraId="5A1B18BC" w14:textId="77777777" w:rsidR="00960BB8" w:rsidRDefault="00960BB8">
            <w:pPr>
              <w:rPr>
                <w:rFonts w:ascii="宋体"/>
              </w:rPr>
            </w:pPr>
          </w:p>
        </w:tc>
        <w:tc>
          <w:tcPr>
            <w:tcW w:w="5" w:type="pct"/>
            <w:shd w:val="clear" w:color="auto" w:fill="auto"/>
            <w:vAlign w:val="bottom"/>
          </w:tcPr>
          <w:p w14:paraId="5A1B18BD" w14:textId="77777777" w:rsidR="00960BB8" w:rsidRDefault="00960BB8">
            <w:pPr>
              <w:rPr>
                <w:rFonts w:ascii="宋体"/>
              </w:rPr>
            </w:pPr>
          </w:p>
        </w:tc>
        <w:tc>
          <w:tcPr>
            <w:tcW w:w="50" w:type="pct"/>
            <w:shd w:val="clear" w:color="auto" w:fill="auto"/>
            <w:vAlign w:val="bottom"/>
          </w:tcPr>
          <w:p w14:paraId="5A1B18BE" w14:textId="77777777" w:rsidR="00960BB8" w:rsidRDefault="00960BB8">
            <w:pPr>
              <w:rPr>
                <w:rFonts w:ascii="宋体"/>
              </w:rPr>
            </w:pPr>
          </w:p>
        </w:tc>
        <w:tc>
          <w:tcPr>
            <w:tcW w:w="541" w:type="pct"/>
            <w:shd w:val="clear" w:color="auto" w:fill="auto"/>
            <w:vAlign w:val="bottom"/>
          </w:tcPr>
          <w:p w14:paraId="5A1B18BF" w14:textId="77777777" w:rsidR="00960BB8" w:rsidRDefault="00960BB8">
            <w:pPr>
              <w:rPr>
                <w:rFonts w:ascii="宋体"/>
              </w:rPr>
            </w:pPr>
          </w:p>
        </w:tc>
        <w:tc>
          <w:tcPr>
            <w:tcW w:w="5" w:type="pct"/>
            <w:shd w:val="clear" w:color="auto" w:fill="auto"/>
            <w:vAlign w:val="bottom"/>
          </w:tcPr>
          <w:p w14:paraId="5A1B18C0" w14:textId="77777777" w:rsidR="00960BB8" w:rsidRDefault="00960BB8">
            <w:pPr>
              <w:rPr>
                <w:rFonts w:ascii="宋体"/>
              </w:rPr>
            </w:pPr>
          </w:p>
        </w:tc>
      </w:tr>
      <w:tr w:rsidR="00960BB8" w14:paraId="5A1B18CF" w14:textId="77777777">
        <w:tc>
          <w:tcPr>
            <w:tcW w:w="0" w:type="auto"/>
            <w:gridSpan w:val="3"/>
            <w:shd w:val="clear" w:color="auto" w:fill="auto"/>
            <w:tcMar>
              <w:top w:w="40" w:type="dxa"/>
              <w:left w:w="20" w:type="dxa"/>
              <w:bottom w:w="40" w:type="dxa"/>
              <w:right w:w="20" w:type="dxa"/>
            </w:tcMar>
            <w:vAlign w:val="bottom"/>
          </w:tcPr>
          <w:p w14:paraId="5A1B18C2" w14:textId="77777777" w:rsidR="00960BB8" w:rsidRDefault="00C06650">
            <w:pPr>
              <w:textAlignment w:val="bottom"/>
            </w:pPr>
            <w:r>
              <w:rPr>
                <w:rFonts w:ascii="Arial" w:eastAsia="宋体" w:hAnsi="Arial" w:cs="Arial"/>
                <w:b/>
                <w:bCs/>
                <w:color w:val="262626"/>
                <w:sz w:val="18"/>
                <w:szCs w:val="18"/>
              </w:rPr>
              <w:t>Total o</w:t>
            </w:r>
            <w:r>
              <w:rPr>
                <w:rFonts w:ascii="Arial" w:eastAsia="宋体" w:hAnsi="Arial" w:cs="Arial"/>
                <w:b/>
                <w:bCs/>
                <w:color w:val="262626"/>
                <w:sz w:val="18"/>
                <w:szCs w:val="18"/>
              </w:rPr>
              <w:t>perating segment revenue</w:t>
            </w:r>
          </w:p>
        </w:tc>
        <w:tc>
          <w:tcPr>
            <w:tcW w:w="0" w:type="auto"/>
            <w:gridSpan w:val="3"/>
            <w:shd w:val="clear" w:color="auto" w:fill="auto"/>
            <w:tcMar>
              <w:top w:w="0" w:type="dxa"/>
              <w:left w:w="20" w:type="dxa"/>
              <w:bottom w:w="0" w:type="dxa"/>
              <w:right w:w="20" w:type="dxa"/>
            </w:tcMar>
            <w:vAlign w:val="bottom"/>
          </w:tcPr>
          <w:p w14:paraId="5A1B18C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8C4" w14:textId="77777777" w:rsidR="00960BB8" w:rsidRDefault="00C06650">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A1B18C5" w14:textId="77777777" w:rsidR="00960BB8" w:rsidRDefault="00C06650">
            <w:pPr>
              <w:jc w:val="right"/>
              <w:textAlignment w:val="bottom"/>
            </w:pPr>
            <w:r>
              <w:rPr>
                <w:rFonts w:ascii="Arial" w:eastAsia="宋体" w:hAnsi="Arial" w:cs="Arial"/>
                <w:b/>
                <w:bCs/>
                <w:color w:val="0068B5"/>
                <w:sz w:val="18"/>
                <w:szCs w:val="18"/>
              </w:rPr>
              <w:t>63,574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8C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C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8C8" w14:textId="77777777" w:rsidR="00960BB8" w:rsidRDefault="00C06650">
            <w:pPr>
              <w:textAlignment w:val="bottom"/>
            </w:pPr>
            <w:r>
              <w:rPr>
                <w:rFonts w:ascii="Arial" w:eastAsia="宋体" w:hAnsi="Arial" w:cs="Arial"/>
                <w:b/>
                <w:bCs/>
                <w:color w:val="333333"/>
                <w:sz w:val="18"/>
                <w:szCs w:val="18"/>
              </w:rPr>
              <w:t>$</w:t>
            </w:r>
          </w:p>
        </w:tc>
        <w:tc>
          <w:tcPr>
            <w:tcW w:w="0" w:type="auto"/>
            <w:shd w:val="clear" w:color="auto" w:fill="auto"/>
            <w:tcMar>
              <w:top w:w="40" w:type="dxa"/>
              <w:left w:w="0" w:type="dxa"/>
              <w:bottom w:w="40" w:type="dxa"/>
              <w:right w:w="0" w:type="dxa"/>
            </w:tcMar>
            <w:vAlign w:val="bottom"/>
          </w:tcPr>
          <w:p w14:paraId="5A1B18C9" w14:textId="77777777" w:rsidR="00960BB8" w:rsidRDefault="00C06650">
            <w:pPr>
              <w:jc w:val="right"/>
              <w:textAlignment w:val="bottom"/>
            </w:pPr>
            <w:r>
              <w:rPr>
                <w:rFonts w:ascii="Arial" w:eastAsia="宋体" w:hAnsi="Arial" w:cs="Arial"/>
                <w:b/>
                <w:bCs/>
                <w:color w:val="333333"/>
                <w:sz w:val="18"/>
                <w:szCs w:val="18"/>
              </w:rPr>
              <w:t>79,699</w:t>
            </w:r>
            <w:r>
              <w:rPr>
                <w:rFonts w:ascii="Arial" w:eastAsia="宋体" w:hAnsi="Arial" w:cs="Arial"/>
                <w:color w:val="333333"/>
                <w:sz w:val="18"/>
                <w:szCs w:val="18"/>
              </w:rPr>
              <w:t> </w:t>
            </w:r>
          </w:p>
        </w:tc>
        <w:tc>
          <w:tcPr>
            <w:tcW w:w="0" w:type="auto"/>
            <w:shd w:val="clear" w:color="auto" w:fill="auto"/>
            <w:tcMar>
              <w:top w:w="40" w:type="dxa"/>
              <w:left w:w="0" w:type="dxa"/>
              <w:bottom w:w="40" w:type="dxa"/>
              <w:right w:w="20" w:type="dxa"/>
            </w:tcMar>
            <w:vAlign w:val="bottom"/>
          </w:tcPr>
          <w:p w14:paraId="5A1B18C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C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8CC" w14:textId="77777777" w:rsidR="00960BB8" w:rsidRDefault="00C06650">
            <w:pPr>
              <w:textAlignment w:val="bottom"/>
            </w:pPr>
            <w:r>
              <w:rPr>
                <w:rFonts w:ascii="Arial" w:eastAsia="宋体" w:hAnsi="Arial" w:cs="Arial"/>
                <w:b/>
                <w:bCs/>
                <w:color w:val="333333"/>
                <w:sz w:val="18"/>
                <w:szCs w:val="18"/>
              </w:rPr>
              <w:t>$</w:t>
            </w:r>
          </w:p>
        </w:tc>
        <w:tc>
          <w:tcPr>
            <w:tcW w:w="0" w:type="auto"/>
            <w:shd w:val="clear" w:color="auto" w:fill="auto"/>
            <w:tcMar>
              <w:top w:w="40" w:type="dxa"/>
              <w:left w:w="0" w:type="dxa"/>
              <w:bottom w:w="40" w:type="dxa"/>
              <w:right w:w="0" w:type="dxa"/>
            </w:tcMar>
            <w:vAlign w:val="bottom"/>
          </w:tcPr>
          <w:p w14:paraId="5A1B18CD" w14:textId="77777777" w:rsidR="00960BB8" w:rsidRDefault="00C06650">
            <w:pPr>
              <w:jc w:val="right"/>
              <w:textAlignment w:val="bottom"/>
            </w:pPr>
            <w:r>
              <w:rPr>
                <w:rFonts w:ascii="Arial" w:eastAsia="宋体" w:hAnsi="Arial" w:cs="Arial"/>
                <w:b/>
                <w:bCs/>
                <w:color w:val="333333"/>
                <w:sz w:val="18"/>
                <w:szCs w:val="18"/>
              </w:rPr>
              <w:t>78,504</w:t>
            </w:r>
            <w:r>
              <w:rPr>
                <w:rFonts w:ascii="Arial" w:eastAsia="宋体" w:hAnsi="Arial" w:cs="Arial"/>
                <w:color w:val="333333"/>
                <w:sz w:val="18"/>
                <w:szCs w:val="18"/>
              </w:rPr>
              <w:t> </w:t>
            </w:r>
          </w:p>
        </w:tc>
        <w:tc>
          <w:tcPr>
            <w:tcW w:w="0" w:type="auto"/>
            <w:shd w:val="clear" w:color="auto" w:fill="auto"/>
            <w:tcMar>
              <w:top w:w="40" w:type="dxa"/>
              <w:left w:w="0" w:type="dxa"/>
              <w:bottom w:w="40" w:type="dxa"/>
              <w:right w:w="20" w:type="dxa"/>
            </w:tcMar>
            <w:vAlign w:val="bottom"/>
          </w:tcPr>
          <w:p w14:paraId="5A1B18CE" w14:textId="77777777" w:rsidR="00960BB8" w:rsidRDefault="00960BB8">
            <w:pPr>
              <w:jc w:val="right"/>
              <w:rPr>
                <w:rFonts w:ascii="宋体"/>
              </w:rPr>
            </w:pPr>
          </w:p>
        </w:tc>
      </w:tr>
      <w:tr w:rsidR="00960BB8" w14:paraId="5A1B18DA" w14:textId="77777777">
        <w:tc>
          <w:tcPr>
            <w:tcW w:w="0" w:type="auto"/>
            <w:gridSpan w:val="3"/>
            <w:shd w:val="clear" w:color="auto" w:fill="auto"/>
            <w:tcMar>
              <w:top w:w="40" w:type="dxa"/>
              <w:left w:w="20" w:type="dxa"/>
              <w:bottom w:w="40" w:type="dxa"/>
              <w:right w:w="20" w:type="dxa"/>
            </w:tcMar>
            <w:vAlign w:val="bottom"/>
          </w:tcPr>
          <w:p w14:paraId="5A1B18D0" w14:textId="77777777" w:rsidR="00960BB8" w:rsidRDefault="00C06650">
            <w:pPr>
              <w:textAlignment w:val="bottom"/>
            </w:pPr>
            <w:r>
              <w:rPr>
                <w:rFonts w:ascii="Arial" w:eastAsia="宋体" w:hAnsi="Arial" w:cs="Arial"/>
                <w:color w:val="262626"/>
                <w:sz w:val="18"/>
                <w:szCs w:val="18"/>
              </w:rPr>
              <w:t>Less: Accelerated Computing Systems and Graphics intersegment revenue</w:t>
            </w:r>
          </w:p>
        </w:tc>
        <w:tc>
          <w:tcPr>
            <w:tcW w:w="0" w:type="auto"/>
            <w:gridSpan w:val="3"/>
            <w:shd w:val="clear" w:color="auto" w:fill="auto"/>
            <w:tcMar>
              <w:top w:w="0" w:type="dxa"/>
              <w:left w:w="20" w:type="dxa"/>
              <w:bottom w:w="0" w:type="dxa"/>
              <w:right w:w="20" w:type="dxa"/>
            </w:tcMar>
            <w:vAlign w:val="bottom"/>
          </w:tcPr>
          <w:p w14:paraId="5A1B18D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D2" w14:textId="77777777" w:rsidR="00960BB8" w:rsidRDefault="00C06650">
            <w:pPr>
              <w:jc w:val="right"/>
              <w:textAlignment w:val="bottom"/>
            </w:pPr>
            <w:r>
              <w:rPr>
                <w:rFonts w:ascii="Arial" w:eastAsia="宋体" w:hAnsi="Arial" w:cs="Arial"/>
                <w:color w:val="0068B5"/>
                <w:sz w:val="18"/>
                <w:szCs w:val="18"/>
              </w:rPr>
              <w:t>(520)</w:t>
            </w:r>
          </w:p>
        </w:tc>
        <w:tc>
          <w:tcPr>
            <w:tcW w:w="0" w:type="auto"/>
            <w:shd w:val="clear" w:color="auto" w:fill="auto"/>
            <w:tcMar>
              <w:top w:w="40" w:type="dxa"/>
              <w:left w:w="0" w:type="dxa"/>
              <w:bottom w:w="40" w:type="dxa"/>
              <w:right w:w="20" w:type="dxa"/>
            </w:tcMar>
            <w:vAlign w:val="bottom"/>
          </w:tcPr>
          <w:p w14:paraId="5A1B18D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D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D5" w14:textId="77777777" w:rsidR="00960BB8" w:rsidRDefault="00C06650">
            <w:pPr>
              <w:jc w:val="right"/>
              <w:textAlignment w:val="bottom"/>
            </w:pPr>
            <w:r>
              <w:rPr>
                <w:rFonts w:ascii="Arial" w:eastAsia="宋体" w:hAnsi="Arial" w:cs="Arial"/>
                <w:color w:val="333333"/>
                <w:sz w:val="18"/>
                <w:szCs w:val="18"/>
              </w:rPr>
              <w:t>(675)</w:t>
            </w:r>
          </w:p>
        </w:tc>
        <w:tc>
          <w:tcPr>
            <w:tcW w:w="0" w:type="auto"/>
            <w:shd w:val="clear" w:color="auto" w:fill="auto"/>
            <w:tcMar>
              <w:top w:w="40" w:type="dxa"/>
              <w:left w:w="0" w:type="dxa"/>
              <w:bottom w:w="40" w:type="dxa"/>
              <w:right w:w="20" w:type="dxa"/>
            </w:tcMar>
            <w:vAlign w:val="bottom"/>
          </w:tcPr>
          <w:p w14:paraId="5A1B18D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D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8D8" w14:textId="77777777" w:rsidR="00960BB8" w:rsidRDefault="00C06650">
            <w:pPr>
              <w:jc w:val="right"/>
              <w:textAlignment w:val="bottom"/>
            </w:pPr>
            <w:r>
              <w:rPr>
                <w:rFonts w:ascii="Arial" w:eastAsia="宋体" w:hAnsi="Arial" w:cs="Arial"/>
                <w:color w:val="333333"/>
                <w:sz w:val="18"/>
                <w:szCs w:val="18"/>
              </w:rPr>
              <w:t>(637)</w:t>
            </w:r>
          </w:p>
        </w:tc>
        <w:tc>
          <w:tcPr>
            <w:tcW w:w="0" w:type="auto"/>
            <w:shd w:val="clear" w:color="auto" w:fill="auto"/>
            <w:tcMar>
              <w:top w:w="40" w:type="dxa"/>
              <w:left w:w="0" w:type="dxa"/>
              <w:bottom w:w="40" w:type="dxa"/>
              <w:right w:w="20" w:type="dxa"/>
            </w:tcMar>
            <w:vAlign w:val="bottom"/>
          </w:tcPr>
          <w:p w14:paraId="5A1B18D9" w14:textId="77777777" w:rsidR="00960BB8" w:rsidRDefault="00960BB8">
            <w:pPr>
              <w:jc w:val="right"/>
              <w:rPr>
                <w:rFonts w:ascii="宋体"/>
              </w:rPr>
            </w:pPr>
          </w:p>
        </w:tc>
      </w:tr>
      <w:tr w:rsidR="00960BB8" w14:paraId="5A1B18E8" w14:textId="77777777">
        <w:tc>
          <w:tcPr>
            <w:tcW w:w="0" w:type="auto"/>
            <w:gridSpan w:val="3"/>
            <w:shd w:val="clear" w:color="auto" w:fill="auto"/>
            <w:tcMar>
              <w:top w:w="40" w:type="dxa"/>
              <w:left w:w="20" w:type="dxa"/>
              <w:bottom w:w="40" w:type="dxa"/>
              <w:right w:w="20" w:type="dxa"/>
            </w:tcMar>
            <w:vAlign w:val="bottom"/>
          </w:tcPr>
          <w:p w14:paraId="5A1B18DB" w14:textId="77777777" w:rsidR="00960BB8" w:rsidRDefault="00C06650">
            <w:pPr>
              <w:textAlignment w:val="bottom"/>
            </w:pPr>
            <w:r>
              <w:rPr>
                <w:rFonts w:ascii="Arial" w:eastAsia="宋体" w:hAnsi="Arial" w:cs="Arial"/>
                <w:b/>
                <w:bCs/>
                <w:color w:val="262626"/>
                <w:sz w:val="18"/>
                <w:szCs w:val="18"/>
              </w:rPr>
              <w:t>Total net revenue</w:t>
            </w:r>
          </w:p>
        </w:tc>
        <w:tc>
          <w:tcPr>
            <w:tcW w:w="0" w:type="auto"/>
            <w:gridSpan w:val="3"/>
            <w:shd w:val="clear" w:color="auto" w:fill="auto"/>
            <w:tcMar>
              <w:top w:w="0" w:type="dxa"/>
              <w:left w:w="20" w:type="dxa"/>
              <w:bottom w:w="0" w:type="dxa"/>
              <w:right w:w="20" w:type="dxa"/>
            </w:tcMar>
            <w:vAlign w:val="bottom"/>
          </w:tcPr>
          <w:p w14:paraId="5A1B18DC"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8DD"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8DE" w14:textId="77777777" w:rsidR="00960BB8" w:rsidRDefault="00C06650">
            <w:pPr>
              <w:jc w:val="right"/>
              <w:textAlignment w:val="bottom"/>
            </w:pPr>
            <w:r>
              <w:rPr>
                <w:rFonts w:ascii="Arial" w:eastAsia="宋体" w:hAnsi="Arial" w:cs="Arial"/>
                <w:b/>
                <w:bCs/>
                <w:color w:val="0068B5"/>
                <w:sz w:val="18"/>
                <w:szCs w:val="18"/>
              </w:rPr>
              <w:t>63,054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8D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E0"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8E1" w14:textId="77777777" w:rsidR="00960BB8" w:rsidRDefault="00C06650">
            <w:pPr>
              <w:textAlignment w:val="bottom"/>
            </w:pPr>
            <w:r>
              <w:rPr>
                <w:rFonts w:ascii="Arial" w:eastAsia="宋体" w:hAnsi="Arial" w:cs="Arial"/>
                <w:b/>
                <w:bCs/>
                <w:color w:val="333333"/>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8E2" w14:textId="77777777" w:rsidR="00960BB8" w:rsidRDefault="00C06650">
            <w:pPr>
              <w:jc w:val="right"/>
              <w:textAlignment w:val="bottom"/>
            </w:pPr>
            <w:r>
              <w:rPr>
                <w:rFonts w:ascii="Arial" w:eastAsia="宋体" w:hAnsi="Arial" w:cs="Arial"/>
                <w:b/>
                <w:bCs/>
                <w:color w:val="333333"/>
                <w:sz w:val="18"/>
                <w:szCs w:val="18"/>
              </w:rPr>
              <w:t>79,024</w:t>
            </w:r>
            <w:r>
              <w:rPr>
                <w:rFonts w:ascii="Arial" w:eastAsia="宋体" w:hAnsi="Arial" w:cs="Arial"/>
                <w:color w:val="333333"/>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8E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8E4"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8E5" w14:textId="77777777" w:rsidR="00960BB8" w:rsidRDefault="00C06650">
            <w:pPr>
              <w:textAlignment w:val="bottom"/>
            </w:pPr>
            <w:r>
              <w:rPr>
                <w:rFonts w:ascii="Arial" w:eastAsia="宋体" w:hAnsi="Arial" w:cs="Arial"/>
                <w:b/>
                <w:bCs/>
                <w:color w:val="333333"/>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8E6" w14:textId="77777777" w:rsidR="00960BB8" w:rsidRDefault="00C06650">
            <w:pPr>
              <w:jc w:val="right"/>
              <w:textAlignment w:val="bottom"/>
            </w:pPr>
            <w:r>
              <w:rPr>
                <w:rFonts w:ascii="Arial" w:eastAsia="宋体" w:hAnsi="Arial" w:cs="Arial"/>
                <w:b/>
                <w:bCs/>
                <w:color w:val="333333"/>
                <w:sz w:val="18"/>
                <w:szCs w:val="18"/>
              </w:rPr>
              <w:t>77,867</w:t>
            </w:r>
            <w:r>
              <w:rPr>
                <w:rFonts w:ascii="Arial" w:eastAsia="宋体" w:hAnsi="Arial" w:cs="Arial"/>
                <w:color w:val="333333"/>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8E7" w14:textId="77777777" w:rsidR="00960BB8" w:rsidRDefault="00960BB8">
            <w:pPr>
              <w:jc w:val="right"/>
              <w:rPr>
                <w:rFonts w:ascii="宋体"/>
              </w:rPr>
            </w:pPr>
          </w:p>
        </w:tc>
      </w:tr>
    </w:tbl>
    <w:p w14:paraId="5A1B18E9" w14:textId="77777777" w:rsidR="00960BB8" w:rsidRDefault="00C06650">
      <w:pPr>
        <w:spacing w:after="180"/>
      </w:pPr>
      <w:r>
        <w:rPr>
          <w:rFonts w:ascii="Arial" w:eastAsia="宋体" w:hAnsi="Arial" w:cs="Arial"/>
          <w:color w:val="262626"/>
          <w:sz w:val="18"/>
          <w:szCs w:val="18"/>
        </w:rPr>
        <w:t>In 2022, we initiated the wind-down of our Intel Optane memory business, which is part of our DCAI operating segment. While Intel Optane is a leading technology, it was not aligned to o</w:t>
      </w:r>
      <w:r>
        <w:rPr>
          <w:rFonts w:ascii="Arial" w:eastAsia="宋体" w:hAnsi="Arial" w:cs="Arial"/>
          <w:color w:val="262626"/>
          <w:sz w:val="18"/>
          <w:szCs w:val="18"/>
        </w:rPr>
        <w:t>ur strategic priorities. Separately, we continue to embrace the CXL standard. As a result, we recognized an inventory impairment of $723 million in c</w:t>
      </w:r>
      <w:r>
        <w:rPr>
          <w:rFonts w:ascii="Arial" w:eastAsia="宋体" w:hAnsi="Arial" w:cs="Arial"/>
          <w:i/>
          <w:iCs/>
          <w:color w:val="262626"/>
          <w:sz w:val="18"/>
          <w:szCs w:val="18"/>
        </w:rPr>
        <w:t>ost of sales</w:t>
      </w:r>
      <w:r>
        <w:rPr>
          <w:rFonts w:ascii="Arial" w:eastAsia="宋体" w:hAnsi="Arial" w:cs="Arial"/>
          <w:color w:val="262626"/>
          <w:sz w:val="18"/>
          <w:szCs w:val="18"/>
        </w:rPr>
        <w:t xml:space="preserve"> on the Consolidated Statements of Income in 2022. The impairment charge is recognized as a Corporate charge in the "all other" category presented above. As we wind down the Intel Optane business, we expect to continue to meet existing customer commitments</w:t>
      </w:r>
      <w:r>
        <w:rPr>
          <w:rFonts w:ascii="Arial" w:eastAsia="宋体" w:hAnsi="Arial" w:cs="Arial"/>
          <w:color w:val="262626"/>
          <w:sz w:val="18"/>
          <w:szCs w:val="18"/>
        </w:rPr>
        <w:t>.</w:t>
      </w:r>
    </w:p>
    <w:p w14:paraId="5A1B18EA" w14:textId="77777777" w:rsidR="00960BB8" w:rsidRDefault="00C06650">
      <w:pPr>
        <w:spacing w:before="180" w:after="180"/>
      </w:pPr>
      <w:r>
        <w:rPr>
          <w:rFonts w:ascii="Arial" w:eastAsia="宋体" w:hAnsi="Arial" w:cs="Arial"/>
          <w:color w:val="262626"/>
          <w:sz w:val="18"/>
          <w:szCs w:val="18"/>
        </w:rPr>
        <w:t>In 2022, our three largest customers accounted for 42% of our net revenue (43% in 2021 and 39% in 2020), with Dell Inc. accounting for 19% (21% in 2021 and 17% in 2020), Lenovo Group Limited accounting for 12% (12% in 2021 and 12% in 2020), and HP Inc. a</w:t>
      </w:r>
      <w:r>
        <w:rPr>
          <w:rFonts w:ascii="Arial" w:eastAsia="宋体" w:hAnsi="Arial" w:cs="Arial"/>
          <w:color w:val="262626"/>
          <w:sz w:val="18"/>
          <w:szCs w:val="18"/>
        </w:rPr>
        <w:t>ccounting for 11% (10% in 2021 and 10% in 2020). Substantially all of the revenue from these customers was from the sale of platforms and other components by the CCG and DCAI operating segments.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8F7" w14:textId="77777777">
        <w:tc>
          <w:tcPr>
            <w:tcW w:w="50" w:type="pct"/>
            <w:shd w:val="clear" w:color="auto" w:fill="auto"/>
            <w:vAlign w:val="bottom"/>
          </w:tcPr>
          <w:p w14:paraId="5A1B18EB" w14:textId="77777777" w:rsidR="00960BB8" w:rsidRDefault="00960BB8">
            <w:pPr>
              <w:rPr>
                <w:rFonts w:ascii="宋体"/>
              </w:rPr>
            </w:pPr>
          </w:p>
        </w:tc>
        <w:tc>
          <w:tcPr>
            <w:tcW w:w="276" w:type="pct"/>
            <w:shd w:val="clear" w:color="auto" w:fill="auto"/>
            <w:vAlign w:val="bottom"/>
          </w:tcPr>
          <w:p w14:paraId="5A1B18EC" w14:textId="77777777" w:rsidR="00960BB8" w:rsidRDefault="00960BB8">
            <w:pPr>
              <w:rPr>
                <w:rFonts w:ascii="宋体"/>
              </w:rPr>
            </w:pPr>
          </w:p>
        </w:tc>
        <w:tc>
          <w:tcPr>
            <w:tcW w:w="5" w:type="pct"/>
            <w:shd w:val="clear" w:color="auto" w:fill="auto"/>
            <w:vAlign w:val="bottom"/>
          </w:tcPr>
          <w:p w14:paraId="5A1B18ED" w14:textId="77777777" w:rsidR="00960BB8" w:rsidRDefault="00960BB8">
            <w:pPr>
              <w:rPr>
                <w:rFonts w:ascii="宋体"/>
              </w:rPr>
            </w:pPr>
          </w:p>
        </w:tc>
        <w:tc>
          <w:tcPr>
            <w:tcW w:w="50" w:type="pct"/>
            <w:shd w:val="clear" w:color="auto" w:fill="auto"/>
            <w:vAlign w:val="bottom"/>
          </w:tcPr>
          <w:p w14:paraId="5A1B18EE" w14:textId="77777777" w:rsidR="00960BB8" w:rsidRDefault="00960BB8">
            <w:pPr>
              <w:rPr>
                <w:rFonts w:ascii="宋体"/>
              </w:rPr>
            </w:pPr>
          </w:p>
        </w:tc>
        <w:tc>
          <w:tcPr>
            <w:tcW w:w="940" w:type="pct"/>
            <w:shd w:val="clear" w:color="auto" w:fill="auto"/>
            <w:vAlign w:val="bottom"/>
          </w:tcPr>
          <w:p w14:paraId="5A1B18EF" w14:textId="77777777" w:rsidR="00960BB8" w:rsidRDefault="00960BB8">
            <w:pPr>
              <w:rPr>
                <w:rFonts w:ascii="宋体"/>
              </w:rPr>
            </w:pPr>
          </w:p>
        </w:tc>
        <w:tc>
          <w:tcPr>
            <w:tcW w:w="5" w:type="pct"/>
            <w:shd w:val="clear" w:color="auto" w:fill="auto"/>
            <w:vAlign w:val="bottom"/>
          </w:tcPr>
          <w:p w14:paraId="5A1B18F0" w14:textId="77777777" w:rsidR="00960BB8" w:rsidRDefault="00960BB8">
            <w:pPr>
              <w:rPr>
                <w:rFonts w:ascii="宋体"/>
              </w:rPr>
            </w:pPr>
          </w:p>
        </w:tc>
        <w:tc>
          <w:tcPr>
            <w:tcW w:w="50" w:type="pct"/>
            <w:shd w:val="clear" w:color="auto" w:fill="auto"/>
            <w:vAlign w:val="bottom"/>
          </w:tcPr>
          <w:p w14:paraId="5A1B18F1" w14:textId="77777777" w:rsidR="00960BB8" w:rsidRDefault="00960BB8">
            <w:pPr>
              <w:rPr>
                <w:rFonts w:ascii="宋体"/>
              </w:rPr>
            </w:pPr>
          </w:p>
        </w:tc>
        <w:tc>
          <w:tcPr>
            <w:tcW w:w="1837" w:type="pct"/>
            <w:shd w:val="clear" w:color="auto" w:fill="auto"/>
            <w:vAlign w:val="bottom"/>
          </w:tcPr>
          <w:p w14:paraId="5A1B18F2" w14:textId="77777777" w:rsidR="00960BB8" w:rsidRDefault="00960BB8">
            <w:pPr>
              <w:rPr>
                <w:rFonts w:ascii="宋体"/>
              </w:rPr>
            </w:pPr>
          </w:p>
        </w:tc>
        <w:tc>
          <w:tcPr>
            <w:tcW w:w="5" w:type="pct"/>
            <w:shd w:val="clear" w:color="auto" w:fill="auto"/>
            <w:vAlign w:val="bottom"/>
          </w:tcPr>
          <w:p w14:paraId="5A1B18F3" w14:textId="77777777" w:rsidR="00960BB8" w:rsidRDefault="00960BB8">
            <w:pPr>
              <w:rPr>
                <w:rFonts w:ascii="宋体"/>
              </w:rPr>
            </w:pPr>
          </w:p>
        </w:tc>
        <w:tc>
          <w:tcPr>
            <w:tcW w:w="50" w:type="pct"/>
            <w:shd w:val="clear" w:color="auto" w:fill="auto"/>
            <w:vAlign w:val="bottom"/>
          </w:tcPr>
          <w:p w14:paraId="5A1B18F4" w14:textId="77777777" w:rsidR="00960BB8" w:rsidRDefault="00960BB8">
            <w:pPr>
              <w:rPr>
                <w:rFonts w:ascii="宋体"/>
              </w:rPr>
            </w:pPr>
          </w:p>
        </w:tc>
        <w:tc>
          <w:tcPr>
            <w:tcW w:w="1724" w:type="pct"/>
            <w:shd w:val="clear" w:color="auto" w:fill="auto"/>
            <w:vAlign w:val="bottom"/>
          </w:tcPr>
          <w:p w14:paraId="5A1B18F5" w14:textId="77777777" w:rsidR="00960BB8" w:rsidRDefault="00960BB8">
            <w:pPr>
              <w:rPr>
                <w:rFonts w:ascii="宋体"/>
              </w:rPr>
            </w:pPr>
          </w:p>
        </w:tc>
        <w:tc>
          <w:tcPr>
            <w:tcW w:w="5" w:type="pct"/>
            <w:shd w:val="clear" w:color="auto" w:fill="auto"/>
            <w:vAlign w:val="bottom"/>
          </w:tcPr>
          <w:p w14:paraId="5A1B18F6" w14:textId="77777777" w:rsidR="00960BB8" w:rsidRDefault="00960BB8">
            <w:pPr>
              <w:rPr>
                <w:rFonts w:ascii="宋体"/>
              </w:rPr>
            </w:pPr>
          </w:p>
        </w:tc>
      </w:tr>
      <w:tr w:rsidR="00960BB8" w14:paraId="5A1B18FC"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8F8"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8D" wp14:editId="5A1B448E">
                  <wp:extent cx="304800" cy="304800"/>
                  <wp:effectExtent l="0" t="0" r="0" b="0"/>
                  <wp:docPr id="42" name="图片 26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8F9"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8FA"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8FB" w14:textId="77777777" w:rsidR="00960BB8" w:rsidRDefault="00C06650">
            <w:pPr>
              <w:jc w:val="right"/>
              <w:textAlignment w:val="center"/>
            </w:pPr>
            <w:r>
              <w:rPr>
                <w:rFonts w:ascii="Arial" w:eastAsia="宋体" w:hAnsi="Arial" w:cs="Arial"/>
                <w:color w:val="262626"/>
                <w:sz w:val="16"/>
                <w:szCs w:val="16"/>
              </w:rPr>
              <w:t>89</w:t>
            </w:r>
          </w:p>
        </w:tc>
      </w:tr>
    </w:tbl>
    <w:p w14:paraId="5A1B18FD" w14:textId="77777777" w:rsidR="00960BB8" w:rsidRDefault="00C06650">
      <w:r>
        <w:pict w14:anchorId="5A1B448F">
          <v:rect id="_x0000_i1115" style="width:415.3pt;height:1.5pt" o:hralign="center" o:hrstd="t" o:hr="t" fillcolor="#a0a0a0" stroked="f"/>
        </w:pict>
      </w:r>
    </w:p>
    <w:p w14:paraId="5A1B18FE" w14:textId="77777777" w:rsidR="00960BB8" w:rsidRDefault="00C06650">
      <w:pPr>
        <w:jc w:val="right"/>
      </w:pPr>
      <w:hyperlink r:id="rId138" w:anchor="i8aaa7b4dbd2e419ca0f5c30af85a11aa_16" w:history="1">
        <w:r>
          <w:rPr>
            <w:rStyle w:val="a5"/>
            <w:rFonts w:ascii="Arial" w:eastAsia="宋体" w:hAnsi="Arial" w:cs="Arial"/>
            <w:b/>
            <w:bCs/>
            <w:sz w:val="16"/>
            <w:szCs w:val="16"/>
          </w:rPr>
          <w:t>Table of Contents</w:t>
        </w:r>
      </w:hyperlink>
    </w:p>
    <w:p w14:paraId="5A1B18FF" w14:textId="77777777" w:rsidR="00960BB8" w:rsidRDefault="00960BB8">
      <w:pPr>
        <w:jc w:val="right"/>
      </w:pPr>
    </w:p>
    <w:p w14:paraId="5A1B1900" w14:textId="77777777" w:rsidR="00960BB8" w:rsidRDefault="00C06650">
      <w:pPr>
        <w:spacing w:before="180" w:after="120"/>
      </w:pPr>
      <w:r>
        <w:rPr>
          <w:rFonts w:ascii="Arial" w:eastAsia="宋体" w:hAnsi="Arial" w:cs="Arial"/>
          <w:color w:val="262626"/>
          <w:sz w:val="18"/>
          <w:szCs w:val="18"/>
        </w:rPr>
        <w:t xml:space="preserve">Net revenue by region, based on the billing location of the customer, was as </w:t>
      </w:r>
      <w:r>
        <w:rPr>
          <w:rFonts w:ascii="Arial" w:eastAsia="宋体" w:hAnsi="Arial" w:cs="Arial"/>
          <w:color w:val="262626"/>
          <w:sz w:val="18"/>
          <w:szCs w:val="18"/>
        </w:rPr>
        <w:t>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7"/>
        <w:gridCol w:w="36"/>
        <w:gridCol w:w="36"/>
        <w:gridCol w:w="36"/>
        <w:gridCol w:w="121"/>
        <w:gridCol w:w="805"/>
        <w:gridCol w:w="36"/>
        <w:gridCol w:w="36"/>
        <w:gridCol w:w="36"/>
        <w:gridCol w:w="36"/>
        <w:gridCol w:w="121"/>
        <w:gridCol w:w="805"/>
        <w:gridCol w:w="36"/>
        <w:gridCol w:w="36"/>
        <w:gridCol w:w="36"/>
        <w:gridCol w:w="36"/>
        <w:gridCol w:w="121"/>
        <w:gridCol w:w="807"/>
        <w:gridCol w:w="36"/>
      </w:tblGrid>
      <w:tr w:rsidR="00960BB8" w14:paraId="5A1B1916" w14:textId="77777777">
        <w:tc>
          <w:tcPr>
            <w:tcW w:w="50" w:type="pct"/>
            <w:shd w:val="clear" w:color="auto" w:fill="auto"/>
            <w:vAlign w:val="bottom"/>
          </w:tcPr>
          <w:p w14:paraId="5A1B1901" w14:textId="77777777" w:rsidR="00960BB8" w:rsidRDefault="00960BB8">
            <w:pPr>
              <w:rPr>
                <w:rFonts w:ascii="宋体"/>
              </w:rPr>
            </w:pPr>
          </w:p>
        </w:tc>
        <w:tc>
          <w:tcPr>
            <w:tcW w:w="3059" w:type="pct"/>
            <w:shd w:val="clear" w:color="auto" w:fill="auto"/>
            <w:vAlign w:val="bottom"/>
          </w:tcPr>
          <w:p w14:paraId="5A1B1902" w14:textId="77777777" w:rsidR="00960BB8" w:rsidRDefault="00960BB8">
            <w:pPr>
              <w:rPr>
                <w:rFonts w:ascii="宋体"/>
              </w:rPr>
            </w:pPr>
          </w:p>
        </w:tc>
        <w:tc>
          <w:tcPr>
            <w:tcW w:w="5" w:type="pct"/>
            <w:shd w:val="clear" w:color="auto" w:fill="auto"/>
            <w:vAlign w:val="bottom"/>
          </w:tcPr>
          <w:p w14:paraId="5A1B1903" w14:textId="77777777" w:rsidR="00960BB8" w:rsidRDefault="00960BB8">
            <w:pPr>
              <w:rPr>
                <w:rFonts w:ascii="宋体"/>
              </w:rPr>
            </w:pPr>
          </w:p>
        </w:tc>
        <w:tc>
          <w:tcPr>
            <w:tcW w:w="5" w:type="pct"/>
            <w:shd w:val="clear" w:color="auto" w:fill="auto"/>
            <w:vAlign w:val="bottom"/>
          </w:tcPr>
          <w:p w14:paraId="5A1B1904" w14:textId="77777777" w:rsidR="00960BB8" w:rsidRDefault="00960BB8">
            <w:pPr>
              <w:rPr>
                <w:rFonts w:ascii="宋体"/>
              </w:rPr>
            </w:pPr>
          </w:p>
        </w:tc>
        <w:tc>
          <w:tcPr>
            <w:tcW w:w="24" w:type="pct"/>
            <w:shd w:val="clear" w:color="auto" w:fill="auto"/>
            <w:vAlign w:val="bottom"/>
          </w:tcPr>
          <w:p w14:paraId="5A1B1905" w14:textId="77777777" w:rsidR="00960BB8" w:rsidRDefault="00960BB8">
            <w:pPr>
              <w:rPr>
                <w:rFonts w:ascii="宋体"/>
              </w:rPr>
            </w:pPr>
          </w:p>
        </w:tc>
        <w:tc>
          <w:tcPr>
            <w:tcW w:w="5" w:type="pct"/>
            <w:shd w:val="clear" w:color="auto" w:fill="auto"/>
            <w:vAlign w:val="bottom"/>
          </w:tcPr>
          <w:p w14:paraId="5A1B1906" w14:textId="77777777" w:rsidR="00960BB8" w:rsidRDefault="00960BB8">
            <w:pPr>
              <w:rPr>
                <w:rFonts w:ascii="宋体"/>
              </w:rPr>
            </w:pPr>
          </w:p>
        </w:tc>
        <w:tc>
          <w:tcPr>
            <w:tcW w:w="50" w:type="pct"/>
            <w:shd w:val="clear" w:color="auto" w:fill="auto"/>
            <w:vAlign w:val="bottom"/>
          </w:tcPr>
          <w:p w14:paraId="5A1B1907" w14:textId="77777777" w:rsidR="00960BB8" w:rsidRDefault="00960BB8">
            <w:pPr>
              <w:rPr>
                <w:rFonts w:ascii="宋体"/>
              </w:rPr>
            </w:pPr>
          </w:p>
        </w:tc>
        <w:tc>
          <w:tcPr>
            <w:tcW w:w="539" w:type="pct"/>
            <w:shd w:val="clear" w:color="auto" w:fill="auto"/>
            <w:vAlign w:val="bottom"/>
          </w:tcPr>
          <w:p w14:paraId="5A1B1908" w14:textId="77777777" w:rsidR="00960BB8" w:rsidRDefault="00960BB8">
            <w:pPr>
              <w:rPr>
                <w:rFonts w:ascii="宋体"/>
              </w:rPr>
            </w:pPr>
          </w:p>
        </w:tc>
        <w:tc>
          <w:tcPr>
            <w:tcW w:w="5" w:type="pct"/>
            <w:shd w:val="clear" w:color="auto" w:fill="auto"/>
            <w:vAlign w:val="bottom"/>
          </w:tcPr>
          <w:p w14:paraId="5A1B1909" w14:textId="77777777" w:rsidR="00960BB8" w:rsidRDefault="00960BB8">
            <w:pPr>
              <w:rPr>
                <w:rFonts w:ascii="宋体"/>
              </w:rPr>
            </w:pPr>
          </w:p>
        </w:tc>
        <w:tc>
          <w:tcPr>
            <w:tcW w:w="5" w:type="pct"/>
            <w:shd w:val="clear" w:color="auto" w:fill="auto"/>
            <w:vAlign w:val="bottom"/>
          </w:tcPr>
          <w:p w14:paraId="5A1B190A" w14:textId="77777777" w:rsidR="00960BB8" w:rsidRDefault="00960BB8">
            <w:pPr>
              <w:rPr>
                <w:rFonts w:ascii="宋体"/>
              </w:rPr>
            </w:pPr>
          </w:p>
        </w:tc>
        <w:tc>
          <w:tcPr>
            <w:tcW w:w="24" w:type="pct"/>
            <w:shd w:val="clear" w:color="auto" w:fill="auto"/>
            <w:vAlign w:val="bottom"/>
          </w:tcPr>
          <w:p w14:paraId="5A1B190B" w14:textId="77777777" w:rsidR="00960BB8" w:rsidRDefault="00960BB8">
            <w:pPr>
              <w:rPr>
                <w:rFonts w:ascii="宋体"/>
              </w:rPr>
            </w:pPr>
          </w:p>
        </w:tc>
        <w:tc>
          <w:tcPr>
            <w:tcW w:w="5" w:type="pct"/>
            <w:shd w:val="clear" w:color="auto" w:fill="auto"/>
            <w:vAlign w:val="bottom"/>
          </w:tcPr>
          <w:p w14:paraId="5A1B190C" w14:textId="77777777" w:rsidR="00960BB8" w:rsidRDefault="00960BB8">
            <w:pPr>
              <w:rPr>
                <w:rFonts w:ascii="宋体"/>
              </w:rPr>
            </w:pPr>
          </w:p>
        </w:tc>
        <w:tc>
          <w:tcPr>
            <w:tcW w:w="50" w:type="pct"/>
            <w:shd w:val="clear" w:color="auto" w:fill="auto"/>
            <w:vAlign w:val="bottom"/>
          </w:tcPr>
          <w:p w14:paraId="5A1B190D" w14:textId="77777777" w:rsidR="00960BB8" w:rsidRDefault="00960BB8">
            <w:pPr>
              <w:rPr>
                <w:rFonts w:ascii="宋体"/>
              </w:rPr>
            </w:pPr>
          </w:p>
        </w:tc>
        <w:tc>
          <w:tcPr>
            <w:tcW w:w="539" w:type="pct"/>
            <w:shd w:val="clear" w:color="auto" w:fill="auto"/>
            <w:vAlign w:val="bottom"/>
          </w:tcPr>
          <w:p w14:paraId="5A1B190E" w14:textId="77777777" w:rsidR="00960BB8" w:rsidRDefault="00960BB8">
            <w:pPr>
              <w:rPr>
                <w:rFonts w:ascii="宋体"/>
              </w:rPr>
            </w:pPr>
          </w:p>
        </w:tc>
        <w:tc>
          <w:tcPr>
            <w:tcW w:w="5" w:type="pct"/>
            <w:shd w:val="clear" w:color="auto" w:fill="auto"/>
            <w:vAlign w:val="bottom"/>
          </w:tcPr>
          <w:p w14:paraId="5A1B190F" w14:textId="77777777" w:rsidR="00960BB8" w:rsidRDefault="00960BB8">
            <w:pPr>
              <w:rPr>
                <w:rFonts w:ascii="宋体"/>
              </w:rPr>
            </w:pPr>
          </w:p>
        </w:tc>
        <w:tc>
          <w:tcPr>
            <w:tcW w:w="5" w:type="pct"/>
            <w:shd w:val="clear" w:color="auto" w:fill="auto"/>
            <w:vAlign w:val="bottom"/>
          </w:tcPr>
          <w:p w14:paraId="5A1B1910" w14:textId="77777777" w:rsidR="00960BB8" w:rsidRDefault="00960BB8">
            <w:pPr>
              <w:rPr>
                <w:rFonts w:ascii="宋体"/>
              </w:rPr>
            </w:pPr>
          </w:p>
        </w:tc>
        <w:tc>
          <w:tcPr>
            <w:tcW w:w="24" w:type="pct"/>
            <w:shd w:val="clear" w:color="auto" w:fill="auto"/>
            <w:vAlign w:val="bottom"/>
          </w:tcPr>
          <w:p w14:paraId="5A1B1911" w14:textId="77777777" w:rsidR="00960BB8" w:rsidRDefault="00960BB8">
            <w:pPr>
              <w:rPr>
                <w:rFonts w:ascii="宋体"/>
              </w:rPr>
            </w:pPr>
          </w:p>
        </w:tc>
        <w:tc>
          <w:tcPr>
            <w:tcW w:w="5" w:type="pct"/>
            <w:shd w:val="clear" w:color="auto" w:fill="auto"/>
            <w:vAlign w:val="bottom"/>
          </w:tcPr>
          <w:p w14:paraId="5A1B1912" w14:textId="77777777" w:rsidR="00960BB8" w:rsidRDefault="00960BB8">
            <w:pPr>
              <w:rPr>
                <w:rFonts w:ascii="宋体"/>
              </w:rPr>
            </w:pPr>
          </w:p>
        </w:tc>
        <w:tc>
          <w:tcPr>
            <w:tcW w:w="50" w:type="pct"/>
            <w:shd w:val="clear" w:color="auto" w:fill="auto"/>
            <w:vAlign w:val="bottom"/>
          </w:tcPr>
          <w:p w14:paraId="5A1B1913" w14:textId="77777777" w:rsidR="00960BB8" w:rsidRDefault="00960BB8">
            <w:pPr>
              <w:rPr>
                <w:rFonts w:ascii="宋体"/>
              </w:rPr>
            </w:pPr>
          </w:p>
        </w:tc>
        <w:tc>
          <w:tcPr>
            <w:tcW w:w="539" w:type="pct"/>
            <w:shd w:val="clear" w:color="auto" w:fill="auto"/>
            <w:vAlign w:val="bottom"/>
          </w:tcPr>
          <w:p w14:paraId="5A1B1914" w14:textId="77777777" w:rsidR="00960BB8" w:rsidRDefault="00960BB8">
            <w:pPr>
              <w:rPr>
                <w:rFonts w:ascii="宋体"/>
              </w:rPr>
            </w:pPr>
          </w:p>
        </w:tc>
        <w:tc>
          <w:tcPr>
            <w:tcW w:w="5" w:type="pct"/>
            <w:shd w:val="clear" w:color="auto" w:fill="auto"/>
            <w:vAlign w:val="bottom"/>
          </w:tcPr>
          <w:p w14:paraId="5A1B1915" w14:textId="77777777" w:rsidR="00960BB8" w:rsidRDefault="00960BB8">
            <w:pPr>
              <w:rPr>
                <w:rFonts w:ascii="宋体"/>
              </w:rPr>
            </w:pPr>
          </w:p>
        </w:tc>
      </w:tr>
      <w:tr w:rsidR="00960BB8" w14:paraId="5A1B191E" w14:textId="77777777">
        <w:tc>
          <w:tcPr>
            <w:tcW w:w="0" w:type="auto"/>
            <w:gridSpan w:val="3"/>
            <w:shd w:val="clear" w:color="auto" w:fill="auto"/>
            <w:tcMar>
              <w:top w:w="40" w:type="dxa"/>
              <w:left w:w="20" w:type="dxa"/>
              <w:bottom w:w="40" w:type="dxa"/>
              <w:right w:w="20" w:type="dxa"/>
            </w:tcMar>
            <w:vAlign w:val="bottom"/>
          </w:tcPr>
          <w:p w14:paraId="5A1B1917" w14:textId="77777777" w:rsidR="00960BB8" w:rsidRDefault="00C06650">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5A1B191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919"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91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91B"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191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91D"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192C"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91F" w14:textId="77777777" w:rsidR="00960BB8" w:rsidRDefault="00C06650">
            <w:pPr>
              <w:textAlignment w:val="bottom"/>
            </w:pPr>
            <w:r>
              <w:rPr>
                <w:rFonts w:ascii="Arial" w:eastAsia="宋体" w:hAnsi="Arial" w:cs="Arial"/>
                <w:color w:val="262626"/>
                <w:sz w:val="18"/>
                <w:szCs w:val="18"/>
              </w:rPr>
              <w:t>China</w:t>
            </w:r>
          </w:p>
        </w:tc>
        <w:tc>
          <w:tcPr>
            <w:tcW w:w="0" w:type="auto"/>
            <w:gridSpan w:val="3"/>
            <w:shd w:val="clear" w:color="auto" w:fill="auto"/>
            <w:tcMar>
              <w:top w:w="0" w:type="dxa"/>
              <w:left w:w="20" w:type="dxa"/>
              <w:bottom w:w="0" w:type="dxa"/>
              <w:right w:w="20" w:type="dxa"/>
            </w:tcMar>
            <w:vAlign w:val="bottom"/>
          </w:tcPr>
          <w:p w14:paraId="5A1B1920"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921"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922" w14:textId="77777777" w:rsidR="00960BB8" w:rsidRDefault="00C06650">
            <w:pPr>
              <w:jc w:val="right"/>
              <w:textAlignment w:val="bottom"/>
            </w:pPr>
            <w:r>
              <w:rPr>
                <w:rFonts w:ascii="Arial" w:eastAsia="宋体" w:hAnsi="Arial" w:cs="Arial"/>
                <w:color w:val="0068B5"/>
                <w:sz w:val="18"/>
                <w:szCs w:val="18"/>
              </w:rPr>
              <w:t>17,125 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92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24"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925"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926" w14:textId="77777777" w:rsidR="00960BB8" w:rsidRDefault="00C06650">
            <w:pPr>
              <w:jc w:val="right"/>
              <w:textAlignment w:val="bottom"/>
            </w:pPr>
            <w:r>
              <w:rPr>
                <w:rFonts w:ascii="Arial" w:eastAsia="宋体" w:hAnsi="Arial" w:cs="Arial"/>
                <w:color w:val="262626"/>
                <w:sz w:val="18"/>
                <w:szCs w:val="18"/>
              </w:rPr>
              <w:t>22,961 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92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28"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929"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92A" w14:textId="77777777" w:rsidR="00960BB8" w:rsidRDefault="00C06650">
            <w:pPr>
              <w:jc w:val="right"/>
              <w:textAlignment w:val="bottom"/>
            </w:pPr>
            <w:r>
              <w:rPr>
                <w:rFonts w:ascii="Arial" w:eastAsia="宋体" w:hAnsi="Arial" w:cs="Arial"/>
                <w:color w:val="262626"/>
                <w:sz w:val="18"/>
                <w:szCs w:val="18"/>
              </w:rPr>
              <w:t>20,257 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92B" w14:textId="77777777" w:rsidR="00960BB8" w:rsidRDefault="00960BB8">
            <w:pPr>
              <w:jc w:val="right"/>
              <w:rPr>
                <w:rFonts w:ascii="宋体"/>
              </w:rPr>
            </w:pPr>
          </w:p>
        </w:tc>
      </w:tr>
      <w:tr w:rsidR="00960BB8" w14:paraId="5A1B1937" w14:textId="77777777">
        <w:tc>
          <w:tcPr>
            <w:tcW w:w="0" w:type="auto"/>
            <w:gridSpan w:val="3"/>
            <w:shd w:val="clear" w:color="auto" w:fill="auto"/>
            <w:tcMar>
              <w:top w:w="40" w:type="dxa"/>
              <w:left w:w="20" w:type="dxa"/>
              <w:bottom w:w="40" w:type="dxa"/>
              <w:right w:w="20" w:type="dxa"/>
            </w:tcMar>
            <w:vAlign w:val="bottom"/>
          </w:tcPr>
          <w:p w14:paraId="5A1B192D" w14:textId="77777777" w:rsidR="00960BB8" w:rsidRDefault="00C06650">
            <w:pPr>
              <w:textAlignment w:val="bottom"/>
            </w:pPr>
            <w:r>
              <w:rPr>
                <w:rFonts w:ascii="Arial" w:eastAsia="宋体" w:hAnsi="Arial" w:cs="Arial"/>
                <w:color w:val="262626"/>
                <w:sz w:val="18"/>
                <w:szCs w:val="18"/>
              </w:rPr>
              <w:t>Singapore</w:t>
            </w:r>
          </w:p>
        </w:tc>
        <w:tc>
          <w:tcPr>
            <w:tcW w:w="0" w:type="auto"/>
            <w:gridSpan w:val="3"/>
            <w:shd w:val="clear" w:color="auto" w:fill="auto"/>
            <w:tcMar>
              <w:top w:w="0" w:type="dxa"/>
              <w:left w:w="20" w:type="dxa"/>
              <w:bottom w:w="0" w:type="dxa"/>
              <w:right w:w="20" w:type="dxa"/>
            </w:tcMar>
            <w:vAlign w:val="bottom"/>
          </w:tcPr>
          <w:p w14:paraId="5A1B192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2F" w14:textId="77777777" w:rsidR="00960BB8" w:rsidRDefault="00C06650">
            <w:pPr>
              <w:jc w:val="right"/>
              <w:textAlignment w:val="bottom"/>
            </w:pPr>
            <w:r>
              <w:rPr>
                <w:rFonts w:ascii="Arial" w:eastAsia="宋体" w:hAnsi="Arial" w:cs="Arial"/>
                <w:color w:val="0068B5"/>
                <w:sz w:val="18"/>
                <w:szCs w:val="18"/>
              </w:rPr>
              <w:t>9,664 </w:t>
            </w:r>
          </w:p>
        </w:tc>
        <w:tc>
          <w:tcPr>
            <w:tcW w:w="0" w:type="auto"/>
            <w:shd w:val="clear" w:color="auto" w:fill="auto"/>
            <w:tcMar>
              <w:top w:w="40" w:type="dxa"/>
              <w:left w:w="0" w:type="dxa"/>
              <w:bottom w:w="40" w:type="dxa"/>
              <w:right w:w="20" w:type="dxa"/>
            </w:tcMar>
            <w:vAlign w:val="bottom"/>
          </w:tcPr>
          <w:p w14:paraId="5A1B193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3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32" w14:textId="77777777" w:rsidR="00960BB8" w:rsidRDefault="00C06650">
            <w:pPr>
              <w:jc w:val="right"/>
              <w:textAlignment w:val="bottom"/>
            </w:pPr>
            <w:r>
              <w:rPr>
                <w:rFonts w:ascii="Arial" w:eastAsia="宋体" w:hAnsi="Arial" w:cs="Arial"/>
                <w:color w:val="262626"/>
                <w:sz w:val="18"/>
                <w:szCs w:val="18"/>
              </w:rPr>
              <w:t>18,096 </w:t>
            </w:r>
          </w:p>
        </w:tc>
        <w:tc>
          <w:tcPr>
            <w:tcW w:w="0" w:type="auto"/>
            <w:shd w:val="clear" w:color="auto" w:fill="auto"/>
            <w:tcMar>
              <w:top w:w="40" w:type="dxa"/>
              <w:left w:w="0" w:type="dxa"/>
              <w:bottom w:w="40" w:type="dxa"/>
              <w:right w:w="20" w:type="dxa"/>
            </w:tcMar>
            <w:vAlign w:val="bottom"/>
          </w:tcPr>
          <w:p w14:paraId="5A1B193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3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35" w14:textId="77777777" w:rsidR="00960BB8" w:rsidRDefault="00C06650">
            <w:pPr>
              <w:jc w:val="right"/>
              <w:textAlignment w:val="bottom"/>
            </w:pPr>
            <w:r>
              <w:rPr>
                <w:rFonts w:ascii="Arial" w:eastAsia="宋体" w:hAnsi="Arial" w:cs="Arial"/>
                <w:color w:val="262626"/>
                <w:sz w:val="18"/>
                <w:szCs w:val="18"/>
              </w:rPr>
              <w:t>17,845 </w:t>
            </w:r>
          </w:p>
        </w:tc>
        <w:tc>
          <w:tcPr>
            <w:tcW w:w="0" w:type="auto"/>
            <w:shd w:val="clear" w:color="auto" w:fill="auto"/>
            <w:tcMar>
              <w:top w:w="40" w:type="dxa"/>
              <w:left w:w="0" w:type="dxa"/>
              <w:bottom w:w="40" w:type="dxa"/>
              <w:right w:w="20" w:type="dxa"/>
            </w:tcMar>
            <w:vAlign w:val="bottom"/>
          </w:tcPr>
          <w:p w14:paraId="5A1B1936" w14:textId="77777777" w:rsidR="00960BB8" w:rsidRDefault="00960BB8">
            <w:pPr>
              <w:jc w:val="right"/>
              <w:rPr>
                <w:rFonts w:ascii="宋体"/>
              </w:rPr>
            </w:pPr>
          </w:p>
        </w:tc>
      </w:tr>
      <w:tr w:rsidR="00960BB8" w14:paraId="5A1B1942" w14:textId="77777777">
        <w:tc>
          <w:tcPr>
            <w:tcW w:w="0" w:type="auto"/>
            <w:gridSpan w:val="3"/>
            <w:shd w:val="clear" w:color="auto" w:fill="auto"/>
            <w:tcMar>
              <w:top w:w="40" w:type="dxa"/>
              <w:left w:w="20" w:type="dxa"/>
              <w:bottom w:w="40" w:type="dxa"/>
              <w:right w:w="20" w:type="dxa"/>
            </w:tcMar>
            <w:vAlign w:val="bottom"/>
          </w:tcPr>
          <w:p w14:paraId="5A1B1938" w14:textId="77777777" w:rsidR="00960BB8" w:rsidRDefault="00C06650">
            <w:pPr>
              <w:textAlignment w:val="bottom"/>
            </w:pPr>
            <w:r>
              <w:rPr>
                <w:rFonts w:ascii="Arial" w:eastAsia="宋体" w:hAnsi="Arial" w:cs="Arial"/>
                <w:color w:val="262626"/>
                <w:sz w:val="18"/>
                <w:szCs w:val="18"/>
              </w:rPr>
              <w:t>United States</w:t>
            </w:r>
          </w:p>
        </w:tc>
        <w:tc>
          <w:tcPr>
            <w:tcW w:w="0" w:type="auto"/>
            <w:gridSpan w:val="3"/>
            <w:shd w:val="clear" w:color="auto" w:fill="auto"/>
            <w:tcMar>
              <w:top w:w="0" w:type="dxa"/>
              <w:left w:w="20" w:type="dxa"/>
              <w:bottom w:w="0" w:type="dxa"/>
              <w:right w:w="20" w:type="dxa"/>
            </w:tcMar>
            <w:vAlign w:val="bottom"/>
          </w:tcPr>
          <w:p w14:paraId="5A1B193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3A" w14:textId="77777777" w:rsidR="00960BB8" w:rsidRDefault="00C06650">
            <w:pPr>
              <w:jc w:val="right"/>
              <w:textAlignment w:val="bottom"/>
            </w:pPr>
            <w:r>
              <w:rPr>
                <w:rFonts w:ascii="Arial" w:eastAsia="宋体" w:hAnsi="Arial" w:cs="Arial"/>
                <w:color w:val="0068B5"/>
                <w:sz w:val="18"/>
                <w:szCs w:val="18"/>
              </w:rPr>
              <w:t>16,529 </w:t>
            </w:r>
          </w:p>
        </w:tc>
        <w:tc>
          <w:tcPr>
            <w:tcW w:w="0" w:type="auto"/>
            <w:shd w:val="clear" w:color="auto" w:fill="auto"/>
            <w:tcMar>
              <w:top w:w="40" w:type="dxa"/>
              <w:left w:w="0" w:type="dxa"/>
              <w:bottom w:w="40" w:type="dxa"/>
              <w:right w:w="20" w:type="dxa"/>
            </w:tcMar>
            <w:vAlign w:val="bottom"/>
          </w:tcPr>
          <w:p w14:paraId="5A1B193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3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3D" w14:textId="77777777" w:rsidR="00960BB8" w:rsidRDefault="00C06650">
            <w:pPr>
              <w:jc w:val="right"/>
              <w:textAlignment w:val="bottom"/>
            </w:pPr>
            <w:r>
              <w:rPr>
                <w:rFonts w:ascii="Arial" w:eastAsia="宋体" w:hAnsi="Arial" w:cs="Arial"/>
                <w:color w:val="262626"/>
                <w:sz w:val="18"/>
                <w:szCs w:val="18"/>
              </w:rPr>
              <w:t>14,322 </w:t>
            </w:r>
          </w:p>
        </w:tc>
        <w:tc>
          <w:tcPr>
            <w:tcW w:w="0" w:type="auto"/>
            <w:shd w:val="clear" w:color="auto" w:fill="auto"/>
            <w:tcMar>
              <w:top w:w="40" w:type="dxa"/>
              <w:left w:w="0" w:type="dxa"/>
              <w:bottom w:w="40" w:type="dxa"/>
              <w:right w:w="20" w:type="dxa"/>
            </w:tcMar>
            <w:vAlign w:val="bottom"/>
          </w:tcPr>
          <w:p w14:paraId="5A1B193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3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40" w14:textId="77777777" w:rsidR="00960BB8" w:rsidRDefault="00C06650">
            <w:pPr>
              <w:jc w:val="right"/>
              <w:textAlignment w:val="bottom"/>
            </w:pPr>
            <w:r>
              <w:rPr>
                <w:rFonts w:ascii="Arial" w:eastAsia="宋体" w:hAnsi="Arial" w:cs="Arial"/>
                <w:color w:val="262626"/>
                <w:sz w:val="18"/>
                <w:szCs w:val="18"/>
              </w:rPr>
              <w:t>16,573 </w:t>
            </w:r>
          </w:p>
        </w:tc>
        <w:tc>
          <w:tcPr>
            <w:tcW w:w="0" w:type="auto"/>
            <w:shd w:val="clear" w:color="auto" w:fill="auto"/>
            <w:tcMar>
              <w:top w:w="40" w:type="dxa"/>
              <w:left w:w="0" w:type="dxa"/>
              <w:bottom w:w="40" w:type="dxa"/>
              <w:right w:w="20" w:type="dxa"/>
            </w:tcMar>
            <w:vAlign w:val="bottom"/>
          </w:tcPr>
          <w:p w14:paraId="5A1B1941" w14:textId="77777777" w:rsidR="00960BB8" w:rsidRDefault="00960BB8">
            <w:pPr>
              <w:jc w:val="right"/>
              <w:rPr>
                <w:rFonts w:ascii="宋体"/>
              </w:rPr>
            </w:pPr>
          </w:p>
        </w:tc>
      </w:tr>
      <w:tr w:rsidR="00960BB8" w14:paraId="5A1B194D" w14:textId="77777777">
        <w:tc>
          <w:tcPr>
            <w:tcW w:w="0" w:type="auto"/>
            <w:gridSpan w:val="3"/>
            <w:shd w:val="clear" w:color="auto" w:fill="auto"/>
            <w:tcMar>
              <w:top w:w="40" w:type="dxa"/>
              <w:left w:w="20" w:type="dxa"/>
              <w:bottom w:w="40" w:type="dxa"/>
              <w:right w:w="20" w:type="dxa"/>
            </w:tcMar>
            <w:vAlign w:val="bottom"/>
          </w:tcPr>
          <w:p w14:paraId="5A1B1943" w14:textId="77777777" w:rsidR="00960BB8" w:rsidRDefault="00C06650">
            <w:pPr>
              <w:textAlignment w:val="bottom"/>
            </w:pPr>
            <w:r>
              <w:rPr>
                <w:rFonts w:ascii="Arial" w:eastAsia="宋体" w:hAnsi="Arial" w:cs="Arial"/>
                <w:color w:val="262626"/>
                <w:sz w:val="18"/>
                <w:szCs w:val="18"/>
              </w:rPr>
              <w:t>Taiwan</w:t>
            </w:r>
          </w:p>
        </w:tc>
        <w:tc>
          <w:tcPr>
            <w:tcW w:w="0" w:type="auto"/>
            <w:gridSpan w:val="3"/>
            <w:shd w:val="clear" w:color="auto" w:fill="auto"/>
            <w:tcMar>
              <w:top w:w="0" w:type="dxa"/>
              <w:left w:w="20" w:type="dxa"/>
              <w:bottom w:w="0" w:type="dxa"/>
              <w:right w:w="20" w:type="dxa"/>
            </w:tcMar>
            <w:vAlign w:val="bottom"/>
          </w:tcPr>
          <w:p w14:paraId="5A1B194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45" w14:textId="77777777" w:rsidR="00960BB8" w:rsidRDefault="00C06650">
            <w:pPr>
              <w:jc w:val="right"/>
              <w:textAlignment w:val="bottom"/>
            </w:pPr>
            <w:r>
              <w:rPr>
                <w:rFonts w:ascii="Arial" w:eastAsia="宋体" w:hAnsi="Arial" w:cs="Arial"/>
                <w:color w:val="0068B5"/>
                <w:sz w:val="18"/>
                <w:szCs w:val="18"/>
              </w:rPr>
              <w:t>8,287 </w:t>
            </w:r>
          </w:p>
        </w:tc>
        <w:tc>
          <w:tcPr>
            <w:tcW w:w="0" w:type="auto"/>
            <w:shd w:val="clear" w:color="auto" w:fill="auto"/>
            <w:tcMar>
              <w:top w:w="40" w:type="dxa"/>
              <w:left w:w="0" w:type="dxa"/>
              <w:bottom w:w="40" w:type="dxa"/>
              <w:right w:w="20" w:type="dxa"/>
            </w:tcMar>
            <w:vAlign w:val="bottom"/>
          </w:tcPr>
          <w:p w14:paraId="5A1B194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4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48" w14:textId="77777777" w:rsidR="00960BB8" w:rsidRDefault="00C06650">
            <w:pPr>
              <w:jc w:val="right"/>
              <w:textAlignment w:val="bottom"/>
            </w:pPr>
            <w:r>
              <w:rPr>
                <w:rFonts w:ascii="Arial" w:eastAsia="宋体" w:hAnsi="Arial" w:cs="Arial"/>
                <w:color w:val="262626"/>
                <w:sz w:val="18"/>
                <w:szCs w:val="18"/>
              </w:rPr>
              <w:t>11,418 </w:t>
            </w:r>
          </w:p>
        </w:tc>
        <w:tc>
          <w:tcPr>
            <w:tcW w:w="0" w:type="auto"/>
            <w:shd w:val="clear" w:color="auto" w:fill="auto"/>
            <w:tcMar>
              <w:top w:w="40" w:type="dxa"/>
              <w:left w:w="0" w:type="dxa"/>
              <w:bottom w:w="40" w:type="dxa"/>
              <w:right w:w="20" w:type="dxa"/>
            </w:tcMar>
            <w:vAlign w:val="bottom"/>
          </w:tcPr>
          <w:p w14:paraId="5A1B194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4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4B" w14:textId="77777777" w:rsidR="00960BB8" w:rsidRDefault="00C06650">
            <w:pPr>
              <w:jc w:val="right"/>
              <w:textAlignment w:val="bottom"/>
            </w:pPr>
            <w:r>
              <w:rPr>
                <w:rFonts w:ascii="Arial" w:eastAsia="宋体" w:hAnsi="Arial" w:cs="Arial"/>
                <w:color w:val="262626"/>
                <w:sz w:val="18"/>
                <w:szCs w:val="18"/>
              </w:rPr>
              <w:t>11,605 </w:t>
            </w:r>
          </w:p>
        </w:tc>
        <w:tc>
          <w:tcPr>
            <w:tcW w:w="0" w:type="auto"/>
            <w:shd w:val="clear" w:color="auto" w:fill="auto"/>
            <w:tcMar>
              <w:top w:w="40" w:type="dxa"/>
              <w:left w:w="0" w:type="dxa"/>
              <w:bottom w:w="40" w:type="dxa"/>
              <w:right w:w="20" w:type="dxa"/>
            </w:tcMar>
            <w:vAlign w:val="bottom"/>
          </w:tcPr>
          <w:p w14:paraId="5A1B194C" w14:textId="77777777" w:rsidR="00960BB8" w:rsidRDefault="00960BB8">
            <w:pPr>
              <w:jc w:val="right"/>
              <w:rPr>
                <w:rFonts w:ascii="宋体"/>
              </w:rPr>
            </w:pPr>
          </w:p>
        </w:tc>
      </w:tr>
      <w:tr w:rsidR="00960BB8" w14:paraId="5A1B1958" w14:textId="77777777">
        <w:tc>
          <w:tcPr>
            <w:tcW w:w="0" w:type="auto"/>
            <w:gridSpan w:val="3"/>
            <w:shd w:val="clear" w:color="auto" w:fill="auto"/>
            <w:tcMar>
              <w:top w:w="40" w:type="dxa"/>
              <w:left w:w="20" w:type="dxa"/>
              <w:bottom w:w="40" w:type="dxa"/>
              <w:right w:w="20" w:type="dxa"/>
            </w:tcMar>
            <w:vAlign w:val="bottom"/>
          </w:tcPr>
          <w:p w14:paraId="5A1B194E" w14:textId="77777777" w:rsidR="00960BB8" w:rsidRDefault="00C06650">
            <w:pPr>
              <w:textAlignment w:val="bottom"/>
            </w:pPr>
            <w:r>
              <w:rPr>
                <w:rFonts w:ascii="Arial" w:eastAsia="宋体" w:hAnsi="Arial" w:cs="Arial"/>
                <w:color w:val="262626"/>
                <w:sz w:val="18"/>
                <w:szCs w:val="18"/>
              </w:rPr>
              <w:t>Other regions</w:t>
            </w:r>
          </w:p>
        </w:tc>
        <w:tc>
          <w:tcPr>
            <w:tcW w:w="0" w:type="auto"/>
            <w:gridSpan w:val="3"/>
            <w:shd w:val="clear" w:color="auto" w:fill="auto"/>
            <w:tcMar>
              <w:top w:w="0" w:type="dxa"/>
              <w:left w:w="20" w:type="dxa"/>
              <w:bottom w:w="0" w:type="dxa"/>
              <w:right w:w="20" w:type="dxa"/>
            </w:tcMar>
            <w:vAlign w:val="bottom"/>
          </w:tcPr>
          <w:p w14:paraId="5A1B194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50" w14:textId="77777777" w:rsidR="00960BB8" w:rsidRDefault="00C06650">
            <w:pPr>
              <w:jc w:val="right"/>
              <w:textAlignment w:val="bottom"/>
            </w:pPr>
            <w:r>
              <w:rPr>
                <w:rFonts w:ascii="Arial" w:eastAsia="宋体" w:hAnsi="Arial" w:cs="Arial"/>
                <w:color w:val="0068B5"/>
                <w:sz w:val="18"/>
                <w:szCs w:val="18"/>
              </w:rPr>
              <w:t>11,449 </w:t>
            </w:r>
          </w:p>
        </w:tc>
        <w:tc>
          <w:tcPr>
            <w:tcW w:w="0" w:type="auto"/>
            <w:shd w:val="clear" w:color="auto" w:fill="auto"/>
            <w:tcMar>
              <w:top w:w="40" w:type="dxa"/>
              <w:left w:w="0" w:type="dxa"/>
              <w:bottom w:w="40" w:type="dxa"/>
              <w:right w:w="20" w:type="dxa"/>
            </w:tcMar>
            <w:vAlign w:val="bottom"/>
          </w:tcPr>
          <w:p w14:paraId="5A1B195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5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53" w14:textId="77777777" w:rsidR="00960BB8" w:rsidRDefault="00C06650">
            <w:pPr>
              <w:jc w:val="right"/>
              <w:textAlignment w:val="bottom"/>
            </w:pPr>
            <w:r>
              <w:rPr>
                <w:rFonts w:ascii="Arial" w:eastAsia="宋体" w:hAnsi="Arial" w:cs="Arial"/>
                <w:color w:val="262626"/>
                <w:sz w:val="18"/>
                <w:szCs w:val="18"/>
              </w:rPr>
              <w:t>12,227 </w:t>
            </w:r>
          </w:p>
        </w:tc>
        <w:tc>
          <w:tcPr>
            <w:tcW w:w="0" w:type="auto"/>
            <w:shd w:val="clear" w:color="auto" w:fill="auto"/>
            <w:tcMar>
              <w:top w:w="40" w:type="dxa"/>
              <w:left w:w="0" w:type="dxa"/>
              <w:bottom w:w="40" w:type="dxa"/>
              <w:right w:w="20" w:type="dxa"/>
            </w:tcMar>
            <w:vAlign w:val="bottom"/>
          </w:tcPr>
          <w:p w14:paraId="5A1B195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5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56" w14:textId="77777777" w:rsidR="00960BB8" w:rsidRDefault="00C06650">
            <w:pPr>
              <w:jc w:val="right"/>
              <w:textAlignment w:val="bottom"/>
            </w:pPr>
            <w:r>
              <w:rPr>
                <w:rFonts w:ascii="Arial" w:eastAsia="宋体" w:hAnsi="Arial" w:cs="Arial"/>
                <w:color w:val="262626"/>
                <w:sz w:val="18"/>
                <w:szCs w:val="18"/>
              </w:rPr>
              <w:t>11,587 </w:t>
            </w:r>
          </w:p>
        </w:tc>
        <w:tc>
          <w:tcPr>
            <w:tcW w:w="0" w:type="auto"/>
            <w:shd w:val="clear" w:color="auto" w:fill="auto"/>
            <w:tcMar>
              <w:top w:w="40" w:type="dxa"/>
              <w:left w:w="0" w:type="dxa"/>
              <w:bottom w:w="40" w:type="dxa"/>
              <w:right w:w="20" w:type="dxa"/>
            </w:tcMar>
            <w:vAlign w:val="bottom"/>
          </w:tcPr>
          <w:p w14:paraId="5A1B1957" w14:textId="77777777" w:rsidR="00960BB8" w:rsidRDefault="00960BB8">
            <w:pPr>
              <w:jc w:val="right"/>
              <w:rPr>
                <w:rFonts w:ascii="宋体"/>
              </w:rPr>
            </w:pPr>
          </w:p>
        </w:tc>
      </w:tr>
      <w:tr w:rsidR="00960BB8" w14:paraId="5A1B1966" w14:textId="77777777">
        <w:tc>
          <w:tcPr>
            <w:tcW w:w="0" w:type="auto"/>
            <w:gridSpan w:val="3"/>
            <w:shd w:val="clear" w:color="auto" w:fill="auto"/>
            <w:tcMar>
              <w:top w:w="40" w:type="dxa"/>
              <w:left w:w="20" w:type="dxa"/>
              <w:bottom w:w="40" w:type="dxa"/>
              <w:right w:w="20" w:type="dxa"/>
            </w:tcMar>
            <w:vAlign w:val="bottom"/>
          </w:tcPr>
          <w:p w14:paraId="5A1B1959" w14:textId="77777777" w:rsidR="00960BB8" w:rsidRDefault="00C06650">
            <w:pPr>
              <w:textAlignment w:val="bottom"/>
            </w:pPr>
            <w:r>
              <w:rPr>
                <w:rFonts w:ascii="Arial" w:eastAsia="宋体" w:hAnsi="Arial" w:cs="Arial"/>
                <w:b/>
                <w:bCs/>
                <w:color w:val="262626"/>
                <w:sz w:val="18"/>
                <w:szCs w:val="18"/>
              </w:rPr>
              <w:t xml:space="preserve">Total net revenue </w:t>
            </w:r>
          </w:p>
        </w:tc>
        <w:tc>
          <w:tcPr>
            <w:tcW w:w="0" w:type="auto"/>
            <w:gridSpan w:val="3"/>
            <w:shd w:val="clear" w:color="auto" w:fill="auto"/>
            <w:tcMar>
              <w:top w:w="0" w:type="dxa"/>
              <w:left w:w="20" w:type="dxa"/>
              <w:bottom w:w="0" w:type="dxa"/>
              <w:right w:w="20" w:type="dxa"/>
            </w:tcMar>
            <w:vAlign w:val="bottom"/>
          </w:tcPr>
          <w:p w14:paraId="5A1B195A"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95B"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95C" w14:textId="77777777" w:rsidR="00960BB8" w:rsidRDefault="00C06650">
            <w:pPr>
              <w:jc w:val="right"/>
              <w:textAlignment w:val="bottom"/>
            </w:pPr>
            <w:r>
              <w:rPr>
                <w:rFonts w:ascii="Arial" w:eastAsia="宋体" w:hAnsi="Arial" w:cs="Arial"/>
                <w:b/>
                <w:bCs/>
                <w:color w:val="0068B5"/>
                <w:sz w:val="18"/>
                <w:szCs w:val="18"/>
              </w:rPr>
              <w:t>63,054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95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5E"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95F"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960" w14:textId="77777777" w:rsidR="00960BB8" w:rsidRDefault="00C06650">
            <w:pPr>
              <w:jc w:val="right"/>
              <w:textAlignment w:val="bottom"/>
            </w:pPr>
            <w:r>
              <w:rPr>
                <w:rFonts w:ascii="Arial" w:eastAsia="宋体" w:hAnsi="Arial" w:cs="Arial"/>
                <w:b/>
                <w:bCs/>
                <w:color w:val="262626"/>
                <w:sz w:val="18"/>
                <w:szCs w:val="18"/>
              </w:rPr>
              <w:t>79,024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96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62"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963"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964" w14:textId="77777777" w:rsidR="00960BB8" w:rsidRDefault="00C06650">
            <w:pPr>
              <w:jc w:val="right"/>
              <w:textAlignment w:val="bottom"/>
            </w:pPr>
            <w:r>
              <w:rPr>
                <w:rFonts w:ascii="Arial" w:eastAsia="宋体" w:hAnsi="Arial" w:cs="Arial"/>
                <w:b/>
                <w:bCs/>
                <w:color w:val="262626"/>
                <w:sz w:val="18"/>
                <w:szCs w:val="18"/>
              </w:rPr>
              <w:t>77,867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965" w14:textId="77777777" w:rsidR="00960BB8" w:rsidRDefault="00960BB8">
            <w:pPr>
              <w:jc w:val="right"/>
              <w:rPr>
                <w:rFonts w:ascii="宋体"/>
              </w:rPr>
            </w:pPr>
          </w:p>
        </w:tc>
      </w:tr>
    </w:tbl>
    <w:p w14:paraId="5A1B1967" w14:textId="77777777" w:rsidR="00960BB8" w:rsidRDefault="00C06650">
      <w:pPr>
        <w:spacing w:after="180"/>
      </w:pPr>
      <w:r>
        <w:rPr>
          <w:rFonts w:ascii="Arial" w:eastAsia="宋体" w:hAnsi="Arial" w:cs="Arial"/>
          <w:color w:val="262626"/>
          <w:sz w:val="18"/>
          <w:szCs w:val="18"/>
        </w:rPr>
        <w:t>The 2021 net revenue by region presented in the table above has been adjusted from our Form 10-K filed January 27, 2022 to reflect</w:t>
      </w:r>
      <w:r>
        <w:rPr>
          <w:rFonts w:ascii="Arial" w:eastAsia="宋体" w:hAnsi="Arial" w:cs="Arial"/>
          <w:color w:val="262626"/>
          <w:sz w:val="18"/>
          <w:szCs w:val="18"/>
        </w:rPr>
        <w:t xml:space="preserve"> the correct allocation to each region.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960BB8" w14:paraId="5A1B196E" w14:textId="77777777">
        <w:tc>
          <w:tcPr>
            <w:tcW w:w="50" w:type="pct"/>
            <w:shd w:val="clear" w:color="auto" w:fill="auto"/>
            <w:vAlign w:val="bottom"/>
          </w:tcPr>
          <w:p w14:paraId="5A1B1968" w14:textId="77777777" w:rsidR="00960BB8" w:rsidRDefault="00960BB8">
            <w:pPr>
              <w:rPr>
                <w:rFonts w:ascii="宋体"/>
              </w:rPr>
            </w:pPr>
          </w:p>
        </w:tc>
        <w:tc>
          <w:tcPr>
            <w:tcW w:w="491" w:type="pct"/>
            <w:shd w:val="clear" w:color="auto" w:fill="auto"/>
            <w:vAlign w:val="bottom"/>
          </w:tcPr>
          <w:p w14:paraId="5A1B1969" w14:textId="77777777" w:rsidR="00960BB8" w:rsidRDefault="00960BB8">
            <w:pPr>
              <w:rPr>
                <w:rFonts w:ascii="宋体"/>
              </w:rPr>
            </w:pPr>
          </w:p>
        </w:tc>
        <w:tc>
          <w:tcPr>
            <w:tcW w:w="5" w:type="pct"/>
            <w:shd w:val="clear" w:color="auto" w:fill="auto"/>
            <w:vAlign w:val="bottom"/>
          </w:tcPr>
          <w:p w14:paraId="5A1B196A" w14:textId="77777777" w:rsidR="00960BB8" w:rsidRDefault="00960BB8">
            <w:pPr>
              <w:rPr>
                <w:rFonts w:ascii="宋体"/>
              </w:rPr>
            </w:pPr>
          </w:p>
        </w:tc>
        <w:tc>
          <w:tcPr>
            <w:tcW w:w="50" w:type="pct"/>
            <w:shd w:val="clear" w:color="auto" w:fill="auto"/>
            <w:vAlign w:val="bottom"/>
          </w:tcPr>
          <w:p w14:paraId="5A1B196B" w14:textId="77777777" w:rsidR="00960BB8" w:rsidRDefault="00960BB8">
            <w:pPr>
              <w:rPr>
                <w:rFonts w:ascii="宋体"/>
              </w:rPr>
            </w:pPr>
          </w:p>
        </w:tc>
        <w:tc>
          <w:tcPr>
            <w:tcW w:w="4398" w:type="pct"/>
            <w:shd w:val="clear" w:color="auto" w:fill="auto"/>
            <w:vAlign w:val="bottom"/>
          </w:tcPr>
          <w:p w14:paraId="5A1B196C" w14:textId="77777777" w:rsidR="00960BB8" w:rsidRDefault="00960BB8">
            <w:pPr>
              <w:rPr>
                <w:rFonts w:ascii="宋体"/>
              </w:rPr>
            </w:pPr>
          </w:p>
        </w:tc>
        <w:tc>
          <w:tcPr>
            <w:tcW w:w="5" w:type="pct"/>
            <w:shd w:val="clear" w:color="auto" w:fill="auto"/>
            <w:vAlign w:val="bottom"/>
          </w:tcPr>
          <w:p w14:paraId="5A1B196D" w14:textId="77777777" w:rsidR="00960BB8" w:rsidRDefault="00960BB8">
            <w:pPr>
              <w:rPr>
                <w:rFonts w:ascii="宋体"/>
              </w:rPr>
            </w:pPr>
          </w:p>
        </w:tc>
      </w:tr>
      <w:tr w:rsidR="00960BB8" w14:paraId="5A1B1971"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196F" w14:textId="77777777" w:rsidR="00960BB8" w:rsidRDefault="00C06650">
            <w:pPr>
              <w:textAlignment w:val="bottom"/>
            </w:pPr>
            <w:r>
              <w:rPr>
                <w:rFonts w:ascii="Arial" w:eastAsia="宋体" w:hAnsi="Arial" w:cs="Arial"/>
                <w:color w:val="FFFFFF"/>
                <w:sz w:val="28"/>
                <w:szCs w:val="28"/>
              </w:rPr>
              <w:t>Note 4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970" w14:textId="77777777" w:rsidR="00960BB8" w:rsidRDefault="00C06650">
            <w:pPr>
              <w:textAlignment w:val="bottom"/>
            </w:pPr>
            <w:r>
              <w:rPr>
                <w:rFonts w:ascii="Arial" w:eastAsia="宋体" w:hAnsi="Arial" w:cs="Arial"/>
                <w:color w:val="0068B5"/>
                <w:sz w:val="28"/>
                <w:szCs w:val="28"/>
              </w:rPr>
              <w:t>Non-Controlling Interests</w:t>
            </w:r>
          </w:p>
        </w:tc>
      </w:tr>
    </w:tbl>
    <w:p w14:paraId="5A1B1972" w14:textId="77777777" w:rsidR="00960BB8" w:rsidRDefault="00C06650">
      <w:pPr>
        <w:spacing w:after="120"/>
      </w:pPr>
      <w:r>
        <w:rPr>
          <w:rFonts w:ascii="Arial" w:eastAsia="宋体" w:hAnsi="Arial" w:cs="Arial"/>
          <w:color w:val="0068B5"/>
          <w:sz w:val="20"/>
          <w:szCs w:val="20"/>
        </w:rPr>
        <w:t xml:space="preserve">Semiconductor Co-Investment Program </w:t>
      </w:r>
    </w:p>
    <w:p w14:paraId="5A1B1973" w14:textId="77777777" w:rsidR="00960BB8" w:rsidRDefault="00C06650">
      <w:pPr>
        <w:spacing w:after="180"/>
      </w:pPr>
      <w:r>
        <w:rPr>
          <w:rFonts w:ascii="Arial" w:eastAsia="宋体" w:hAnsi="Arial" w:cs="Arial"/>
          <w:color w:val="262626"/>
          <w:sz w:val="18"/>
          <w:szCs w:val="18"/>
        </w:rPr>
        <w:t>In the fourth quarter of 2022, we closed a transaction with Brookfield Asset Management (Brookfield) resulting in the formation of Arizona Fab LLC (Arizona Fab), a VIE for which we and Brookfield own 51% and 49%, respectively. Because we are the primary be</w:t>
      </w:r>
      <w:r>
        <w:rPr>
          <w:rFonts w:ascii="Arial" w:eastAsia="宋体" w:hAnsi="Arial" w:cs="Arial"/>
          <w:color w:val="262626"/>
          <w:sz w:val="18"/>
          <w:szCs w:val="18"/>
        </w:rPr>
        <w:t xml:space="preserve">neficiary of the VIE, we fully consolidate the results of Arizona Fab into our consolidated financial statements. Generally, contributions will be made to, and distributions will be received from, Arizona Fab based on both parties’ proportional ownership. </w:t>
      </w:r>
      <w:r>
        <w:rPr>
          <w:rFonts w:ascii="Arial" w:eastAsia="宋体" w:hAnsi="Arial" w:cs="Arial"/>
          <w:color w:val="262626"/>
          <w:sz w:val="18"/>
          <w:szCs w:val="18"/>
        </w:rPr>
        <w:t xml:space="preserve">We will be the sole operator and majority owner of two new chip factories that will be constructed by Arizona Fab, and we will have the right to purchase 100% of the related factory output. Once production commences, we will be required to operate Arizona </w:t>
      </w:r>
      <w:r>
        <w:rPr>
          <w:rFonts w:ascii="Arial" w:eastAsia="宋体" w:hAnsi="Arial" w:cs="Arial"/>
          <w:color w:val="262626"/>
          <w:sz w:val="18"/>
          <w:szCs w:val="18"/>
        </w:rPr>
        <w:t xml:space="preserve">Fab at minimum production levels measured in wafer starts per week and will be required to limit excess inventory held on site or we will be subject to certain penalties.     </w:t>
      </w:r>
    </w:p>
    <w:p w14:paraId="5A1B1974" w14:textId="77777777" w:rsidR="00960BB8" w:rsidRDefault="00C06650">
      <w:pPr>
        <w:spacing w:after="180"/>
      </w:pPr>
      <w:r>
        <w:rPr>
          <w:rFonts w:ascii="Arial" w:eastAsia="宋体" w:hAnsi="Arial" w:cs="Arial"/>
          <w:color w:val="262626"/>
          <w:sz w:val="18"/>
          <w:szCs w:val="18"/>
        </w:rPr>
        <w:t xml:space="preserve">We have an unrecognized commitment to fund our respective share of the total construction costs of </w:t>
      </w:r>
      <w:r>
        <w:rPr>
          <w:rFonts w:ascii="Arial" w:eastAsia="宋体" w:hAnsi="Arial" w:cs="Arial"/>
          <w:color w:val="000000"/>
          <w:sz w:val="18"/>
          <w:szCs w:val="18"/>
        </w:rPr>
        <w:t>$29.0 billion</w:t>
      </w:r>
      <w:r>
        <w:rPr>
          <w:rFonts w:ascii="Arial" w:eastAsia="宋体" w:hAnsi="Arial" w:cs="Arial"/>
          <w:color w:val="262626"/>
          <w:sz w:val="18"/>
          <w:szCs w:val="18"/>
        </w:rPr>
        <w:t xml:space="preserve">. Refer to "Note 19: Commitments and Contingencies" within the Notes to Consolidated Financial Statements. </w:t>
      </w:r>
    </w:p>
    <w:p w14:paraId="5A1B1975" w14:textId="77777777" w:rsidR="00960BB8" w:rsidRDefault="00C06650">
      <w:pPr>
        <w:spacing w:after="180"/>
      </w:pPr>
      <w:r>
        <w:rPr>
          <w:rFonts w:ascii="Arial" w:eastAsia="宋体" w:hAnsi="Arial" w:cs="Arial"/>
          <w:color w:val="262626"/>
          <w:sz w:val="18"/>
          <w:szCs w:val="18"/>
        </w:rPr>
        <w:t>As of December 31, 2022, substantial</w:t>
      </w:r>
      <w:r>
        <w:rPr>
          <w:rFonts w:ascii="Arial" w:eastAsia="宋体" w:hAnsi="Arial" w:cs="Arial"/>
          <w:color w:val="262626"/>
          <w:sz w:val="18"/>
          <w:szCs w:val="18"/>
        </w:rPr>
        <w:t xml:space="preserve">ly all of the assets of Arizona Fab consisted of property, plant and equipment. The assets held by Arizona Fab, which can be used only to settle obligations of the VIE and are not available to us, were </w:t>
      </w:r>
      <w:r>
        <w:rPr>
          <w:rFonts w:ascii="Arial" w:eastAsia="宋体" w:hAnsi="Arial" w:cs="Arial"/>
          <w:color w:val="000000"/>
          <w:sz w:val="18"/>
          <w:szCs w:val="18"/>
        </w:rPr>
        <w:t>$1.8 billion</w:t>
      </w:r>
      <w:r>
        <w:rPr>
          <w:rFonts w:ascii="Arial" w:eastAsia="宋体" w:hAnsi="Arial" w:cs="Arial"/>
          <w:color w:val="262626"/>
          <w:sz w:val="18"/>
          <w:szCs w:val="18"/>
        </w:rPr>
        <w:t xml:space="preserve"> as of December 31, 2022.</w:t>
      </w:r>
    </w:p>
    <w:p w14:paraId="5A1B1976" w14:textId="77777777" w:rsidR="00960BB8" w:rsidRDefault="00C06650">
      <w:pPr>
        <w:spacing w:after="180"/>
      </w:pPr>
      <w:r>
        <w:rPr>
          <w:rFonts w:ascii="Arial" w:eastAsia="宋体" w:hAnsi="Arial" w:cs="Arial"/>
          <w:color w:val="262626"/>
          <w:sz w:val="18"/>
          <w:szCs w:val="18"/>
        </w:rPr>
        <w:t xml:space="preserve">Non-controlling </w:t>
      </w:r>
      <w:r>
        <w:rPr>
          <w:rFonts w:ascii="Arial" w:eastAsia="宋体" w:hAnsi="Arial" w:cs="Arial"/>
          <w:color w:val="262626"/>
          <w:sz w:val="18"/>
          <w:szCs w:val="18"/>
        </w:rPr>
        <w:t>interest in Arizona Fab was $874 million as of December 31, 2022 and there was no net income (loss) attributable to Arizona Fab's non-controlling interest in 2022.</w:t>
      </w:r>
    </w:p>
    <w:p w14:paraId="5A1B1977" w14:textId="77777777" w:rsidR="00960BB8" w:rsidRDefault="00C06650">
      <w:pPr>
        <w:spacing w:after="120"/>
      </w:pPr>
      <w:r>
        <w:rPr>
          <w:rFonts w:ascii="Arial" w:eastAsia="宋体" w:hAnsi="Arial" w:cs="Arial"/>
          <w:color w:val="0068B5"/>
          <w:sz w:val="20"/>
          <w:szCs w:val="20"/>
        </w:rPr>
        <w:t>Mobileye</w:t>
      </w:r>
    </w:p>
    <w:p w14:paraId="5A1B1978" w14:textId="77777777" w:rsidR="00960BB8" w:rsidRDefault="00C06650">
      <w:pPr>
        <w:spacing w:after="180"/>
      </w:pPr>
      <w:r>
        <w:rPr>
          <w:rFonts w:ascii="Arial" w:eastAsia="宋体" w:hAnsi="Arial" w:cs="Arial"/>
          <w:color w:val="262626"/>
          <w:sz w:val="18"/>
          <w:szCs w:val="18"/>
        </w:rPr>
        <w:t xml:space="preserve">In the fourth quarter of 2022, Mobileye completed its IPO and certain other equity </w:t>
      </w:r>
      <w:r>
        <w:rPr>
          <w:rFonts w:ascii="Arial" w:eastAsia="宋体" w:hAnsi="Arial" w:cs="Arial"/>
          <w:color w:val="262626"/>
          <w:sz w:val="18"/>
          <w:szCs w:val="18"/>
        </w:rPr>
        <w:t xml:space="preserve">financing transactions that resulted in </w:t>
      </w:r>
      <w:r>
        <w:rPr>
          <w:rFonts w:ascii="Arial" w:eastAsia="宋体" w:hAnsi="Arial" w:cs="Arial"/>
          <w:color w:val="000000"/>
          <w:sz w:val="18"/>
          <w:szCs w:val="18"/>
        </w:rPr>
        <w:t xml:space="preserve">net proceeds of $1.0 billion. </w:t>
      </w:r>
      <w:r>
        <w:rPr>
          <w:rFonts w:ascii="Arial" w:eastAsia="宋体" w:hAnsi="Arial" w:cs="Arial"/>
          <w:color w:val="262626"/>
          <w:sz w:val="18"/>
          <w:szCs w:val="18"/>
        </w:rPr>
        <w:t>As of December 31, 2022, Intel held approximately 94% of the outstanding equity interest in Mobileye. Non-controlling interest in Mobileye was $989 million as of December 31, 2022. Net I</w:t>
      </w:r>
      <w:r>
        <w:rPr>
          <w:rFonts w:ascii="Arial" w:eastAsia="宋体" w:hAnsi="Arial" w:cs="Arial"/>
          <w:color w:val="262626"/>
          <w:sz w:val="18"/>
          <w:szCs w:val="18"/>
        </w:rPr>
        <w:t>ncome attributable to Mobileye's non-controlling interest was $3 million in 2022.</w:t>
      </w:r>
    </w:p>
    <w:p w14:paraId="5A1B1979" w14:textId="77777777" w:rsidR="00960BB8" w:rsidRDefault="00960BB8">
      <w:pPr>
        <w:spacing w:after="120"/>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986" w14:textId="77777777">
        <w:tc>
          <w:tcPr>
            <w:tcW w:w="50" w:type="pct"/>
            <w:shd w:val="clear" w:color="auto" w:fill="auto"/>
            <w:vAlign w:val="bottom"/>
          </w:tcPr>
          <w:p w14:paraId="5A1B197A" w14:textId="77777777" w:rsidR="00960BB8" w:rsidRDefault="00960BB8">
            <w:pPr>
              <w:rPr>
                <w:rFonts w:ascii="宋体"/>
              </w:rPr>
            </w:pPr>
          </w:p>
        </w:tc>
        <w:tc>
          <w:tcPr>
            <w:tcW w:w="276" w:type="pct"/>
            <w:shd w:val="clear" w:color="auto" w:fill="auto"/>
            <w:vAlign w:val="bottom"/>
          </w:tcPr>
          <w:p w14:paraId="5A1B197B" w14:textId="77777777" w:rsidR="00960BB8" w:rsidRDefault="00960BB8">
            <w:pPr>
              <w:rPr>
                <w:rFonts w:ascii="宋体"/>
              </w:rPr>
            </w:pPr>
          </w:p>
        </w:tc>
        <w:tc>
          <w:tcPr>
            <w:tcW w:w="5" w:type="pct"/>
            <w:shd w:val="clear" w:color="auto" w:fill="auto"/>
            <w:vAlign w:val="bottom"/>
          </w:tcPr>
          <w:p w14:paraId="5A1B197C" w14:textId="77777777" w:rsidR="00960BB8" w:rsidRDefault="00960BB8">
            <w:pPr>
              <w:rPr>
                <w:rFonts w:ascii="宋体"/>
              </w:rPr>
            </w:pPr>
          </w:p>
        </w:tc>
        <w:tc>
          <w:tcPr>
            <w:tcW w:w="50" w:type="pct"/>
            <w:shd w:val="clear" w:color="auto" w:fill="auto"/>
            <w:vAlign w:val="bottom"/>
          </w:tcPr>
          <w:p w14:paraId="5A1B197D" w14:textId="77777777" w:rsidR="00960BB8" w:rsidRDefault="00960BB8">
            <w:pPr>
              <w:rPr>
                <w:rFonts w:ascii="宋体"/>
              </w:rPr>
            </w:pPr>
          </w:p>
        </w:tc>
        <w:tc>
          <w:tcPr>
            <w:tcW w:w="940" w:type="pct"/>
            <w:shd w:val="clear" w:color="auto" w:fill="auto"/>
            <w:vAlign w:val="bottom"/>
          </w:tcPr>
          <w:p w14:paraId="5A1B197E" w14:textId="77777777" w:rsidR="00960BB8" w:rsidRDefault="00960BB8">
            <w:pPr>
              <w:rPr>
                <w:rFonts w:ascii="宋体"/>
              </w:rPr>
            </w:pPr>
          </w:p>
        </w:tc>
        <w:tc>
          <w:tcPr>
            <w:tcW w:w="5" w:type="pct"/>
            <w:shd w:val="clear" w:color="auto" w:fill="auto"/>
            <w:vAlign w:val="bottom"/>
          </w:tcPr>
          <w:p w14:paraId="5A1B197F" w14:textId="77777777" w:rsidR="00960BB8" w:rsidRDefault="00960BB8">
            <w:pPr>
              <w:rPr>
                <w:rFonts w:ascii="宋体"/>
              </w:rPr>
            </w:pPr>
          </w:p>
        </w:tc>
        <w:tc>
          <w:tcPr>
            <w:tcW w:w="50" w:type="pct"/>
            <w:shd w:val="clear" w:color="auto" w:fill="auto"/>
            <w:vAlign w:val="bottom"/>
          </w:tcPr>
          <w:p w14:paraId="5A1B1980" w14:textId="77777777" w:rsidR="00960BB8" w:rsidRDefault="00960BB8">
            <w:pPr>
              <w:rPr>
                <w:rFonts w:ascii="宋体"/>
              </w:rPr>
            </w:pPr>
          </w:p>
        </w:tc>
        <w:tc>
          <w:tcPr>
            <w:tcW w:w="1837" w:type="pct"/>
            <w:shd w:val="clear" w:color="auto" w:fill="auto"/>
            <w:vAlign w:val="bottom"/>
          </w:tcPr>
          <w:p w14:paraId="5A1B1981" w14:textId="77777777" w:rsidR="00960BB8" w:rsidRDefault="00960BB8">
            <w:pPr>
              <w:rPr>
                <w:rFonts w:ascii="宋体"/>
              </w:rPr>
            </w:pPr>
          </w:p>
        </w:tc>
        <w:tc>
          <w:tcPr>
            <w:tcW w:w="5" w:type="pct"/>
            <w:shd w:val="clear" w:color="auto" w:fill="auto"/>
            <w:vAlign w:val="bottom"/>
          </w:tcPr>
          <w:p w14:paraId="5A1B1982" w14:textId="77777777" w:rsidR="00960BB8" w:rsidRDefault="00960BB8">
            <w:pPr>
              <w:rPr>
                <w:rFonts w:ascii="宋体"/>
              </w:rPr>
            </w:pPr>
          </w:p>
        </w:tc>
        <w:tc>
          <w:tcPr>
            <w:tcW w:w="50" w:type="pct"/>
            <w:shd w:val="clear" w:color="auto" w:fill="auto"/>
            <w:vAlign w:val="bottom"/>
          </w:tcPr>
          <w:p w14:paraId="5A1B1983" w14:textId="77777777" w:rsidR="00960BB8" w:rsidRDefault="00960BB8">
            <w:pPr>
              <w:rPr>
                <w:rFonts w:ascii="宋体"/>
              </w:rPr>
            </w:pPr>
          </w:p>
        </w:tc>
        <w:tc>
          <w:tcPr>
            <w:tcW w:w="1724" w:type="pct"/>
            <w:shd w:val="clear" w:color="auto" w:fill="auto"/>
            <w:vAlign w:val="bottom"/>
          </w:tcPr>
          <w:p w14:paraId="5A1B1984" w14:textId="77777777" w:rsidR="00960BB8" w:rsidRDefault="00960BB8">
            <w:pPr>
              <w:rPr>
                <w:rFonts w:ascii="宋体"/>
              </w:rPr>
            </w:pPr>
          </w:p>
        </w:tc>
        <w:tc>
          <w:tcPr>
            <w:tcW w:w="5" w:type="pct"/>
            <w:shd w:val="clear" w:color="auto" w:fill="auto"/>
            <w:vAlign w:val="bottom"/>
          </w:tcPr>
          <w:p w14:paraId="5A1B1985" w14:textId="77777777" w:rsidR="00960BB8" w:rsidRDefault="00960BB8">
            <w:pPr>
              <w:rPr>
                <w:rFonts w:ascii="宋体"/>
              </w:rPr>
            </w:pPr>
          </w:p>
        </w:tc>
      </w:tr>
      <w:tr w:rsidR="00960BB8" w14:paraId="5A1B198B"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987"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90" wp14:editId="5A1B4491">
                  <wp:extent cx="304800" cy="304800"/>
                  <wp:effectExtent l="0" t="0" r="0" b="0"/>
                  <wp:docPr id="102" name="图片 26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6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988"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989"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98A" w14:textId="77777777" w:rsidR="00960BB8" w:rsidRDefault="00C06650">
            <w:pPr>
              <w:jc w:val="right"/>
              <w:textAlignment w:val="center"/>
            </w:pPr>
            <w:r>
              <w:rPr>
                <w:rFonts w:ascii="Arial" w:eastAsia="宋体" w:hAnsi="Arial" w:cs="Arial"/>
                <w:color w:val="262626"/>
                <w:sz w:val="16"/>
                <w:szCs w:val="16"/>
              </w:rPr>
              <w:t>90</w:t>
            </w:r>
          </w:p>
        </w:tc>
      </w:tr>
    </w:tbl>
    <w:p w14:paraId="5A1B198C" w14:textId="77777777" w:rsidR="00960BB8" w:rsidRDefault="00C06650">
      <w:r>
        <w:pict w14:anchorId="5A1B4492">
          <v:rect id="_x0000_i1116" style="width:415.3pt;height:1.5pt" o:hralign="center" o:hrstd="t" o:hr="t" fillcolor="#a0a0a0" stroked="f"/>
        </w:pict>
      </w:r>
    </w:p>
    <w:p w14:paraId="5A1B198D" w14:textId="77777777" w:rsidR="00960BB8" w:rsidRDefault="00C06650">
      <w:pPr>
        <w:jc w:val="right"/>
      </w:pPr>
      <w:hyperlink r:id="rId139" w:anchor="i8aaa7b4dbd2e419ca0f5c30af85a11aa_16" w:history="1">
        <w:r>
          <w:rPr>
            <w:rStyle w:val="a5"/>
            <w:rFonts w:ascii="Arial" w:eastAsia="宋体" w:hAnsi="Arial" w:cs="Arial"/>
            <w:b/>
            <w:bCs/>
            <w:sz w:val="16"/>
            <w:szCs w:val="16"/>
          </w:rPr>
          <w:t>Table of Contents</w:t>
        </w:r>
      </w:hyperlink>
    </w:p>
    <w:p w14:paraId="5A1B198E"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960BB8" w14:paraId="5A1B1995" w14:textId="77777777">
        <w:tc>
          <w:tcPr>
            <w:tcW w:w="50" w:type="pct"/>
            <w:shd w:val="clear" w:color="auto" w:fill="auto"/>
            <w:vAlign w:val="bottom"/>
          </w:tcPr>
          <w:p w14:paraId="5A1B198F" w14:textId="77777777" w:rsidR="00960BB8" w:rsidRDefault="00960BB8">
            <w:pPr>
              <w:rPr>
                <w:rFonts w:ascii="宋体"/>
              </w:rPr>
            </w:pPr>
          </w:p>
        </w:tc>
        <w:tc>
          <w:tcPr>
            <w:tcW w:w="491" w:type="pct"/>
            <w:shd w:val="clear" w:color="auto" w:fill="auto"/>
            <w:vAlign w:val="bottom"/>
          </w:tcPr>
          <w:p w14:paraId="5A1B1990" w14:textId="77777777" w:rsidR="00960BB8" w:rsidRDefault="00960BB8">
            <w:pPr>
              <w:rPr>
                <w:rFonts w:ascii="宋体"/>
              </w:rPr>
            </w:pPr>
          </w:p>
        </w:tc>
        <w:tc>
          <w:tcPr>
            <w:tcW w:w="5" w:type="pct"/>
            <w:shd w:val="clear" w:color="auto" w:fill="auto"/>
            <w:vAlign w:val="bottom"/>
          </w:tcPr>
          <w:p w14:paraId="5A1B1991" w14:textId="77777777" w:rsidR="00960BB8" w:rsidRDefault="00960BB8">
            <w:pPr>
              <w:rPr>
                <w:rFonts w:ascii="宋体"/>
              </w:rPr>
            </w:pPr>
          </w:p>
        </w:tc>
        <w:tc>
          <w:tcPr>
            <w:tcW w:w="50" w:type="pct"/>
            <w:shd w:val="clear" w:color="auto" w:fill="auto"/>
            <w:vAlign w:val="bottom"/>
          </w:tcPr>
          <w:p w14:paraId="5A1B1992" w14:textId="77777777" w:rsidR="00960BB8" w:rsidRDefault="00960BB8">
            <w:pPr>
              <w:rPr>
                <w:rFonts w:ascii="宋体"/>
              </w:rPr>
            </w:pPr>
          </w:p>
        </w:tc>
        <w:tc>
          <w:tcPr>
            <w:tcW w:w="4398" w:type="pct"/>
            <w:shd w:val="clear" w:color="auto" w:fill="auto"/>
            <w:vAlign w:val="bottom"/>
          </w:tcPr>
          <w:p w14:paraId="5A1B1993" w14:textId="77777777" w:rsidR="00960BB8" w:rsidRDefault="00960BB8">
            <w:pPr>
              <w:rPr>
                <w:rFonts w:ascii="宋体"/>
              </w:rPr>
            </w:pPr>
          </w:p>
        </w:tc>
        <w:tc>
          <w:tcPr>
            <w:tcW w:w="5" w:type="pct"/>
            <w:shd w:val="clear" w:color="auto" w:fill="auto"/>
            <w:vAlign w:val="bottom"/>
          </w:tcPr>
          <w:p w14:paraId="5A1B1994" w14:textId="77777777" w:rsidR="00960BB8" w:rsidRDefault="00960BB8">
            <w:pPr>
              <w:rPr>
                <w:rFonts w:ascii="宋体"/>
              </w:rPr>
            </w:pPr>
          </w:p>
        </w:tc>
      </w:tr>
      <w:tr w:rsidR="00960BB8" w14:paraId="5A1B1998"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1996" w14:textId="77777777" w:rsidR="00960BB8" w:rsidRDefault="00C06650">
            <w:pPr>
              <w:textAlignment w:val="bottom"/>
            </w:pPr>
            <w:r>
              <w:rPr>
                <w:rFonts w:ascii="Arial" w:eastAsia="宋体" w:hAnsi="Arial" w:cs="Arial"/>
                <w:color w:val="FFFFFF"/>
                <w:sz w:val="28"/>
                <w:szCs w:val="28"/>
              </w:rPr>
              <w:t xml:space="preserve">Note 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997" w14:textId="77777777" w:rsidR="00960BB8" w:rsidRDefault="00C06650">
            <w:pPr>
              <w:textAlignment w:val="bottom"/>
            </w:pPr>
            <w:r>
              <w:rPr>
                <w:rFonts w:ascii="Arial" w:eastAsia="宋体" w:hAnsi="Arial" w:cs="Arial"/>
                <w:color w:val="0068B5"/>
                <w:sz w:val="28"/>
                <w:szCs w:val="28"/>
              </w:rPr>
              <w:t>Earnings Per Share</w:t>
            </w:r>
          </w:p>
        </w:tc>
      </w:tr>
    </w:tbl>
    <w:p w14:paraId="5A1B1999"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047"/>
        <w:gridCol w:w="39"/>
        <w:gridCol w:w="36"/>
        <w:gridCol w:w="36"/>
        <w:gridCol w:w="36"/>
        <w:gridCol w:w="121"/>
        <w:gridCol w:w="805"/>
        <w:gridCol w:w="36"/>
        <w:gridCol w:w="36"/>
        <w:gridCol w:w="36"/>
        <w:gridCol w:w="36"/>
        <w:gridCol w:w="121"/>
        <w:gridCol w:w="805"/>
        <w:gridCol w:w="36"/>
        <w:gridCol w:w="36"/>
        <w:gridCol w:w="36"/>
        <w:gridCol w:w="36"/>
        <w:gridCol w:w="121"/>
        <w:gridCol w:w="805"/>
        <w:gridCol w:w="36"/>
      </w:tblGrid>
      <w:tr w:rsidR="00960BB8" w14:paraId="5A1B19AF" w14:textId="77777777">
        <w:tc>
          <w:tcPr>
            <w:tcW w:w="50" w:type="pct"/>
            <w:shd w:val="clear" w:color="auto" w:fill="auto"/>
            <w:vAlign w:val="bottom"/>
          </w:tcPr>
          <w:p w14:paraId="5A1B199A" w14:textId="77777777" w:rsidR="00960BB8" w:rsidRDefault="00960BB8">
            <w:pPr>
              <w:rPr>
                <w:rFonts w:ascii="宋体"/>
              </w:rPr>
            </w:pPr>
          </w:p>
        </w:tc>
        <w:tc>
          <w:tcPr>
            <w:tcW w:w="3059" w:type="pct"/>
            <w:shd w:val="clear" w:color="auto" w:fill="auto"/>
            <w:vAlign w:val="bottom"/>
          </w:tcPr>
          <w:p w14:paraId="5A1B199B" w14:textId="77777777" w:rsidR="00960BB8" w:rsidRDefault="00960BB8">
            <w:pPr>
              <w:rPr>
                <w:rFonts w:ascii="宋体"/>
              </w:rPr>
            </w:pPr>
          </w:p>
        </w:tc>
        <w:tc>
          <w:tcPr>
            <w:tcW w:w="5" w:type="pct"/>
            <w:shd w:val="clear" w:color="auto" w:fill="auto"/>
            <w:vAlign w:val="bottom"/>
          </w:tcPr>
          <w:p w14:paraId="5A1B199C" w14:textId="77777777" w:rsidR="00960BB8" w:rsidRDefault="00960BB8">
            <w:pPr>
              <w:rPr>
                <w:rFonts w:ascii="宋体"/>
              </w:rPr>
            </w:pPr>
          </w:p>
        </w:tc>
        <w:tc>
          <w:tcPr>
            <w:tcW w:w="5" w:type="pct"/>
            <w:shd w:val="clear" w:color="auto" w:fill="auto"/>
            <w:vAlign w:val="bottom"/>
          </w:tcPr>
          <w:p w14:paraId="5A1B199D" w14:textId="77777777" w:rsidR="00960BB8" w:rsidRDefault="00960BB8">
            <w:pPr>
              <w:rPr>
                <w:rFonts w:ascii="宋体"/>
              </w:rPr>
            </w:pPr>
          </w:p>
        </w:tc>
        <w:tc>
          <w:tcPr>
            <w:tcW w:w="24" w:type="pct"/>
            <w:shd w:val="clear" w:color="auto" w:fill="auto"/>
            <w:vAlign w:val="bottom"/>
          </w:tcPr>
          <w:p w14:paraId="5A1B199E" w14:textId="77777777" w:rsidR="00960BB8" w:rsidRDefault="00960BB8">
            <w:pPr>
              <w:rPr>
                <w:rFonts w:ascii="宋体"/>
              </w:rPr>
            </w:pPr>
          </w:p>
        </w:tc>
        <w:tc>
          <w:tcPr>
            <w:tcW w:w="5" w:type="pct"/>
            <w:shd w:val="clear" w:color="auto" w:fill="auto"/>
            <w:vAlign w:val="bottom"/>
          </w:tcPr>
          <w:p w14:paraId="5A1B199F" w14:textId="77777777" w:rsidR="00960BB8" w:rsidRDefault="00960BB8">
            <w:pPr>
              <w:rPr>
                <w:rFonts w:ascii="宋体"/>
              </w:rPr>
            </w:pPr>
          </w:p>
        </w:tc>
        <w:tc>
          <w:tcPr>
            <w:tcW w:w="50" w:type="pct"/>
            <w:shd w:val="clear" w:color="auto" w:fill="auto"/>
            <w:vAlign w:val="bottom"/>
          </w:tcPr>
          <w:p w14:paraId="5A1B19A0" w14:textId="77777777" w:rsidR="00960BB8" w:rsidRDefault="00960BB8">
            <w:pPr>
              <w:rPr>
                <w:rFonts w:ascii="宋体"/>
              </w:rPr>
            </w:pPr>
          </w:p>
        </w:tc>
        <w:tc>
          <w:tcPr>
            <w:tcW w:w="539" w:type="pct"/>
            <w:shd w:val="clear" w:color="auto" w:fill="auto"/>
            <w:vAlign w:val="bottom"/>
          </w:tcPr>
          <w:p w14:paraId="5A1B19A1" w14:textId="77777777" w:rsidR="00960BB8" w:rsidRDefault="00960BB8">
            <w:pPr>
              <w:rPr>
                <w:rFonts w:ascii="宋体"/>
              </w:rPr>
            </w:pPr>
          </w:p>
        </w:tc>
        <w:tc>
          <w:tcPr>
            <w:tcW w:w="5" w:type="pct"/>
            <w:shd w:val="clear" w:color="auto" w:fill="auto"/>
            <w:vAlign w:val="bottom"/>
          </w:tcPr>
          <w:p w14:paraId="5A1B19A2" w14:textId="77777777" w:rsidR="00960BB8" w:rsidRDefault="00960BB8">
            <w:pPr>
              <w:rPr>
                <w:rFonts w:ascii="宋体"/>
              </w:rPr>
            </w:pPr>
          </w:p>
        </w:tc>
        <w:tc>
          <w:tcPr>
            <w:tcW w:w="5" w:type="pct"/>
            <w:shd w:val="clear" w:color="auto" w:fill="auto"/>
            <w:vAlign w:val="bottom"/>
          </w:tcPr>
          <w:p w14:paraId="5A1B19A3" w14:textId="77777777" w:rsidR="00960BB8" w:rsidRDefault="00960BB8">
            <w:pPr>
              <w:rPr>
                <w:rFonts w:ascii="宋体"/>
              </w:rPr>
            </w:pPr>
          </w:p>
        </w:tc>
        <w:tc>
          <w:tcPr>
            <w:tcW w:w="24" w:type="pct"/>
            <w:shd w:val="clear" w:color="auto" w:fill="auto"/>
            <w:vAlign w:val="bottom"/>
          </w:tcPr>
          <w:p w14:paraId="5A1B19A4" w14:textId="77777777" w:rsidR="00960BB8" w:rsidRDefault="00960BB8">
            <w:pPr>
              <w:rPr>
                <w:rFonts w:ascii="宋体"/>
              </w:rPr>
            </w:pPr>
          </w:p>
        </w:tc>
        <w:tc>
          <w:tcPr>
            <w:tcW w:w="5" w:type="pct"/>
            <w:shd w:val="clear" w:color="auto" w:fill="auto"/>
            <w:vAlign w:val="bottom"/>
          </w:tcPr>
          <w:p w14:paraId="5A1B19A5" w14:textId="77777777" w:rsidR="00960BB8" w:rsidRDefault="00960BB8">
            <w:pPr>
              <w:rPr>
                <w:rFonts w:ascii="宋体"/>
              </w:rPr>
            </w:pPr>
          </w:p>
        </w:tc>
        <w:tc>
          <w:tcPr>
            <w:tcW w:w="50" w:type="pct"/>
            <w:shd w:val="clear" w:color="auto" w:fill="auto"/>
            <w:vAlign w:val="bottom"/>
          </w:tcPr>
          <w:p w14:paraId="5A1B19A6" w14:textId="77777777" w:rsidR="00960BB8" w:rsidRDefault="00960BB8">
            <w:pPr>
              <w:rPr>
                <w:rFonts w:ascii="宋体"/>
              </w:rPr>
            </w:pPr>
          </w:p>
        </w:tc>
        <w:tc>
          <w:tcPr>
            <w:tcW w:w="539" w:type="pct"/>
            <w:shd w:val="clear" w:color="auto" w:fill="auto"/>
            <w:vAlign w:val="bottom"/>
          </w:tcPr>
          <w:p w14:paraId="5A1B19A7" w14:textId="77777777" w:rsidR="00960BB8" w:rsidRDefault="00960BB8">
            <w:pPr>
              <w:rPr>
                <w:rFonts w:ascii="宋体"/>
              </w:rPr>
            </w:pPr>
          </w:p>
        </w:tc>
        <w:tc>
          <w:tcPr>
            <w:tcW w:w="5" w:type="pct"/>
            <w:shd w:val="clear" w:color="auto" w:fill="auto"/>
            <w:vAlign w:val="bottom"/>
          </w:tcPr>
          <w:p w14:paraId="5A1B19A8" w14:textId="77777777" w:rsidR="00960BB8" w:rsidRDefault="00960BB8">
            <w:pPr>
              <w:rPr>
                <w:rFonts w:ascii="宋体"/>
              </w:rPr>
            </w:pPr>
          </w:p>
        </w:tc>
        <w:tc>
          <w:tcPr>
            <w:tcW w:w="5" w:type="pct"/>
            <w:shd w:val="clear" w:color="auto" w:fill="auto"/>
            <w:vAlign w:val="bottom"/>
          </w:tcPr>
          <w:p w14:paraId="5A1B19A9" w14:textId="77777777" w:rsidR="00960BB8" w:rsidRDefault="00960BB8">
            <w:pPr>
              <w:rPr>
                <w:rFonts w:ascii="宋体"/>
              </w:rPr>
            </w:pPr>
          </w:p>
        </w:tc>
        <w:tc>
          <w:tcPr>
            <w:tcW w:w="24" w:type="pct"/>
            <w:shd w:val="clear" w:color="auto" w:fill="auto"/>
            <w:vAlign w:val="bottom"/>
          </w:tcPr>
          <w:p w14:paraId="5A1B19AA" w14:textId="77777777" w:rsidR="00960BB8" w:rsidRDefault="00960BB8">
            <w:pPr>
              <w:rPr>
                <w:rFonts w:ascii="宋体"/>
              </w:rPr>
            </w:pPr>
          </w:p>
        </w:tc>
        <w:tc>
          <w:tcPr>
            <w:tcW w:w="5" w:type="pct"/>
            <w:shd w:val="clear" w:color="auto" w:fill="auto"/>
            <w:vAlign w:val="bottom"/>
          </w:tcPr>
          <w:p w14:paraId="5A1B19AB" w14:textId="77777777" w:rsidR="00960BB8" w:rsidRDefault="00960BB8">
            <w:pPr>
              <w:rPr>
                <w:rFonts w:ascii="宋体"/>
              </w:rPr>
            </w:pPr>
          </w:p>
        </w:tc>
        <w:tc>
          <w:tcPr>
            <w:tcW w:w="50" w:type="pct"/>
            <w:shd w:val="clear" w:color="auto" w:fill="auto"/>
            <w:vAlign w:val="bottom"/>
          </w:tcPr>
          <w:p w14:paraId="5A1B19AC" w14:textId="77777777" w:rsidR="00960BB8" w:rsidRDefault="00960BB8">
            <w:pPr>
              <w:rPr>
                <w:rFonts w:ascii="宋体"/>
              </w:rPr>
            </w:pPr>
          </w:p>
        </w:tc>
        <w:tc>
          <w:tcPr>
            <w:tcW w:w="539" w:type="pct"/>
            <w:shd w:val="clear" w:color="auto" w:fill="auto"/>
            <w:vAlign w:val="bottom"/>
          </w:tcPr>
          <w:p w14:paraId="5A1B19AD" w14:textId="77777777" w:rsidR="00960BB8" w:rsidRDefault="00960BB8">
            <w:pPr>
              <w:rPr>
                <w:rFonts w:ascii="宋体"/>
              </w:rPr>
            </w:pPr>
          </w:p>
        </w:tc>
        <w:tc>
          <w:tcPr>
            <w:tcW w:w="5" w:type="pct"/>
            <w:shd w:val="clear" w:color="auto" w:fill="auto"/>
            <w:vAlign w:val="bottom"/>
          </w:tcPr>
          <w:p w14:paraId="5A1B19AE" w14:textId="77777777" w:rsidR="00960BB8" w:rsidRDefault="00960BB8">
            <w:pPr>
              <w:rPr>
                <w:rFonts w:ascii="宋体"/>
              </w:rPr>
            </w:pPr>
          </w:p>
        </w:tc>
      </w:tr>
      <w:tr w:rsidR="00960BB8" w14:paraId="5A1B19B7" w14:textId="77777777">
        <w:tc>
          <w:tcPr>
            <w:tcW w:w="0" w:type="auto"/>
            <w:gridSpan w:val="3"/>
            <w:shd w:val="clear" w:color="auto" w:fill="auto"/>
            <w:tcMar>
              <w:top w:w="40" w:type="dxa"/>
              <w:left w:w="20" w:type="dxa"/>
              <w:bottom w:w="40" w:type="dxa"/>
              <w:right w:w="20" w:type="dxa"/>
            </w:tcMar>
            <w:vAlign w:val="bottom"/>
          </w:tcPr>
          <w:p w14:paraId="5A1B19B0" w14:textId="77777777" w:rsidR="00960BB8" w:rsidRDefault="00C06650">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 Except Per Share Amounts)</w:t>
            </w:r>
          </w:p>
        </w:tc>
        <w:tc>
          <w:tcPr>
            <w:tcW w:w="0" w:type="auto"/>
            <w:gridSpan w:val="3"/>
            <w:shd w:val="clear" w:color="auto" w:fill="auto"/>
            <w:tcMar>
              <w:top w:w="0" w:type="dxa"/>
              <w:left w:w="20" w:type="dxa"/>
              <w:bottom w:w="0" w:type="dxa"/>
              <w:right w:w="20" w:type="dxa"/>
            </w:tcMar>
            <w:vAlign w:val="bottom"/>
          </w:tcPr>
          <w:p w14:paraId="5A1B19B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9B2"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9B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9B4"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19B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9B6"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19C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9B8" w14:textId="77777777" w:rsidR="00960BB8" w:rsidRDefault="00C06650">
            <w:pPr>
              <w:textAlignment w:val="bottom"/>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5A1B19B9"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9BA"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9BB" w14:textId="77777777" w:rsidR="00960BB8" w:rsidRDefault="00C06650">
            <w:pPr>
              <w:jc w:val="right"/>
              <w:textAlignment w:val="bottom"/>
            </w:pPr>
            <w:r>
              <w:rPr>
                <w:rFonts w:ascii="Arial" w:eastAsia="宋体" w:hAnsi="Arial" w:cs="Arial"/>
                <w:b/>
                <w:bCs/>
                <w:color w:val="0068B5"/>
                <w:sz w:val="18"/>
                <w:szCs w:val="18"/>
              </w:rPr>
              <w:t>8,017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9B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B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9BE"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9BF" w14:textId="77777777" w:rsidR="00960BB8" w:rsidRDefault="00C06650">
            <w:pPr>
              <w:jc w:val="right"/>
              <w:textAlignment w:val="bottom"/>
            </w:pPr>
            <w:r>
              <w:rPr>
                <w:rFonts w:ascii="Arial" w:eastAsia="宋体" w:hAnsi="Arial" w:cs="Arial"/>
                <w:b/>
                <w:bCs/>
                <w:color w:val="262626"/>
                <w:sz w:val="18"/>
                <w:szCs w:val="18"/>
              </w:rPr>
              <w:t>19,868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9C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C1"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9C2"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9C3" w14:textId="77777777" w:rsidR="00960BB8" w:rsidRDefault="00C06650">
            <w:pPr>
              <w:jc w:val="right"/>
              <w:textAlignment w:val="bottom"/>
            </w:pPr>
            <w:r>
              <w:rPr>
                <w:rFonts w:ascii="Arial" w:eastAsia="宋体" w:hAnsi="Arial" w:cs="Arial"/>
                <w:b/>
                <w:bCs/>
                <w:color w:val="262626"/>
                <w:sz w:val="18"/>
                <w:szCs w:val="18"/>
              </w:rPr>
              <w:t>20,899</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9C4" w14:textId="77777777" w:rsidR="00960BB8" w:rsidRDefault="00960BB8">
            <w:pPr>
              <w:jc w:val="right"/>
              <w:rPr>
                <w:rFonts w:ascii="宋体"/>
              </w:rPr>
            </w:pPr>
          </w:p>
        </w:tc>
      </w:tr>
      <w:tr w:rsidR="00960BB8" w14:paraId="5A1B19D0" w14:textId="77777777">
        <w:tc>
          <w:tcPr>
            <w:tcW w:w="0" w:type="auto"/>
            <w:gridSpan w:val="3"/>
            <w:shd w:val="clear" w:color="auto" w:fill="auto"/>
            <w:tcMar>
              <w:top w:w="40" w:type="dxa"/>
              <w:left w:w="20" w:type="dxa"/>
              <w:bottom w:w="40" w:type="dxa"/>
              <w:right w:w="20" w:type="dxa"/>
            </w:tcMar>
            <w:vAlign w:val="bottom"/>
          </w:tcPr>
          <w:p w14:paraId="5A1B19C6" w14:textId="77777777" w:rsidR="00960BB8" w:rsidRDefault="00C06650">
            <w:pPr>
              <w:textAlignment w:val="bottom"/>
            </w:pPr>
            <w:r>
              <w:rPr>
                <w:rFonts w:ascii="Arial" w:eastAsia="宋体" w:hAnsi="Arial" w:cs="Arial"/>
                <w:color w:val="262626"/>
                <w:sz w:val="18"/>
                <w:szCs w:val="18"/>
              </w:rPr>
              <w:t>Less: Net income attributable to non-controlling interests</w:t>
            </w:r>
          </w:p>
        </w:tc>
        <w:tc>
          <w:tcPr>
            <w:tcW w:w="0" w:type="auto"/>
            <w:gridSpan w:val="3"/>
            <w:shd w:val="clear" w:color="auto" w:fill="auto"/>
            <w:tcMar>
              <w:top w:w="0" w:type="dxa"/>
              <w:left w:w="20" w:type="dxa"/>
              <w:bottom w:w="0" w:type="dxa"/>
              <w:right w:w="20" w:type="dxa"/>
            </w:tcMar>
            <w:vAlign w:val="bottom"/>
          </w:tcPr>
          <w:p w14:paraId="5A1B19C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C8" w14:textId="77777777" w:rsidR="00960BB8" w:rsidRDefault="00C06650">
            <w:pPr>
              <w:jc w:val="right"/>
              <w:textAlignment w:val="bottom"/>
            </w:pPr>
            <w:r>
              <w:rPr>
                <w:rFonts w:ascii="Arial" w:eastAsia="宋体" w:hAnsi="Arial" w:cs="Arial"/>
                <w:color w:val="0068B5"/>
                <w:sz w:val="18"/>
                <w:szCs w:val="18"/>
              </w:rPr>
              <w:t>3 </w:t>
            </w:r>
          </w:p>
        </w:tc>
        <w:tc>
          <w:tcPr>
            <w:tcW w:w="0" w:type="auto"/>
            <w:shd w:val="clear" w:color="auto" w:fill="auto"/>
            <w:tcMar>
              <w:top w:w="40" w:type="dxa"/>
              <w:left w:w="0" w:type="dxa"/>
              <w:bottom w:w="40" w:type="dxa"/>
              <w:right w:w="20" w:type="dxa"/>
            </w:tcMar>
            <w:vAlign w:val="bottom"/>
          </w:tcPr>
          <w:p w14:paraId="5A1B19C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C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CB"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9C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C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CE"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9CF" w14:textId="77777777" w:rsidR="00960BB8" w:rsidRDefault="00960BB8">
            <w:pPr>
              <w:jc w:val="right"/>
              <w:rPr>
                <w:rFonts w:ascii="宋体"/>
              </w:rPr>
            </w:pPr>
          </w:p>
        </w:tc>
      </w:tr>
      <w:tr w:rsidR="00960BB8" w14:paraId="5A1B19DE" w14:textId="77777777">
        <w:tc>
          <w:tcPr>
            <w:tcW w:w="0" w:type="auto"/>
            <w:gridSpan w:val="3"/>
            <w:shd w:val="clear" w:color="auto" w:fill="auto"/>
            <w:tcMar>
              <w:top w:w="40" w:type="dxa"/>
              <w:left w:w="20" w:type="dxa"/>
              <w:bottom w:w="40" w:type="dxa"/>
              <w:right w:w="20" w:type="dxa"/>
            </w:tcMar>
            <w:vAlign w:val="bottom"/>
          </w:tcPr>
          <w:p w14:paraId="5A1B19D1" w14:textId="77777777" w:rsidR="00960BB8" w:rsidRDefault="00C06650">
            <w:pPr>
              <w:textAlignment w:val="bottom"/>
            </w:pPr>
            <w:r>
              <w:rPr>
                <w:rFonts w:ascii="Arial" w:eastAsia="宋体" w:hAnsi="Arial" w:cs="Arial"/>
                <w:b/>
                <w:bCs/>
                <w:color w:val="262626"/>
                <w:sz w:val="18"/>
                <w:szCs w:val="18"/>
              </w:rPr>
              <w:t>Net income attributable to Intel</w:t>
            </w:r>
          </w:p>
        </w:tc>
        <w:tc>
          <w:tcPr>
            <w:tcW w:w="0" w:type="auto"/>
            <w:gridSpan w:val="3"/>
            <w:shd w:val="clear" w:color="auto" w:fill="auto"/>
            <w:tcMar>
              <w:top w:w="0" w:type="dxa"/>
              <w:left w:w="20" w:type="dxa"/>
              <w:bottom w:w="0" w:type="dxa"/>
              <w:right w:w="20" w:type="dxa"/>
            </w:tcMar>
            <w:vAlign w:val="bottom"/>
          </w:tcPr>
          <w:p w14:paraId="5A1B19D2"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9D3"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9D4" w14:textId="77777777" w:rsidR="00960BB8" w:rsidRDefault="00C06650">
            <w:pPr>
              <w:jc w:val="right"/>
              <w:textAlignment w:val="bottom"/>
            </w:pPr>
            <w:r>
              <w:rPr>
                <w:rFonts w:ascii="Arial" w:eastAsia="宋体" w:hAnsi="Arial" w:cs="Arial"/>
                <w:b/>
                <w:bCs/>
                <w:color w:val="0068B5"/>
                <w:sz w:val="18"/>
                <w:szCs w:val="18"/>
              </w:rPr>
              <w:t>8,014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9D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D6"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9D7"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9D8" w14:textId="77777777" w:rsidR="00960BB8" w:rsidRDefault="00C06650">
            <w:pPr>
              <w:jc w:val="right"/>
              <w:textAlignment w:val="bottom"/>
            </w:pPr>
            <w:r>
              <w:rPr>
                <w:rFonts w:ascii="Arial" w:eastAsia="宋体" w:hAnsi="Arial" w:cs="Arial"/>
                <w:b/>
                <w:bCs/>
                <w:color w:val="262626"/>
                <w:sz w:val="18"/>
                <w:szCs w:val="18"/>
              </w:rPr>
              <w:t>19,868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9D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DA"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9DB"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9DC" w14:textId="77777777" w:rsidR="00960BB8" w:rsidRDefault="00C06650">
            <w:pPr>
              <w:jc w:val="right"/>
              <w:textAlignment w:val="bottom"/>
            </w:pPr>
            <w:r>
              <w:rPr>
                <w:rFonts w:ascii="Arial" w:eastAsia="宋体" w:hAnsi="Arial" w:cs="Arial"/>
                <w:b/>
                <w:bCs/>
                <w:color w:val="262626"/>
                <w:sz w:val="18"/>
                <w:szCs w:val="18"/>
              </w:rPr>
              <w:t>20,899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9DD" w14:textId="77777777" w:rsidR="00960BB8" w:rsidRDefault="00960BB8">
            <w:pPr>
              <w:jc w:val="right"/>
              <w:rPr>
                <w:rFonts w:ascii="宋体"/>
              </w:rPr>
            </w:pPr>
          </w:p>
        </w:tc>
      </w:tr>
      <w:tr w:rsidR="00960BB8" w14:paraId="5A1B19E9" w14:textId="77777777">
        <w:tc>
          <w:tcPr>
            <w:tcW w:w="0" w:type="auto"/>
            <w:gridSpan w:val="3"/>
            <w:shd w:val="clear" w:color="auto" w:fill="auto"/>
            <w:tcMar>
              <w:top w:w="40" w:type="dxa"/>
              <w:left w:w="20" w:type="dxa"/>
              <w:bottom w:w="40" w:type="dxa"/>
              <w:right w:w="20" w:type="dxa"/>
            </w:tcMar>
            <w:vAlign w:val="bottom"/>
          </w:tcPr>
          <w:p w14:paraId="5A1B19DF" w14:textId="77777777" w:rsidR="00960BB8" w:rsidRDefault="00C06650">
            <w:pPr>
              <w:textAlignment w:val="bottom"/>
            </w:pPr>
            <w:r>
              <w:rPr>
                <w:rFonts w:ascii="Arial" w:eastAsia="宋体" w:hAnsi="Arial" w:cs="Arial"/>
                <w:b/>
                <w:bCs/>
                <w:color w:val="262626"/>
                <w:sz w:val="18"/>
                <w:szCs w:val="18"/>
              </w:rPr>
              <w:t>Weighted average shares of common stock outstanding—basic</w:t>
            </w:r>
          </w:p>
        </w:tc>
        <w:tc>
          <w:tcPr>
            <w:tcW w:w="0" w:type="auto"/>
            <w:gridSpan w:val="3"/>
            <w:shd w:val="clear" w:color="auto" w:fill="auto"/>
            <w:tcMar>
              <w:top w:w="0" w:type="dxa"/>
              <w:left w:w="20" w:type="dxa"/>
              <w:bottom w:w="0" w:type="dxa"/>
              <w:right w:w="20" w:type="dxa"/>
            </w:tcMar>
            <w:vAlign w:val="bottom"/>
          </w:tcPr>
          <w:p w14:paraId="5A1B19E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E1" w14:textId="77777777" w:rsidR="00960BB8" w:rsidRDefault="00C06650">
            <w:pPr>
              <w:jc w:val="right"/>
              <w:textAlignment w:val="bottom"/>
            </w:pPr>
            <w:r>
              <w:rPr>
                <w:rFonts w:ascii="Arial" w:eastAsia="宋体" w:hAnsi="Arial" w:cs="Arial"/>
                <w:b/>
                <w:bCs/>
                <w:color w:val="0068B5"/>
                <w:sz w:val="18"/>
                <w:szCs w:val="18"/>
              </w:rPr>
              <w:t>4,108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9E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E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E4" w14:textId="77777777" w:rsidR="00960BB8" w:rsidRDefault="00C06650">
            <w:pPr>
              <w:jc w:val="right"/>
              <w:textAlignment w:val="bottom"/>
            </w:pPr>
            <w:r>
              <w:rPr>
                <w:rFonts w:ascii="Arial" w:eastAsia="宋体" w:hAnsi="Arial" w:cs="Arial"/>
                <w:b/>
                <w:bCs/>
                <w:color w:val="262626"/>
                <w:sz w:val="18"/>
                <w:szCs w:val="18"/>
              </w:rPr>
              <w:t>4,059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9E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E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E7" w14:textId="77777777" w:rsidR="00960BB8" w:rsidRDefault="00C06650">
            <w:pPr>
              <w:jc w:val="right"/>
              <w:textAlignment w:val="bottom"/>
            </w:pPr>
            <w:r>
              <w:rPr>
                <w:rFonts w:ascii="Arial" w:eastAsia="宋体" w:hAnsi="Arial" w:cs="Arial"/>
                <w:b/>
                <w:bCs/>
                <w:color w:val="262626"/>
                <w:sz w:val="18"/>
                <w:szCs w:val="18"/>
              </w:rPr>
              <w:t>4,199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9E8" w14:textId="77777777" w:rsidR="00960BB8" w:rsidRDefault="00960BB8">
            <w:pPr>
              <w:jc w:val="right"/>
              <w:rPr>
                <w:rFonts w:ascii="宋体"/>
              </w:rPr>
            </w:pPr>
          </w:p>
        </w:tc>
      </w:tr>
      <w:tr w:rsidR="00960BB8" w14:paraId="5A1B19F4" w14:textId="77777777">
        <w:tc>
          <w:tcPr>
            <w:tcW w:w="0" w:type="auto"/>
            <w:gridSpan w:val="3"/>
            <w:shd w:val="clear" w:color="auto" w:fill="auto"/>
            <w:tcMar>
              <w:top w:w="40" w:type="dxa"/>
              <w:left w:w="20" w:type="dxa"/>
              <w:bottom w:w="40" w:type="dxa"/>
              <w:right w:w="20" w:type="dxa"/>
            </w:tcMar>
            <w:vAlign w:val="bottom"/>
          </w:tcPr>
          <w:p w14:paraId="5A1B19EA" w14:textId="77777777" w:rsidR="00960BB8" w:rsidRDefault="00C06650">
            <w:pPr>
              <w:textAlignment w:val="bottom"/>
            </w:pPr>
            <w:r>
              <w:rPr>
                <w:rFonts w:ascii="Arial" w:eastAsia="宋体" w:hAnsi="Arial" w:cs="Arial"/>
                <w:color w:val="262626"/>
                <w:sz w:val="18"/>
                <w:szCs w:val="18"/>
              </w:rPr>
              <w:t>Dilutive effect of employee incentive plans</w:t>
            </w:r>
          </w:p>
        </w:tc>
        <w:tc>
          <w:tcPr>
            <w:tcW w:w="0" w:type="auto"/>
            <w:gridSpan w:val="3"/>
            <w:shd w:val="clear" w:color="auto" w:fill="auto"/>
            <w:tcMar>
              <w:top w:w="0" w:type="dxa"/>
              <w:left w:w="20" w:type="dxa"/>
              <w:bottom w:w="0" w:type="dxa"/>
              <w:right w:w="20" w:type="dxa"/>
            </w:tcMar>
            <w:vAlign w:val="bottom"/>
          </w:tcPr>
          <w:p w14:paraId="5A1B19E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EC" w14:textId="77777777" w:rsidR="00960BB8" w:rsidRDefault="00C06650">
            <w:pPr>
              <w:jc w:val="right"/>
              <w:textAlignment w:val="bottom"/>
            </w:pPr>
            <w:r>
              <w:rPr>
                <w:rFonts w:ascii="Arial" w:eastAsia="宋体" w:hAnsi="Arial" w:cs="Arial"/>
                <w:color w:val="0068B5"/>
                <w:sz w:val="18"/>
                <w:szCs w:val="18"/>
              </w:rPr>
              <w:t>15 </w:t>
            </w:r>
          </w:p>
        </w:tc>
        <w:tc>
          <w:tcPr>
            <w:tcW w:w="0" w:type="auto"/>
            <w:shd w:val="clear" w:color="auto" w:fill="auto"/>
            <w:tcMar>
              <w:top w:w="40" w:type="dxa"/>
              <w:left w:w="0" w:type="dxa"/>
              <w:bottom w:w="40" w:type="dxa"/>
              <w:right w:w="20" w:type="dxa"/>
            </w:tcMar>
            <w:vAlign w:val="bottom"/>
          </w:tcPr>
          <w:p w14:paraId="5A1B19E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E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EF" w14:textId="77777777" w:rsidR="00960BB8" w:rsidRDefault="00C06650">
            <w:pPr>
              <w:jc w:val="right"/>
              <w:textAlignment w:val="bottom"/>
            </w:pPr>
            <w:r>
              <w:rPr>
                <w:rFonts w:ascii="Arial" w:eastAsia="宋体" w:hAnsi="Arial" w:cs="Arial"/>
                <w:color w:val="262626"/>
                <w:sz w:val="18"/>
                <w:szCs w:val="18"/>
              </w:rPr>
              <w:t>31 </w:t>
            </w:r>
          </w:p>
        </w:tc>
        <w:tc>
          <w:tcPr>
            <w:tcW w:w="0" w:type="auto"/>
            <w:shd w:val="clear" w:color="auto" w:fill="auto"/>
            <w:tcMar>
              <w:top w:w="40" w:type="dxa"/>
              <w:left w:w="0" w:type="dxa"/>
              <w:bottom w:w="40" w:type="dxa"/>
              <w:right w:w="20" w:type="dxa"/>
            </w:tcMar>
            <w:vAlign w:val="bottom"/>
          </w:tcPr>
          <w:p w14:paraId="5A1B19F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F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9F2" w14:textId="77777777" w:rsidR="00960BB8" w:rsidRDefault="00C06650">
            <w:pPr>
              <w:jc w:val="right"/>
              <w:textAlignment w:val="bottom"/>
            </w:pPr>
            <w:r>
              <w:rPr>
                <w:rFonts w:ascii="Arial" w:eastAsia="宋体" w:hAnsi="Arial" w:cs="Arial"/>
                <w:color w:val="262626"/>
                <w:sz w:val="18"/>
                <w:szCs w:val="18"/>
              </w:rPr>
              <w:t>33 </w:t>
            </w:r>
          </w:p>
        </w:tc>
        <w:tc>
          <w:tcPr>
            <w:tcW w:w="0" w:type="auto"/>
            <w:shd w:val="clear" w:color="auto" w:fill="auto"/>
            <w:tcMar>
              <w:top w:w="40" w:type="dxa"/>
              <w:left w:w="0" w:type="dxa"/>
              <w:bottom w:w="40" w:type="dxa"/>
              <w:right w:w="20" w:type="dxa"/>
            </w:tcMar>
            <w:vAlign w:val="bottom"/>
          </w:tcPr>
          <w:p w14:paraId="5A1B19F3" w14:textId="77777777" w:rsidR="00960BB8" w:rsidRDefault="00960BB8">
            <w:pPr>
              <w:jc w:val="right"/>
              <w:rPr>
                <w:rFonts w:ascii="宋体"/>
              </w:rPr>
            </w:pPr>
          </w:p>
        </w:tc>
      </w:tr>
      <w:tr w:rsidR="00960BB8" w14:paraId="5A1B19FF" w14:textId="77777777">
        <w:tc>
          <w:tcPr>
            <w:tcW w:w="0" w:type="auto"/>
            <w:gridSpan w:val="3"/>
            <w:shd w:val="clear" w:color="auto" w:fill="auto"/>
            <w:tcMar>
              <w:top w:w="40" w:type="dxa"/>
              <w:left w:w="20" w:type="dxa"/>
              <w:bottom w:w="40" w:type="dxa"/>
              <w:right w:w="20" w:type="dxa"/>
            </w:tcMar>
            <w:vAlign w:val="bottom"/>
          </w:tcPr>
          <w:p w14:paraId="5A1B19F5" w14:textId="77777777" w:rsidR="00960BB8" w:rsidRDefault="00C06650">
            <w:pPr>
              <w:textAlignment w:val="bottom"/>
            </w:pPr>
            <w:r>
              <w:rPr>
                <w:rFonts w:ascii="Arial" w:eastAsia="宋体" w:hAnsi="Arial" w:cs="Arial"/>
                <w:b/>
                <w:bCs/>
                <w:color w:val="262626"/>
                <w:sz w:val="18"/>
                <w:szCs w:val="18"/>
              </w:rPr>
              <w:t xml:space="preserve">Weighted average shares of common stock </w:t>
            </w:r>
            <w:r>
              <w:rPr>
                <w:rFonts w:ascii="Arial" w:eastAsia="宋体" w:hAnsi="Arial" w:cs="Arial"/>
                <w:b/>
                <w:bCs/>
                <w:color w:val="262626"/>
                <w:sz w:val="18"/>
                <w:szCs w:val="18"/>
              </w:rPr>
              <w:t>outstanding—diluted</w:t>
            </w:r>
          </w:p>
        </w:tc>
        <w:tc>
          <w:tcPr>
            <w:tcW w:w="0" w:type="auto"/>
            <w:gridSpan w:val="3"/>
            <w:shd w:val="clear" w:color="auto" w:fill="auto"/>
            <w:tcMar>
              <w:top w:w="0" w:type="dxa"/>
              <w:left w:w="20" w:type="dxa"/>
              <w:bottom w:w="0" w:type="dxa"/>
              <w:right w:w="20" w:type="dxa"/>
            </w:tcMar>
            <w:vAlign w:val="bottom"/>
          </w:tcPr>
          <w:p w14:paraId="5A1B19F6"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9F7" w14:textId="77777777" w:rsidR="00960BB8" w:rsidRDefault="00C06650">
            <w:pPr>
              <w:jc w:val="right"/>
              <w:textAlignment w:val="bottom"/>
            </w:pPr>
            <w:r>
              <w:rPr>
                <w:rFonts w:ascii="Arial" w:eastAsia="宋体" w:hAnsi="Arial" w:cs="Arial"/>
                <w:b/>
                <w:bCs/>
                <w:color w:val="0068B5"/>
                <w:sz w:val="18"/>
                <w:szCs w:val="18"/>
              </w:rPr>
              <w:t>4,123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9F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F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9FA" w14:textId="77777777" w:rsidR="00960BB8" w:rsidRDefault="00C06650">
            <w:pPr>
              <w:jc w:val="right"/>
              <w:textAlignment w:val="bottom"/>
            </w:pPr>
            <w:r>
              <w:rPr>
                <w:rFonts w:ascii="Arial" w:eastAsia="宋体" w:hAnsi="Arial" w:cs="Arial"/>
                <w:b/>
                <w:bCs/>
                <w:color w:val="262626"/>
                <w:sz w:val="18"/>
                <w:szCs w:val="18"/>
              </w:rPr>
              <w:t>4,090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9F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9FC"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9FD" w14:textId="77777777" w:rsidR="00960BB8" w:rsidRDefault="00C06650">
            <w:pPr>
              <w:jc w:val="right"/>
              <w:textAlignment w:val="bottom"/>
            </w:pPr>
            <w:r>
              <w:rPr>
                <w:rFonts w:ascii="Arial" w:eastAsia="宋体" w:hAnsi="Arial" w:cs="Arial"/>
                <w:b/>
                <w:bCs/>
                <w:color w:val="262626"/>
                <w:sz w:val="18"/>
                <w:szCs w:val="18"/>
              </w:rPr>
              <w:t>4,232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9FE" w14:textId="77777777" w:rsidR="00960BB8" w:rsidRDefault="00960BB8">
            <w:pPr>
              <w:jc w:val="right"/>
              <w:rPr>
                <w:rFonts w:ascii="宋体"/>
              </w:rPr>
            </w:pPr>
          </w:p>
        </w:tc>
      </w:tr>
      <w:tr w:rsidR="00960BB8" w14:paraId="5A1B1A0D" w14:textId="77777777">
        <w:tc>
          <w:tcPr>
            <w:tcW w:w="0" w:type="auto"/>
            <w:gridSpan w:val="3"/>
            <w:shd w:val="clear" w:color="auto" w:fill="auto"/>
            <w:tcMar>
              <w:top w:w="40" w:type="dxa"/>
              <w:left w:w="20" w:type="dxa"/>
              <w:bottom w:w="40" w:type="dxa"/>
              <w:right w:w="20" w:type="dxa"/>
            </w:tcMar>
            <w:vAlign w:val="bottom"/>
          </w:tcPr>
          <w:p w14:paraId="5A1B1A00" w14:textId="77777777" w:rsidR="00960BB8" w:rsidRDefault="00C06650">
            <w:pPr>
              <w:textAlignment w:val="bottom"/>
            </w:pPr>
            <w:r>
              <w:rPr>
                <w:rFonts w:ascii="Arial" w:eastAsia="宋体" w:hAnsi="Arial" w:cs="Arial"/>
                <w:b/>
                <w:bCs/>
                <w:color w:val="262626"/>
                <w:sz w:val="18"/>
                <w:szCs w:val="18"/>
              </w:rPr>
              <w:t>Earnings per share attributable to Intel—basic</w:t>
            </w:r>
          </w:p>
        </w:tc>
        <w:tc>
          <w:tcPr>
            <w:tcW w:w="0" w:type="auto"/>
            <w:gridSpan w:val="3"/>
            <w:shd w:val="clear" w:color="auto" w:fill="auto"/>
            <w:tcMar>
              <w:top w:w="0" w:type="dxa"/>
              <w:left w:w="20" w:type="dxa"/>
              <w:bottom w:w="0" w:type="dxa"/>
              <w:right w:w="20" w:type="dxa"/>
            </w:tcMar>
            <w:vAlign w:val="bottom"/>
          </w:tcPr>
          <w:p w14:paraId="5A1B1A01"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A02"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A03" w14:textId="77777777" w:rsidR="00960BB8" w:rsidRDefault="00C06650">
            <w:pPr>
              <w:jc w:val="right"/>
              <w:textAlignment w:val="bottom"/>
            </w:pPr>
            <w:r>
              <w:rPr>
                <w:rFonts w:ascii="Arial" w:eastAsia="宋体" w:hAnsi="Arial" w:cs="Arial"/>
                <w:b/>
                <w:bCs/>
                <w:color w:val="0068B5"/>
                <w:sz w:val="18"/>
                <w:szCs w:val="18"/>
              </w:rPr>
              <w:t>1.95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A0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05"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A06"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A07" w14:textId="77777777" w:rsidR="00960BB8" w:rsidRDefault="00C06650">
            <w:pPr>
              <w:jc w:val="right"/>
              <w:textAlignment w:val="bottom"/>
            </w:pPr>
            <w:r>
              <w:rPr>
                <w:rFonts w:ascii="Arial" w:eastAsia="宋体" w:hAnsi="Arial" w:cs="Arial"/>
                <w:b/>
                <w:bCs/>
                <w:color w:val="262626"/>
                <w:sz w:val="18"/>
                <w:szCs w:val="18"/>
              </w:rPr>
              <w:t>4.89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A0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09"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A0A"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A0B" w14:textId="77777777" w:rsidR="00960BB8" w:rsidRDefault="00C06650">
            <w:pPr>
              <w:jc w:val="right"/>
              <w:textAlignment w:val="bottom"/>
            </w:pPr>
            <w:r>
              <w:rPr>
                <w:rFonts w:ascii="Arial" w:eastAsia="宋体" w:hAnsi="Arial" w:cs="Arial"/>
                <w:b/>
                <w:bCs/>
                <w:color w:val="262626"/>
                <w:sz w:val="18"/>
                <w:szCs w:val="18"/>
              </w:rPr>
              <w:t>4.98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A0C" w14:textId="77777777" w:rsidR="00960BB8" w:rsidRDefault="00960BB8">
            <w:pPr>
              <w:jc w:val="right"/>
              <w:rPr>
                <w:rFonts w:ascii="宋体"/>
              </w:rPr>
            </w:pPr>
          </w:p>
        </w:tc>
      </w:tr>
      <w:tr w:rsidR="00960BB8" w14:paraId="5A1B1A1B" w14:textId="77777777">
        <w:tc>
          <w:tcPr>
            <w:tcW w:w="0" w:type="auto"/>
            <w:gridSpan w:val="3"/>
            <w:shd w:val="clear" w:color="auto" w:fill="auto"/>
            <w:tcMar>
              <w:top w:w="40" w:type="dxa"/>
              <w:left w:w="20" w:type="dxa"/>
              <w:bottom w:w="40" w:type="dxa"/>
              <w:right w:w="20" w:type="dxa"/>
            </w:tcMar>
            <w:vAlign w:val="bottom"/>
          </w:tcPr>
          <w:p w14:paraId="5A1B1A0E" w14:textId="77777777" w:rsidR="00960BB8" w:rsidRDefault="00C06650">
            <w:pPr>
              <w:textAlignment w:val="bottom"/>
            </w:pPr>
            <w:r>
              <w:rPr>
                <w:rFonts w:ascii="Arial" w:eastAsia="宋体" w:hAnsi="Arial" w:cs="Arial"/>
                <w:b/>
                <w:bCs/>
                <w:color w:val="262626"/>
                <w:sz w:val="18"/>
                <w:szCs w:val="18"/>
              </w:rPr>
              <w:t>Earnings per share attributable to Intel—diluted</w:t>
            </w:r>
          </w:p>
        </w:tc>
        <w:tc>
          <w:tcPr>
            <w:tcW w:w="0" w:type="auto"/>
            <w:gridSpan w:val="3"/>
            <w:shd w:val="clear" w:color="auto" w:fill="auto"/>
            <w:tcMar>
              <w:top w:w="0" w:type="dxa"/>
              <w:left w:w="20" w:type="dxa"/>
              <w:bottom w:w="0" w:type="dxa"/>
              <w:right w:w="20" w:type="dxa"/>
            </w:tcMar>
            <w:vAlign w:val="bottom"/>
          </w:tcPr>
          <w:p w14:paraId="5A1B1A0F" w14:textId="77777777" w:rsidR="00960BB8" w:rsidRDefault="00960BB8">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5A1B1A10" w14:textId="77777777" w:rsidR="00960BB8" w:rsidRDefault="00C06650">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5A1B1A11" w14:textId="77777777" w:rsidR="00960BB8" w:rsidRDefault="00C06650">
            <w:pPr>
              <w:jc w:val="right"/>
              <w:textAlignment w:val="bottom"/>
            </w:pPr>
            <w:r>
              <w:rPr>
                <w:rFonts w:ascii="Arial" w:eastAsia="宋体" w:hAnsi="Arial" w:cs="Arial"/>
                <w:b/>
                <w:bCs/>
                <w:color w:val="0068B5"/>
                <w:sz w:val="18"/>
                <w:szCs w:val="18"/>
              </w:rPr>
              <w:t>1.94</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5A1B1A1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13" w14:textId="77777777" w:rsidR="00960BB8" w:rsidRDefault="00960BB8">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5A1B1A14" w14:textId="77777777" w:rsidR="00960BB8" w:rsidRDefault="00C06650">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5A1B1A15" w14:textId="77777777" w:rsidR="00960BB8" w:rsidRDefault="00C06650">
            <w:pPr>
              <w:jc w:val="right"/>
              <w:textAlignment w:val="bottom"/>
            </w:pPr>
            <w:r>
              <w:rPr>
                <w:rFonts w:ascii="Arial" w:eastAsia="宋体" w:hAnsi="Arial" w:cs="Arial"/>
                <w:b/>
                <w:bCs/>
                <w:color w:val="262626"/>
                <w:sz w:val="18"/>
                <w:szCs w:val="18"/>
              </w:rPr>
              <w:t>4.86</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5A1B1A1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17" w14:textId="77777777" w:rsidR="00960BB8" w:rsidRDefault="00960BB8">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5A1B1A18" w14:textId="77777777" w:rsidR="00960BB8" w:rsidRDefault="00C06650">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5A1B1A19" w14:textId="77777777" w:rsidR="00960BB8" w:rsidRDefault="00C06650">
            <w:pPr>
              <w:jc w:val="right"/>
              <w:textAlignment w:val="bottom"/>
            </w:pPr>
            <w:r>
              <w:rPr>
                <w:rFonts w:ascii="Arial" w:eastAsia="宋体" w:hAnsi="Arial" w:cs="Arial"/>
                <w:b/>
                <w:bCs/>
                <w:color w:val="262626"/>
                <w:sz w:val="18"/>
                <w:szCs w:val="18"/>
              </w:rPr>
              <w:t>4.94</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5A1B1A1A" w14:textId="77777777" w:rsidR="00960BB8" w:rsidRDefault="00960BB8">
            <w:pPr>
              <w:jc w:val="right"/>
              <w:rPr>
                <w:rFonts w:ascii="宋体"/>
              </w:rPr>
            </w:pPr>
          </w:p>
        </w:tc>
      </w:tr>
    </w:tbl>
    <w:p w14:paraId="5A1B1A1C" w14:textId="77777777" w:rsidR="00960BB8" w:rsidRDefault="00C06650">
      <w:pPr>
        <w:spacing w:before="60" w:after="180"/>
      </w:pPr>
      <w:r>
        <w:rPr>
          <w:rFonts w:ascii="Arial" w:eastAsia="宋体" w:hAnsi="Arial" w:cs="Arial"/>
          <w:color w:val="262626"/>
          <w:sz w:val="18"/>
          <w:szCs w:val="18"/>
        </w:rPr>
        <w:t>We computed diluted earnings per share of common stock based on the weighted average number of shares of common stock outstanding plus potentially dilutive shares of common stock outstanding during the peri</w:t>
      </w:r>
      <w:r>
        <w:rPr>
          <w:rFonts w:ascii="Arial" w:eastAsia="宋体" w:hAnsi="Arial" w:cs="Arial"/>
          <w:color w:val="262626"/>
          <w:sz w:val="18"/>
          <w:szCs w:val="18"/>
        </w:rPr>
        <w:t>od. Potentially dilutive shares of common stock from employee incentive plans are determined by applying the treasury stock method to the assumed exercise of outstanding stock options, the assumed vesting of outstanding RSUs, and the assumed issuance of co</w:t>
      </w:r>
      <w:r>
        <w:rPr>
          <w:rFonts w:ascii="Arial" w:eastAsia="宋体" w:hAnsi="Arial" w:cs="Arial"/>
          <w:color w:val="262626"/>
          <w:sz w:val="18"/>
          <w:szCs w:val="18"/>
        </w:rPr>
        <w:t>mmon stock under the 2006 ESPP.</w:t>
      </w:r>
    </w:p>
    <w:p w14:paraId="5A1B1A1D" w14:textId="77777777" w:rsidR="00960BB8" w:rsidRDefault="00C06650">
      <w:pPr>
        <w:spacing w:after="180"/>
      </w:pPr>
      <w:r>
        <w:rPr>
          <w:rFonts w:ascii="Arial" w:eastAsia="宋体" w:hAnsi="Arial" w:cs="Arial"/>
          <w:color w:val="000000"/>
          <w:sz w:val="18"/>
          <w:szCs w:val="18"/>
        </w:rPr>
        <w:t>During 2022, 70 million RSUs and stock options, as calculated on a weighted average basis for the year, were excluded from the computation of diluted earnings per share in the table above because they would have been anti-di</w:t>
      </w:r>
      <w:r>
        <w:rPr>
          <w:rFonts w:ascii="Arial" w:eastAsia="宋体" w:hAnsi="Arial" w:cs="Arial"/>
          <w:color w:val="000000"/>
          <w:sz w:val="18"/>
          <w:szCs w:val="18"/>
        </w:rPr>
        <w:t>lutive. These RSUs and options could potentially be included in the diluted earnings per share calculation in the future if the average market value of the common shares increases above the exercise price. For 2021 and 2020, all other periods presented, se</w:t>
      </w:r>
      <w:r>
        <w:rPr>
          <w:rFonts w:ascii="Arial" w:eastAsia="宋体" w:hAnsi="Arial" w:cs="Arial"/>
          <w:color w:val="000000"/>
          <w:sz w:val="18"/>
          <w:szCs w:val="18"/>
        </w:rPr>
        <w:t>curities which would have been anti-dilutive were insignificant and have been excluded from the computation of diluted earnings per share.</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A2A" w14:textId="77777777">
        <w:tc>
          <w:tcPr>
            <w:tcW w:w="50" w:type="pct"/>
            <w:shd w:val="clear" w:color="auto" w:fill="auto"/>
            <w:vAlign w:val="bottom"/>
          </w:tcPr>
          <w:p w14:paraId="5A1B1A1E" w14:textId="77777777" w:rsidR="00960BB8" w:rsidRDefault="00960BB8">
            <w:pPr>
              <w:rPr>
                <w:rFonts w:ascii="宋体"/>
              </w:rPr>
            </w:pPr>
          </w:p>
        </w:tc>
        <w:tc>
          <w:tcPr>
            <w:tcW w:w="276" w:type="pct"/>
            <w:shd w:val="clear" w:color="auto" w:fill="auto"/>
            <w:vAlign w:val="bottom"/>
          </w:tcPr>
          <w:p w14:paraId="5A1B1A1F" w14:textId="77777777" w:rsidR="00960BB8" w:rsidRDefault="00960BB8">
            <w:pPr>
              <w:rPr>
                <w:rFonts w:ascii="宋体"/>
              </w:rPr>
            </w:pPr>
          </w:p>
        </w:tc>
        <w:tc>
          <w:tcPr>
            <w:tcW w:w="5" w:type="pct"/>
            <w:shd w:val="clear" w:color="auto" w:fill="auto"/>
            <w:vAlign w:val="bottom"/>
          </w:tcPr>
          <w:p w14:paraId="5A1B1A20" w14:textId="77777777" w:rsidR="00960BB8" w:rsidRDefault="00960BB8">
            <w:pPr>
              <w:rPr>
                <w:rFonts w:ascii="宋体"/>
              </w:rPr>
            </w:pPr>
          </w:p>
        </w:tc>
        <w:tc>
          <w:tcPr>
            <w:tcW w:w="50" w:type="pct"/>
            <w:shd w:val="clear" w:color="auto" w:fill="auto"/>
            <w:vAlign w:val="bottom"/>
          </w:tcPr>
          <w:p w14:paraId="5A1B1A21" w14:textId="77777777" w:rsidR="00960BB8" w:rsidRDefault="00960BB8">
            <w:pPr>
              <w:rPr>
                <w:rFonts w:ascii="宋体"/>
              </w:rPr>
            </w:pPr>
          </w:p>
        </w:tc>
        <w:tc>
          <w:tcPr>
            <w:tcW w:w="940" w:type="pct"/>
            <w:shd w:val="clear" w:color="auto" w:fill="auto"/>
            <w:vAlign w:val="bottom"/>
          </w:tcPr>
          <w:p w14:paraId="5A1B1A22" w14:textId="77777777" w:rsidR="00960BB8" w:rsidRDefault="00960BB8">
            <w:pPr>
              <w:rPr>
                <w:rFonts w:ascii="宋体"/>
              </w:rPr>
            </w:pPr>
          </w:p>
        </w:tc>
        <w:tc>
          <w:tcPr>
            <w:tcW w:w="5" w:type="pct"/>
            <w:shd w:val="clear" w:color="auto" w:fill="auto"/>
            <w:vAlign w:val="bottom"/>
          </w:tcPr>
          <w:p w14:paraId="5A1B1A23" w14:textId="77777777" w:rsidR="00960BB8" w:rsidRDefault="00960BB8">
            <w:pPr>
              <w:rPr>
                <w:rFonts w:ascii="宋体"/>
              </w:rPr>
            </w:pPr>
          </w:p>
        </w:tc>
        <w:tc>
          <w:tcPr>
            <w:tcW w:w="50" w:type="pct"/>
            <w:shd w:val="clear" w:color="auto" w:fill="auto"/>
            <w:vAlign w:val="bottom"/>
          </w:tcPr>
          <w:p w14:paraId="5A1B1A24" w14:textId="77777777" w:rsidR="00960BB8" w:rsidRDefault="00960BB8">
            <w:pPr>
              <w:rPr>
                <w:rFonts w:ascii="宋体"/>
              </w:rPr>
            </w:pPr>
          </w:p>
        </w:tc>
        <w:tc>
          <w:tcPr>
            <w:tcW w:w="1837" w:type="pct"/>
            <w:shd w:val="clear" w:color="auto" w:fill="auto"/>
            <w:vAlign w:val="bottom"/>
          </w:tcPr>
          <w:p w14:paraId="5A1B1A25" w14:textId="77777777" w:rsidR="00960BB8" w:rsidRDefault="00960BB8">
            <w:pPr>
              <w:rPr>
                <w:rFonts w:ascii="宋体"/>
              </w:rPr>
            </w:pPr>
          </w:p>
        </w:tc>
        <w:tc>
          <w:tcPr>
            <w:tcW w:w="5" w:type="pct"/>
            <w:shd w:val="clear" w:color="auto" w:fill="auto"/>
            <w:vAlign w:val="bottom"/>
          </w:tcPr>
          <w:p w14:paraId="5A1B1A26" w14:textId="77777777" w:rsidR="00960BB8" w:rsidRDefault="00960BB8">
            <w:pPr>
              <w:rPr>
                <w:rFonts w:ascii="宋体"/>
              </w:rPr>
            </w:pPr>
          </w:p>
        </w:tc>
        <w:tc>
          <w:tcPr>
            <w:tcW w:w="50" w:type="pct"/>
            <w:shd w:val="clear" w:color="auto" w:fill="auto"/>
            <w:vAlign w:val="bottom"/>
          </w:tcPr>
          <w:p w14:paraId="5A1B1A27" w14:textId="77777777" w:rsidR="00960BB8" w:rsidRDefault="00960BB8">
            <w:pPr>
              <w:rPr>
                <w:rFonts w:ascii="宋体"/>
              </w:rPr>
            </w:pPr>
          </w:p>
        </w:tc>
        <w:tc>
          <w:tcPr>
            <w:tcW w:w="1724" w:type="pct"/>
            <w:shd w:val="clear" w:color="auto" w:fill="auto"/>
            <w:vAlign w:val="bottom"/>
          </w:tcPr>
          <w:p w14:paraId="5A1B1A28" w14:textId="77777777" w:rsidR="00960BB8" w:rsidRDefault="00960BB8">
            <w:pPr>
              <w:rPr>
                <w:rFonts w:ascii="宋体"/>
              </w:rPr>
            </w:pPr>
          </w:p>
        </w:tc>
        <w:tc>
          <w:tcPr>
            <w:tcW w:w="5" w:type="pct"/>
            <w:shd w:val="clear" w:color="auto" w:fill="auto"/>
            <w:vAlign w:val="bottom"/>
          </w:tcPr>
          <w:p w14:paraId="5A1B1A29" w14:textId="77777777" w:rsidR="00960BB8" w:rsidRDefault="00960BB8">
            <w:pPr>
              <w:rPr>
                <w:rFonts w:ascii="宋体"/>
              </w:rPr>
            </w:pPr>
          </w:p>
        </w:tc>
      </w:tr>
      <w:tr w:rsidR="00960BB8" w14:paraId="5A1B1A2F"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A2B"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93" wp14:editId="5A1B4494">
                  <wp:extent cx="304800" cy="304800"/>
                  <wp:effectExtent l="0" t="0" r="0" b="0"/>
                  <wp:docPr id="36" name="图片 27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A2C"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A2D"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A2E" w14:textId="77777777" w:rsidR="00960BB8" w:rsidRDefault="00C06650">
            <w:pPr>
              <w:jc w:val="right"/>
              <w:textAlignment w:val="center"/>
            </w:pPr>
            <w:r>
              <w:rPr>
                <w:rFonts w:ascii="Arial" w:eastAsia="宋体" w:hAnsi="Arial" w:cs="Arial"/>
                <w:color w:val="262626"/>
                <w:sz w:val="16"/>
                <w:szCs w:val="16"/>
              </w:rPr>
              <w:t>91</w:t>
            </w:r>
          </w:p>
        </w:tc>
      </w:tr>
    </w:tbl>
    <w:p w14:paraId="5A1B1A30" w14:textId="77777777" w:rsidR="00960BB8" w:rsidRDefault="00C06650">
      <w:r>
        <w:pict w14:anchorId="5A1B4495">
          <v:rect id="_x0000_i1117" style="width:415.3pt;height:1.5pt" o:hralign="center" o:hrstd="t" o:hr="t" fillcolor="#a0a0a0" stroked="f"/>
        </w:pict>
      </w:r>
    </w:p>
    <w:p w14:paraId="5A1B1A31" w14:textId="77777777" w:rsidR="00960BB8" w:rsidRDefault="00C06650">
      <w:pPr>
        <w:jc w:val="right"/>
      </w:pPr>
      <w:hyperlink r:id="rId140" w:anchor="i8aaa7b4dbd2e419ca0f5c30af85a11aa_16" w:history="1">
        <w:r>
          <w:rPr>
            <w:rStyle w:val="a5"/>
            <w:rFonts w:ascii="Arial" w:eastAsia="宋体" w:hAnsi="Arial" w:cs="Arial"/>
            <w:b/>
            <w:bCs/>
            <w:sz w:val="16"/>
            <w:szCs w:val="16"/>
          </w:rPr>
          <w:t>Table of Contents</w:t>
        </w:r>
      </w:hyperlink>
    </w:p>
    <w:p w14:paraId="5A1B1A32"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960BB8" w14:paraId="5A1B1A39" w14:textId="77777777">
        <w:tc>
          <w:tcPr>
            <w:tcW w:w="50" w:type="pct"/>
            <w:shd w:val="clear" w:color="auto" w:fill="auto"/>
            <w:vAlign w:val="bottom"/>
          </w:tcPr>
          <w:p w14:paraId="5A1B1A33" w14:textId="77777777" w:rsidR="00960BB8" w:rsidRDefault="00960BB8">
            <w:pPr>
              <w:rPr>
                <w:rFonts w:ascii="宋体"/>
              </w:rPr>
            </w:pPr>
          </w:p>
        </w:tc>
        <w:tc>
          <w:tcPr>
            <w:tcW w:w="491" w:type="pct"/>
            <w:shd w:val="clear" w:color="auto" w:fill="auto"/>
            <w:vAlign w:val="bottom"/>
          </w:tcPr>
          <w:p w14:paraId="5A1B1A34" w14:textId="77777777" w:rsidR="00960BB8" w:rsidRDefault="00960BB8">
            <w:pPr>
              <w:rPr>
                <w:rFonts w:ascii="宋体"/>
              </w:rPr>
            </w:pPr>
          </w:p>
        </w:tc>
        <w:tc>
          <w:tcPr>
            <w:tcW w:w="5" w:type="pct"/>
            <w:shd w:val="clear" w:color="auto" w:fill="auto"/>
            <w:vAlign w:val="bottom"/>
          </w:tcPr>
          <w:p w14:paraId="5A1B1A35" w14:textId="77777777" w:rsidR="00960BB8" w:rsidRDefault="00960BB8">
            <w:pPr>
              <w:rPr>
                <w:rFonts w:ascii="宋体"/>
              </w:rPr>
            </w:pPr>
          </w:p>
        </w:tc>
        <w:tc>
          <w:tcPr>
            <w:tcW w:w="50" w:type="pct"/>
            <w:shd w:val="clear" w:color="auto" w:fill="auto"/>
            <w:vAlign w:val="bottom"/>
          </w:tcPr>
          <w:p w14:paraId="5A1B1A36" w14:textId="77777777" w:rsidR="00960BB8" w:rsidRDefault="00960BB8">
            <w:pPr>
              <w:rPr>
                <w:rFonts w:ascii="宋体"/>
              </w:rPr>
            </w:pPr>
          </w:p>
        </w:tc>
        <w:tc>
          <w:tcPr>
            <w:tcW w:w="4398" w:type="pct"/>
            <w:shd w:val="clear" w:color="auto" w:fill="auto"/>
            <w:vAlign w:val="bottom"/>
          </w:tcPr>
          <w:p w14:paraId="5A1B1A37" w14:textId="77777777" w:rsidR="00960BB8" w:rsidRDefault="00960BB8">
            <w:pPr>
              <w:rPr>
                <w:rFonts w:ascii="宋体"/>
              </w:rPr>
            </w:pPr>
          </w:p>
        </w:tc>
        <w:tc>
          <w:tcPr>
            <w:tcW w:w="5" w:type="pct"/>
            <w:shd w:val="clear" w:color="auto" w:fill="auto"/>
            <w:vAlign w:val="bottom"/>
          </w:tcPr>
          <w:p w14:paraId="5A1B1A38" w14:textId="77777777" w:rsidR="00960BB8" w:rsidRDefault="00960BB8">
            <w:pPr>
              <w:rPr>
                <w:rFonts w:ascii="宋体"/>
              </w:rPr>
            </w:pPr>
          </w:p>
        </w:tc>
      </w:tr>
      <w:tr w:rsidR="00960BB8" w14:paraId="5A1B1A3C"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1A3A" w14:textId="77777777" w:rsidR="00960BB8" w:rsidRDefault="00C06650">
            <w:pPr>
              <w:textAlignment w:val="bottom"/>
            </w:pPr>
            <w:r>
              <w:rPr>
                <w:rFonts w:ascii="Arial" w:eastAsia="宋体" w:hAnsi="Arial" w:cs="Arial"/>
                <w:color w:val="FFFFFF"/>
                <w:sz w:val="28"/>
                <w:szCs w:val="28"/>
              </w:rPr>
              <w:t xml:space="preserve">Note 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A3B" w14:textId="77777777" w:rsidR="00960BB8" w:rsidRDefault="00C06650">
            <w:pPr>
              <w:textAlignment w:val="bottom"/>
            </w:pPr>
            <w:r>
              <w:rPr>
                <w:rFonts w:ascii="Arial" w:eastAsia="宋体" w:hAnsi="Arial" w:cs="Arial"/>
                <w:color w:val="0068B5"/>
                <w:sz w:val="28"/>
                <w:szCs w:val="28"/>
              </w:rPr>
              <w:t>Other Financial Statement Details</w:t>
            </w:r>
          </w:p>
        </w:tc>
      </w:tr>
    </w:tbl>
    <w:p w14:paraId="5A1B1A3D" w14:textId="77777777" w:rsidR="00960BB8" w:rsidRDefault="00C06650">
      <w:pPr>
        <w:spacing w:before="180" w:after="180"/>
      </w:pPr>
      <w:r>
        <w:rPr>
          <w:rFonts w:ascii="Arial" w:eastAsia="宋体" w:hAnsi="Arial" w:cs="Arial"/>
          <w:color w:val="0068B5"/>
        </w:rPr>
        <w:t>Accounts Receivable</w:t>
      </w:r>
    </w:p>
    <w:p w14:paraId="5A1B1A3E" w14:textId="77777777" w:rsidR="00960BB8" w:rsidRDefault="00C06650">
      <w:pPr>
        <w:spacing w:after="180"/>
      </w:pPr>
      <w:r>
        <w:rPr>
          <w:rFonts w:ascii="Arial" w:eastAsia="宋体" w:hAnsi="Arial" w:cs="Arial"/>
          <w:color w:val="262626"/>
          <w:sz w:val="18"/>
          <w:szCs w:val="18"/>
        </w:rPr>
        <w:t xml:space="preserve">In 2022, we began selling certain of our accounts receivable on a non-recourse basis to third-party financial institutions. We record these transactions as sales of receivables and present cash proceeds as </w:t>
      </w:r>
      <w:r>
        <w:rPr>
          <w:rFonts w:ascii="Arial" w:eastAsia="宋体" w:hAnsi="Arial" w:cs="Arial"/>
          <w:i/>
          <w:iCs/>
          <w:color w:val="262626"/>
          <w:sz w:val="18"/>
          <w:szCs w:val="18"/>
        </w:rPr>
        <w:t>cash provided by operating activities</w:t>
      </w:r>
      <w:r>
        <w:rPr>
          <w:rFonts w:ascii="Arial" w:eastAsia="宋体" w:hAnsi="Arial" w:cs="Arial"/>
          <w:color w:val="262626"/>
          <w:sz w:val="18"/>
          <w:szCs w:val="18"/>
        </w:rPr>
        <w:t xml:space="preserve"> in the Conso</w:t>
      </w:r>
      <w:r>
        <w:rPr>
          <w:rFonts w:ascii="Arial" w:eastAsia="宋体" w:hAnsi="Arial" w:cs="Arial"/>
          <w:color w:val="262626"/>
          <w:sz w:val="18"/>
          <w:szCs w:val="18"/>
        </w:rPr>
        <w:t xml:space="preserve">lidated Statements of Cash Flows. Accounts receivable sold under non-recourse factoring arrangements were $665 million during 2022 and $0 during 2021. After the sale of our accounts receivable, we will collect payment from the customer and remit it to the </w:t>
      </w:r>
      <w:r>
        <w:rPr>
          <w:rFonts w:ascii="Arial" w:eastAsia="宋体" w:hAnsi="Arial" w:cs="Arial"/>
          <w:color w:val="262626"/>
          <w:sz w:val="18"/>
          <w:szCs w:val="18"/>
        </w:rPr>
        <w:t>third-party financial institution.</w:t>
      </w:r>
    </w:p>
    <w:p w14:paraId="5A1B1A3F" w14:textId="77777777" w:rsidR="00960BB8" w:rsidRDefault="00C06650">
      <w:pPr>
        <w:spacing w:before="180" w:after="180"/>
      </w:pPr>
      <w:r>
        <w:rPr>
          <w:rFonts w:ascii="Arial" w:eastAsia="宋体" w:hAnsi="Arial" w:cs="Arial"/>
          <w:color w:val="0068B5"/>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960BB8" w14:paraId="5A1B1A4F" w14:textId="77777777">
        <w:tc>
          <w:tcPr>
            <w:tcW w:w="50" w:type="pct"/>
            <w:shd w:val="clear" w:color="auto" w:fill="auto"/>
            <w:vAlign w:val="bottom"/>
          </w:tcPr>
          <w:p w14:paraId="5A1B1A40" w14:textId="77777777" w:rsidR="00960BB8" w:rsidRDefault="00960BB8">
            <w:pPr>
              <w:rPr>
                <w:rFonts w:ascii="宋体"/>
              </w:rPr>
            </w:pPr>
          </w:p>
        </w:tc>
        <w:tc>
          <w:tcPr>
            <w:tcW w:w="3688" w:type="pct"/>
            <w:shd w:val="clear" w:color="auto" w:fill="auto"/>
            <w:vAlign w:val="bottom"/>
          </w:tcPr>
          <w:p w14:paraId="5A1B1A41" w14:textId="77777777" w:rsidR="00960BB8" w:rsidRDefault="00960BB8">
            <w:pPr>
              <w:rPr>
                <w:rFonts w:ascii="宋体"/>
              </w:rPr>
            </w:pPr>
          </w:p>
        </w:tc>
        <w:tc>
          <w:tcPr>
            <w:tcW w:w="5" w:type="pct"/>
            <w:shd w:val="clear" w:color="auto" w:fill="auto"/>
            <w:vAlign w:val="bottom"/>
          </w:tcPr>
          <w:p w14:paraId="5A1B1A42" w14:textId="77777777" w:rsidR="00960BB8" w:rsidRDefault="00960BB8">
            <w:pPr>
              <w:rPr>
                <w:rFonts w:ascii="宋体"/>
              </w:rPr>
            </w:pPr>
          </w:p>
        </w:tc>
        <w:tc>
          <w:tcPr>
            <w:tcW w:w="5" w:type="pct"/>
            <w:shd w:val="clear" w:color="auto" w:fill="auto"/>
            <w:vAlign w:val="bottom"/>
          </w:tcPr>
          <w:p w14:paraId="5A1B1A43" w14:textId="77777777" w:rsidR="00960BB8" w:rsidRDefault="00960BB8">
            <w:pPr>
              <w:rPr>
                <w:rFonts w:ascii="宋体"/>
              </w:rPr>
            </w:pPr>
          </w:p>
        </w:tc>
        <w:tc>
          <w:tcPr>
            <w:tcW w:w="24" w:type="pct"/>
            <w:shd w:val="clear" w:color="auto" w:fill="auto"/>
            <w:vAlign w:val="bottom"/>
          </w:tcPr>
          <w:p w14:paraId="5A1B1A44" w14:textId="77777777" w:rsidR="00960BB8" w:rsidRDefault="00960BB8">
            <w:pPr>
              <w:rPr>
                <w:rFonts w:ascii="宋体"/>
              </w:rPr>
            </w:pPr>
          </w:p>
        </w:tc>
        <w:tc>
          <w:tcPr>
            <w:tcW w:w="5" w:type="pct"/>
            <w:shd w:val="clear" w:color="auto" w:fill="auto"/>
            <w:vAlign w:val="bottom"/>
          </w:tcPr>
          <w:p w14:paraId="5A1B1A45" w14:textId="77777777" w:rsidR="00960BB8" w:rsidRDefault="00960BB8">
            <w:pPr>
              <w:rPr>
                <w:rFonts w:ascii="宋体"/>
              </w:rPr>
            </w:pPr>
          </w:p>
        </w:tc>
        <w:tc>
          <w:tcPr>
            <w:tcW w:w="50" w:type="pct"/>
            <w:shd w:val="clear" w:color="auto" w:fill="auto"/>
            <w:vAlign w:val="bottom"/>
          </w:tcPr>
          <w:p w14:paraId="5A1B1A46" w14:textId="77777777" w:rsidR="00960BB8" w:rsidRDefault="00960BB8">
            <w:pPr>
              <w:rPr>
                <w:rFonts w:ascii="宋体"/>
              </w:rPr>
            </w:pPr>
          </w:p>
        </w:tc>
        <w:tc>
          <w:tcPr>
            <w:tcW w:w="539" w:type="pct"/>
            <w:shd w:val="clear" w:color="auto" w:fill="auto"/>
            <w:vAlign w:val="bottom"/>
          </w:tcPr>
          <w:p w14:paraId="5A1B1A47" w14:textId="77777777" w:rsidR="00960BB8" w:rsidRDefault="00960BB8">
            <w:pPr>
              <w:rPr>
                <w:rFonts w:ascii="宋体"/>
              </w:rPr>
            </w:pPr>
          </w:p>
        </w:tc>
        <w:tc>
          <w:tcPr>
            <w:tcW w:w="5" w:type="pct"/>
            <w:shd w:val="clear" w:color="auto" w:fill="auto"/>
            <w:vAlign w:val="bottom"/>
          </w:tcPr>
          <w:p w14:paraId="5A1B1A48" w14:textId="77777777" w:rsidR="00960BB8" w:rsidRDefault="00960BB8">
            <w:pPr>
              <w:rPr>
                <w:rFonts w:ascii="宋体"/>
              </w:rPr>
            </w:pPr>
          </w:p>
        </w:tc>
        <w:tc>
          <w:tcPr>
            <w:tcW w:w="5" w:type="pct"/>
            <w:shd w:val="clear" w:color="auto" w:fill="auto"/>
            <w:vAlign w:val="bottom"/>
          </w:tcPr>
          <w:p w14:paraId="5A1B1A49" w14:textId="77777777" w:rsidR="00960BB8" w:rsidRDefault="00960BB8">
            <w:pPr>
              <w:rPr>
                <w:rFonts w:ascii="宋体"/>
              </w:rPr>
            </w:pPr>
          </w:p>
        </w:tc>
        <w:tc>
          <w:tcPr>
            <w:tcW w:w="24" w:type="pct"/>
            <w:shd w:val="clear" w:color="auto" w:fill="auto"/>
            <w:vAlign w:val="bottom"/>
          </w:tcPr>
          <w:p w14:paraId="5A1B1A4A" w14:textId="77777777" w:rsidR="00960BB8" w:rsidRDefault="00960BB8">
            <w:pPr>
              <w:rPr>
                <w:rFonts w:ascii="宋体"/>
              </w:rPr>
            </w:pPr>
          </w:p>
        </w:tc>
        <w:tc>
          <w:tcPr>
            <w:tcW w:w="5" w:type="pct"/>
            <w:shd w:val="clear" w:color="auto" w:fill="auto"/>
            <w:vAlign w:val="bottom"/>
          </w:tcPr>
          <w:p w14:paraId="5A1B1A4B" w14:textId="77777777" w:rsidR="00960BB8" w:rsidRDefault="00960BB8">
            <w:pPr>
              <w:rPr>
                <w:rFonts w:ascii="宋体"/>
              </w:rPr>
            </w:pPr>
          </w:p>
        </w:tc>
        <w:tc>
          <w:tcPr>
            <w:tcW w:w="50" w:type="pct"/>
            <w:shd w:val="clear" w:color="auto" w:fill="auto"/>
            <w:vAlign w:val="bottom"/>
          </w:tcPr>
          <w:p w14:paraId="5A1B1A4C" w14:textId="77777777" w:rsidR="00960BB8" w:rsidRDefault="00960BB8">
            <w:pPr>
              <w:rPr>
                <w:rFonts w:ascii="宋体"/>
              </w:rPr>
            </w:pPr>
          </w:p>
        </w:tc>
        <w:tc>
          <w:tcPr>
            <w:tcW w:w="539" w:type="pct"/>
            <w:shd w:val="clear" w:color="auto" w:fill="auto"/>
            <w:vAlign w:val="bottom"/>
          </w:tcPr>
          <w:p w14:paraId="5A1B1A4D" w14:textId="77777777" w:rsidR="00960BB8" w:rsidRDefault="00960BB8">
            <w:pPr>
              <w:rPr>
                <w:rFonts w:ascii="宋体"/>
              </w:rPr>
            </w:pPr>
          </w:p>
        </w:tc>
        <w:tc>
          <w:tcPr>
            <w:tcW w:w="5" w:type="pct"/>
            <w:shd w:val="clear" w:color="auto" w:fill="auto"/>
            <w:vAlign w:val="bottom"/>
          </w:tcPr>
          <w:p w14:paraId="5A1B1A4E" w14:textId="77777777" w:rsidR="00960BB8" w:rsidRDefault="00960BB8">
            <w:pPr>
              <w:rPr>
                <w:rFonts w:ascii="宋体"/>
              </w:rPr>
            </w:pPr>
          </w:p>
        </w:tc>
      </w:tr>
      <w:tr w:rsidR="00960BB8" w14:paraId="5A1B1A55" w14:textId="77777777">
        <w:tc>
          <w:tcPr>
            <w:tcW w:w="0" w:type="auto"/>
            <w:gridSpan w:val="3"/>
            <w:shd w:val="clear" w:color="auto" w:fill="auto"/>
            <w:tcMar>
              <w:top w:w="40" w:type="dxa"/>
              <w:left w:w="20" w:type="dxa"/>
              <w:bottom w:w="40" w:type="dxa"/>
              <w:right w:w="20" w:type="dxa"/>
            </w:tcMar>
            <w:vAlign w:val="bottom"/>
          </w:tcPr>
          <w:p w14:paraId="5A1B1A50"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1A5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A52"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A5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A54"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1A5F"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A56" w14:textId="77777777" w:rsidR="00960BB8" w:rsidRDefault="00C06650">
            <w:pPr>
              <w:textAlignment w:val="bottom"/>
            </w:pPr>
            <w:r>
              <w:rPr>
                <w:rFonts w:ascii="Arial" w:eastAsia="宋体" w:hAnsi="Arial" w:cs="Arial"/>
                <w:color w:val="262626"/>
                <w:sz w:val="18"/>
                <w:szCs w:val="18"/>
              </w:rPr>
              <w:t>Raw materials</w:t>
            </w:r>
          </w:p>
        </w:tc>
        <w:tc>
          <w:tcPr>
            <w:tcW w:w="0" w:type="auto"/>
            <w:gridSpan w:val="3"/>
            <w:shd w:val="clear" w:color="auto" w:fill="auto"/>
            <w:tcMar>
              <w:top w:w="0" w:type="dxa"/>
              <w:left w:w="20" w:type="dxa"/>
              <w:bottom w:w="0" w:type="dxa"/>
              <w:right w:w="20" w:type="dxa"/>
            </w:tcMar>
            <w:vAlign w:val="bottom"/>
          </w:tcPr>
          <w:p w14:paraId="5A1B1A57"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A58"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A59" w14:textId="77777777" w:rsidR="00960BB8" w:rsidRDefault="00C06650">
            <w:pPr>
              <w:jc w:val="right"/>
              <w:textAlignment w:val="bottom"/>
            </w:pPr>
            <w:r>
              <w:rPr>
                <w:rFonts w:ascii="Arial" w:eastAsia="宋体" w:hAnsi="Arial" w:cs="Arial"/>
                <w:color w:val="0068B5"/>
                <w:sz w:val="18"/>
                <w:szCs w:val="18"/>
              </w:rPr>
              <w:t>1,517 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A5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5B" w14:textId="77777777" w:rsidR="00960BB8" w:rsidRDefault="00960BB8">
            <w:pPr>
              <w:rPr>
                <w:rFonts w:ascii="宋体"/>
              </w:rPr>
            </w:pPr>
          </w:p>
        </w:tc>
        <w:tc>
          <w:tcPr>
            <w:tcW w:w="0" w:type="auto"/>
            <w:tcBorders>
              <w:top w:val="single" w:sz="8" w:space="0" w:color="0071C5"/>
            </w:tcBorders>
            <w:shd w:val="clear" w:color="auto" w:fill="auto"/>
            <w:tcMar>
              <w:top w:w="40" w:type="dxa"/>
              <w:left w:w="20" w:type="dxa"/>
              <w:bottom w:w="40" w:type="dxa"/>
              <w:right w:w="0" w:type="dxa"/>
            </w:tcMar>
            <w:vAlign w:val="bottom"/>
          </w:tcPr>
          <w:p w14:paraId="5A1B1A5C"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71C5"/>
            </w:tcBorders>
            <w:shd w:val="clear" w:color="auto" w:fill="auto"/>
            <w:tcMar>
              <w:top w:w="40" w:type="dxa"/>
              <w:left w:w="0" w:type="dxa"/>
              <w:bottom w:w="40" w:type="dxa"/>
              <w:right w:w="0" w:type="dxa"/>
            </w:tcMar>
            <w:vAlign w:val="bottom"/>
          </w:tcPr>
          <w:p w14:paraId="5A1B1A5D" w14:textId="77777777" w:rsidR="00960BB8" w:rsidRDefault="00C06650">
            <w:pPr>
              <w:jc w:val="right"/>
              <w:textAlignment w:val="bottom"/>
            </w:pPr>
            <w:r>
              <w:rPr>
                <w:rFonts w:ascii="Arial" w:eastAsia="宋体" w:hAnsi="Arial" w:cs="Arial"/>
                <w:color w:val="262626"/>
                <w:sz w:val="18"/>
                <w:szCs w:val="18"/>
              </w:rPr>
              <w:t>1,441 </w:t>
            </w:r>
          </w:p>
        </w:tc>
        <w:tc>
          <w:tcPr>
            <w:tcW w:w="0" w:type="auto"/>
            <w:tcBorders>
              <w:top w:val="single" w:sz="8" w:space="0" w:color="0071C5"/>
            </w:tcBorders>
            <w:shd w:val="clear" w:color="auto" w:fill="auto"/>
            <w:tcMar>
              <w:top w:w="40" w:type="dxa"/>
              <w:left w:w="0" w:type="dxa"/>
              <w:bottom w:w="40" w:type="dxa"/>
              <w:right w:w="20" w:type="dxa"/>
            </w:tcMar>
            <w:vAlign w:val="bottom"/>
          </w:tcPr>
          <w:p w14:paraId="5A1B1A5E" w14:textId="77777777" w:rsidR="00960BB8" w:rsidRDefault="00960BB8">
            <w:pPr>
              <w:jc w:val="right"/>
              <w:rPr>
                <w:rFonts w:ascii="宋体"/>
              </w:rPr>
            </w:pPr>
          </w:p>
        </w:tc>
      </w:tr>
      <w:tr w:rsidR="00960BB8" w14:paraId="5A1B1A67" w14:textId="77777777">
        <w:tc>
          <w:tcPr>
            <w:tcW w:w="0" w:type="auto"/>
            <w:gridSpan w:val="3"/>
            <w:shd w:val="clear" w:color="auto" w:fill="auto"/>
            <w:tcMar>
              <w:top w:w="40" w:type="dxa"/>
              <w:left w:w="20" w:type="dxa"/>
              <w:bottom w:w="40" w:type="dxa"/>
              <w:right w:w="20" w:type="dxa"/>
            </w:tcMar>
            <w:vAlign w:val="bottom"/>
          </w:tcPr>
          <w:p w14:paraId="5A1B1A60" w14:textId="77777777" w:rsidR="00960BB8" w:rsidRDefault="00C06650">
            <w:pPr>
              <w:textAlignment w:val="bottom"/>
            </w:pPr>
            <w:r>
              <w:rPr>
                <w:rFonts w:ascii="Arial" w:eastAsia="宋体" w:hAnsi="Arial" w:cs="Arial"/>
                <w:color w:val="262626"/>
                <w:sz w:val="18"/>
                <w:szCs w:val="18"/>
              </w:rPr>
              <w:t>Work in process</w:t>
            </w:r>
          </w:p>
        </w:tc>
        <w:tc>
          <w:tcPr>
            <w:tcW w:w="0" w:type="auto"/>
            <w:gridSpan w:val="3"/>
            <w:shd w:val="clear" w:color="auto" w:fill="auto"/>
            <w:tcMar>
              <w:top w:w="0" w:type="dxa"/>
              <w:left w:w="20" w:type="dxa"/>
              <w:bottom w:w="0" w:type="dxa"/>
              <w:right w:w="20" w:type="dxa"/>
            </w:tcMar>
            <w:vAlign w:val="bottom"/>
          </w:tcPr>
          <w:p w14:paraId="5A1B1A6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62" w14:textId="77777777" w:rsidR="00960BB8" w:rsidRDefault="00C06650">
            <w:pPr>
              <w:jc w:val="right"/>
              <w:textAlignment w:val="bottom"/>
            </w:pPr>
            <w:r>
              <w:rPr>
                <w:rFonts w:ascii="Arial" w:eastAsia="宋体" w:hAnsi="Arial" w:cs="Arial"/>
                <w:color w:val="0068B5"/>
                <w:sz w:val="18"/>
                <w:szCs w:val="18"/>
              </w:rPr>
              <w:t>7,565 </w:t>
            </w:r>
          </w:p>
        </w:tc>
        <w:tc>
          <w:tcPr>
            <w:tcW w:w="0" w:type="auto"/>
            <w:shd w:val="clear" w:color="auto" w:fill="auto"/>
            <w:tcMar>
              <w:top w:w="40" w:type="dxa"/>
              <w:left w:w="0" w:type="dxa"/>
              <w:bottom w:w="40" w:type="dxa"/>
              <w:right w:w="20" w:type="dxa"/>
            </w:tcMar>
            <w:vAlign w:val="bottom"/>
          </w:tcPr>
          <w:p w14:paraId="5A1B1A6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6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65" w14:textId="77777777" w:rsidR="00960BB8" w:rsidRDefault="00C06650">
            <w:pPr>
              <w:jc w:val="right"/>
              <w:textAlignment w:val="bottom"/>
            </w:pPr>
            <w:r>
              <w:rPr>
                <w:rFonts w:ascii="Arial" w:eastAsia="宋体" w:hAnsi="Arial" w:cs="Arial"/>
                <w:color w:val="262626"/>
                <w:sz w:val="18"/>
                <w:szCs w:val="18"/>
              </w:rPr>
              <w:t>6,656 </w:t>
            </w:r>
          </w:p>
        </w:tc>
        <w:tc>
          <w:tcPr>
            <w:tcW w:w="0" w:type="auto"/>
            <w:shd w:val="clear" w:color="auto" w:fill="auto"/>
            <w:tcMar>
              <w:top w:w="40" w:type="dxa"/>
              <w:left w:w="0" w:type="dxa"/>
              <w:bottom w:w="40" w:type="dxa"/>
              <w:right w:w="20" w:type="dxa"/>
            </w:tcMar>
            <w:vAlign w:val="bottom"/>
          </w:tcPr>
          <w:p w14:paraId="5A1B1A66" w14:textId="77777777" w:rsidR="00960BB8" w:rsidRDefault="00960BB8">
            <w:pPr>
              <w:jc w:val="right"/>
              <w:rPr>
                <w:rFonts w:ascii="宋体"/>
              </w:rPr>
            </w:pPr>
          </w:p>
        </w:tc>
      </w:tr>
      <w:tr w:rsidR="00960BB8" w14:paraId="5A1B1A6F" w14:textId="77777777">
        <w:tc>
          <w:tcPr>
            <w:tcW w:w="0" w:type="auto"/>
            <w:gridSpan w:val="3"/>
            <w:shd w:val="clear" w:color="auto" w:fill="auto"/>
            <w:tcMar>
              <w:top w:w="40" w:type="dxa"/>
              <w:left w:w="20" w:type="dxa"/>
              <w:bottom w:w="40" w:type="dxa"/>
              <w:right w:w="20" w:type="dxa"/>
            </w:tcMar>
            <w:vAlign w:val="bottom"/>
          </w:tcPr>
          <w:p w14:paraId="5A1B1A68" w14:textId="77777777" w:rsidR="00960BB8" w:rsidRDefault="00C06650">
            <w:pPr>
              <w:textAlignment w:val="bottom"/>
            </w:pPr>
            <w:r>
              <w:rPr>
                <w:rFonts w:ascii="Arial" w:eastAsia="宋体" w:hAnsi="Arial" w:cs="Arial"/>
                <w:color w:val="262626"/>
                <w:sz w:val="18"/>
                <w:szCs w:val="18"/>
              </w:rPr>
              <w:t>Finished goods</w:t>
            </w:r>
          </w:p>
        </w:tc>
        <w:tc>
          <w:tcPr>
            <w:tcW w:w="0" w:type="auto"/>
            <w:gridSpan w:val="3"/>
            <w:shd w:val="clear" w:color="auto" w:fill="auto"/>
            <w:tcMar>
              <w:top w:w="0" w:type="dxa"/>
              <w:left w:w="20" w:type="dxa"/>
              <w:bottom w:w="0" w:type="dxa"/>
              <w:right w:w="20" w:type="dxa"/>
            </w:tcMar>
            <w:vAlign w:val="bottom"/>
          </w:tcPr>
          <w:p w14:paraId="5A1B1A6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6A" w14:textId="77777777" w:rsidR="00960BB8" w:rsidRDefault="00C06650">
            <w:pPr>
              <w:jc w:val="right"/>
              <w:textAlignment w:val="bottom"/>
            </w:pPr>
            <w:r>
              <w:rPr>
                <w:rFonts w:ascii="Arial" w:eastAsia="宋体" w:hAnsi="Arial" w:cs="Arial"/>
                <w:color w:val="0068B5"/>
                <w:sz w:val="18"/>
                <w:szCs w:val="18"/>
              </w:rPr>
              <w:t>4,142 </w:t>
            </w:r>
          </w:p>
        </w:tc>
        <w:tc>
          <w:tcPr>
            <w:tcW w:w="0" w:type="auto"/>
            <w:shd w:val="clear" w:color="auto" w:fill="auto"/>
            <w:tcMar>
              <w:top w:w="40" w:type="dxa"/>
              <w:left w:w="0" w:type="dxa"/>
              <w:bottom w:w="40" w:type="dxa"/>
              <w:right w:w="20" w:type="dxa"/>
            </w:tcMar>
            <w:vAlign w:val="bottom"/>
          </w:tcPr>
          <w:p w14:paraId="5A1B1A6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6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6D" w14:textId="77777777" w:rsidR="00960BB8" w:rsidRDefault="00C06650">
            <w:pPr>
              <w:jc w:val="right"/>
              <w:textAlignment w:val="bottom"/>
            </w:pPr>
            <w:r>
              <w:rPr>
                <w:rFonts w:ascii="Arial" w:eastAsia="宋体" w:hAnsi="Arial" w:cs="Arial"/>
                <w:color w:val="262626"/>
                <w:sz w:val="18"/>
                <w:szCs w:val="18"/>
              </w:rPr>
              <w:t>2,679 </w:t>
            </w:r>
          </w:p>
        </w:tc>
        <w:tc>
          <w:tcPr>
            <w:tcW w:w="0" w:type="auto"/>
            <w:shd w:val="clear" w:color="auto" w:fill="auto"/>
            <w:tcMar>
              <w:top w:w="40" w:type="dxa"/>
              <w:left w:w="0" w:type="dxa"/>
              <w:bottom w:w="40" w:type="dxa"/>
              <w:right w:w="20" w:type="dxa"/>
            </w:tcMar>
            <w:vAlign w:val="bottom"/>
          </w:tcPr>
          <w:p w14:paraId="5A1B1A6E" w14:textId="77777777" w:rsidR="00960BB8" w:rsidRDefault="00960BB8">
            <w:pPr>
              <w:jc w:val="right"/>
              <w:rPr>
                <w:rFonts w:ascii="宋体"/>
              </w:rPr>
            </w:pPr>
          </w:p>
        </w:tc>
      </w:tr>
      <w:tr w:rsidR="00960BB8" w14:paraId="5A1B1A79" w14:textId="77777777">
        <w:tc>
          <w:tcPr>
            <w:tcW w:w="0" w:type="auto"/>
            <w:gridSpan w:val="3"/>
            <w:shd w:val="clear" w:color="auto" w:fill="auto"/>
            <w:tcMar>
              <w:top w:w="40" w:type="dxa"/>
              <w:left w:w="20" w:type="dxa"/>
              <w:bottom w:w="40" w:type="dxa"/>
              <w:right w:w="20" w:type="dxa"/>
            </w:tcMar>
            <w:vAlign w:val="bottom"/>
          </w:tcPr>
          <w:p w14:paraId="5A1B1A70" w14:textId="77777777" w:rsidR="00960BB8" w:rsidRDefault="00C06650">
            <w:pPr>
              <w:textAlignment w:val="bottom"/>
            </w:pPr>
            <w:r>
              <w:rPr>
                <w:rFonts w:ascii="Arial" w:eastAsia="宋体" w:hAnsi="Arial" w:cs="Arial"/>
                <w:b/>
                <w:bCs/>
                <w:color w:val="262626"/>
                <w:sz w:val="18"/>
                <w:szCs w:val="18"/>
              </w:rPr>
              <w:t>Total inventories</w:t>
            </w:r>
          </w:p>
        </w:tc>
        <w:tc>
          <w:tcPr>
            <w:tcW w:w="0" w:type="auto"/>
            <w:gridSpan w:val="3"/>
            <w:shd w:val="clear" w:color="auto" w:fill="auto"/>
            <w:tcMar>
              <w:top w:w="0" w:type="dxa"/>
              <w:left w:w="20" w:type="dxa"/>
              <w:bottom w:w="0" w:type="dxa"/>
              <w:right w:w="20" w:type="dxa"/>
            </w:tcMar>
            <w:vAlign w:val="bottom"/>
          </w:tcPr>
          <w:p w14:paraId="5A1B1A71"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A72"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A73" w14:textId="77777777" w:rsidR="00960BB8" w:rsidRDefault="00C06650">
            <w:pPr>
              <w:jc w:val="right"/>
              <w:textAlignment w:val="bottom"/>
            </w:pPr>
            <w:r>
              <w:rPr>
                <w:rFonts w:ascii="Arial" w:eastAsia="宋体" w:hAnsi="Arial" w:cs="Arial"/>
                <w:b/>
                <w:bCs/>
                <w:color w:val="0068B5"/>
                <w:sz w:val="18"/>
                <w:szCs w:val="18"/>
              </w:rPr>
              <w:t>13,224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A7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75"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A76"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A77" w14:textId="77777777" w:rsidR="00960BB8" w:rsidRDefault="00C06650">
            <w:pPr>
              <w:jc w:val="right"/>
              <w:textAlignment w:val="bottom"/>
            </w:pPr>
            <w:r>
              <w:rPr>
                <w:rFonts w:ascii="Arial" w:eastAsia="宋体" w:hAnsi="Arial" w:cs="Arial"/>
                <w:b/>
                <w:bCs/>
                <w:color w:val="262626"/>
                <w:sz w:val="18"/>
                <w:szCs w:val="18"/>
              </w:rPr>
              <w:t>10,776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A78" w14:textId="77777777" w:rsidR="00960BB8" w:rsidRDefault="00960BB8">
            <w:pPr>
              <w:jc w:val="right"/>
              <w:rPr>
                <w:rFonts w:ascii="宋体"/>
              </w:rPr>
            </w:pPr>
          </w:p>
        </w:tc>
      </w:tr>
    </w:tbl>
    <w:p w14:paraId="5A1B1A7A" w14:textId="77777777" w:rsidR="00960BB8" w:rsidRDefault="00C06650">
      <w:pPr>
        <w:spacing w:before="180" w:after="180"/>
      </w:pPr>
      <w:r>
        <w:rPr>
          <w:rFonts w:ascii="Arial" w:eastAsia="宋体" w:hAnsi="Arial" w:cs="Arial"/>
          <w:color w:val="0068B5"/>
        </w:rPr>
        <w:t>Property, Plant and Equipment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960BB8" w14:paraId="5A1B1A8A" w14:textId="77777777">
        <w:tc>
          <w:tcPr>
            <w:tcW w:w="50" w:type="pct"/>
            <w:shd w:val="clear" w:color="auto" w:fill="auto"/>
            <w:vAlign w:val="bottom"/>
          </w:tcPr>
          <w:p w14:paraId="5A1B1A7B" w14:textId="77777777" w:rsidR="00960BB8" w:rsidRDefault="00960BB8">
            <w:pPr>
              <w:rPr>
                <w:rFonts w:ascii="宋体"/>
              </w:rPr>
            </w:pPr>
          </w:p>
        </w:tc>
        <w:tc>
          <w:tcPr>
            <w:tcW w:w="3688" w:type="pct"/>
            <w:shd w:val="clear" w:color="auto" w:fill="auto"/>
            <w:vAlign w:val="bottom"/>
          </w:tcPr>
          <w:p w14:paraId="5A1B1A7C" w14:textId="77777777" w:rsidR="00960BB8" w:rsidRDefault="00960BB8">
            <w:pPr>
              <w:rPr>
                <w:rFonts w:ascii="宋体"/>
              </w:rPr>
            </w:pPr>
          </w:p>
        </w:tc>
        <w:tc>
          <w:tcPr>
            <w:tcW w:w="5" w:type="pct"/>
            <w:shd w:val="clear" w:color="auto" w:fill="auto"/>
            <w:vAlign w:val="bottom"/>
          </w:tcPr>
          <w:p w14:paraId="5A1B1A7D" w14:textId="77777777" w:rsidR="00960BB8" w:rsidRDefault="00960BB8">
            <w:pPr>
              <w:rPr>
                <w:rFonts w:ascii="宋体"/>
              </w:rPr>
            </w:pPr>
          </w:p>
        </w:tc>
        <w:tc>
          <w:tcPr>
            <w:tcW w:w="5" w:type="pct"/>
            <w:shd w:val="clear" w:color="auto" w:fill="auto"/>
            <w:vAlign w:val="bottom"/>
          </w:tcPr>
          <w:p w14:paraId="5A1B1A7E" w14:textId="77777777" w:rsidR="00960BB8" w:rsidRDefault="00960BB8">
            <w:pPr>
              <w:rPr>
                <w:rFonts w:ascii="宋体"/>
              </w:rPr>
            </w:pPr>
          </w:p>
        </w:tc>
        <w:tc>
          <w:tcPr>
            <w:tcW w:w="24" w:type="pct"/>
            <w:shd w:val="clear" w:color="auto" w:fill="auto"/>
            <w:vAlign w:val="bottom"/>
          </w:tcPr>
          <w:p w14:paraId="5A1B1A7F" w14:textId="77777777" w:rsidR="00960BB8" w:rsidRDefault="00960BB8">
            <w:pPr>
              <w:rPr>
                <w:rFonts w:ascii="宋体"/>
              </w:rPr>
            </w:pPr>
          </w:p>
        </w:tc>
        <w:tc>
          <w:tcPr>
            <w:tcW w:w="5" w:type="pct"/>
            <w:shd w:val="clear" w:color="auto" w:fill="auto"/>
            <w:vAlign w:val="bottom"/>
          </w:tcPr>
          <w:p w14:paraId="5A1B1A80" w14:textId="77777777" w:rsidR="00960BB8" w:rsidRDefault="00960BB8">
            <w:pPr>
              <w:rPr>
                <w:rFonts w:ascii="宋体"/>
              </w:rPr>
            </w:pPr>
          </w:p>
        </w:tc>
        <w:tc>
          <w:tcPr>
            <w:tcW w:w="50" w:type="pct"/>
            <w:shd w:val="clear" w:color="auto" w:fill="auto"/>
            <w:vAlign w:val="bottom"/>
          </w:tcPr>
          <w:p w14:paraId="5A1B1A81" w14:textId="77777777" w:rsidR="00960BB8" w:rsidRDefault="00960BB8">
            <w:pPr>
              <w:rPr>
                <w:rFonts w:ascii="宋体"/>
              </w:rPr>
            </w:pPr>
          </w:p>
        </w:tc>
        <w:tc>
          <w:tcPr>
            <w:tcW w:w="539" w:type="pct"/>
            <w:shd w:val="clear" w:color="auto" w:fill="auto"/>
            <w:vAlign w:val="bottom"/>
          </w:tcPr>
          <w:p w14:paraId="5A1B1A82" w14:textId="77777777" w:rsidR="00960BB8" w:rsidRDefault="00960BB8">
            <w:pPr>
              <w:rPr>
                <w:rFonts w:ascii="宋体"/>
              </w:rPr>
            </w:pPr>
          </w:p>
        </w:tc>
        <w:tc>
          <w:tcPr>
            <w:tcW w:w="5" w:type="pct"/>
            <w:shd w:val="clear" w:color="auto" w:fill="auto"/>
            <w:vAlign w:val="bottom"/>
          </w:tcPr>
          <w:p w14:paraId="5A1B1A83" w14:textId="77777777" w:rsidR="00960BB8" w:rsidRDefault="00960BB8">
            <w:pPr>
              <w:rPr>
                <w:rFonts w:ascii="宋体"/>
              </w:rPr>
            </w:pPr>
          </w:p>
        </w:tc>
        <w:tc>
          <w:tcPr>
            <w:tcW w:w="5" w:type="pct"/>
            <w:shd w:val="clear" w:color="auto" w:fill="auto"/>
            <w:vAlign w:val="bottom"/>
          </w:tcPr>
          <w:p w14:paraId="5A1B1A84" w14:textId="77777777" w:rsidR="00960BB8" w:rsidRDefault="00960BB8">
            <w:pPr>
              <w:rPr>
                <w:rFonts w:ascii="宋体"/>
              </w:rPr>
            </w:pPr>
          </w:p>
        </w:tc>
        <w:tc>
          <w:tcPr>
            <w:tcW w:w="24" w:type="pct"/>
            <w:shd w:val="clear" w:color="auto" w:fill="auto"/>
            <w:vAlign w:val="bottom"/>
          </w:tcPr>
          <w:p w14:paraId="5A1B1A85" w14:textId="77777777" w:rsidR="00960BB8" w:rsidRDefault="00960BB8">
            <w:pPr>
              <w:rPr>
                <w:rFonts w:ascii="宋体"/>
              </w:rPr>
            </w:pPr>
          </w:p>
        </w:tc>
        <w:tc>
          <w:tcPr>
            <w:tcW w:w="5" w:type="pct"/>
            <w:shd w:val="clear" w:color="auto" w:fill="auto"/>
            <w:vAlign w:val="bottom"/>
          </w:tcPr>
          <w:p w14:paraId="5A1B1A86" w14:textId="77777777" w:rsidR="00960BB8" w:rsidRDefault="00960BB8">
            <w:pPr>
              <w:rPr>
                <w:rFonts w:ascii="宋体"/>
              </w:rPr>
            </w:pPr>
          </w:p>
        </w:tc>
        <w:tc>
          <w:tcPr>
            <w:tcW w:w="50" w:type="pct"/>
            <w:shd w:val="clear" w:color="auto" w:fill="auto"/>
            <w:vAlign w:val="bottom"/>
          </w:tcPr>
          <w:p w14:paraId="5A1B1A87" w14:textId="77777777" w:rsidR="00960BB8" w:rsidRDefault="00960BB8">
            <w:pPr>
              <w:rPr>
                <w:rFonts w:ascii="宋体"/>
              </w:rPr>
            </w:pPr>
          </w:p>
        </w:tc>
        <w:tc>
          <w:tcPr>
            <w:tcW w:w="539" w:type="pct"/>
            <w:shd w:val="clear" w:color="auto" w:fill="auto"/>
            <w:vAlign w:val="bottom"/>
          </w:tcPr>
          <w:p w14:paraId="5A1B1A88" w14:textId="77777777" w:rsidR="00960BB8" w:rsidRDefault="00960BB8">
            <w:pPr>
              <w:rPr>
                <w:rFonts w:ascii="宋体"/>
              </w:rPr>
            </w:pPr>
          </w:p>
        </w:tc>
        <w:tc>
          <w:tcPr>
            <w:tcW w:w="5" w:type="pct"/>
            <w:shd w:val="clear" w:color="auto" w:fill="auto"/>
            <w:vAlign w:val="bottom"/>
          </w:tcPr>
          <w:p w14:paraId="5A1B1A89" w14:textId="77777777" w:rsidR="00960BB8" w:rsidRDefault="00960BB8">
            <w:pPr>
              <w:rPr>
                <w:rFonts w:ascii="宋体"/>
              </w:rPr>
            </w:pPr>
          </w:p>
        </w:tc>
      </w:tr>
      <w:tr w:rsidR="00960BB8" w14:paraId="5A1B1A90" w14:textId="77777777">
        <w:tc>
          <w:tcPr>
            <w:tcW w:w="0" w:type="auto"/>
            <w:gridSpan w:val="3"/>
            <w:shd w:val="clear" w:color="auto" w:fill="auto"/>
            <w:tcMar>
              <w:top w:w="40" w:type="dxa"/>
              <w:left w:w="20" w:type="dxa"/>
              <w:bottom w:w="40" w:type="dxa"/>
              <w:right w:w="20" w:type="dxa"/>
            </w:tcMar>
            <w:vAlign w:val="bottom"/>
          </w:tcPr>
          <w:p w14:paraId="5A1B1A8B"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1A8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A8D"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A8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A8F"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1A9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A91" w14:textId="77777777" w:rsidR="00960BB8" w:rsidRDefault="00C06650">
            <w:pPr>
              <w:textAlignment w:val="bottom"/>
            </w:pPr>
            <w:r>
              <w:rPr>
                <w:rFonts w:ascii="Arial" w:eastAsia="宋体" w:hAnsi="Arial" w:cs="Arial"/>
                <w:color w:val="262626"/>
                <w:sz w:val="18"/>
                <w:szCs w:val="18"/>
              </w:rPr>
              <w:t>Land and buildings</w:t>
            </w:r>
          </w:p>
        </w:tc>
        <w:tc>
          <w:tcPr>
            <w:tcW w:w="0" w:type="auto"/>
            <w:gridSpan w:val="3"/>
            <w:shd w:val="clear" w:color="auto" w:fill="auto"/>
            <w:tcMar>
              <w:top w:w="0" w:type="dxa"/>
              <w:left w:w="20" w:type="dxa"/>
              <w:bottom w:w="0" w:type="dxa"/>
              <w:right w:w="20" w:type="dxa"/>
            </w:tcMar>
            <w:vAlign w:val="bottom"/>
          </w:tcPr>
          <w:p w14:paraId="5A1B1A92"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A93"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A94" w14:textId="77777777" w:rsidR="00960BB8" w:rsidRDefault="00C06650">
            <w:pPr>
              <w:jc w:val="right"/>
              <w:textAlignment w:val="bottom"/>
            </w:pPr>
            <w:r>
              <w:rPr>
                <w:rFonts w:ascii="Arial" w:eastAsia="宋体" w:hAnsi="Arial" w:cs="Arial"/>
                <w:color w:val="0068B5"/>
                <w:sz w:val="18"/>
                <w:szCs w:val="18"/>
              </w:rPr>
              <w:t>44,808 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A9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96"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A97"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A98" w14:textId="77777777" w:rsidR="00960BB8" w:rsidRDefault="00C06650">
            <w:pPr>
              <w:jc w:val="right"/>
              <w:textAlignment w:val="bottom"/>
            </w:pPr>
            <w:r>
              <w:rPr>
                <w:rFonts w:ascii="Arial" w:eastAsia="宋体" w:hAnsi="Arial" w:cs="Arial"/>
                <w:color w:val="262626"/>
                <w:sz w:val="18"/>
                <w:szCs w:val="18"/>
              </w:rPr>
              <w:t>40,039 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A99" w14:textId="77777777" w:rsidR="00960BB8" w:rsidRDefault="00960BB8">
            <w:pPr>
              <w:jc w:val="right"/>
              <w:rPr>
                <w:rFonts w:ascii="宋体"/>
              </w:rPr>
            </w:pPr>
          </w:p>
        </w:tc>
      </w:tr>
      <w:tr w:rsidR="00960BB8" w14:paraId="5A1B1AA2" w14:textId="77777777">
        <w:tc>
          <w:tcPr>
            <w:tcW w:w="0" w:type="auto"/>
            <w:gridSpan w:val="3"/>
            <w:shd w:val="clear" w:color="auto" w:fill="auto"/>
            <w:tcMar>
              <w:top w:w="40" w:type="dxa"/>
              <w:left w:w="20" w:type="dxa"/>
              <w:bottom w:w="40" w:type="dxa"/>
              <w:right w:w="20" w:type="dxa"/>
            </w:tcMar>
            <w:vAlign w:val="bottom"/>
          </w:tcPr>
          <w:p w14:paraId="5A1B1A9B" w14:textId="77777777" w:rsidR="00960BB8" w:rsidRDefault="00C06650">
            <w:pPr>
              <w:textAlignment w:val="bottom"/>
            </w:pPr>
            <w:r>
              <w:rPr>
                <w:rFonts w:ascii="Arial" w:eastAsia="宋体" w:hAnsi="Arial" w:cs="Arial"/>
                <w:color w:val="262626"/>
                <w:sz w:val="18"/>
                <w:szCs w:val="18"/>
              </w:rPr>
              <w:t>Machinery and equipment</w:t>
            </w:r>
          </w:p>
        </w:tc>
        <w:tc>
          <w:tcPr>
            <w:tcW w:w="0" w:type="auto"/>
            <w:gridSpan w:val="3"/>
            <w:shd w:val="clear" w:color="auto" w:fill="auto"/>
            <w:tcMar>
              <w:top w:w="0" w:type="dxa"/>
              <w:left w:w="20" w:type="dxa"/>
              <w:bottom w:w="0" w:type="dxa"/>
              <w:right w:w="20" w:type="dxa"/>
            </w:tcMar>
            <w:vAlign w:val="bottom"/>
          </w:tcPr>
          <w:p w14:paraId="5A1B1A9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9D" w14:textId="77777777" w:rsidR="00960BB8" w:rsidRDefault="00C06650">
            <w:pPr>
              <w:jc w:val="right"/>
              <w:textAlignment w:val="bottom"/>
            </w:pPr>
            <w:r>
              <w:rPr>
                <w:rFonts w:ascii="Arial" w:eastAsia="宋体" w:hAnsi="Arial" w:cs="Arial"/>
                <w:color w:val="0068B5"/>
                <w:sz w:val="18"/>
                <w:szCs w:val="18"/>
              </w:rPr>
              <w:t>92,711 </w:t>
            </w:r>
          </w:p>
        </w:tc>
        <w:tc>
          <w:tcPr>
            <w:tcW w:w="0" w:type="auto"/>
            <w:shd w:val="clear" w:color="auto" w:fill="auto"/>
            <w:tcMar>
              <w:top w:w="40" w:type="dxa"/>
              <w:left w:w="0" w:type="dxa"/>
              <w:bottom w:w="40" w:type="dxa"/>
              <w:right w:w="20" w:type="dxa"/>
            </w:tcMar>
            <w:vAlign w:val="bottom"/>
          </w:tcPr>
          <w:p w14:paraId="5A1B1A9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9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A0" w14:textId="77777777" w:rsidR="00960BB8" w:rsidRDefault="00C06650">
            <w:pPr>
              <w:jc w:val="right"/>
              <w:textAlignment w:val="bottom"/>
            </w:pPr>
            <w:r>
              <w:rPr>
                <w:rFonts w:ascii="Arial" w:eastAsia="宋体" w:hAnsi="Arial" w:cs="Arial"/>
                <w:color w:val="262626"/>
                <w:sz w:val="18"/>
                <w:szCs w:val="18"/>
              </w:rPr>
              <w:t>86,955 </w:t>
            </w:r>
          </w:p>
        </w:tc>
        <w:tc>
          <w:tcPr>
            <w:tcW w:w="0" w:type="auto"/>
            <w:shd w:val="clear" w:color="auto" w:fill="auto"/>
            <w:tcMar>
              <w:top w:w="40" w:type="dxa"/>
              <w:left w:w="0" w:type="dxa"/>
              <w:bottom w:w="40" w:type="dxa"/>
              <w:right w:w="20" w:type="dxa"/>
            </w:tcMar>
            <w:vAlign w:val="bottom"/>
          </w:tcPr>
          <w:p w14:paraId="5A1B1AA1" w14:textId="77777777" w:rsidR="00960BB8" w:rsidRDefault="00960BB8">
            <w:pPr>
              <w:jc w:val="right"/>
              <w:rPr>
                <w:rFonts w:ascii="宋体"/>
              </w:rPr>
            </w:pPr>
          </w:p>
        </w:tc>
      </w:tr>
      <w:tr w:rsidR="00960BB8" w14:paraId="5A1B1AAA" w14:textId="77777777">
        <w:tc>
          <w:tcPr>
            <w:tcW w:w="0" w:type="auto"/>
            <w:gridSpan w:val="3"/>
            <w:shd w:val="clear" w:color="auto" w:fill="auto"/>
            <w:tcMar>
              <w:top w:w="40" w:type="dxa"/>
              <w:left w:w="20" w:type="dxa"/>
              <w:bottom w:w="40" w:type="dxa"/>
              <w:right w:w="20" w:type="dxa"/>
            </w:tcMar>
            <w:vAlign w:val="bottom"/>
          </w:tcPr>
          <w:p w14:paraId="5A1B1AA3" w14:textId="77777777" w:rsidR="00960BB8" w:rsidRDefault="00C06650">
            <w:pPr>
              <w:textAlignment w:val="bottom"/>
            </w:pPr>
            <w:r>
              <w:rPr>
                <w:rFonts w:ascii="Arial" w:eastAsia="宋体" w:hAnsi="Arial" w:cs="Arial"/>
                <w:color w:val="262626"/>
                <w:sz w:val="18"/>
                <w:szCs w:val="18"/>
              </w:rPr>
              <w:t>Construction in progress</w:t>
            </w:r>
          </w:p>
        </w:tc>
        <w:tc>
          <w:tcPr>
            <w:tcW w:w="0" w:type="auto"/>
            <w:gridSpan w:val="3"/>
            <w:shd w:val="clear" w:color="auto" w:fill="auto"/>
            <w:tcMar>
              <w:top w:w="0" w:type="dxa"/>
              <w:left w:w="20" w:type="dxa"/>
              <w:bottom w:w="0" w:type="dxa"/>
              <w:right w:w="20" w:type="dxa"/>
            </w:tcMar>
            <w:vAlign w:val="bottom"/>
          </w:tcPr>
          <w:p w14:paraId="5A1B1AA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A5" w14:textId="77777777" w:rsidR="00960BB8" w:rsidRDefault="00C06650">
            <w:pPr>
              <w:jc w:val="right"/>
              <w:textAlignment w:val="bottom"/>
            </w:pPr>
            <w:r>
              <w:rPr>
                <w:rFonts w:ascii="Arial" w:eastAsia="宋体" w:hAnsi="Arial" w:cs="Arial"/>
                <w:color w:val="0068B5"/>
                <w:sz w:val="18"/>
                <w:szCs w:val="18"/>
              </w:rPr>
              <w:t>36,727 </w:t>
            </w:r>
          </w:p>
        </w:tc>
        <w:tc>
          <w:tcPr>
            <w:tcW w:w="0" w:type="auto"/>
            <w:shd w:val="clear" w:color="auto" w:fill="auto"/>
            <w:tcMar>
              <w:top w:w="40" w:type="dxa"/>
              <w:left w:w="0" w:type="dxa"/>
              <w:bottom w:w="40" w:type="dxa"/>
              <w:right w:w="20" w:type="dxa"/>
            </w:tcMar>
            <w:vAlign w:val="bottom"/>
          </w:tcPr>
          <w:p w14:paraId="5A1B1AA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A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A8" w14:textId="77777777" w:rsidR="00960BB8" w:rsidRDefault="00C06650">
            <w:pPr>
              <w:jc w:val="right"/>
              <w:textAlignment w:val="bottom"/>
            </w:pPr>
            <w:r>
              <w:rPr>
                <w:rFonts w:ascii="Arial" w:eastAsia="宋体" w:hAnsi="Arial" w:cs="Arial"/>
                <w:color w:val="262626"/>
                <w:sz w:val="18"/>
                <w:szCs w:val="18"/>
              </w:rPr>
              <w:t>21,545 </w:t>
            </w:r>
          </w:p>
        </w:tc>
        <w:tc>
          <w:tcPr>
            <w:tcW w:w="0" w:type="auto"/>
            <w:shd w:val="clear" w:color="auto" w:fill="auto"/>
            <w:tcMar>
              <w:top w:w="40" w:type="dxa"/>
              <w:left w:w="0" w:type="dxa"/>
              <w:bottom w:w="40" w:type="dxa"/>
              <w:right w:w="20" w:type="dxa"/>
            </w:tcMar>
            <w:vAlign w:val="bottom"/>
          </w:tcPr>
          <w:p w14:paraId="5A1B1AA9" w14:textId="77777777" w:rsidR="00960BB8" w:rsidRDefault="00960BB8">
            <w:pPr>
              <w:jc w:val="right"/>
              <w:rPr>
                <w:rFonts w:ascii="宋体"/>
              </w:rPr>
            </w:pPr>
          </w:p>
        </w:tc>
      </w:tr>
      <w:tr w:rsidR="00960BB8" w14:paraId="5A1B1AB2" w14:textId="77777777">
        <w:tc>
          <w:tcPr>
            <w:tcW w:w="0" w:type="auto"/>
            <w:gridSpan w:val="3"/>
            <w:shd w:val="clear" w:color="auto" w:fill="auto"/>
            <w:tcMar>
              <w:top w:w="40" w:type="dxa"/>
              <w:left w:w="20" w:type="dxa"/>
              <w:bottom w:w="40" w:type="dxa"/>
              <w:right w:w="20" w:type="dxa"/>
            </w:tcMar>
            <w:vAlign w:val="bottom"/>
          </w:tcPr>
          <w:p w14:paraId="5A1B1AAB" w14:textId="77777777" w:rsidR="00960BB8" w:rsidRDefault="00C06650">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property, plant and equipment, gross</w:t>
            </w:r>
          </w:p>
        </w:tc>
        <w:tc>
          <w:tcPr>
            <w:tcW w:w="0" w:type="auto"/>
            <w:gridSpan w:val="3"/>
            <w:shd w:val="clear" w:color="auto" w:fill="auto"/>
            <w:tcMar>
              <w:top w:w="0" w:type="dxa"/>
              <w:left w:w="20" w:type="dxa"/>
              <w:bottom w:w="0" w:type="dxa"/>
              <w:right w:w="20" w:type="dxa"/>
            </w:tcMar>
            <w:vAlign w:val="bottom"/>
          </w:tcPr>
          <w:p w14:paraId="5A1B1AAC"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AAD" w14:textId="77777777" w:rsidR="00960BB8" w:rsidRDefault="00C06650">
            <w:pPr>
              <w:jc w:val="right"/>
              <w:textAlignment w:val="bottom"/>
            </w:pPr>
            <w:r>
              <w:rPr>
                <w:rFonts w:ascii="Arial" w:eastAsia="宋体" w:hAnsi="Arial" w:cs="Arial"/>
                <w:b/>
                <w:bCs/>
                <w:color w:val="0068B5"/>
                <w:sz w:val="18"/>
                <w:szCs w:val="18"/>
              </w:rPr>
              <w:t>174,246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AA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AF"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AB0" w14:textId="77777777" w:rsidR="00960BB8" w:rsidRDefault="00C06650">
            <w:pPr>
              <w:jc w:val="right"/>
              <w:textAlignment w:val="bottom"/>
            </w:pPr>
            <w:r>
              <w:rPr>
                <w:rFonts w:ascii="Arial" w:eastAsia="宋体" w:hAnsi="Arial" w:cs="Arial"/>
                <w:b/>
                <w:bCs/>
                <w:color w:val="262626"/>
                <w:sz w:val="18"/>
                <w:szCs w:val="18"/>
              </w:rPr>
              <w:t>148,539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AB1" w14:textId="77777777" w:rsidR="00960BB8" w:rsidRDefault="00960BB8">
            <w:pPr>
              <w:jc w:val="right"/>
              <w:rPr>
                <w:rFonts w:ascii="宋体"/>
              </w:rPr>
            </w:pPr>
          </w:p>
        </w:tc>
      </w:tr>
      <w:tr w:rsidR="00960BB8" w14:paraId="5A1B1ABA" w14:textId="77777777">
        <w:tc>
          <w:tcPr>
            <w:tcW w:w="0" w:type="auto"/>
            <w:gridSpan w:val="3"/>
            <w:shd w:val="clear" w:color="auto" w:fill="auto"/>
            <w:tcMar>
              <w:top w:w="40" w:type="dxa"/>
              <w:left w:w="20" w:type="dxa"/>
              <w:bottom w:w="40" w:type="dxa"/>
              <w:right w:w="20" w:type="dxa"/>
            </w:tcMar>
            <w:vAlign w:val="bottom"/>
          </w:tcPr>
          <w:p w14:paraId="5A1B1AB3" w14:textId="77777777" w:rsidR="00960BB8" w:rsidRDefault="00C06650">
            <w:pPr>
              <w:textAlignment w:val="bottom"/>
            </w:pPr>
            <w:r>
              <w:rPr>
                <w:rFonts w:ascii="Arial" w:eastAsia="宋体" w:hAnsi="Arial" w:cs="Arial"/>
                <w:color w:val="262626"/>
                <w:sz w:val="18"/>
                <w:szCs w:val="18"/>
              </w:rPr>
              <w:t>Less: Accumulated depreciation</w:t>
            </w:r>
          </w:p>
        </w:tc>
        <w:tc>
          <w:tcPr>
            <w:tcW w:w="0" w:type="auto"/>
            <w:gridSpan w:val="3"/>
            <w:shd w:val="clear" w:color="auto" w:fill="auto"/>
            <w:tcMar>
              <w:top w:w="0" w:type="dxa"/>
              <w:left w:w="20" w:type="dxa"/>
              <w:bottom w:w="0" w:type="dxa"/>
              <w:right w:w="20" w:type="dxa"/>
            </w:tcMar>
            <w:vAlign w:val="bottom"/>
          </w:tcPr>
          <w:p w14:paraId="5A1B1AB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B5" w14:textId="77777777" w:rsidR="00960BB8" w:rsidRDefault="00C06650">
            <w:pPr>
              <w:jc w:val="right"/>
              <w:textAlignment w:val="bottom"/>
            </w:pPr>
            <w:r>
              <w:rPr>
                <w:rFonts w:ascii="Arial" w:eastAsia="宋体" w:hAnsi="Arial" w:cs="Arial"/>
                <w:color w:val="0068B5"/>
                <w:sz w:val="18"/>
                <w:szCs w:val="18"/>
              </w:rPr>
              <w:t>(93,386)</w:t>
            </w:r>
          </w:p>
        </w:tc>
        <w:tc>
          <w:tcPr>
            <w:tcW w:w="0" w:type="auto"/>
            <w:shd w:val="clear" w:color="auto" w:fill="auto"/>
            <w:tcMar>
              <w:top w:w="40" w:type="dxa"/>
              <w:left w:w="0" w:type="dxa"/>
              <w:bottom w:w="40" w:type="dxa"/>
              <w:right w:w="20" w:type="dxa"/>
            </w:tcMar>
            <w:vAlign w:val="bottom"/>
          </w:tcPr>
          <w:p w14:paraId="5A1B1AB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B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B8" w14:textId="77777777" w:rsidR="00960BB8" w:rsidRDefault="00C06650">
            <w:pPr>
              <w:jc w:val="right"/>
              <w:textAlignment w:val="bottom"/>
            </w:pPr>
            <w:r>
              <w:rPr>
                <w:rFonts w:ascii="Arial" w:eastAsia="宋体" w:hAnsi="Arial" w:cs="Arial"/>
                <w:color w:val="262626"/>
                <w:sz w:val="18"/>
                <w:szCs w:val="18"/>
              </w:rPr>
              <w:t>(85,294)</w:t>
            </w:r>
          </w:p>
        </w:tc>
        <w:tc>
          <w:tcPr>
            <w:tcW w:w="0" w:type="auto"/>
            <w:shd w:val="clear" w:color="auto" w:fill="auto"/>
            <w:tcMar>
              <w:top w:w="40" w:type="dxa"/>
              <w:left w:w="0" w:type="dxa"/>
              <w:bottom w:w="40" w:type="dxa"/>
              <w:right w:w="20" w:type="dxa"/>
            </w:tcMar>
            <w:vAlign w:val="bottom"/>
          </w:tcPr>
          <w:p w14:paraId="5A1B1AB9" w14:textId="77777777" w:rsidR="00960BB8" w:rsidRDefault="00960BB8">
            <w:pPr>
              <w:jc w:val="right"/>
              <w:rPr>
                <w:rFonts w:ascii="宋体"/>
              </w:rPr>
            </w:pPr>
          </w:p>
        </w:tc>
      </w:tr>
      <w:tr w:rsidR="00960BB8" w14:paraId="5A1B1AC4" w14:textId="77777777">
        <w:tc>
          <w:tcPr>
            <w:tcW w:w="0" w:type="auto"/>
            <w:gridSpan w:val="3"/>
            <w:shd w:val="clear" w:color="auto" w:fill="auto"/>
            <w:tcMar>
              <w:top w:w="40" w:type="dxa"/>
              <w:left w:w="20" w:type="dxa"/>
              <w:bottom w:w="40" w:type="dxa"/>
              <w:right w:w="20" w:type="dxa"/>
            </w:tcMar>
            <w:vAlign w:val="bottom"/>
          </w:tcPr>
          <w:p w14:paraId="5A1B1ABB" w14:textId="77777777" w:rsidR="00960BB8" w:rsidRDefault="00C06650">
            <w:pPr>
              <w:textAlignment w:val="bottom"/>
            </w:pPr>
            <w:r>
              <w:rPr>
                <w:rFonts w:ascii="Arial" w:eastAsia="宋体" w:hAnsi="Arial" w:cs="Arial"/>
                <w:b/>
                <w:bCs/>
                <w:color w:val="262626"/>
                <w:sz w:val="18"/>
                <w:szCs w:val="18"/>
              </w:rPr>
              <w:t>Total property, plant and equipment, net</w:t>
            </w:r>
          </w:p>
        </w:tc>
        <w:tc>
          <w:tcPr>
            <w:tcW w:w="0" w:type="auto"/>
            <w:gridSpan w:val="3"/>
            <w:shd w:val="clear" w:color="auto" w:fill="auto"/>
            <w:tcMar>
              <w:top w:w="0" w:type="dxa"/>
              <w:left w:w="20" w:type="dxa"/>
              <w:bottom w:w="0" w:type="dxa"/>
              <w:right w:w="20" w:type="dxa"/>
            </w:tcMar>
            <w:vAlign w:val="bottom"/>
          </w:tcPr>
          <w:p w14:paraId="5A1B1ABC"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ABD"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ABE" w14:textId="77777777" w:rsidR="00960BB8" w:rsidRDefault="00C06650">
            <w:pPr>
              <w:jc w:val="right"/>
              <w:textAlignment w:val="bottom"/>
            </w:pPr>
            <w:r>
              <w:rPr>
                <w:rFonts w:ascii="Arial" w:eastAsia="宋体" w:hAnsi="Arial" w:cs="Arial"/>
                <w:b/>
                <w:bCs/>
                <w:color w:val="0068B5"/>
                <w:sz w:val="18"/>
                <w:szCs w:val="18"/>
              </w:rPr>
              <w:t>80,860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AB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C0"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AC1"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AC2" w14:textId="77777777" w:rsidR="00960BB8" w:rsidRDefault="00C06650">
            <w:pPr>
              <w:jc w:val="right"/>
              <w:textAlignment w:val="bottom"/>
            </w:pPr>
            <w:r>
              <w:rPr>
                <w:rFonts w:ascii="Arial" w:eastAsia="宋体" w:hAnsi="Arial" w:cs="Arial"/>
                <w:b/>
                <w:bCs/>
                <w:color w:val="262626"/>
                <w:sz w:val="18"/>
                <w:szCs w:val="18"/>
              </w:rPr>
              <w:t>63,245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AC3" w14:textId="77777777" w:rsidR="00960BB8" w:rsidRDefault="00960BB8">
            <w:pPr>
              <w:jc w:val="right"/>
              <w:rPr>
                <w:rFonts w:ascii="宋体"/>
              </w:rPr>
            </w:pPr>
          </w:p>
        </w:tc>
      </w:tr>
    </w:tbl>
    <w:p w14:paraId="5A1B1AC5" w14:textId="77777777" w:rsidR="00960BB8" w:rsidRDefault="00C06650">
      <w:pPr>
        <w:spacing w:before="60" w:after="180"/>
      </w:pPr>
      <w:r>
        <w:rPr>
          <w:rFonts w:ascii="Arial" w:eastAsia="宋体" w:hAnsi="Arial" w:cs="Arial"/>
          <w:color w:val="262626"/>
          <w:sz w:val="18"/>
          <w:szCs w:val="18"/>
        </w:rPr>
        <w:t xml:space="preserve">Our depreciable property, plant and equipment assets are depreciated over the following estimated useful lives: machinery and equipment, 3 to 5 years; and buildings, 10 to 25 years. </w:t>
      </w:r>
    </w:p>
    <w:p w14:paraId="5A1B1AC6" w14:textId="77777777" w:rsidR="00960BB8" w:rsidRDefault="00C06650">
      <w:pPr>
        <w:spacing w:after="120"/>
      </w:pPr>
      <w:r>
        <w:rPr>
          <w:rFonts w:ascii="Arial" w:eastAsia="宋体" w:hAnsi="Arial" w:cs="Arial"/>
          <w:color w:val="262626"/>
          <w:sz w:val="18"/>
          <w:szCs w:val="18"/>
        </w:rPr>
        <w:t>Net property, plant and equipment by country at the end of each period wa</w:t>
      </w:r>
      <w:r>
        <w:rPr>
          <w:rFonts w:ascii="Arial" w:eastAsia="宋体" w:hAnsi="Arial" w:cs="Arial"/>
          <w:color w:val="262626"/>
          <w:sz w:val="18"/>
          <w:szCs w:val="18"/>
        </w:rPr>
        <w:t>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051"/>
        <w:gridCol w:w="37"/>
        <w:gridCol w:w="36"/>
        <w:gridCol w:w="36"/>
        <w:gridCol w:w="36"/>
        <w:gridCol w:w="121"/>
        <w:gridCol w:w="804"/>
        <w:gridCol w:w="36"/>
        <w:gridCol w:w="36"/>
        <w:gridCol w:w="36"/>
        <w:gridCol w:w="36"/>
        <w:gridCol w:w="121"/>
        <w:gridCol w:w="804"/>
        <w:gridCol w:w="36"/>
        <w:gridCol w:w="36"/>
        <w:gridCol w:w="36"/>
      </w:tblGrid>
      <w:tr w:rsidR="00960BB8" w14:paraId="5A1B1AD8" w14:textId="77777777">
        <w:trPr>
          <w:jc w:val="center"/>
        </w:trPr>
        <w:tc>
          <w:tcPr>
            <w:tcW w:w="50" w:type="pct"/>
            <w:shd w:val="clear" w:color="auto" w:fill="auto"/>
            <w:vAlign w:val="bottom"/>
          </w:tcPr>
          <w:p w14:paraId="5A1B1AC7" w14:textId="77777777" w:rsidR="00960BB8" w:rsidRDefault="00960BB8">
            <w:pPr>
              <w:rPr>
                <w:rFonts w:ascii="宋体"/>
              </w:rPr>
            </w:pPr>
          </w:p>
        </w:tc>
        <w:tc>
          <w:tcPr>
            <w:tcW w:w="3688" w:type="pct"/>
            <w:shd w:val="clear" w:color="auto" w:fill="auto"/>
            <w:vAlign w:val="bottom"/>
          </w:tcPr>
          <w:p w14:paraId="5A1B1AC8" w14:textId="77777777" w:rsidR="00960BB8" w:rsidRDefault="00960BB8">
            <w:pPr>
              <w:rPr>
                <w:rFonts w:ascii="宋体"/>
              </w:rPr>
            </w:pPr>
          </w:p>
        </w:tc>
        <w:tc>
          <w:tcPr>
            <w:tcW w:w="5" w:type="pct"/>
            <w:shd w:val="clear" w:color="auto" w:fill="auto"/>
            <w:vAlign w:val="bottom"/>
          </w:tcPr>
          <w:p w14:paraId="5A1B1AC9" w14:textId="77777777" w:rsidR="00960BB8" w:rsidRDefault="00960BB8">
            <w:pPr>
              <w:rPr>
                <w:rFonts w:ascii="宋体"/>
              </w:rPr>
            </w:pPr>
          </w:p>
        </w:tc>
        <w:tc>
          <w:tcPr>
            <w:tcW w:w="5" w:type="pct"/>
            <w:shd w:val="clear" w:color="auto" w:fill="auto"/>
            <w:vAlign w:val="bottom"/>
          </w:tcPr>
          <w:p w14:paraId="5A1B1ACA" w14:textId="77777777" w:rsidR="00960BB8" w:rsidRDefault="00960BB8">
            <w:pPr>
              <w:rPr>
                <w:rFonts w:ascii="宋体"/>
              </w:rPr>
            </w:pPr>
          </w:p>
        </w:tc>
        <w:tc>
          <w:tcPr>
            <w:tcW w:w="24" w:type="pct"/>
            <w:shd w:val="clear" w:color="auto" w:fill="auto"/>
            <w:vAlign w:val="bottom"/>
          </w:tcPr>
          <w:p w14:paraId="5A1B1ACB" w14:textId="77777777" w:rsidR="00960BB8" w:rsidRDefault="00960BB8">
            <w:pPr>
              <w:rPr>
                <w:rFonts w:ascii="宋体"/>
              </w:rPr>
            </w:pPr>
          </w:p>
        </w:tc>
        <w:tc>
          <w:tcPr>
            <w:tcW w:w="5" w:type="pct"/>
            <w:shd w:val="clear" w:color="auto" w:fill="auto"/>
            <w:vAlign w:val="bottom"/>
          </w:tcPr>
          <w:p w14:paraId="5A1B1ACC" w14:textId="77777777" w:rsidR="00960BB8" w:rsidRDefault="00960BB8">
            <w:pPr>
              <w:rPr>
                <w:rFonts w:ascii="宋体"/>
              </w:rPr>
            </w:pPr>
          </w:p>
        </w:tc>
        <w:tc>
          <w:tcPr>
            <w:tcW w:w="50" w:type="pct"/>
            <w:shd w:val="clear" w:color="auto" w:fill="auto"/>
            <w:vAlign w:val="bottom"/>
          </w:tcPr>
          <w:p w14:paraId="5A1B1ACD" w14:textId="77777777" w:rsidR="00960BB8" w:rsidRDefault="00960BB8">
            <w:pPr>
              <w:rPr>
                <w:rFonts w:ascii="宋体"/>
              </w:rPr>
            </w:pPr>
          </w:p>
        </w:tc>
        <w:tc>
          <w:tcPr>
            <w:tcW w:w="539" w:type="pct"/>
            <w:shd w:val="clear" w:color="auto" w:fill="auto"/>
            <w:vAlign w:val="bottom"/>
          </w:tcPr>
          <w:p w14:paraId="5A1B1ACE" w14:textId="77777777" w:rsidR="00960BB8" w:rsidRDefault="00960BB8">
            <w:pPr>
              <w:rPr>
                <w:rFonts w:ascii="宋体"/>
              </w:rPr>
            </w:pPr>
          </w:p>
        </w:tc>
        <w:tc>
          <w:tcPr>
            <w:tcW w:w="5" w:type="pct"/>
            <w:shd w:val="clear" w:color="auto" w:fill="auto"/>
            <w:vAlign w:val="bottom"/>
          </w:tcPr>
          <w:p w14:paraId="5A1B1ACF" w14:textId="77777777" w:rsidR="00960BB8" w:rsidRDefault="00960BB8">
            <w:pPr>
              <w:rPr>
                <w:rFonts w:ascii="宋体"/>
              </w:rPr>
            </w:pPr>
          </w:p>
        </w:tc>
        <w:tc>
          <w:tcPr>
            <w:tcW w:w="5" w:type="pct"/>
            <w:shd w:val="clear" w:color="auto" w:fill="auto"/>
            <w:vAlign w:val="bottom"/>
          </w:tcPr>
          <w:p w14:paraId="5A1B1AD0" w14:textId="77777777" w:rsidR="00960BB8" w:rsidRDefault="00960BB8">
            <w:pPr>
              <w:rPr>
                <w:rFonts w:ascii="宋体"/>
              </w:rPr>
            </w:pPr>
          </w:p>
        </w:tc>
        <w:tc>
          <w:tcPr>
            <w:tcW w:w="24" w:type="pct"/>
            <w:shd w:val="clear" w:color="auto" w:fill="auto"/>
            <w:vAlign w:val="bottom"/>
          </w:tcPr>
          <w:p w14:paraId="5A1B1AD1" w14:textId="77777777" w:rsidR="00960BB8" w:rsidRDefault="00960BB8">
            <w:pPr>
              <w:rPr>
                <w:rFonts w:ascii="宋体"/>
              </w:rPr>
            </w:pPr>
          </w:p>
        </w:tc>
        <w:tc>
          <w:tcPr>
            <w:tcW w:w="5" w:type="pct"/>
            <w:shd w:val="clear" w:color="auto" w:fill="auto"/>
            <w:vAlign w:val="bottom"/>
          </w:tcPr>
          <w:p w14:paraId="5A1B1AD2" w14:textId="77777777" w:rsidR="00960BB8" w:rsidRDefault="00960BB8">
            <w:pPr>
              <w:rPr>
                <w:rFonts w:ascii="宋体"/>
              </w:rPr>
            </w:pPr>
          </w:p>
        </w:tc>
        <w:tc>
          <w:tcPr>
            <w:tcW w:w="50" w:type="pct"/>
            <w:shd w:val="clear" w:color="auto" w:fill="auto"/>
            <w:vAlign w:val="bottom"/>
          </w:tcPr>
          <w:p w14:paraId="5A1B1AD3" w14:textId="77777777" w:rsidR="00960BB8" w:rsidRDefault="00960BB8">
            <w:pPr>
              <w:rPr>
                <w:rFonts w:ascii="宋体"/>
              </w:rPr>
            </w:pPr>
          </w:p>
        </w:tc>
        <w:tc>
          <w:tcPr>
            <w:tcW w:w="539" w:type="pct"/>
            <w:shd w:val="clear" w:color="auto" w:fill="auto"/>
            <w:vAlign w:val="bottom"/>
          </w:tcPr>
          <w:p w14:paraId="5A1B1AD4" w14:textId="77777777" w:rsidR="00960BB8" w:rsidRDefault="00960BB8">
            <w:pPr>
              <w:rPr>
                <w:rFonts w:ascii="宋体"/>
              </w:rPr>
            </w:pPr>
          </w:p>
        </w:tc>
        <w:tc>
          <w:tcPr>
            <w:tcW w:w="5" w:type="pct"/>
            <w:shd w:val="clear" w:color="auto" w:fill="auto"/>
            <w:vAlign w:val="bottom"/>
          </w:tcPr>
          <w:p w14:paraId="5A1B1AD5" w14:textId="77777777" w:rsidR="00960BB8" w:rsidRDefault="00960BB8">
            <w:pPr>
              <w:rPr>
                <w:rFonts w:ascii="宋体"/>
              </w:rPr>
            </w:pPr>
          </w:p>
        </w:tc>
        <w:tc>
          <w:tcPr>
            <w:tcW w:w="0" w:type="auto"/>
            <w:shd w:val="clear" w:color="auto" w:fill="auto"/>
            <w:vAlign w:val="bottom"/>
          </w:tcPr>
          <w:p w14:paraId="5A1B1AD6" w14:textId="77777777" w:rsidR="00960BB8" w:rsidRDefault="00960BB8">
            <w:pPr>
              <w:rPr>
                <w:rFonts w:ascii="宋体"/>
                <w:vanish/>
              </w:rPr>
            </w:pPr>
          </w:p>
        </w:tc>
        <w:tc>
          <w:tcPr>
            <w:tcW w:w="0" w:type="auto"/>
            <w:shd w:val="clear" w:color="auto" w:fill="auto"/>
            <w:vAlign w:val="bottom"/>
          </w:tcPr>
          <w:p w14:paraId="5A1B1AD7" w14:textId="77777777" w:rsidR="00960BB8" w:rsidRDefault="00960BB8">
            <w:pPr>
              <w:rPr>
                <w:rFonts w:ascii="宋体"/>
                <w:vanish/>
              </w:rPr>
            </w:pPr>
          </w:p>
        </w:tc>
      </w:tr>
      <w:tr w:rsidR="00960BB8" w14:paraId="5A1B1AE0" w14:textId="77777777">
        <w:trPr>
          <w:jc w:val="center"/>
        </w:trPr>
        <w:tc>
          <w:tcPr>
            <w:tcW w:w="0" w:type="auto"/>
            <w:gridSpan w:val="3"/>
            <w:shd w:val="clear" w:color="auto" w:fill="auto"/>
            <w:tcMar>
              <w:top w:w="40" w:type="dxa"/>
              <w:left w:w="20" w:type="dxa"/>
              <w:bottom w:w="40" w:type="dxa"/>
              <w:right w:w="20" w:type="dxa"/>
            </w:tcMar>
            <w:vAlign w:val="bottom"/>
          </w:tcPr>
          <w:p w14:paraId="5A1B1AD9"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1AD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ADB"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AD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ADD"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shd w:val="clear" w:color="auto" w:fill="auto"/>
            <w:vAlign w:val="bottom"/>
          </w:tcPr>
          <w:p w14:paraId="5A1B1ADE" w14:textId="77777777" w:rsidR="00960BB8" w:rsidRDefault="00960BB8">
            <w:pPr>
              <w:rPr>
                <w:rFonts w:ascii="宋体"/>
                <w:vanish/>
              </w:rPr>
            </w:pPr>
          </w:p>
        </w:tc>
        <w:tc>
          <w:tcPr>
            <w:tcW w:w="0" w:type="auto"/>
            <w:shd w:val="clear" w:color="auto" w:fill="auto"/>
            <w:vAlign w:val="bottom"/>
          </w:tcPr>
          <w:p w14:paraId="5A1B1ADF" w14:textId="77777777" w:rsidR="00960BB8" w:rsidRDefault="00960BB8">
            <w:pPr>
              <w:rPr>
                <w:rFonts w:ascii="宋体"/>
                <w:vanish/>
              </w:rPr>
            </w:pPr>
          </w:p>
        </w:tc>
      </w:tr>
      <w:tr w:rsidR="00960BB8" w14:paraId="5A1B1AEC"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AE1" w14:textId="77777777" w:rsidR="00960BB8" w:rsidRDefault="00C06650">
            <w:pPr>
              <w:textAlignment w:val="bottom"/>
            </w:pPr>
            <w:r>
              <w:rPr>
                <w:rFonts w:ascii="Arial" w:eastAsia="宋体" w:hAnsi="Arial" w:cs="Arial"/>
                <w:color w:val="262626"/>
                <w:sz w:val="18"/>
                <w:szCs w:val="18"/>
              </w:rPr>
              <w:t>United States</w:t>
            </w:r>
          </w:p>
        </w:tc>
        <w:tc>
          <w:tcPr>
            <w:tcW w:w="0" w:type="auto"/>
            <w:gridSpan w:val="3"/>
            <w:shd w:val="clear" w:color="auto" w:fill="auto"/>
            <w:tcMar>
              <w:top w:w="0" w:type="dxa"/>
              <w:left w:w="20" w:type="dxa"/>
              <w:bottom w:w="0" w:type="dxa"/>
              <w:right w:w="20" w:type="dxa"/>
            </w:tcMar>
            <w:vAlign w:val="bottom"/>
          </w:tcPr>
          <w:p w14:paraId="5A1B1AE2"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AE3"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AE4" w14:textId="77777777" w:rsidR="00960BB8" w:rsidRDefault="00C06650">
            <w:pPr>
              <w:jc w:val="right"/>
              <w:textAlignment w:val="bottom"/>
            </w:pPr>
            <w:r>
              <w:rPr>
                <w:rFonts w:ascii="Arial" w:eastAsia="宋体" w:hAnsi="Arial" w:cs="Arial"/>
                <w:color w:val="0068B5"/>
                <w:sz w:val="18"/>
                <w:szCs w:val="18"/>
              </w:rPr>
              <w:t>53,681 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AE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E6"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AE7"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AE8" w14:textId="77777777" w:rsidR="00960BB8" w:rsidRDefault="00C06650">
            <w:pPr>
              <w:jc w:val="right"/>
              <w:textAlignment w:val="bottom"/>
            </w:pPr>
            <w:r>
              <w:rPr>
                <w:rFonts w:ascii="Arial" w:eastAsia="宋体" w:hAnsi="Arial" w:cs="Arial"/>
                <w:color w:val="262626"/>
                <w:sz w:val="18"/>
                <w:szCs w:val="18"/>
              </w:rPr>
              <w:t>43,428 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AE9" w14:textId="77777777" w:rsidR="00960BB8" w:rsidRDefault="00960BB8">
            <w:pPr>
              <w:jc w:val="right"/>
              <w:rPr>
                <w:rFonts w:ascii="宋体"/>
              </w:rPr>
            </w:pPr>
          </w:p>
        </w:tc>
        <w:tc>
          <w:tcPr>
            <w:tcW w:w="0" w:type="auto"/>
            <w:shd w:val="clear" w:color="auto" w:fill="auto"/>
            <w:vAlign w:val="bottom"/>
          </w:tcPr>
          <w:p w14:paraId="5A1B1AEA" w14:textId="77777777" w:rsidR="00960BB8" w:rsidRDefault="00960BB8">
            <w:pPr>
              <w:rPr>
                <w:rFonts w:ascii="宋体"/>
                <w:vanish/>
              </w:rPr>
            </w:pPr>
          </w:p>
        </w:tc>
        <w:tc>
          <w:tcPr>
            <w:tcW w:w="0" w:type="auto"/>
            <w:shd w:val="clear" w:color="auto" w:fill="auto"/>
            <w:vAlign w:val="bottom"/>
          </w:tcPr>
          <w:p w14:paraId="5A1B1AEB" w14:textId="77777777" w:rsidR="00960BB8" w:rsidRDefault="00960BB8">
            <w:pPr>
              <w:rPr>
                <w:rFonts w:ascii="宋体"/>
                <w:vanish/>
              </w:rPr>
            </w:pPr>
          </w:p>
        </w:tc>
      </w:tr>
      <w:tr w:rsidR="00960BB8" w14:paraId="5A1B1AF6" w14:textId="77777777">
        <w:trPr>
          <w:jc w:val="center"/>
        </w:trPr>
        <w:tc>
          <w:tcPr>
            <w:tcW w:w="0" w:type="auto"/>
            <w:gridSpan w:val="3"/>
            <w:shd w:val="clear" w:color="auto" w:fill="auto"/>
            <w:tcMar>
              <w:top w:w="40" w:type="dxa"/>
              <w:left w:w="20" w:type="dxa"/>
              <w:bottom w:w="40" w:type="dxa"/>
              <w:right w:w="20" w:type="dxa"/>
            </w:tcMar>
            <w:vAlign w:val="bottom"/>
          </w:tcPr>
          <w:p w14:paraId="5A1B1AED" w14:textId="77777777" w:rsidR="00960BB8" w:rsidRDefault="00C06650">
            <w:pPr>
              <w:textAlignment w:val="bottom"/>
            </w:pPr>
            <w:r>
              <w:rPr>
                <w:rFonts w:ascii="Arial" w:eastAsia="宋体" w:hAnsi="Arial" w:cs="Arial"/>
                <w:color w:val="262626"/>
                <w:sz w:val="18"/>
                <w:szCs w:val="18"/>
              </w:rPr>
              <w:t>Ireland</w:t>
            </w:r>
          </w:p>
        </w:tc>
        <w:tc>
          <w:tcPr>
            <w:tcW w:w="0" w:type="auto"/>
            <w:gridSpan w:val="3"/>
            <w:shd w:val="clear" w:color="auto" w:fill="auto"/>
            <w:tcMar>
              <w:top w:w="0" w:type="dxa"/>
              <w:left w:w="20" w:type="dxa"/>
              <w:bottom w:w="0" w:type="dxa"/>
              <w:right w:w="20" w:type="dxa"/>
            </w:tcMar>
            <w:vAlign w:val="bottom"/>
          </w:tcPr>
          <w:p w14:paraId="5A1B1AE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EF" w14:textId="77777777" w:rsidR="00960BB8" w:rsidRDefault="00C06650">
            <w:pPr>
              <w:jc w:val="right"/>
              <w:textAlignment w:val="bottom"/>
            </w:pPr>
            <w:r>
              <w:rPr>
                <w:rFonts w:ascii="Arial" w:eastAsia="宋体" w:hAnsi="Arial" w:cs="Arial"/>
                <w:color w:val="0068B5"/>
                <w:sz w:val="18"/>
                <w:szCs w:val="18"/>
              </w:rPr>
              <w:t>13,179 </w:t>
            </w:r>
          </w:p>
        </w:tc>
        <w:tc>
          <w:tcPr>
            <w:tcW w:w="0" w:type="auto"/>
            <w:shd w:val="clear" w:color="auto" w:fill="auto"/>
            <w:tcMar>
              <w:top w:w="40" w:type="dxa"/>
              <w:left w:w="0" w:type="dxa"/>
              <w:bottom w:w="40" w:type="dxa"/>
              <w:right w:w="20" w:type="dxa"/>
            </w:tcMar>
            <w:vAlign w:val="bottom"/>
          </w:tcPr>
          <w:p w14:paraId="5A1B1AF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F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F2" w14:textId="77777777" w:rsidR="00960BB8" w:rsidRDefault="00C06650">
            <w:pPr>
              <w:jc w:val="right"/>
              <w:textAlignment w:val="bottom"/>
            </w:pPr>
            <w:r>
              <w:rPr>
                <w:rFonts w:ascii="Arial" w:eastAsia="宋体" w:hAnsi="Arial" w:cs="Arial"/>
                <w:color w:val="262626"/>
                <w:sz w:val="18"/>
                <w:szCs w:val="18"/>
              </w:rPr>
              <w:t>7,503 </w:t>
            </w:r>
          </w:p>
        </w:tc>
        <w:tc>
          <w:tcPr>
            <w:tcW w:w="0" w:type="auto"/>
            <w:shd w:val="clear" w:color="auto" w:fill="auto"/>
            <w:tcMar>
              <w:top w:w="40" w:type="dxa"/>
              <w:left w:w="0" w:type="dxa"/>
              <w:bottom w:w="40" w:type="dxa"/>
              <w:right w:w="20" w:type="dxa"/>
            </w:tcMar>
            <w:vAlign w:val="bottom"/>
          </w:tcPr>
          <w:p w14:paraId="5A1B1AF3" w14:textId="77777777" w:rsidR="00960BB8" w:rsidRDefault="00960BB8">
            <w:pPr>
              <w:jc w:val="right"/>
              <w:rPr>
                <w:rFonts w:ascii="宋体"/>
              </w:rPr>
            </w:pPr>
          </w:p>
        </w:tc>
        <w:tc>
          <w:tcPr>
            <w:tcW w:w="0" w:type="auto"/>
            <w:shd w:val="clear" w:color="auto" w:fill="auto"/>
            <w:vAlign w:val="bottom"/>
          </w:tcPr>
          <w:p w14:paraId="5A1B1AF4" w14:textId="77777777" w:rsidR="00960BB8" w:rsidRDefault="00960BB8">
            <w:pPr>
              <w:rPr>
                <w:rFonts w:ascii="宋体"/>
                <w:vanish/>
              </w:rPr>
            </w:pPr>
          </w:p>
        </w:tc>
        <w:tc>
          <w:tcPr>
            <w:tcW w:w="0" w:type="auto"/>
            <w:shd w:val="clear" w:color="auto" w:fill="auto"/>
            <w:vAlign w:val="bottom"/>
          </w:tcPr>
          <w:p w14:paraId="5A1B1AF5" w14:textId="77777777" w:rsidR="00960BB8" w:rsidRDefault="00960BB8">
            <w:pPr>
              <w:rPr>
                <w:rFonts w:ascii="宋体"/>
                <w:vanish/>
              </w:rPr>
            </w:pPr>
          </w:p>
        </w:tc>
      </w:tr>
      <w:tr w:rsidR="00960BB8" w14:paraId="5A1B1B00" w14:textId="77777777">
        <w:trPr>
          <w:jc w:val="center"/>
        </w:trPr>
        <w:tc>
          <w:tcPr>
            <w:tcW w:w="0" w:type="auto"/>
            <w:gridSpan w:val="3"/>
            <w:shd w:val="clear" w:color="auto" w:fill="auto"/>
            <w:tcMar>
              <w:top w:w="40" w:type="dxa"/>
              <w:left w:w="20" w:type="dxa"/>
              <w:bottom w:w="40" w:type="dxa"/>
              <w:right w:w="20" w:type="dxa"/>
            </w:tcMar>
            <w:vAlign w:val="bottom"/>
          </w:tcPr>
          <w:p w14:paraId="5A1B1AF7" w14:textId="77777777" w:rsidR="00960BB8" w:rsidRDefault="00C06650">
            <w:pPr>
              <w:textAlignment w:val="bottom"/>
            </w:pPr>
            <w:r>
              <w:rPr>
                <w:rFonts w:ascii="Arial" w:eastAsia="宋体" w:hAnsi="Arial" w:cs="Arial"/>
                <w:color w:val="262626"/>
                <w:sz w:val="18"/>
                <w:szCs w:val="18"/>
              </w:rPr>
              <w:t>Israel</w:t>
            </w:r>
          </w:p>
        </w:tc>
        <w:tc>
          <w:tcPr>
            <w:tcW w:w="0" w:type="auto"/>
            <w:gridSpan w:val="3"/>
            <w:shd w:val="clear" w:color="auto" w:fill="auto"/>
            <w:tcMar>
              <w:top w:w="0" w:type="dxa"/>
              <w:left w:w="20" w:type="dxa"/>
              <w:bottom w:w="0" w:type="dxa"/>
              <w:right w:w="20" w:type="dxa"/>
            </w:tcMar>
            <w:vAlign w:val="bottom"/>
          </w:tcPr>
          <w:p w14:paraId="5A1B1AF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F9" w14:textId="77777777" w:rsidR="00960BB8" w:rsidRDefault="00C06650">
            <w:pPr>
              <w:jc w:val="right"/>
              <w:textAlignment w:val="bottom"/>
            </w:pPr>
            <w:r>
              <w:rPr>
                <w:rFonts w:ascii="Arial" w:eastAsia="宋体" w:hAnsi="Arial" w:cs="Arial"/>
                <w:color w:val="0068B5"/>
                <w:sz w:val="18"/>
                <w:szCs w:val="18"/>
              </w:rPr>
              <w:t>7,908 </w:t>
            </w:r>
          </w:p>
        </w:tc>
        <w:tc>
          <w:tcPr>
            <w:tcW w:w="0" w:type="auto"/>
            <w:shd w:val="clear" w:color="auto" w:fill="auto"/>
            <w:tcMar>
              <w:top w:w="40" w:type="dxa"/>
              <w:left w:w="0" w:type="dxa"/>
              <w:bottom w:w="40" w:type="dxa"/>
              <w:right w:w="20" w:type="dxa"/>
            </w:tcMar>
            <w:vAlign w:val="bottom"/>
          </w:tcPr>
          <w:p w14:paraId="5A1B1AF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AF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AFC" w14:textId="77777777" w:rsidR="00960BB8" w:rsidRDefault="00C06650">
            <w:pPr>
              <w:jc w:val="right"/>
              <w:textAlignment w:val="bottom"/>
            </w:pPr>
            <w:r>
              <w:rPr>
                <w:rFonts w:ascii="Arial" w:eastAsia="宋体" w:hAnsi="Arial" w:cs="Arial"/>
                <w:color w:val="262626"/>
                <w:sz w:val="18"/>
                <w:szCs w:val="18"/>
              </w:rPr>
              <w:t>7,754 </w:t>
            </w:r>
          </w:p>
        </w:tc>
        <w:tc>
          <w:tcPr>
            <w:tcW w:w="0" w:type="auto"/>
            <w:shd w:val="clear" w:color="auto" w:fill="auto"/>
            <w:tcMar>
              <w:top w:w="40" w:type="dxa"/>
              <w:left w:w="0" w:type="dxa"/>
              <w:bottom w:w="40" w:type="dxa"/>
              <w:right w:w="20" w:type="dxa"/>
            </w:tcMar>
            <w:vAlign w:val="bottom"/>
          </w:tcPr>
          <w:p w14:paraId="5A1B1AFD" w14:textId="77777777" w:rsidR="00960BB8" w:rsidRDefault="00960BB8">
            <w:pPr>
              <w:jc w:val="right"/>
              <w:rPr>
                <w:rFonts w:ascii="宋体"/>
              </w:rPr>
            </w:pPr>
          </w:p>
        </w:tc>
        <w:tc>
          <w:tcPr>
            <w:tcW w:w="0" w:type="auto"/>
            <w:shd w:val="clear" w:color="auto" w:fill="auto"/>
            <w:vAlign w:val="bottom"/>
          </w:tcPr>
          <w:p w14:paraId="5A1B1AFE" w14:textId="77777777" w:rsidR="00960BB8" w:rsidRDefault="00960BB8">
            <w:pPr>
              <w:rPr>
                <w:rFonts w:ascii="宋体"/>
                <w:vanish/>
              </w:rPr>
            </w:pPr>
          </w:p>
        </w:tc>
        <w:tc>
          <w:tcPr>
            <w:tcW w:w="0" w:type="auto"/>
            <w:shd w:val="clear" w:color="auto" w:fill="auto"/>
            <w:vAlign w:val="bottom"/>
          </w:tcPr>
          <w:p w14:paraId="5A1B1AFF" w14:textId="77777777" w:rsidR="00960BB8" w:rsidRDefault="00960BB8">
            <w:pPr>
              <w:rPr>
                <w:rFonts w:ascii="宋体"/>
                <w:vanish/>
              </w:rPr>
            </w:pPr>
          </w:p>
        </w:tc>
      </w:tr>
      <w:tr w:rsidR="00960BB8" w14:paraId="5A1B1B08" w14:textId="77777777">
        <w:trPr>
          <w:jc w:val="center"/>
          <w:hidden/>
        </w:trPr>
        <w:tc>
          <w:tcPr>
            <w:tcW w:w="0" w:type="auto"/>
            <w:gridSpan w:val="3"/>
            <w:shd w:val="clear" w:color="auto" w:fill="auto"/>
            <w:vAlign w:val="bottom"/>
          </w:tcPr>
          <w:p w14:paraId="5A1B1B01" w14:textId="77777777" w:rsidR="00960BB8" w:rsidRDefault="00960BB8">
            <w:pPr>
              <w:rPr>
                <w:rFonts w:ascii="宋体"/>
                <w:vanish/>
              </w:rPr>
            </w:pPr>
          </w:p>
        </w:tc>
        <w:tc>
          <w:tcPr>
            <w:tcW w:w="0" w:type="auto"/>
            <w:gridSpan w:val="3"/>
            <w:shd w:val="clear" w:color="auto" w:fill="auto"/>
            <w:vAlign w:val="bottom"/>
          </w:tcPr>
          <w:p w14:paraId="5A1B1B02" w14:textId="77777777" w:rsidR="00960BB8" w:rsidRDefault="00960BB8">
            <w:pPr>
              <w:rPr>
                <w:rFonts w:ascii="宋体"/>
                <w:vanish/>
              </w:rPr>
            </w:pPr>
          </w:p>
        </w:tc>
        <w:tc>
          <w:tcPr>
            <w:tcW w:w="0" w:type="auto"/>
            <w:gridSpan w:val="3"/>
            <w:shd w:val="clear" w:color="auto" w:fill="auto"/>
            <w:vAlign w:val="bottom"/>
          </w:tcPr>
          <w:p w14:paraId="5A1B1B03" w14:textId="77777777" w:rsidR="00960BB8" w:rsidRDefault="00960BB8">
            <w:pPr>
              <w:rPr>
                <w:rFonts w:ascii="宋体"/>
                <w:vanish/>
              </w:rPr>
            </w:pPr>
          </w:p>
        </w:tc>
        <w:tc>
          <w:tcPr>
            <w:tcW w:w="0" w:type="auto"/>
            <w:gridSpan w:val="3"/>
            <w:shd w:val="clear" w:color="auto" w:fill="auto"/>
            <w:vAlign w:val="bottom"/>
          </w:tcPr>
          <w:p w14:paraId="5A1B1B04" w14:textId="77777777" w:rsidR="00960BB8" w:rsidRDefault="00960BB8">
            <w:pPr>
              <w:rPr>
                <w:rFonts w:ascii="宋体"/>
                <w:vanish/>
              </w:rPr>
            </w:pPr>
          </w:p>
        </w:tc>
        <w:tc>
          <w:tcPr>
            <w:tcW w:w="0" w:type="auto"/>
            <w:gridSpan w:val="3"/>
            <w:shd w:val="clear" w:color="auto" w:fill="auto"/>
            <w:vAlign w:val="bottom"/>
          </w:tcPr>
          <w:p w14:paraId="5A1B1B05" w14:textId="77777777" w:rsidR="00960BB8" w:rsidRDefault="00960BB8">
            <w:pPr>
              <w:rPr>
                <w:rFonts w:ascii="宋体"/>
                <w:vanish/>
              </w:rPr>
            </w:pPr>
          </w:p>
        </w:tc>
        <w:tc>
          <w:tcPr>
            <w:tcW w:w="0" w:type="auto"/>
            <w:shd w:val="clear" w:color="auto" w:fill="auto"/>
            <w:vAlign w:val="bottom"/>
          </w:tcPr>
          <w:p w14:paraId="5A1B1B06" w14:textId="77777777" w:rsidR="00960BB8" w:rsidRDefault="00960BB8">
            <w:pPr>
              <w:rPr>
                <w:rFonts w:ascii="宋体"/>
                <w:vanish/>
              </w:rPr>
            </w:pPr>
          </w:p>
        </w:tc>
        <w:tc>
          <w:tcPr>
            <w:tcW w:w="0" w:type="auto"/>
            <w:shd w:val="clear" w:color="auto" w:fill="auto"/>
            <w:vAlign w:val="bottom"/>
          </w:tcPr>
          <w:p w14:paraId="5A1B1B07" w14:textId="77777777" w:rsidR="00960BB8" w:rsidRDefault="00960BB8">
            <w:pPr>
              <w:rPr>
                <w:rFonts w:ascii="宋体"/>
                <w:vanish/>
              </w:rPr>
            </w:pPr>
          </w:p>
        </w:tc>
      </w:tr>
      <w:tr w:rsidR="00960BB8" w14:paraId="5A1B1B12" w14:textId="77777777">
        <w:trPr>
          <w:jc w:val="center"/>
        </w:trPr>
        <w:tc>
          <w:tcPr>
            <w:tcW w:w="0" w:type="auto"/>
            <w:gridSpan w:val="3"/>
            <w:shd w:val="clear" w:color="auto" w:fill="auto"/>
            <w:tcMar>
              <w:top w:w="40" w:type="dxa"/>
              <w:left w:w="20" w:type="dxa"/>
              <w:bottom w:w="40" w:type="dxa"/>
              <w:right w:w="20" w:type="dxa"/>
            </w:tcMar>
            <w:vAlign w:val="bottom"/>
          </w:tcPr>
          <w:p w14:paraId="5A1B1B09" w14:textId="77777777" w:rsidR="00960BB8" w:rsidRDefault="00C06650">
            <w:pPr>
              <w:textAlignment w:val="bottom"/>
            </w:pPr>
            <w:r>
              <w:rPr>
                <w:rFonts w:ascii="Arial" w:eastAsia="宋体" w:hAnsi="Arial" w:cs="Arial"/>
                <w:color w:val="262626"/>
                <w:sz w:val="18"/>
                <w:szCs w:val="18"/>
              </w:rPr>
              <w:t>Other countries</w:t>
            </w:r>
          </w:p>
        </w:tc>
        <w:tc>
          <w:tcPr>
            <w:tcW w:w="0" w:type="auto"/>
            <w:gridSpan w:val="3"/>
            <w:shd w:val="clear" w:color="auto" w:fill="auto"/>
            <w:tcMar>
              <w:top w:w="0" w:type="dxa"/>
              <w:left w:w="20" w:type="dxa"/>
              <w:bottom w:w="0" w:type="dxa"/>
              <w:right w:w="20" w:type="dxa"/>
            </w:tcMar>
            <w:vAlign w:val="bottom"/>
          </w:tcPr>
          <w:p w14:paraId="5A1B1B0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0B" w14:textId="77777777" w:rsidR="00960BB8" w:rsidRDefault="00C06650">
            <w:pPr>
              <w:jc w:val="right"/>
              <w:textAlignment w:val="bottom"/>
            </w:pPr>
            <w:r>
              <w:rPr>
                <w:rFonts w:ascii="Arial" w:eastAsia="宋体" w:hAnsi="Arial" w:cs="Arial"/>
                <w:color w:val="0068B5"/>
                <w:sz w:val="18"/>
                <w:szCs w:val="18"/>
              </w:rPr>
              <w:t>6,092 </w:t>
            </w:r>
          </w:p>
        </w:tc>
        <w:tc>
          <w:tcPr>
            <w:tcW w:w="0" w:type="auto"/>
            <w:shd w:val="clear" w:color="auto" w:fill="auto"/>
            <w:tcMar>
              <w:top w:w="40" w:type="dxa"/>
              <w:left w:w="0" w:type="dxa"/>
              <w:bottom w:w="40" w:type="dxa"/>
              <w:right w:w="20" w:type="dxa"/>
            </w:tcMar>
            <w:vAlign w:val="bottom"/>
          </w:tcPr>
          <w:p w14:paraId="5A1B1B0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0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0E" w14:textId="77777777" w:rsidR="00960BB8" w:rsidRDefault="00C06650">
            <w:pPr>
              <w:jc w:val="right"/>
              <w:textAlignment w:val="bottom"/>
            </w:pPr>
            <w:r>
              <w:rPr>
                <w:rFonts w:ascii="Arial" w:eastAsia="宋体" w:hAnsi="Arial" w:cs="Arial"/>
                <w:color w:val="262626"/>
                <w:sz w:val="18"/>
                <w:szCs w:val="18"/>
              </w:rPr>
              <w:t>4,560 </w:t>
            </w:r>
          </w:p>
        </w:tc>
        <w:tc>
          <w:tcPr>
            <w:tcW w:w="0" w:type="auto"/>
            <w:shd w:val="clear" w:color="auto" w:fill="auto"/>
            <w:tcMar>
              <w:top w:w="40" w:type="dxa"/>
              <w:left w:w="0" w:type="dxa"/>
              <w:bottom w:w="40" w:type="dxa"/>
              <w:right w:w="20" w:type="dxa"/>
            </w:tcMar>
            <w:vAlign w:val="bottom"/>
          </w:tcPr>
          <w:p w14:paraId="5A1B1B0F" w14:textId="77777777" w:rsidR="00960BB8" w:rsidRDefault="00960BB8">
            <w:pPr>
              <w:jc w:val="right"/>
              <w:rPr>
                <w:rFonts w:ascii="宋体"/>
              </w:rPr>
            </w:pPr>
          </w:p>
        </w:tc>
        <w:tc>
          <w:tcPr>
            <w:tcW w:w="0" w:type="auto"/>
            <w:shd w:val="clear" w:color="auto" w:fill="auto"/>
            <w:vAlign w:val="bottom"/>
          </w:tcPr>
          <w:p w14:paraId="5A1B1B10" w14:textId="77777777" w:rsidR="00960BB8" w:rsidRDefault="00960BB8">
            <w:pPr>
              <w:rPr>
                <w:rFonts w:ascii="宋体"/>
                <w:vanish/>
              </w:rPr>
            </w:pPr>
          </w:p>
        </w:tc>
        <w:tc>
          <w:tcPr>
            <w:tcW w:w="0" w:type="auto"/>
            <w:shd w:val="clear" w:color="auto" w:fill="auto"/>
            <w:vAlign w:val="bottom"/>
          </w:tcPr>
          <w:p w14:paraId="5A1B1B11" w14:textId="77777777" w:rsidR="00960BB8" w:rsidRDefault="00960BB8">
            <w:pPr>
              <w:rPr>
                <w:rFonts w:ascii="宋体"/>
                <w:vanish/>
              </w:rPr>
            </w:pPr>
          </w:p>
        </w:tc>
      </w:tr>
      <w:tr w:rsidR="00960BB8" w14:paraId="5A1B1B1E" w14:textId="77777777">
        <w:trPr>
          <w:jc w:val="center"/>
        </w:trPr>
        <w:tc>
          <w:tcPr>
            <w:tcW w:w="0" w:type="auto"/>
            <w:gridSpan w:val="3"/>
            <w:shd w:val="clear" w:color="auto" w:fill="auto"/>
            <w:tcMar>
              <w:top w:w="40" w:type="dxa"/>
              <w:left w:w="20" w:type="dxa"/>
              <w:bottom w:w="40" w:type="dxa"/>
              <w:right w:w="20" w:type="dxa"/>
            </w:tcMar>
            <w:vAlign w:val="bottom"/>
          </w:tcPr>
          <w:p w14:paraId="5A1B1B13" w14:textId="77777777" w:rsidR="00960BB8" w:rsidRDefault="00C06650">
            <w:pPr>
              <w:textAlignment w:val="bottom"/>
            </w:pPr>
            <w:r>
              <w:rPr>
                <w:rFonts w:ascii="Arial" w:eastAsia="宋体" w:hAnsi="Arial" w:cs="Arial"/>
                <w:b/>
                <w:bCs/>
                <w:color w:val="262626"/>
                <w:sz w:val="18"/>
                <w:szCs w:val="18"/>
              </w:rPr>
              <w:t xml:space="preserve">Total property, plant and </w:t>
            </w:r>
            <w:r>
              <w:rPr>
                <w:rFonts w:ascii="Arial" w:eastAsia="宋体" w:hAnsi="Arial" w:cs="Arial"/>
                <w:b/>
                <w:bCs/>
                <w:color w:val="262626"/>
                <w:sz w:val="18"/>
                <w:szCs w:val="18"/>
              </w:rPr>
              <w:t>equipment, net</w:t>
            </w:r>
          </w:p>
        </w:tc>
        <w:tc>
          <w:tcPr>
            <w:tcW w:w="0" w:type="auto"/>
            <w:gridSpan w:val="3"/>
            <w:shd w:val="clear" w:color="auto" w:fill="auto"/>
            <w:tcMar>
              <w:top w:w="0" w:type="dxa"/>
              <w:left w:w="20" w:type="dxa"/>
              <w:bottom w:w="0" w:type="dxa"/>
              <w:right w:w="20" w:type="dxa"/>
            </w:tcMar>
            <w:vAlign w:val="bottom"/>
          </w:tcPr>
          <w:p w14:paraId="5A1B1B14"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B15"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B16" w14:textId="77777777" w:rsidR="00960BB8" w:rsidRDefault="00C06650">
            <w:pPr>
              <w:jc w:val="right"/>
              <w:textAlignment w:val="bottom"/>
            </w:pPr>
            <w:r>
              <w:rPr>
                <w:rFonts w:ascii="Arial" w:eastAsia="宋体" w:hAnsi="Arial" w:cs="Arial"/>
                <w:b/>
                <w:bCs/>
                <w:color w:val="0068B5"/>
                <w:sz w:val="18"/>
                <w:szCs w:val="18"/>
              </w:rPr>
              <w:t>80,860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B1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18"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B1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B1A" w14:textId="77777777" w:rsidR="00960BB8" w:rsidRDefault="00C06650">
            <w:pPr>
              <w:jc w:val="right"/>
              <w:textAlignment w:val="bottom"/>
            </w:pPr>
            <w:r>
              <w:rPr>
                <w:rFonts w:ascii="Arial" w:eastAsia="宋体" w:hAnsi="Arial" w:cs="Arial"/>
                <w:b/>
                <w:bCs/>
                <w:color w:val="262626"/>
                <w:sz w:val="18"/>
                <w:szCs w:val="18"/>
              </w:rPr>
              <w:t>63,245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B1B" w14:textId="77777777" w:rsidR="00960BB8" w:rsidRDefault="00960BB8">
            <w:pPr>
              <w:jc w:val="right"/>
              <w:rPr>
                <w:rFonts w:ascii="宋体"/>
              </w:rPr>
            </w:pPr>
          </w:p>
        </w:tc>
        <w:tc>
          <w:tcPr>
            <w:tcW w:w="0" w:type="auto"/>
            <w:shd w:val="clear" w:color="auto" w:fill="auto"/>
            <w:vAlign w:val="bottom"/>
          </w:tcPr>
          <w:p w14:paraId="5A1B1B1C" w14:textId="77777777" w:rsidR="00960BB8" w:rsidRDefault="00960BB8">
            <w:pPr>
              <w:rPr>
                <w:rFonts w:ascii="宋体"/>
                <w:vanish/>
              </w:rPr>
            </w:pPr>
          </w:p>
        </w:tc>
        <w:tc>
          <w:tcPr>
            <w:tcW w:w="0" w:type="auto"/>
            <w:shd w:val="clear" w:color="auto" w:fill="auto"/>
            <w:vAlign w:val="bottom"/>
          </w:tcPr>
          <w:p w14:paraId="5A1B1B1D" w14:textId="77777777" w:rsidR="00960BB8" w:rsidRDefault="00960BB8">
            <w:pPr>
              <w:rPr>
                <w:rFonts w:ascii="宋体"/>
                <w:vanish/>
              </w:rPr>
            </w:pPr>
          </w:p>
        </w:tc>
      </w:tr>
    </w:tbl>
    <w:p w14:paraId="5A1B1B1F" w14:textId="77777777" w:rsidR="00960BB8" w:rsidRDefault="00C06650">
      <w:pPr>
        <w:spacing w:before="180" w:after="180"/>
      </w:pPr>
      <w:r>
        <w:rPr>
          <w:rFonts w:ascii="Arial" w:eastAsia="宋体" w:hAnsi="Arial" w:cs="Arial"/>
          <w:color w:val="0068B5"/>
        </w:rPr>
        <w:t>Other Ac</w:t>
      </w:r>
      <w:r>
        <w:rPr>
          <w:rFonts w:ascii="Arial" w:eastAsia="宋体" w:hAnsi="Arial" w:cs="Arial"/>
          <w:color w:val="0068B5"/>
        </w:rPr>
        <w:t>crued Liabilities</w:t>
      </w:r>
    </w:p>
    <w:p w14:paraId="5A1B1B20" w14:textId="77777777" w:rsidR="00960BB8" w:rsidRDefault="00C06650">
      <w:pPr>
        <w:spacing w:after="180"/>
      </w:pPr>
      <w:r>
        <w:rPr>
          <w:rFonts w:ascii="Arial" w:eastAsia="宋体" w:hAnsi="Arial" w:cs="Arial"/>
          <w:color w:val="262626"/>
          <w:sz w:val="18"/>
          <w:szCs w:val="18"/>
        </w:rPr>
        <w:t>Other accrued liabilities include deferred compensation of $2.4 billion as of December 31, 2022 ($2.8 billion as of December 25, 2021) and collateral received for derivatives under credit support annex agreements of $0.7 billion as of Dec</w:t>
      </w:r>
      <w:r>
        <w:rPr>
          <w:rFonts w:ascii="Arial" w:eastAsia="宋体" w:hAnsi="Arial" w:cs="Arial"/>
          <w:color w:val="262626"/>
          <w:sz w:val="18"/>
          <w:szCs w:val="18"/>
        </w:rPr>
        <w:t xml:space="preserve">ember 31, 2022 ($1.0 billion as of December 25, 2021). </w:t>
      </w:r>
    </w:p>
    <w:p w14:paraId="5A1B1B21" w14:textId="77777777" w:rsidR="00960BB8" w:rsidRDefault="00C06650">
      <w:pPr>
        <w:spacing w:before="180" w:after="180"/>
      </w:pPr>
      <w:r>
        <w:rPr>
          <w:rFonts w:ascii="Arial" w:eastAsia="宋体" w:hAnsi="Arial" w:cs="Arial"/>
          <w:color w:val="0068B5"/>
        </w:rPr>
        <w:t>Advertising</w:t>
      </w:r>
    </w:p>
    <w:p w14:paraId="5A1B1B22" w14:textId="77777777" w:rsidR="00960BB8" w:rsidRDefault="00C06650">
      <w:pPr>
        <w:spacing w:after="180"/>
      </w:pPr>
      <w:r>
        <w:rPr>
          <w:rFonts w:ascii="Arial" w:eastAsia="宋体" w:hAnsi="Arial" w:cs="Arial"/>
          <w:color w:val="262626"/>
          <w:sz w:val="18"/>
          <w:szCs w:val="18"/>
        </w:rPr>
        <w:t>Advertising costs, including direct marketing, are expensed as incurred and recorded within MG&amp;A expenses. Advertising costs were $1.2 billion in 2022 ($1.1 billion in 2021 and $763 millio</w:t>
      </w:r>
      <w:r>
        <w:rPr>
          <w:rFonts w:ascii="Arial" w:eastAsia="宋体" w:hAnsi="Arial" w:cs="Arial"/>
          <w:color w:val="262626"/>
          <w:sz w:val="18"/>
          <w:szCs w:val="18"/>
        </w:rPr>
        <w:t xml:space="preserve">n in 2020).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B2F" w14:textId="77777777">
        <w:tc>
          <w:tcPr>
            <w:tcW w:w="50" w:type="pct"/>
            <w:shd w:val="clear" w:color="auto" w:fill="auto"/>
            <w:vAlign w:val="bottom"/>
          </w:tcPr>
          <w:p w14:paraId="5A1B1B23" w14:textId="77777777" w:rsidR="00960BB8" w:rsidRDefault="00960BB8">
            <w:pPr>
              <w:rPr>
                <w:rFonts w:ascii="宋体"/>
              </w:rPr>
            </w:pPr>
          </w:p>
        </w:tc>
        <w:tc>
          <w:tcPr>
            <w:tcW w:w="276" w:type="pct"/>
            <w:shd w:val="clear" w:color="auto" w:fill="auto"/>
            <w:vAlign w:val="bottom"/>
          </w:tcPr>
          <w:p w14:paraId="5A1B1B24" w14:textId="77777777" w:rsidR="00960BB8" w:rsidRDefault="00960BB8">
            <w:pPr>
              <w:rPr>
                <w:rFonts w:ascii="宋体"/>
              </w:rPr>
            </w:pPr>
          </w:p>
        </w:tc>
        <w:tc>
          <w:tcPr>
            <w:tcW w:w="5" w:type="pct"/>
            <w:shd w:val="clear" w:color="auto" w:fill="auto"/>
            <w:vAlign w:val="bottom"/>
          </w:tcPr>
          <w:p w14:paraId="5A1B1B25" w14:textId="77777777" w:rsidR="00960BB8" w:rsidRDefault="00960BB8">
            <w:pPr>
              <w:rPr>
                <w:rFonts w:ascii="宋体"/>
              </w:rPr>
            </w:pPr>
          </w:p>
        </w:tc>
        <w:tc>
          <w:tcPr>
            <w:tcW w:w="50" w:type="pct"/>
            <w:shd w:val="clear" w:color="auto" w:fill="auto"/>
            <w:vAlign w:val="bottom"/>
          </w:tcPr>
          <w:p w14:paraId="5A1B1B26" w14:textId="77777777" w:rsidR="00960BB8" w:rsidRDefault="00960BB8">
            <w:pPr>
              <w:rPr>
                <w:rFonts w:ascii="宋体"/>
              </w:rPr>
            </w:pPr>
          </w:p>
        </w:tc>
        <w:tc>
          <w:tcPr>
            <w:tcW w:w="940" w:type="pct"/>
            <w:shd w:val="clear" w:color="auto" w:fill="auto"/>
            <w:vAlign w:val="bottom"/>
          </w:tcPr>
          <w:p w14:paraId="5A1B1B27" w14:textId="77777777" w:rsidR="00960BB8" w:rsidRDefault="00960BB8">
            <w:pPr>
              <w:rPr>
                <w:rFonts w:ascii="宋体"/>
              </w:rPr>
            </w:pPr>
          </w:p>
        </w:tc>
        <w:tc>
          <w:tcPr>
            <w:tcW w:w="5" w:type="pct"/>
            <w:shd w:val="clear" w:color="auto" w:fill="auto"/>
            <w:vAlign w:val="bottom"/>
          </w:tcPr>
          <w:p w14:paraId="5A1B1B28" w14:textId="77777777" w:rsidR="00960BB8" w:rsidRDefault="00960BB8">
            <w:pPr>
              <w:rPr>
                <w:rFonts w:ascii="宋体"/>
              </w:rPr>
            </w:pPr>
          </w:p>
        </w:tc>
        <w:tc>
          <w:tcPr>
            <w:tcW w:w="50" w:type="pct"/>
            <w:shd w:val="clear" w:color="auto" w:fill="auto"/>
            <w:vAlign w:val="bottom"/>
          </w:tcPr>
          <w:p w14:paraId="5A1B1B29" w14:textId="77777777" w:rsidR="00960BB8" w:rsidRDefault="00960BB8">
            <w:pPr>
              <w:rPr>
                <w:rFonts w:ascii="宋体"/>
              </w:rPr>
            </w:pPr>
          </w:p>
        </w:tc>
        <w:tc>
          <w:tcPr>
            <w:tcW w:w="1837" w:type="pct"/>
            <w:shd w:val="clear" w:color="auto" w:fill="auto"/>
            <w:vAlign w:val="bottom"/>
          </w:tcPr>
          <w:p w14:paraId="5A1B1B2A" w14:textId="77777777" w:rsidR="00960BB8" w:rsidRDefault="00960BB8">
            <w:pPr>
              <w:rPr>
                <w:rFonts w:ascii="宋体"/>
              </w:rPr>
            </w:pPr>
          </w:p>
        </w:tc>
        <w:tc>
          <w:tcPr>
            <w:tcW w:w="5" w:type="pct"/>
            <w:shd w:val="clear" w:color="auto" w:fill="auto"/>
            <w:vAlign w:val="bottom"/>
          </w:tcPr>
          <w:p w14:paraId="5A1B1B2B" w14:textId="77777777" w:rsidR="00960BB8" w:rsidRDefault="00960BB8">
            <w:pPr>
              <w:rPr>
                <w:rFonts w:ascii="宋体"/>
              </w:rPr>
            </w:pPr>
          </w:p>
        </w:tc>
        <w:tc>
          <w:tcPr>
            <w:tcW w:w="50" w:type="pct"/>
            <w:shd w:val="clear" w:color="auto" w:fill="auto"/>
            <w:vAlign w:val="bottom"/>
          </w:tcPr>
          <w:p w14:paraId="5A1B1B2C" w14:textId="77777777" w:rsidR="00960BB8" w:rsidRDefault="00960BB8">
            <w:pPr>
              <w:rPr>
                <w:rFonts w:ascii="宋体"/>
              </w:rPr>
            </w:pPr>
          </w:p>
        </w:tc>
        <w:tc>
          <w:tcPr>
            <w:tcW w:w="1724" w:type="pct"/>
            <w:shd w:val="clear" w:color="auto" w:fill="auto"/>
            <w:vAlign w:val="bottom"/>
          </w:tcPr>
          <w:p w14:paraId="5A1B1B2D" w14:textId="77777777" w:rsidR="00960BB8" w:rsidRDefault="00960BB8">
            <w:pPr>
              <w:rPr>
                <w:rFonts w:ascii="宋体"/>
              </w:rPr>
            </w:pPr>
          </w:p>
        </w:tc>
        <w:tc>
          <w:tcPr>
            <w:tcW w:w="5" w:type="pct"/>
            <w:shd w:val="clear" w:color="auto" w:fill="auto"/>
            <w:vAlign w:val="bottom"/>
          </w:tcPr>
          <w:p w14:paraId="5A1B1B2E" w14:textId="77777777" w:rsidR="00960BB8" w:rsidRDefault="00960BB8">
            <w:pPr>
              <w:rPr>
                <w:rFonts w:ascii="宋体"/>
              </w:rPr>
            </w:pPr>
          </w:p>
        </w:tc>
      </w:tr>
      <w:tr w:rsidR="00960BB8" w14:paraId="5A1B1B34"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B30"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96" wp14:editId="5A1B4497">
                  <wp:extent cx="304800" cy="304800"/>
                  <wp:effectExtent l="0" t="0" r="0" b="0"/>
                  <wp:docPr id="34" name="图片 27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3"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B31"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B32"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B33" w14:textId="77777777" w:rsidR="00960BB8" w:rsidRDefault="00C06650">
            <w:pPr>
              <w:jc w:val="right"/>
              <w:textAlignment w:val="center"/>
            </w:pPr>
            <w:r>
              <w:rPr>
                <w:rFonts w:ascii="Arial" w:eastAsia="宋体" w:hAnsi="Arial" w:cs="Arial"/>
                <w:color w:val="262626"/>
                <w:sz w:val="16"/>
                <w:szCs w:val="16"/>
              </w:rPr>
              <w:t>92</w:t>
            </w:r>
          </w:p>
        </w:tc>
      </w:tr>
    </w:tbl>
    <w:p w14:paraId="5A1B1B35" w14:textId="77777777" w:rsidR="00960BB8" w:rsidRDefault="00C06650">
      <w:r>
        <w:pict w14:anchorId="5A1B4498">
          <v:rect id="_x0000_i1118" style="width:415.3pt;height:1.5pt" o:hralign="center" o:hrstd="t" o:hr="t" fillcolor="#a0a0a0" stroked="f"/>
        </w:pict>
      </w:r>
    </w:p>
    <w:p w14:paraId="5A1B1B36" w14:textId="77777777" w:rsidR="00960BB8" w:rsidRDefault="00C06650">
      <w:pPr>
        <w:jc w:val="right"/>
      </w:pPr>
      <w:hyperlink r:id="rId141" w:anchor="i8aaa7b4dbd2e419ca0f5c30af85a11aa_16" w:history="1">
        <w:r>
          <w:rPr>
            <w:rStyle w:val="a5"/>
            <w:rFonts w:ascii="Arial" w:eastAsia="宋体" w:hAnsi="Arial" w:cs="Arial"/>
            <w:b/>
            <w:bCs/>
            <w:sz w:val="16"/>
            <w:szCs w:val="16"/>
          </w:rPr>
          <w:t>Table of Contents</w:t>
        </w:r>
      </w:hyperlink>
    </w:p>
    <w:p w14:paraId="5A1B1B37" w14:textId="77777777" w:rsidR="00960BB8" w:rsidRDefault="00960BB8">
      <w:pPr>
        <w:jc w:val="right"/>
      </w:pPr>
    </w:p>
    <w:p w14:paraId="5A1B1B38" w14:textId="77777777" w:rsidR="00960BB8" w:rsidRDefault="00C06650">
      <w:pPr>
        <w:spacing w:before="180" w:after="180"/>
      </w:pPr>
      <w:r>
        <w:rPr>
          <w:rFonts w:ascii="Arial" w:eastAsia="宋体" w:hAnsi="Arial" w:cs="Arial"/>
          <w:color w:val="0068B5"/>
        </w:rPr>
        <w:t>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7"/>
        <w:gridCol w:w="5050"/>
        <w:gridCol w:w="36"/>
        <w:gridCol w:w="36"/>
        <w:gridCol w:w="36"/>
        <w:gridCol w:w="36"/>
        <w:gridCol w:w="121"/>
        <w:gridCol w:w="805"/>
        <w:gridCol w:w="36"/>
        <w:gridCol w:w="36"/>
        <w:gridCol w:w="36"/>
        <w:gridCol w:w="36"/>
        <w:gridCol w:w="121"/>
        <w:gridCol w:w="806"/>
        <w:gridCol w:w="36"/>
        <w:gridCol w:w="36"/>
        <w:gridCol w:w="36"/>
        <w:gridCol w:w="36"/>
        <w:gridCol w:w="121"/>
        <w:gridCol w:w="807"/>
        <w:gridCol w:w="36"/>
      </w:tblGrid>
      <w:tr w:rsidR="00960BB8" w14:paraId="5A1B1B4E" w14:textId="77777777">
        <w:tc>
          <w:tcPr>
            <w:tcW w:w="50" w:type="pct"/>
            <w:shd w:val="clear" w:color="auto" w:fill="auto"/>
            <w:vAlign w:val="bottom"/>
          </w:tcPr>
          <w:p w14:paraId="5A1B1B39" w14:textId="77777777" w:rsidR="00960BB8" w:rsidRDefault="00960BB8">
            <w:pPr>
              <w:rPr>
                <w:rFonts w:ascii="宋体"/>
              </w:rPr>
            </w:pPr>
          </w:p>
        </w:tc>
        <w:tc>
          <w:tcPr>
            <w:tcW w:w="3059" w:type="pct"/>
            <w:shd w:val="clear" w:color="auto" w:fill="auto"/>
            <w:vAlign w:val="bottom"/>
          </w:tcPr>
          <w:p w14:paraId="5A1B1B3A" w14:textId="77777777" w:rsidR="00960BB8" w:rsidRDefault="00960BB8">
            <w:pPr>
              <w:rPr>
                <w:rFonts w:ascii="宋体"/>
              </w:rPr>
            </w:pPr>
          </w:p>
        </w:tc>
        <w:tc>
          <w:tcPr>
            <w:tcW w:w="5" w:type="pct"/>
            <w:shd w:val="clear" w:color="auto" w:fill="auto"/>
            <w:vAlign w:val="bottom"/>
          </w:tcPr>
          <w:p w14:paraId="5A1B1B3B" w14:textId="77777777" w:rsidR="00960BB8" w:rsidRDefault="00960BB8">
            <w:pPr>
              <w:rPr>
                <w:rFonts w:ascii="宋体"/>
              </w:rPr>
            </w:pPr>
          </w:p>
        </w:tc>
        <w:tc>
          <w:tcPr>
            <w:tcW w:w="5" w:type="pct"/>
            <w:shd w:val="clear" w:color="auto" w:fill="auto"/>
            <w:vAlign w:val="bottom"/>
          </w:tcPr>
          <w:p w14:paraId="5A1B1B3C" w14:textId="77777777" w:rsidR="00960BB8" w:rsidRDefault="00960BB8">
            <w:pPr>
              <w:rPr>
                <w:rFonts w:ascii="宋体"/>
              </w:rPr>
            </w:pPr>
          </w:p>
        </w:tc>
        <w:tc>
          <w:tcPr>
            <w:tcW w:w="24" w:type="pct"/>
            <w:shd w:val="clear" w:color="auto" w:fill="auto"/>
            <w:vAlign w:val="bottom"/>
          </w:tcPr>
          <w:p w14:paraId="5A1B1B3D" w14:textId="77777777" w:rsidR="00960BB8" w:rsidRDefault="00960BB8">
            <w:pPr>
              <w:rPr>
                <w:rFonts w:ascii="宋体"/>
              </w:rPr>
            </w:pPr>
          </w:p>
        </w:tc>
        <w:tc>
          <w:tcPr>
            <w:tcW w:w="5" w:type="pct"/>
            <w:shd w:val="clear" w:color="auto" w:fill="auto"/>
            <w:vAlign w:val="bottom"/>
          </w:tcPr>
          <w:p w14:paraId="5A1B1B3E" w14:textId="77777777" w:rsidR="00960BB8" w:rsidRDefault="00960BB8">
            <w:pPr>
              <w:rPr>
                <w:rFonts w:ascii="宋体"/>
              </w:rPr>
            </w:pPr>
          </w:p>
        </w:tc>
        <w:tc>
          <w:tcPr>
            <w:tcW w:w="50" w:type="pct"/>
            <w:shd w:val="clear" w:color="auto" w:fill="auto"/>
            <w:vAlign w:val="bottom"/>
          </w:tcPr>
          <w:p w14:paraId="5A1B1B3F" w14:textId="77777777" w:rsidR="00960BB8" w:rsidRDefault="00960BB8">
            <w:pPr>
              <w:rPr>
                <w:rFonts w:ascii="宋体"/>
              </w:rPr>
            </w:pPr>
          </w:p>
        </w:tc>
        <w:tc>
          <w:tcPr>
            <w:tcW w:w="539" w:type="pct"/>
            <w:shd w:val="clear" w:color="auto" w:fill="auto"/>
            <w:vAlign w:val="bottom"/>
          </w:tcPr>
          <w:p w14:paraId="5A1B1B40" w14:textId="77777777" w:rsidR="00960BB8" w:rsidRDefault="00960BB8">
            <w:pPr>
              <w:rPr>
                <w:rFonts w:ascii="宋体"/>
              </w:rPr>
            </w:pPr>
          </w:p>
        </w:tc>
        <w:tc>
          <w:tcPr>
            <w:tcW w:w="5" w:type="pct"/>
            <w:shd w:val="clear" w:color="auto" w:fill="auto"/>
            <w:vAlign w:val="bottom"/>
          </w:tcPr>
          <w:p w14:paraId="5A1B1B41" w14:textId="77777777" w:rsidR="00960BB8" w:rsidRDefault="00960BB8">
            <w:pPr>
              <w:rPr>
                <w:rFonts w:ascii="宋体"/>
              </w:rPr>
            </w:pPr>
          </w:p>
        </w:tc>
        <w:tc>
          <w:tcPr>
            <w:tcW w:w="5" w:type="pct"/>
            <w:shd w:val="clear" w:color="auto" w:fill="auto"/>
            <w:vAlign w:val="bottom"/>
          </w:tcPr>
          <w:p w14:paraId="5A1B1B42" w14:textId="77777777" w:rsidR="00960BB8" w:rsidRDefault="00960BB8">
            <w:pPr>
              <w:rPr>
                <w:rFonts w:ascii="宋体"/>
              </w:rPr>
            </w:pPr>
          </w:p>
        </w:tc>
        <w:tc>
          <w:tcPr>
            <w:tcW w:w="24" w:type="pct"/>
            <w:shd w:val="clear" w:color="auto" w:fill="auto"/>
            <w:vAlign w:val="bottom"/>
          </w:tcPr>
          <w:p w14:paraId="5A1B1B43" w14:textId="77777777" w:rsidR="00960BB8" w:rsidRDefault="00960BB8">
            <w:pPr>
              <w:rPr>
                <w:rFonts w:ascii="宋体"/>
              </w:rPr>
            </w:pPr>
          </w:p>
        </w:tc>
        <w:tc>
          <w:tcPr>
            <w:tcW w:w="5" w:type="pct"/>
            <w:shd w:val="clear" w:color="auto" w:fill="auto"/>
            <w:vAlign w:val="bottom"/>
          </w:tcPr>
          <w:p w14:paraId="5A1B1B44" w14:textId="77777777" w:rsidR="00960BB8" w:rsidRDefault="00960BB8">
            <w:pPr>
              <w:rPr>
                <w:rFonts w:ascii="宋体"/>
              </w:rPr>
            </w:pPr>
          </w:p>
        </w:tc>
        <w:tc>
          <w:tcPr>
            <w:tcW w:w="50" w:type="pct"/>
            <w:shd w:val="clear" w:color="auto" w:fill="auto"/>
            <w:vAlign w:val="bottom"/>
          </w:tcPr>
          <w:p w14:paraId="5A1B1B45" w14:textId="77777777" w:rsidR="00960BB8" w:rsidRDefault="00960BB8">
            <w:pPr>
              <w:rPr>
                <w:rFonts w:ascii="宋体"/>
              </w:rPr>
            </w:pPr>
          </w:p>
        </w:tc>
        <w:tc>
          <w:tcPr>
            <w:tcW w:w="539" w:type="pct"/>
            <w:shd w:val="clear" w:color="auto" w:fill="auto"/>
            <w:vAlign w:val="bottom"/>
          </w:tcPr>
          <w:p w14:paraId="5A1B1B46" w14:textId="77777777" w:rsidR="00960BB8" w:rsidRDefault="00960BB8">
            <w:pPr>
              <w:rPr>
                <w:rFonts w:ascii="宋体"/>
              </w:rPr>
            </w:pPr>
          </w:p>
        </w:tc>
        <w:tc>
          <w:tcPr>
            <w:tcW w:w="5" w:type="pct"/>
            <w:shd w:val="clear" w:color="auto" w:fill="auto"/>
            <w:vAlign w:val="bottom"/>
          </w:tcPr>
          <w:p w14:paraId="5A1B1B47" w14:textId="77777777" w:rsidR="00960BB8" w:rsidRDefault="00960BB8">
            <w:pPr>
              <w:rPr>
                <w:rFonts w:ascii="宋体"/>
              </w:rPr>
            </w:pPr>
          </w:p>
        </w:tc>
        <w:tc>
          <w:tcPr>
            <w:tcW w:w="5" w:type="pct"/>
            <w:shd w:val="clear" w:color="auto" w:fill="auto"/>
            <w:vAlign w:val="bottom"/>
          </w:tcPr>
          <w:p w14:paraId="5A1B1B48" w14:textId="77777777" w:rsidR="00960BB8" w:rsidRDefault="00960BB8">
            <w:pPr>
              <w:rPr>
                <w:rFonts w:ascii="宋体"/>
              </w:rPr>
            </w:pPr>
          </w:p>
        </w:tc>
        <w:tc>
          <w:tcPr>
            <w:tcW w:w="24" w:type="pct"/>
            <w:shd w:val="clear" w:color="auto" w:fill="auto"/>
            <w:vAlign w:val="bottom"/>
          </w:tcPr>
          <w:p w14:paraId="5A1B1B49" w14:textId="77777777" w:rsidR="00960BB8" w:rsidRDefault="00960BB8">
            <w:pPr>
              <w:rPr>
                <w:rFonts w:ascii="宋体"/>
              </w:rPr>
            </w:pPr>
          </w:p>
        </w:tc>
        <w:tc>
          <w:tcPr>
            <w:tcW w:w="5" w:type="pct"/>
            <w:shd w:val="clear" w:color="auto" w:fill="auto"/>
            <w:vAlign w:val="bottom"/>
          </w:tcPr>
          <w:p w14:paraId="5A1B1B4A" w14:textId="77777777" w:rsidR="00960BB8" w:rsidRDefault="00960BB8">
            <w:pPr>
              <w:rPr>
                <w:rFonts w:ascii="宋体"/>
              </w:rPr>
            </w:pPr>
          </w:p>
        </w:tc>
        <w:tc>
          <w:tcPr>
            <w:tcW w:w="50" w:type="pct"/>
            <w:shd w:val="clear" w:color="auto" w:fill="auto"/>
            <w:vAlign w:val="bottom"/>
          </w:tcPr>
          <w:p w14:paraId="5A1B1B4B" w14:textId="77777777" w:rsidR="00960BB8" w:rsidRDefault="00960BB8">
            <w:pPr>
              <w:rPr>
                <w:rFonts w:ascii="宋体"/>
              </w:rPr>
            </w:pPr>
          </w:p>
        </w:tc>
        <w:tc>
          <w:tcPr>
            <w:tcW w:w="539" w:type="pct"/>
            <w:shd w:val="clear" w:color="auto" w:fill="auto"/>
            <w:vAlign w:val="bottom"/>
          </w:tcPr>
          <w:p w14:paraId="5A1B1B4C" w14:textId="77777777" w:rsidR="00960BB8" w:rsidRDefault="00960BB8">
            <w:pPr>
              <w:rPr>
                <w:rFonts w:ascii="宋体"/>
              </w:rPr>
            </w:pPr>
          </w:p>
        </w:tc>
        <w:tc>
          <w:tcPr>
            <w:tcW w:w="5" w:type="pct"/>
            <w:shd w:val="clear" w:color="auto" w:fill="auto"/>
            <w:vAlign w:val="bottom"/>
          </w:tcPr>
          <w:p w14:paraId="5A1B1B4D" w14:textId="77777777" w:rsidR="00960BB8" w:rsidRDefault="00960BB8">
            <w:pPr>
              <w:rPr>
                <w:rFonts w:ascii="宋体"/>
              </w:rPr>
            </w:pPr>
          </w:p>
        </w:tc>
      </w:tr>
      <w:tr w:rsidR="00960BB8" w14:paraId="5A1B1B56" w14:textId="77777777">
        <w:tc>
          <w:tcPr>
            <w:tcW w:w="0" w:type="auto"/>
            <w:gridSpan w:val="3"/>
            <w:shd w:val="clear" w:color="auto" w:fill="auto"/>
            <w:tcMar>
              <w:top w:w="40" w:type="dxa"/>
              <w:left w:w="20" w:type="dxa"/>
              <w:bottom w:w="40" w:type="dxa"/>
              <w:right w:w="20" w:type="dxa"/>
            </w:tcMar>
            <w:vAlign w:val="bottom"/>
          </w:tcPr>
          <w:p w14:paraId="5A1B1B4F" w14:textId="77777777" w:rsidR="00960BB8" w:rsidRDefault="00C06650">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5A1B1B5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B51"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B5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B53"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1B5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B55"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1B6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B57" w14:textId="77777777" w:rsidR="00960BB8" w:rsidRDefault="00C06650">
            <w:pPr>
              <w:textAlignment w:val="bottom"/>
            </w:pPr>
            <w:r>
              <w:rPr>
                <w:rFonts w:ascii="Arial" w:eastAsia="宋体" w:hAnsi="Arial" w:cs="Arial"/>
                <w:color w:val="262626"/>
                <w:sz w:val="18"/>
                <w:szCs w:val="18"/>
              </w:rPr>
              <w:t>Interest income</w:t>
            </w:r>
          </w:p>
        </w:tc>
        <w:tc>
          <w:tcPr>
            <w:tcW w:w="0" w:type="auto"/>
            <w:gridSpan w:val="3"/>
            <w:shd w:val="clear" w:color="auto" w:fill="auto"/>
            <w:tcMar>
              <w:top w:w="0" w:type="dxa"/>
              <w:left w:w="20" w:type="dxa"/>
              <w:bottom w:w="0" w:type="dxa"/>
              <w:right w:w="20" w:type="dxa"/>
            </w:tcMar>
            <w:vAlign w:val="bottom"/>
          </w:tcPr>
          <w:p w14:paraId="5A1B1B58"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B59"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B5A" w14:textId="77777777" w:rsidR="00960BB8" w:rsidRDefault="00C06650">
            <w:pPr>
              <w:jc w:val="right"/>
              <w:textAlignment w:val="bottom"/>
            </w:pPr>
            <w:r>
              <w:rPr>
                <w:rFonts w:ascii="Arial" w:eastAsia="宋体" w:hAnsi="Arial" w:cs="Arial"/>
                <w:color w:val="0068B5"/>
                <w:sz w:val="18"/>
                <w:szCs w:val="18"/>
              </w:rPr>
              <w:t>589 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B5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5C"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B5D"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B5E" w14:textId="77777777" w:rsidR="00960BB8" w:rsidRDefault="00C06650">
            <w:pPr>
              <w:jc w:val="right"/>
              <w:textAlignment w:val="bottom"/>
            </w:pPr>
            <w:r>
              <w:rPr>
                <w:rFonts w:ascii="Arial" w:eastAsia="宋体" w:hAnsi="Arial" w:cs="Arial"/>
                <w:color w:val="262626"/>
                <w:sz w:val="18"/>
                <w:szCs w:val="18"/>
              </w:rPr>
              <w:t>144 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B5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60"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B61"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B62" w14:textId="77777777" w:rsidR="00960BB8" w:rsidRDefault="00C06650">
            <w:pPr>
              <w:jc w:val="right"/>
              <w:textAlignment w:val="bottom"/>
            </w:pPr>
            <w:r>
              <w:rPr>
                <w:rFonts w:ascii="Arial" w:eastAsia="宋体" w:hAnsi="Arial" w:cs="Arial"/>
                <w:color w:val="262626"/>
                <w:sz w:val="18"/>
                <w:szCs w:val="18"/>
              </w:rPr>
              <w:t>272 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B63" w14:textId="77777777" w:rsidR="00960BB8" w:rsidRDefault="00960BB8">
            <w:pPr>
              <w:jc w:val="right"/>
              <w:rPr>
                <w:rFonts w:ascii="宋体"/>
              </w:rPr>
            </w:pPr>
          </w:p>
        </w:tc>
      </w:tr>
      <w:tr w:rsidR="00960BB8" w14:paraId="5A1B1B6F" w14:textId="77777777">
        <w:tc>
          <w:tcPr>
            <w:tcW w:w="0" w:type="auto"/>
            <w:gridSpan w:val="3"/>
            <w:shd w:val="clear" w:color="auto" w:fill="auto"/>
            <w:tcMar>
              <w:top w:w="40" w:type="dxa"/>
              <w:left w:w="20" w:type="dxa"/>
              <w:bottom w:w="40" w:type="dxa"/>
              <w:right w:w="20" w:type="dxa"/>
            </w:tcMar>
            <w:vAlign w:val="bottom"/>
          </w:tcPr>
          <w:p w14:paraId="5A1B1B65" w14:textId="77777777" w:rsidR="00960BB8" w:rsidRDefault="00C06650">
            <w:pPr>
              <w:textAlignment w:val="bottom"/>
            </w:pPr>
            <w:r>
              <w:rPr>
                <w:rFonts w:ascii="Arial" w:eastAsia="宋体" w:hAnsi="Arial" w:cs="Arial"/>
                <w:color w:val="262626"/>
                <w:sz w:val="18"/>
                <w:szCs w:val="18"/>
              </w:rPr>
              <w:t>Interest expense</w:t>
            </w:r>
          </w:p>
        </w:tc>
        <w:tc>
          <w:tcPr>
            <w:tcW w:w="0" w:type="auto"/>
            <w:gridSpan w:val="3"/>
            <w:shd w:val="clear" w:color="auto" w:fill="auto"/>
            <w:tcMar>
              <w:top w:w="0" w:type="dxa"/>
              <w:left w:w="20" w:type="dxa"/>
              <w:bottom w:w="0" w:type="dxa"/>
              <w:right w:w="20" w:type="dxa"/>
            </w:tcMar>
            <w:vAlign w:val="bottom"/>
          </w:tcPr>
          <w:p w14:paraId="5A1B1B6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67" w14:textId="77777777" w:rsidR="00960BB8" w:rsidRDefault="00C06650">
            <w:pPr>
              <w:jc w:val="right"/>
              <w:textAlignment w:val="bottom"/>
            </w:pPr>
            <w:r>
              <w:rPr>
                <w:rFonts w:ascii="Arial" w:eastAsia="宋体" w:hAnsi="Arial" w:cs="Arial"/>
                <w:color w:val="0068B5"/>
                <w:sz w:val="18"/>
                <w:szCs w:val="18"/>
              </w:rPr>
              <w:t>(496)</w:t>
            </w:r>
          </w:p>
        </w:tc>
        <w:tc>
          <w:tcPr>
            <w:tcW w:w="0" w:type="auto"/>
            <w:shd w:val="clear" w:color="auto" w:fill="auto"/>
            <w:tcMar>
              <w:top w:w="40" w:type="dxa"/>
              <w:left w:w="0" w:type="dxa"/>
              <w:bottom w:w="40" w:type="dxa"/>
              <w:right w:w="20" w:type="dxa"/>
            </w:tcMar>
            <w:vAlign w:val="bottom"/>
          </w:tcPr>
          <w:p w14:paraId="5A1B1B6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6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6A" w14:textId="77777777" w:rsidR="00960BB8" w:rsidRDefault="00C06650">
            <w:pPr>
              <w:jc w:val="right"/>
              <w:textAlignment w:val="bottom"/>
            </w:pPr>
            <w:r>
              <w:rPr>
                <w:rFonts w:ascii="Arial" w:eastAsia="宋体" w:hAnsi="Arial" w:cs="Arial"/>
                <w:color w:val="262626"/>
                <w:sz w:val="18"/>
                <w:szCs w:val="18"/>
              </w:rPr>
              <w:t>(597)</w:t>
            </w:r>
          </w:p>
        </w:tc>
        <w:tc>
          <w:tcPr>
            <w:tcW w:w="0" w:type="auto"/>
            <w:shd w:val="clear" w:color="auto" w:fill="auto"/>
            <w:tcMar>
              <w:top w:w="40" w:type="dxa"/>
              <w:left w:w="0" w:type="dxa"/>
              <w:bottom w:w="40" w:type="dxa"/>
              <w:right w:w="20" w:type="dxa"/>
            </w:tcMar>
            <w:vAlign w:val="bottom"/>
          </w:tcPr>
          <w:p w14:paraId="5A1B1B6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6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6D" w14:textId="77777777" w:rsidR="00960BB8" w:rsidRDefault="00C06650">
            <w:pPr>
              <w:jc w:val="right"/>
              <w:textAlignment w:val="bottom"/>
            </w:pPr>
            <w:r>
              <w:rPr>
                <w:rFonts w:ascii="Arial" w:eastAsia="宋体" w:hAnsi="Arial" w:cs="Arial"/>
                <w:color w:val="262626"/>
                <w:sz w:val="18"/>
                <w:szCs w:val="18"/>
              </w:rPr>
              <w:t>(629)</w:t>
            </w:r>
          </w:p>
        </w:tc>
        <w:tc>
          <w:tcPr>
            <w:tcW w:w="0" w:type="auto"/>
            <w:shd w:val="clear" w:color="auto" w:fill="auto"/>
            <w:tcMar>
              <w:top w:w="40" w:type="dxa"/>
              <w:left w:w="0" w:type="dxa"/>
              <w:bottom w:w="40" w:type="dxa"/>
              <w:right w:w="20" w:type="dxa"/>
            </w:tcMar>
            <w:vAlign w:val="bottom"/>
          </w:tcPr>
          <w:p w14:paraId="5A1B1B6E" w14:textId="77777777" w:rsidR="00960BB8" w:rsidRDefault="00960BB8">
            <w:pPr>
              <w:jc w:val="right"/>
              <w:rPr>
                <w:rFonts w:ascii="宋体"/>
              </w:rPr>
            </w:pPr>
          </w:p>
        </w:tc>
      </w:tr>
      <w:tr w:rsidR="00960BB8" w14:paraId="5A1B1B7A" w14:textId="77777777">
        <w:tc>
          <w:tcPr>
            <w:tcW w:w="0" w:type="auto"/>
            <w:gridSpan w:val="3"/>
            <w:shd w:val="clear" w:color="auto" w:fill="auto"/>
            <w:tcMar>
              <w:top w:w="40" w:type="dxa"/>
              <w:left w:w="20" w:type="dxa"/>
              <w:bottom w:w="40" w:type="dxa"/>
              <w:right w:w="20" w:type="dxa"/>
            </w:tcMar>
            <w:vAlign w:val="bottom"/>
          </w:tcPr>
          <w:p w14:paraId="5A1B1B70" w14:textId="77777777" w:rsidR="00960BB8" w:rsidRDefault="00C06650">
            <w:pPr>
              <w:textAlignment w:val="bottom"/>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5A1B1B7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72" w14:textId="77777777" w:rsidR="00960BB8" w:rsidRDefault="00C06650">
            <w:pPr>
              <w:jc w:val="right"/>
              <w:textAlignment w:val="bottom"/>
            </w:pPr>
            <w:r>
              <w:rPr>
                <w:rFonts w:ascii="Arial" w:eastAsia="宋体" w:hAnsi="Arial" w:cs="Arial"/>
                <w:color w:val="0068B5"/>
                <w:sz w:val="18"/>
                <w:szCs w:val="18"/>
              </w:rPr>
              <w:t>1,073 </w:t>
            </w:r>
          </w:p>
        </w:tc>
        <w:tc>
          <w:tcPr>
            <w:tcW w:w="0" w:type="auto"/>
            <w:shd w:val="clear" w:color="auto" w:fill="auto"/>
            <w:tcMar>
              <w:top w:w="40" w:type="dxa"/>
              <w:left w:w="0" w:type="dxa"/>
              <w:bottom w:w="40" w:type="dxa"/>
              <w:right w:w="20" w:type="dxa"/>
            </w:tcMar>
            <w:vAlign w:val="bottom"/>
          </w:tcPr>
          <w:p w14:paraId="5A1B1B7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7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75" w14:textId="77777777" w:rsidR="00960BB8" w:rsidRDefault="00C06650">
            <w:pPr>
              <w:jc w:val="right"/>
              <w:textAlignment w:val="bottom"/>
            </w:pPr>
            <w:r>
              <w:rPr>
                <w:rFonts w:ascii="Arial" w:eastAsia="宋体" w:hAnsi="Arial" w:cs="Arial"/>
                <w:color w:val="262626"/>
                <w:sz w:val="18"/>
                <w:szCs w:val="18"/>
              </w:rPr>
              <w:t>(29)</w:t>
            </w:r>
          </w:p>
        </w:tc>
        <w:tc>
          <w:tcPr>
            <w:tcW w:w="0" w:type="auto"/>
            <w:shd w:val="clear" w:color="auto" w:fill="auto"/>
            <w:tcMar>
              <w:top w:w="40" w:type="dxa"/>
              <w:left w:w="0" w:type="dxa"/>
              <w:bottom w:w="40" w:type="dxa"/>
              <w:right w:w="20" w:type="dxa"/>
            </w:tcMar>
            <w:vAlign w:val="bottom"/>
          </w:tcPr>
          <w:p w14:paraId="5A1B1B7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7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78" w14:textId="77777777" w:rsidR="00960BB8" w:rsidRDefault="00C06650">
            <w:pPr>
              <w:jc w:val="right"/>
              <w:textAlignment w:val="bottom"/>
            </w:pPr>
            <w:r>
              <w:rPr>
                <w:rFonts w:ascii="Arial" w:eastAsia="宋体" w:hAnsi="Arial" w:cs="Arial"/>
                <w:color w:val="262626"/>
                <w:sz w:val="18"/>
                <w:szCs w:val="18"/>
              </w:rPr>
              <w:t>(147)</w:t>
            </w:r>
          </w:p>
        </w:tc>
        <w:tc>
          <w:tcPr>
            <w:tcW w:w="0" w:type="auto"/>
            <w:shd w:val="clear" w:color="auto" w:fill="auto"/>
            <w:tcMar>
              <w:top w:w="40" w:type="dxa"/>
              <w:left w:w="0" w:type="dxa"/>
              <w:bottom w:w="40" w:type="dxa"/>
              <w:right w:w="20" w:type="dxa"/>
            </w:tcMar>
            <w:vAlign w:val="bottom"/>
          </w:tcPr>
          <w:p w14:paraId="5A1B1B79" w14:textId="77777777" w:rsidR="00960BB8" w:rsidRDefault="00960BB8">
            <w:pPr>
              <w:jc w:val="right"/>
              <w:rPr>
                <w:rFonts w:ascii="宋体"/>
              </w:rPr>
            </w:pPr>
          </w:p>
        </w:tc>
      </w:tr>
      <w:tr w:rsidR="00960BB8" w14:paraId="5A1B1B88" w14:textId="77777777">
        <w:tc>
          <w:tcPr>
            <w:tcW w:w="0" w:type="auto"/>
            <w:gridSpan w:val="3"/>
            <w:shd w:val="clear" w:color="auto" w:fill="auto"/>
            <w:tcMar>
              <w:top w:w="40" w:type="dxa"/>
              <w:left w:w="20" w:type="dxa"/>
              <w:bottom w:w="40" w:type="dxa"/>
              <w:right w:w="20" w:type="dxa"/>
            </w:tcMar>
            <w:vAlign w:val="bottom"/>
          </w:tcPr>
          <w:p w14:paraId="5A1B1B7B" w14:textId="77777777" w:rsidR="00960BB8" w:rsidRDefault="00C06650">
            <w:pPr>
              <w:textAlignment w:val="bottom"/>
            </w:pPr>
            <w:r>
              <w:rPr>
                <w:rFonts w:ascii="Arial" w:eastAsia="宋体" w:hAnsi="Arial" w:cs="Arial"/>
                <w:b/>
                <w:bCs/>
                <w:color w:val="262626"/>
                <w:sz w:val="18"/>
                <w:szCs w:val="18"/>
              </w:rPr>
              <w:t>Total interest and other, net</w:t>
            </w:r>
          </w:p>
        </w:tc>
        <w:tc>
          <w:tcPr>
            <w:tcW w:w="0" w:type="auto"/>
            <w:gridSpan w:val="3"/>
            <w:shd w:val="clear" w:color="auto" w:fill="auto"/>
            <w:tcMar>
              <w:top w:w="0" w:type="dxa"/>
              <w:left w:w="20" w:type="dxa"/>
              <w:bottom w:w="0" w:type="dxa"/>
              <w:right w:w="20" w:type="dxa"/>
            </w:tcMar>
            <w:vAlign w:val="bottom"/>
          </w:tcPr>
          <w:p w14:paraId="5A1B1B7C"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B7D"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B7E" w14:textId="77777777" w:rsidR="00960BB8" w:rsidRDefault="00C06650">
            <w:pPr>
              <w:jc w:val="right"/>
              <w:textAlignment w:val="bottom"/>
            </w:pPr>
            <w:r>
              <w:rPr>
                <w:rFonts w:ascii="Arial" w:eastAsia="宋体" w:hAnsi="Arial" w:cs="Arial"/>
                <w:b/>
                <w:bCs/>
                <w:color w:val="0068B5"/>
                <w:sz w:val="18"/>
                <w:szCs w:val="18"/>
              </w:rPr>
              <w:t>1,166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B7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80"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B81"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B82" w14:textId="77777777" w:rsidR="00960BB8" w:rsidRDefault="00C06650">
            <w:pPr>
              <w:jc w:val="right"/>
              <w:textAlignment w:val="bottom"/>
            </w:pPr>
            <w:r>
              <w:rPr>
                <w:rFonts w:ascii="Arial" w:eastAsia="宋体" w:hAnsi="Arial" w:cs="Arial"/>
                <w:b/>
                <w:bCs/>
                <w:color w:val="262626"/>
                <w:sz w:val="18"/>
                <w:szCs w:val="18"/>
              </w:rPr>
              <w:t>(482)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B8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84"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B85"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B86" w14:textId="77777777" w:rsidR="00960BB8" w:rsidRDefault="00C06650">
            <w:pPr>
              <w:jc w:val="right"/>
              <w:textAlignment w:val="bottom"/>
            </w:pPr>
            <w:r>
              <w:rPr>
                <w:rFonts w:ascii="Arial" w:eastAsia="宋体" w:hAnsi="Arial" w:cs="Arial"/>
                <w:b/>
                <w:bCs/>
                <w:color w:val="262626"/>
                <w:sz w:val="18"/>
                <w:szCs w:val="18"/>
              </w:rPr>
              <w:t>(504)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B87" w14:textId="77777777" w:rsidR="00960BB8" w:rsidRDefault="00960BB8">
            <w:pPr>
              <w:jc w:val="right"/>
              <w:rPr>
                <w:rFonts w:ascii="宋体"/>
              </w:rPr>
            </w:pPr>
          </w:p>
        </w:tc>
      </w:tr>
    </w:tbl>
    <w:p w14:paraId="5A1B1B89" w14:textId="77777777" w:rsidR="00960BB8" w:rsidRDefault="00C06650">
      <w:pPr>
        <w:spacing w:after="180"/>
      </w:pPr>
      <w:r>
        <w:rPr>
          <w:rFonts w:ascii="Arial" w:eastAsia="宋体" w:hAnsi="Arial" w:cs="Arial"/>
          <w:i/>
          <w:iCs/>
          <w:color w:val="262626"/>
          <w:sz w:val="18"/>
          <w:szCs w:val="18"/>
        </w:rPr>
        <w:t>Interest expense</w:t>
      </w:r>
      <w:r>
        <w:rPr>
          <w:rFonts w:ascii="Arial" w:eastAsia="宋体" w:hAnsi="Arial" w:cs="Arial"/>
          <w:color w:val="262626"/>
          <w:sz w:val="18"/>
          <w:szCs w:val="18"/>
        </w:rPr>
        <w:t xml:space="preserve"> is net of</w:t>
      </w:r>
      <w:r>
        <w:rPr>
          <w:rFonts w:ascii="Arial" w:eastAsia="宋体" w:hAnsi="Arial" w:cs="Arial"/>
          <w:b/>
          <w:bCs/>
          <w:color w:val="262626"/>
          <w:sz w:val="18"/>
          <w:szCs w:val="18"/>
        </w:rPr>
        <w:t xml:space="preserve"> </w:t>
      </w:r>
      <w:r>
        <w:rPr>
          <w:rFonts w:ascii="Arial" w:eastAsia="宋体" w:hAnsi="Arial" w:cs="Arial"/>
          <w:color w:val="262626"/>
          <w:sz w:val="18"/>
          <w:szCs w:val="18"/>
        </w:rPr>
        <w:t xml:space="preserve">$785 million of interest capitalized in 2022 ($398 million in 2021 and $338 million in 2020). </w:t>
      </w:r>
    </w:p>
    <w:p w14:paraId="5A1B1B8A" w14:textId="77777777" w:rsidR="00960BB8" w:rsidRDefault="00C06650">
      <w:pPr>
        <w:spacing w:after="180"/>
      </w:pPr>
      <w:r>
        <w:rPr>
          <w:rFonts w:ascii="Arial" w:eastAsia="宋体" w:hAnsi="Arial" w:cs="Arial"/>
          <w:i/>
          <w:iCs/>
          <w:color w:val="262626"/>
          <w:sz w:val="18"/>
          <w:szCs w:val="18"/>
        </w:rPr>
        <w:t xml:space="preserve">Other, net </w:t>
      </w:r>
      <w:r>
        <w:rPr>
          <w:rFonts w:ascii="Arial" w:eastAsia="宋体" w:hAnsi="Arial" w:cs="Arial"/>
          <w:color w:val="262626"/>
          <w:sz w:val="18"/>
          <w:szCs w:val="18"/>
        </w:rPr>
        <w:t>includes a $1.0 billion gain recognized in 2022 from the first closing of the divestiture of our NAND memory business.</w:t>
      </w: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960BB8" w14:paraId="5A1B1B91" w14:textId="77777777">
        <w:tc>
          <w:tcPr>
            <w:tcW w:w="50" w:type="pct"/>
            <w:shd w:val="clear" w:color="auto" w:fill="auto"/>
            <w:vAlign w:val="bottom"/>
          </w:tcPr>
          <w:p w14:paraId="5A1B1B8B" w14:textId="77777777" w:rsidR="00960BB8" w:rsidRDefault="00960BB8">
            <w:pPr>
              <w:rPr>
                <w:rFonts w:ascii="宋体"/>
              </w:rPr>
            </w:pPr>
          </w:p>
        </w:tc>
        <w:tc>
          <w:tcPr>
            <w:tcW w:w="491" w:type="pct"/>
            <w:shd w:val="clear" w:color="auto" w:fill="auto"/>
            <w:vAlign w:val="bottom"/>
          </w:tcPr>
          <w:p w14:paraId="5A1B1B8C" w14:textId="77777777" w:rsidR="00960BB8" w:rsidRDefault="00960BB8">
            <w:pPr>
              <w:rPr>
                <w:rFonts w:ascii="宋体"/>
              </w:rPr>
            </w:pPr>
          </w:p>
        </w:tc>
        <w:tc>
          <w:tcPr>
            <w:tcW w:w="5" w:type="pct"/>
            <w:shd w:val="clear" w:color="auto" w:fill="auto"/>
            <w:vAlign w:val="bottom"/>
          </w:tcPr>
          <w:p w14:paraId="5A1B1B8D" w14:textId="77777777" w:rsidR="00960BB8" w:rsidRDefault="00960BB8">
            <w:pPr>
              <w:rPr>
                <w:rFonts w:ascii="宋体"/>
              </w:rPr>
            </w:pPr>
          </w:p>
        </w:tc>
        <w:tc>
          <w:tcPr>
            <w:tcW w:w="50" w:type="pct"/>
            <w:shd w:val="clear" w:color="auto" w:fill="auto"/>
            <w:vAlign w:val="bottom"/>
          </w:tcPr>
          <w:p w14:paraId="5A1B1B8E" w14:textId="77777777" w:rsidR="00960BB8" w:rsidRDefault="00960BB8">
            <w:pPr>
              <w:rPr>
                <w:rFonts w:ascii="宋体"/>
              </w:rPr>
            </w:pPr>
          </w:p>
        </w:tc>
        <w:tc>
          <w:tcPr>
            <w:tcW w:w="4398" w:type="pct"/>
            <w:shd w:val="clear" w:color="auto" w:fill="auto"/>
            <w:vAlign w:val="bottom"/>
          </w:tcPr>
          <w:p w14:paraId="5A1B1B8F" w14:textId="77777777" w:rsidR="00960BB8" w:rsidRDefault="00960BB8">
            <w:pPr>
              <w:rPr>
                <w:rFonts w:ascii="宋体"/>
              </w:rPr>
            </w:pPr>
          </w:p>
        </w:tc>
        <w:tc>
          <w:tcPr>
            <w:tcW w:w="5" w:type="pct"/>
            <w:shd w:val="clear" w:color="auto" w:fill="auto"/>
            <w:vAlign w:val="bottom"/>
          </w:tcPr>
          <w:p w14:paraId="5A1B1B90" w14:textId="77777777" w:rsidR="00960BB8" w:rsidRDefault="00960BB8">
            <w:pPr>
              <w:rPr>
                <w:rFonts w:ascii="宋体"/>
              </w:rPr>
            </w:pPr>
          </w:p>
        </w:tc>
      </w:tr>
      <w:tr w:rsidR="00960BB8" w14:paraId="5A1B1B94"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1B92" w14:textId="77777777" w:rsidR="00960BB8" w:rsidRDefault="00C06650">
            <w:pPr>
              <w:textAlignment w:val="bottom"/>
            </w:pPr>
            <w:r>
              <w:rPr>
                <w:rFonts w:ascii="Arial" w:eastAsia="宋体" w:hAnsi="Arial" w:cs="Arial"/>
                <w:color w:val="FFFFFF"/>
                <w:sz w:val="28"/>
                <w:szCs w:val="28"/>
              </w:rPr>
              <w:t xml:space="preserve">Note 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B93" w14:textId="77777777" w:rsidR="00960BB8" w:rsidRDefault="00C06650">
            <w:pPr>
              <w:textAlignment w:val="bottom"/>
            </w:pPr>
            <w:r>
              <w:rPr>
                <w:rFonts w:ascii="Arial" w:eastAsia="宋体" w:hAnsi="Arial" w:cs="Arial"/>
                <w:color w:val="0068B5"/>
                <w:sz w:val="28"/>
                <w:szCs w:val="28"/>
              </w:rPr>
              <w:t>Restructuring and Other Charges</w:t>
            </w:r>
          </w:p>
        </w:tc>
      </w:tr>
    </w:tbl>
    <w:p w14:paraId="5A1B1B95"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7"/>
        <w:gridCol w:w="36"/>
        <w:gridCol w:w="36"/>
        <w:gridCol w:w="36"/>
        <w:gridCol w:w="121"/>
        <w:gridCol w:w="805"/>
        <w:gridCol w:w="36"/>
        <w:gridCol w:w="36"/>
        <w:gridCol w:w="36"/>
        <w:gridCol w:w="36"/>
        <w:gridCol w:w="121"/>
        <w:gridCol w:w="805"/>
        <w:gridCol w:w="36"/>
        <w:gridCol w:w="36"/>
        <w:gridCol w:w="36"/>
        <w:gridCol w:w="36"/>
        <w:gridCol w:w="121"/>
        <w:gridCol w:w="807"/>
        <w:gridCol w:w="36"/>
      </w:tblGrid>
      <w:tr w:rsidR="00960BB8" w14:paraId="5A1B1BAB" w14:textId="77777777">
        <w:tc>
          <w:tcPr>
            <w:tcW w:w="50" w:type="pct"/>
            <w:shd w:val="clear" w:color="auto" w:fill="auto"/>
            <w:vAlign w:val="bottom"/>
          </w:tcPr>
          <w:p w14:paraId="5A1B1B96" w14:textId="77777777" w:rsidR="00960BB8" w:rsidRDefault="00960BB8">
            <w:pPr>
              <w:rPr>
                <w:rFonts w:ascii="宋体"/>
              </w:rPr>
            </w:pPr>
          </w:p>
        </w:tc>
        <w:tc>
          <w:tcPr>
            <w:tcW w:w="3059" w:type="pct"/>
            <w:shd w:val="clear" w:color="auto" w:fill="auto"/>
            <w:vAlign w:val="bottom"/>
          </w:tcPr>
          <w:p w14:paraId="5A1B1B97" w14:textId="77777777" w:rsidR="00960BB8" w:rsidRDefault="00960BB8">
            <w:pPr>
              <w:rPr>
                <w:rFonts w:ascii="宋体"/>
              </w:rPr>
            </w:pPr>
          </w:p>
        </w:tc>
        <w:tc>
          <w:tcPr>
            <w:tcW w:w="5" w:type="pct"/>
            <w:shd w:val="clear" w:color="auto" w:fill="auto"/>
            <w:vAlign w:val="bottom"/>
          </w:tcPr>
          <w:p w14:paraId="5A1B1B98" w14:textId="77777777" w:rsidR="00960BB8" w:rsidRDefault="00960BB8">
            <w:pPr>
              <w:rPr>
                <w:rFonts w:ascii="宋体"/>
              </w:rPr>
            </w:pPr>
          </w:p>
        </w:tc>
        <w:tc>
          <w:tcPr>
            <w:tcW w:w="5" w:type="pct"/>
            <w:shd w:val="clear" w:color="auto" w:fill="auto"/>
            <w:vAlign w:val="bottom"/>
          </w:tcPr>
          <w:p w14:paraId="5A1B1B99" w14:textId="77777777" w:rsidR="00960BB8" w:rsidRDefault="00960BB8">
            <w:pPr>
              <w:rPr>
                <w:rFonts w:ascii="宋体"/>
              </w:rPr>
            </w:pPr>
          </w:p>
        </w:tc>
        <w:tc>
          <w:tcPr>
            <w:tcW w:w="24" w:type="pct"/>
            <w:shd w:val="clear" w:color="auto" w:fill="auto"/>
            <w:vAlign w:val="bottom"/>
          </w:tcPr>
          <w:p w14:paraId="5A1B1B9A" w14:textId="77777777" w:rsidR="00960BB8" w:rsidRDefault="00960BB8">
            <w:pPr>
              <w:rPr>
                <w:rFonts w:ascii="宋体"/>
              </w:rPr>
            </w:pPr>
          </w:p>
        </w:tc>
        <w:tc>
          <w:tcPr>
            <w:tcW w:w="5" w:type="pct"/>
            <w:shd w:val="clear" w:color="auto" w:fill="auto"/>
            <w:vAlign w:val="bottom"/>
          </w:tcPr>
          <w:p w14:paraId="5A1B1B9B" w14:textId="77777777" w:rsidR="00960BB8" w:rsidRDefault="00960BB8">
            <w:pPr>
              <w:rPr>
                <w:rFonts w:ascii="宋体"/>
              </w:rPr>
            </w:pPr>
          </w:p>
        </w:tc>
        <w:tc>
          <w:tcPr>
            <w:tcW w:w="50" w:type="pct"/>
            <w:shd w:val="clear" w:color="auto" w:fill="auto"/>
            <w:vAlign w:val="bottom"/>
          </w:tcPr>
          <w:p w14:paraId="5A1B1B9C" w14:textId="77777777" w:rsidR="00960BB8" w:rsidRDefault="00960BB8">
            <w:pPr>
              <w:rPr>
                <w:rFonts w:ascii="宋体"/>
              </w:rPr>
            </w:pPr>
          </w:p>
        </w:tc>
        <w:tc>
          <w:tcPr>
            <w:tcW w:w="539" w:type="pct"/>
            <w:shd w:val="clear" w:color="auto" w:fill="auto"/>
            <w:vAlign w:val="bottom"/>
          </w:tcPr>
          <w:p w14:paraId="5A1B1B9D" w14:textId="77777777" w:rsidR="00960BB8" w:rsidRDefault="00960BB8">
            <w:pPr>
              <w:rPr>
                <w:rFonts w:ascii="宋体"/>
              </w:rPr>
            </w:pPr>
          </w:p>
        </w:tc>
        <w:tc>
          <w:tcPr>
            <w:tcW w:w="5" w:type="pct"/>
            <w:shd w:val="clear" w:color="auto" w:fill="auto"/>
            <w:vAlign w:val="bottom"/>
          </w:tcPr>
          <w:p w14:paraId="5A1B1B9E" w14:textId="77777777" w:rsidR="00960BB8" w:rsidRDefault="00960BB8">
            <w:pPr>
              <w:rPr>
                <w:rFonts w:ascii="宋体"/>
              </w:rPr>
            </w:pPr>
          </w:p>
        </w:tc>
        <w:tc>
          <w:tcPr>
            <w:tcW w:w="5" w:type="pct"/>
            <w:shd w:val="clear" w:color="auto" w:fill="auto"/>
            <w:vAlign w:val="bottom"/>
          </w:tcPr>
          <w:p w14:paraId="5A1B1B9F" w14:textId="77777777" w:rsidR="00960BB8" w:rsidRDefault="00960BB8">
            <w:pPr>
              <w:rPr>
                <w:rFonts w:ascii="宋体"/>
              </w:rPr>
            </w:pPr>
          </w:p>
        </w:tc>
        <w:tc>
          <w:tcPr>
            <w:tcW w:w="24" w:type="pct"/>
            <w:shd w:val="clear" w:color="auto" w:fill="auto"/>
            <w:vAlign w:val="bottom"/>
          </w:tcPr>
          <w:p w14:paraId="5A1B1BA0" w14:textId="77777777" w:rsidR="00960BB8" w:rsidRDefault="00960BB8">
            <w:pPr>
              <w:rPr>
                <w:rFonts w:ascii="宋体"/>
              </w:rPr>
            </w:pPr>
          </w:p>
        </w:tc>
        <w:tc>
          <w:tcPr>
            <w:tcW w:w="5" w:type="pct"/>
            <w:shd w:val="clear" w:color="auto" w:fill="auto"/>
            <w:vAlign w:val="bottom"/>
          </w:tcPr>
          <w:p w14:paraId="5A1B1BA1" w14:textId="77777777" w:rsidR="00960BB8" w:rsidRDefault="00960BB8">
            <w:pPr>
              <w:rPr>
                <w:rFonts w:ascii="宋体"/>
              </w:rPr>
            </w:pPr>
          </w:p>
        </w:tc>
        <w:tc>
          <w:tcPr>
            <w:tcW w:w="50" w:type="pct"/>
            <w:shd w:val="clear" w:color="auto" w:fill="auto"/>
            <w:vAlign w:val="bottom"/>
          </w:tcPr>
          <w:p w14:paraId="5A1B1BA2" w14:textId="77777777" w:rsidR="00960BB8" w:rsidRDefault="00960BB8">
            <w:pPr>
              <w:rPr>
                <w:rFonts w:ascii="宋体"/>
              </w:rPr>
            </w:pPr>
          </w:p>
        </w:tc>
        <w:tc>
          <w:tcPr>
            <w:tcW w:w="539" w:type="pct"/>
            <w:shd w:val="clear" w:color="auto" w:fill="auto"/>
            <w:vAlign w:val="bottom"/>
          </w:tcPr>
          <w:p w14:paraId="5A1B1BA3" w14:textId="77777777" w:rsidR="00960BB8" w:rsidRDefault="00960BB8">
            <w:pPr>
              <w:rPr>
                <w:rFonts w:ascii="宋体"/>
              </w:rPr>
            </w:pPr>
          </w:p>
        </w:tc>
        <w:tc>
          <w:tcPr>
            <w:tcW w:w="5" w:type="pct"/>
            <w:shd w:val="clear" w:color="auto" w:fill="auto"/>
            <w:vAlign w:val="bottom"/>
          </w:tcPr>
          <w:p w14:paraId="5A1B1BA4" w14:textId="77777777" w:rsidR="00960BB8" w:rsidRDefault="00960BB8">
            <w:pPr>
              <w:rPr>
                <w:rFonts w:ascii="宋体"/>
              </w:rPr>
            </w:pPr>
          </w:p>
        </w:tc>
        <w:tc>
          <w:tcPr>
            <w:tcW w:w="5" w:type="pct"/>
            <w:shd w:val="clear" w:color="auto" w:fill="auto"/>
            <w:vAlign w:val="bottom"/>
          </w:tcPr>
          <w:p w14:paraId="5A1B1BA5" w14:textId="77777777" w:rsidR="00960BB8" w:rsidRDefault="00960BB8">
            <w:pPr>
              <w:rPr>
                <w:rFonts w:ascii="宋体"/>
              </w:rPr>
            </w:pPr>
          </w:p>
        </w:tc>
        <w:tc>
          <w:tcPr>
            <w:tcW w:w="24" w:type="pct"/>
            <w:shd w:val="clear" w:color="auto" w:fill="auto"/>
            <w:vAlign w:val="bottom"/>
          </w:tcPr>
          <w:p w14:paraId="5A1B1BA6" w14:textId="77777777" w:rsidR="00960BB8" w:rsidRDefault="00960BB8">
            <w:pPr>
              <w:rPr>
                <w:rFonts w:ascii="宋体"/>
              </w:rPr>
            </w:pPr>
          </w:p>
        </w:tc>
        <w:tc>
          <w:tcPr>
            <w:tcW w:w="5" w:type="pct"/>
            <w:shd w:val="clear" w:color="auto" w:fill="auto"/>
            <w:vAlign w:val="bottom"/>
          </w:tcPr>
          <w:p w14:paraId="5A1B1BA7" w14:textId="77777777" w:rsidR="00960BB8" w:rsidRDefault="00960BB8">
            <w:pPr>
              <w:rPr>
                <w:rFonts w:ascii="宋体"/>
              </w:rPr>
            </w:pPr>
          </w:p>
        </w:tc>
        <w:tc>
          <w:tcPr>
            <w:tcW w:w="50" w:type="pct"/>
            <w:shd w:val="clear" w:color="auto" w:fill="auto"/>
            <w:vAlign w:val="bottom"/>
          </w:tcPr>
          <w:p w14:paraId="5A1B1BA8" w14:textId="77777777" w:rsidR="00960BB8" w:rsidRDefault="00960BB8">
            <w:pPr>
              <w:rPr>
                <w:rFonts w:ascii="宋体"/>
              </w:rPr>
            </w:pPr>
          </w:p>
        </w:tc>
        <w:tc>
          <w:tcPr>
            <w:tcW w:w="539" w:type="pct"/>
            <w:shd w:val="clear" w:color="auto" w:fill="auto"/>
            <w:vAlign w:val="bottom"/>
          </w:tcPr>
          <w:p w14:paraId="5A1B1BA9" w14:textId="77777777" w:rsidR="00960BB8" w:rsidRDefault="00960BB8">
            <w:pPr>
              <w:rPr>
                <w:rFonts w:ascii="宋体"/>
              </w:rPr>
            </w:pPr>
          </w:p>
        </w:tc>
        <w:tc>
          <w:tcPr>
            <w:tcW w:w="5" w:type="pct"/>
            <w:shd w:val="clear" w:color="auto" w:fill="auto"/>
            <w:vAlign w:val="bottom"/>
          </w:tcPr>
          <w:p w14:paraId="5A1B1BAA" w14:textId="77777777" w:rsidR="00960BB8" w:rsidRDefault="00960BB8">
            <w:pPr>
              <w:rPr>
                <w:rFonts w:ascii="宋体"/>
              </w:rPr>
            </w:pPr>
          </w:p>
        </w:tc>
      </w:tr>
      <w:tr w:rsidR="00960BB8" w14:paraId="5A1B1BB3" w14:textId="77777777">
        <w:tc>
          <w:tcPr>
            <w:tcW w:w="0" w:type="auto"/>
            <w:gridSpan w:val="3"/>
            <w:shd w:val="clear" w:color="auto" w:fill="auto"/>
            <w:tcMar>
              <w:top w:w="40" w:type="dxa"/>
              <w:left w:w="20" w:type="dxa"/>
              <w:bottom w:w="40" w:type="dxa"/>
              <w:right w:w="20" w:type="dxa"/>
            </w:tcMar>
            <w:vAlign w:val="bottom"/>
          </w:tcPr>
          <w:p w14:paraId="5A1B1BAC" w14:textId="77777777" w:rsidR="00960BB8" w:rsidRDefault="00C06650">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5A1B1BA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BAE"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BA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BB0"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1BB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BB2"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1BC1"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BB4" w14:textId="77777777" w:rsidR="00960BB8" w:rsidRDefault="00C06650">
            <w:pPr>
              <w:textAlignment w:val="bottom"/>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5A1B1BB5"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BB6"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BB7" w14:textId="77777777" w:rsidR="00960BB8" w:rsidRDefault="00C06650">
            <w:pPr>
              <w:jc w:val="right"/>
              <w:textAlignment w:val="bottom"/>
            </w:pPr>
            <w:r>
              <w:rPr>
                <w:rFonts w:ascii="Arial" w:eastAsia="宋体" w:hAnsi="Arial" w:cs="Arial"/>
                <w:color w:val="0068B5"/>
                <w:sz w:val="18"/>
                <w:szCs w:val="18"/>
              </w:rPr>
              <w:t>1,038 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BB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B9"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BBA"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BBB" w14:textId="77777777" w:rsidR="00960BB8" w:rsidRDefault="00C06650">
            <w:pPr>
              <w:jc w:val="right"/>
              <w:textAlignment w:val="bottom"/>
            </w:pPr>
            <w:r>
              <w:rPr>
                <w:rFonts w:ascii="Arial" w:eastAsia="宋体" w:hAnsi="Arial" w:cs="Arial"/>
                <w:color w:val="262626"/>
                <w:sz w:val="18"/>
                <w:szCs w:val="18"/>
              </w:rPr>
              <w:t>48 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BB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B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BBE"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BBF" w14:textId="77777777" w:rsidR="00960BB8" w:rsidRDefault="00C06650">
            <w:pPr>
              <w:jc w:val="right"/>
              <w:textAlignment w:val="bottom"/>
            </w:pPr>
            <w:r>
              <w:rPr>
                <w:rFonts w:ascii="Arial" w:eastAsia="宋体" w:hAnsi="Arial" w:cs="Arial"/>
                <w:color w:val="262626"/>
                <w:sz w:val="18"/>
                <w:szCs w:val="18"/>
              </w:rPr>
              <w:t>124 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BC0" w14:textId="77777777" w:rsidR="00960BB8" w:rsidRDefault="00960BB8">
            <w:pPr>
              <w:jc w:val="right"/>
              <w:rPr>
                <w:rFonts w:ascii="宋体"/>
              </w:rPr>
            </w:pPr>
          </w:p>
        </w:tc>
      </w:tr>
      <w:tr w:rsidR="00960BB8" w14:paraId="5A1B1BCC" w14:textId="77777777">
        <w:tc>
          <w:tcPr>
            <w:tcW w:w="0" w:type="auto"/>
            <w:gridSpan w:val="3"/>
            <w:shd w:val="clear" w:color="auto" w:fill="auto"/>
            <w:tcMar>
              <w:top w:w="40" w:type="dxa"/>
              <w:left w:w="20" w:type="dxa"/>
              <w:bottom w:w="40" w:type="dxa"/>
              <w:right w:w="20" w:type="dxa"/>
            </w:tcMar>
            <w:vAlign w:val="bottom"/>
          </w:tcPr>
          <w:p w14:paraId="5A1B1BC2" w14:textId="77777777" w:rsidR="00960BB8" w:rsidRDefault="00C06650">
            <w:pPr>
              <w:textAlignment w:val="bottom"/>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5A1B1BC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C4" w14:textId="77777777" w:rsidR="00960BB8" w:rsidRDefault="00C06650">
            <w:pPr>
              <w:jc w:val="right"/>
              <w:textAlignment w:val="bottom"/>
            </w:pPr>
            <w:r>
              <w:rPr>
                <w:rFonts w:ascii="Arial" w:eastAsia="宋体" w:hAnsi="Arial" w:cs="Arial"/>
                <w:color w:val="0068B5"/>
                <w:sz w:val="18"/>
                <w:szCs w:val="18"/>
              </w:rPr>
              <w:t>(1,187)</w:t>
            </w:r>
          </w:p>
        </w:tc>
        <w:tc>
          <w:tcPr>
            <w:tcW w:w="0" w:type="auto"/>
            <w:shd w:val="clear" w:color="auto" w:fill="auto"/>
            <w:tcMar>
              <w:top w:w="40" w:type="dxa"/>
              <w:left w:w="0" w:type="dxa"/>
              <w:bottom w:w="40" w:type="dxa"/>
              <w:right w:w="20" w:type="dxa"/>
            </w:tcMar>
            <w:vAlign w:val="bottom"/>
          </w:tcPr>
          <w:p w14:paraId="5A1B1BC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C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C7" w14:textId="77777777" w:rsidR="00960BB8" w:rsidRDefault="00C06650">
            <w:pPr>
              <w:jc w:val="right"/>
              <w:textAlignment w:val="bottom"/>
            </w:pPr>
            <w:r>
              <w:rPr>
                <w:rFonts w:ascii="Arial" w:eastAsia="宋体" w:hAnsi="Arial" w:cs="Arial"/>
                <w:color w:val="262626"/>
                <w:sz w:val="18"/>
                <w:szCs w:val="18"/>
              </w:rPr>
              <w:t>2,291 </w:t>
            </w:r>
          </w:p>
        </w:tc>
        <w:tc>
          <w:tcPr>
            <w:tcW w:w="0" w:type="auto"/>
            <w:shd w:val="clear" w:color="auto" w:fill="auto"/>
            <w:tcMar>
              <w:top w:w="40" w:type="dxa"/>
              <w:left w:w="0" w:type="dxa"/>
              <w:bottom w:w="40" w:type="dxa"/>
              <w:right w:w="20" w:type="dxa"/>
            </w:tcMar>
            <w:vAlign w:val="bottom"/>
          </w:tcPr>
          <w:p w14:paraId="5A1B1BC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C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CA" w14:textId="77777777" w:rsidR="00960BB8" w:rsidRDefault="00C06650">
            <w:pPr>
              <w:jc w:val="right"/>
              <w:textAlignment w:val="bottom"/>
            </w:pPr>
            <w:r>
              <w:rPr>
                <w:rFonts w:ascii="Arial" w:eastAsia="宋体" w:hAnsi="Arial" w:cs="Arial"/>
                <w:color w:val="262626"/>
                <w:sz w:val="18"/>
                <w:szCs w:val="18"/>
              </w:rPr>
              <w:t>67 </w:t>
            </w:r>
          </w:p>
        </w:tc>
        <w:tc>
          <w:tcPr>
            <w:tcW w:w="0" w:type="auto"/>
            <w:shd w:val="clear" w:color="auto" w:fill="auto"/>
            <w:tcMar>
              <w:top w:w="40" w:type="dxa"/>
              <w:left w:w="0" w:type="dxa"/>
              <w:bottom w:w="40" w:type="dxa"/>
              <w:right w:w="20" w:type="dxa"/>
            </w:tcMar>
            <w:vAlign w:val="bottom"/>
          </w:tcPr>
          <w:p w14:paraId="5A1B1BCB" w14:textId="77777777" w:rsidR="00960BB8" w:rsidRDefault="00960BB8">
            <w:pPr>
              <w:jc w:val="right"/>
              <w:rPr>
                <w:rFonts w:ascii="宋体"/>
              </w:rPr>
            </w:pPr>
          </w:p>
        </w:tc>
      </w:tr>
      <w:tr w:rsidR="00960BB8" w14:paraId="5A1B1BD7" w14:textId="77777777">
        <w:tc>
          <w:tcPr>
            <w:tcW w:w="0" w:type="auto"/>
            <w:gridSpan w:val="3"/>
            <w:shd w:val="clear" w:color="auto" w:fill="auto"/>
            <w:tcMar>
              <w:top w:w="40" w:type="dxa"/>
              <w:left w:w="20" w:type="dxa"/>
              <w:bottom w:w="40" w:type="dxa"/>
              <w:right w:w="20" w:type="dxa"/>
            </w:tcMar>
            <w:vAlign w:val="bottom"/>
          </w:tcPr>
          <w:p w14:paraId="5A1B1BCD" w14:textId="77777777" w:rsidR="00960BB8" w:rsidRDefault="00C06650">
            <w:pPr>
              <w:textAlignment w:val="bottom"/>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5A1B1BC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CF" w14:textId="77777777" w:rsidR="00960BB8" w:rsidRDefault="00C06650">
            <w:pPr>
              <w:jc w:val="right"/>
              <w:textAlignment w:val="bottom"/>
            </w:pPr>
            <w:r>
              <w:rPr>
                <w:rFonts w:ascii="Arial" w:eastAsia="宋体" w:hAnsi="Arial" w:cs="Arial"/>
                <w:color w:val="0068B5"/>
                <w:sz w:val="18"/>
                <w:szCs w:val="18"/>
              </w:rPr>
              <w:t>151 </w:t>
            </w:r>
          </w:p>
        </w:tc>
        <w:tc>
          <w:tcPr>
            <w:tcW w:w="0" w:type="auto"/>
            <w:shd w:val="clear" w:color="auto" w:fill="auto"/>
            <w:tcMar>
              <w:top w:w="40" w:type="dxa"/>
              <w:left w:w="0" w:type="dxa"/>
              <w:bottom w:w="40" w:type="dxa"/>
              <w:right w:w="20" w:type="dxa"/>
            </w:tcMar>
            <w:vAlign w:val="bottom"/>
          </w:tcPr>
          <w:p w14:paraId="5A1B1BD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D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D2" w14:textId="77777777" w:rsidR="00960BB8" w:rsidRDefault="00C06650">
            <w:pPr>
              <w:jc w:val="right"/>
              <w:textAlignment w:val="bottom"/>
            </w:pPr>
            <w:r>
              <w:rPr>
                <w:rFonts w:ascii="Arial" w:eastAsia="宋体" w:hAnsi="Arial" w:cs="Arial"/>
                <w:color w:val="262626"/>
                <w:sz w:val="18"/>
                <w:szCs w:val="18"/>
              </w:rPr>
              <w:t>287 </w:t>
            </w:r>
          </w:p>
        </w:tc>
        <w:tc>
          <w:tcPr>
            <w:tcW w:w="0" w:type="auto"/>
            <w:shd w:val="clear" w:color="auto" w:fill="auto"/>
            <w:tcMar>
              <w:top w:w="40" w:type="dxa"/>
              <w:left w:w="0" w:type="dxa"/>
              <w:bottom w:w="40" w:type="dxa"/>
              <w:right w:w="20" w:type="dxa"/>
            </w:tcMar>
            <w:vAlign w:val="bottom"/>
          </w:tcPr>
          <w:p w14:paraId="5A1B1BD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D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BD5" w14:textId="77777777" w:rsidR="00960BB8" w:rsidRDefault="00C06650">
            <w:pPr>
              <w:jc w:val="right"/>
              <w:textAlignment w:val="bottom"/>
            </w:pPr>
            <w:r>
              <w:rPr>
                <w:rFonts w:ascii="Arial" w:eastAsia="宋体" w:hAnsi="Arial" w:cs="Arial"/>
                <w:color w:val="262626"/>
                <w:sz w:val="18"/>
                <w:szCs w:val="18"/>
              </w:rPr>
              <w:t>7 </w:t>
            </w:r>
          </w:p>
        </w:tc>
        <w:tc>
          <w:tcPr>
            <w:tcW w:w="0" w:type="auto"/>
            <w:shd w:val="clear" w:color="auto" w:fill="auto"/>
            <w:tcMar>
              <w:top w:w="40" w:type="dxa"/>
              <w:left w:w="0" w:type="dxa"/>
              <w:bottom w:w="40" w:type="dxa"/>
              <w:right w:w="20" w:type="dxa"/>
            </w:tcMar>
            <w:vAlign w:val="bottom"/>
          </w:tcPr>
          <w:p w14:paraId="5A1B1BD6" w14:textId="77777777" w:rsidR="00960BB8" w:rsidRDefault="00960BB8">
            <w:pPr>
              <w:jc w:val="right"/>
              <w:rPr>
                <w:rFonts w:ascii="宋体"/>
              </w:rPr>
            </w:pPr>
          </w:p>
        </w:tc>
      </w:tr>
      <w:tr w:rsidR="00960BB8" w14:paraId="5A1B1BE5" w14:textId="77777777">
        <w:tc>
          <w:tcPr>
            <w:tcW w:w="0" w:type="auto"/>
            <w:gridSpan w:val="3"/>
            <w:shd w:val="clear" w:color="auto" w:fill="auto"/>
            <w:tcMar>
              <w:top w:w="40" w:type="dxa"/>
              <w:left w:w="20" w:type="dxa"/>
              <w:bottom w:w="40" w:type="dxa"/>
              <w:right w:w="20" w:type="dxa"/>
            </w:tcMar>
            <w:vAlign w:val="bottom"/>
          </w:tcPr>
          <w:p w14:paraId="5A1B1BD8" w14:textId="77777777" w:rsidR="00960BB8" w:rsidRDefault="00C06650">
            <w:pPr>
              <w:textAlignment w:val="bottom"/>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5A1B1BD9"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BDA"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BDB" w14:textId="77777777" w:rsidR="00960BB8" w:rsidRDefault="00C06650">
            <w:pPr>
              <w:jc w:val="right"/>
              <w:textAlignment w:val="bottom"/>
            </w:pPr>
            <w:r>
              <w:rPr>
                <w:rFonts w:ascii="Arial" w:eastAsia="宋体" w:hAnsi="Arial" w:cs="Arial"/>
                <w:b/>
                <w:bCs/>
                <w:color w:val="0068B5"/>
                <w:sz w:val="18"/>
                <w:szCs w:val="18"/>
              </w:rPr>
              <w:t>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BD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DD" w14:textId="77777777" w:rsidR="00960BB8" w:rsidRDefault="00960BB8">
            <w:pPr>
              <w:rPr>
                <w:rFonts w:ascii="宋体"/>
              </w:rPr>
            </w:pPr>
          </w:p>
        </w:tc>
        <w:tc>
          <w:tcPr>
            <w:tcW w:w="0" w:type="auto"/>
            <w:tcBorders>
              <w:top w:val="single" w:sz="4" w:space="0" w:color="262626"/>
              <w:bottom w:val="double" w:sz="6" w:space="0" w:color="333333"/>
            </w:tcBorders>
            <w:shd w:val="clear" w:color="auto" w:fill="auto"/>
            <w:tcMar>
              <w:top w:w="40" w:type="dxa"/>
              <w:left w:w="20" w:type="dxa"/>
              <w:bottom w:w="40" w:type="dxa"/>
              <w:right w:w="0" w:type="dxa"/>
            </w:tcMar>
            <w:vAlign w:val="bottom"/>
          </w:tcPr>
          <w:p w14:paraId="5A1B1BDE"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333333"/>
            </w:tcBorders>
            <w:shd w:val="clear" w:color="auto" w:fill="auto"/>
            <w:tcMar>
              <w:top w:w="40" w:type="dxa"/>
              <w:left w:w="0" w:type="dxa"/>
              <w:bottom w:w="40" w:type="dxa"/>
              <w:right w:w="0" w:type="dxa"/>
            </w:tcMar>
            <w:vAlign w:val="bottom"/>
          </w:tcPr>
          <w:p w14:paraId="5A1B1BDF" w14:textId="77777777" w:rsidR="00960BB8" w:rsidRDefault="00C06650">
            <w:pPr>
              <w:jc w:val="right"/>
              <w:textAlignment w:val="bottom"/>
            </w:pPr>
            <w:r>
              <w:rPr>
                <w:rFonts w:ascii="Arial" w:eastAsia="宋体" w:hAnsi="Arial" w:cs="Arial"/>
                <w:b/>
                <w:bCs/>
                <w:color w:val="262626"/>
                <w:sz w:val="18"/>
                <w:szCs w:val="18"/>
              </w:rPr>
              <w:t>2,626</w:t>
            </w:r>
            <w:r>
              <w:rPr>
                <w:rFonts w:ascii="Arial" w:eastAsia="宋体" w:hAnsi="Arial" w:cs="Arial"/>
                <w:color w:val="262626"/>
                <w:sz w:val="18"/>
                <w:szCs w:val="18"/>
              </w:rPr>
              <w:t> </w:t>
            </w:r>
          </w:p>
        </w:tc>
        <w:tc>
          <w:tcPr>
            <w:tcW w:w="0" w:type="auto"/>
            <w:tcBorders>
              <w:top w:val="single" w:sz="4" w:space="0" w:color="262626"/>
              <w:bottom w:val="double" w:sz="6" w:space="0" w:color="333333"/>
            </w:tcBorders>
            <w:shd w:val="clear" w:color="auto" w:fill="auto"/>
            <w:tcMar>
              <w:top w:w="40" w:type="dxa"/>
              <w:left w:w="0" w:type="dxa"/>
              <w:bottom w:w="40" w:type="dxa"/>
              <w:right w:w="20" w:type="dxa"/>
            </w:tcMar>
            <w:vAlign w:val="bottom"/>
          </w:tcPr>
          <w:p w14:paraId="5A1B1BE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BE1" w14:textId="77777777" w:rsidR="00960BB8" w:rsidRDefault="00960BB8">
            <w:pPr>
              <w:rPr>
                <w:rFonts w:ascii="宋体"/>
              </w:rPr>
            </w:pPr>
          </w:p>
        </w:tc>
        <w:tc>
          <w:tcPr>
            <w:tcW w:w="0" w:type="auto"/>
            <w:tcBorders>
              <w:top w:val="single" w:sz="4" w:space="0" w:color="262626"/>
              <w:bottom w:val="double" w:sz="6" w:space="0" w:color="333333"/>
            </w:tcBorders>
            <w:shd w:val="clear" w:color="auto" w:fill="auto"/>
            <w:tcMar>
              <w:top w:w="40" w:type="dxa"/>
              <w:left w:w="20" w:type="dxa"/>
              <w:bottom w:w="40" w:type="dxa"/>
              <w:right w:w="0" w:type="dxa"/>
            </w:tcMar>
            <w:vAlign w:val="bottom"/>
          </w:tcPr>
          <w:p w14:paraId="5A1B1BE2"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333333"/>
            </w:tcBorders>
            <w:shd w:val="clear" w:color="auto" w:fill="auto"/>
            <w:tcMar>
              <w:top w:w="40" w:type="dxa"/>
              <w:left w:w="0" w:type="dxa"/>
              <w:bottom w:w="40" w:type="dxa"/>
              <w:right w:w="0" w:type="dxa"/>
            </w:tcMar>
            <w:vAlign w:val="bottom"/>
          </w:tcPr>
          <w:p w14:paraId="5A1B1BE3" w14:textId="77777777" w:rsidR="00960BB8" w:rsidRDefault="00C06650">
            <w:pPr>
              <w:jc w:val="right"/>
              <w:textAlignment w:val="bottom"/>
            </w:pPr>
            <w:r>
              <w:rPr>
                <w:rFonts w:ascii="Arial" w:eastAsia="宋体" w:hAnsi="Arial" w:cs="Arial"/>
                <w:b/>
                <w:bCs/>
                <w:color w:val="262626"/>
                <w:sz w:val="18"/>
                <w:szCs w:val="18"/>
              </w:rPr>
              <w:t>198</w:t>
            </w:r>
            <w:r>
              <w:rPr>
                <w:rFonts w:ascii="Arial" w:eastAsia="宋体" w:hAnsi="Arial" w:cs="Arial"/>
                <w:color w:val="262626"/>
                <w:sz w:val="18"/>
                <w:szCs w:val="18"/>
              </w:rPr>
              <w:t> </w:t>
            </w:r>
          </w:p>
        </w:tc>
        <w:tc>
          <w:tcPr>
            <w:tcW w:w="0" w:type="auto"/>
            <w:tcBorders>
              <w:top w:val="single" w:sz="4" w:space="0" w:color="262626"/>
              <w:bottom w:val="double" w:sz="6" w:space="0" w:color="333333"/>
            </w:tcBorders>
            <w:shd w:val="clear" w:color="auto" w:fill="auto"/>
            <w:tcMar>
              <w:top w:w="40" w:type="dxa"/>
              <w:left w:w="0" w:type="dxa"/>
              <w:bottom w:w="40" w:type="dxa"/>
              <w:right w:w="20" w:type="dxa"/>
            </w:tcMar>
            <w:vAlign w:val="bottom"/>
          </w:tcPr>
          <w:p w14:paraId="5A1B1BE4" w14:textId="77777777" w:rsidR="00960BB8" w:rsidRDefault="00960BB8">
            <w:pPr>
              <w:jc w:val="right"/>
              <w:rPr>
                <w:rFonts w:ascii="宋体"/>
              </w:rPr>
            </w:pPr>
          </w:p>
        </w:tc>
      </w:tr>
    </w:tbl>
    <w:p w14:paraId="5A1B1BE6" w14:textId="77777777" w:rsidR="00960BB8" w:rsidRDefault="00C06650">
      <w:pPr>
        <w:spacing w:after="180"/>
      </w:pPr>
      <w:r>
        <w:rPr>
          <w:rFonts w:ascii="Arial" w:eastAsia="宋体" w:hAnsi="Arial" w:cs="Arial"/>
          <w:color w:val="262626"/>
          <w:sz w:val="18"/>
          <w:szCs w:val="18"/>
        </w:rPr>
        <w:t>The 2022 Restructuring Program was approved to rebalance our workforce and operations to create efficiencies and improve our product execution in alignment with our strategy. Restructur</w:t>
      </w:r>
      <w:r>
        <w:rPr>
          <w:rFonts w:ascii="Arial" w:eastAsia="宋体" w:hAnsi="Arial" w:cs="Arial"/>
          <w:color w:val="262626"/>
          <w:sz w:val="18"/>
          <w:szCs w:val="18"/>
        </w:rPr>
        <w:t>ing charges are primarily comprised of employee severance and benefit arrangements and are recorded as corporate charges in the "all other" category presented in "Note 3: Operating Segments" within the Notes to Consolidated Financial Statements. As of Dece</w:t>
      </w:r>
      <w:r>
        <w:rPr>
          <w:rFonts w:ascii="Arial" w:eastAsia="宋体" w:hAnsi="Arial" w:cs="Arial"/>
          <w:color w:val="262626"/>
          <w:sz w:val="18"/>
          <w:szCs w:val="18"/>
        </w:rPr>
        <w:t xml:space="preserve">mber 31, 2022, we have accrued $873 million as a current liability within </w:t>
      </w:r>
      <w:r>
        <w:rPr>
          <w:rFonts w:ascii="Arial" w:eastAsia="宋体" w:hAnsi="Arial" w:cs="Arial"/>
          <w:i/>
          <w:iCs/>
          <w:color w:val="262626"/>
          <w:sz w:val="18"/>
          <w:szCs w:val="18"/>
        </w:rPr>
        <w:t>Accrued compensation and benefits</w:t>
      </w:r>
      <w:r>
        <w:rPr>
          <w:rFonts w:ascii="Arial" w:eastAsia="宋体" w:hAnsi="Arial" w:cs="Arial"/>
          <w:color w:val="262626"/>
          <w:sz w:val="18"/>
          <w:szCs w:val="18"/>
        </w:rPr>
        <w:t xml:space="preserve"> on our Consolidated Balance Sheets; $165 million in payments or other adjustments were made during the period. We expect these actions to be substan</w:t>
      </w:r>
      <w:r>
        <w:rPr>
          <w:rFonts w:ascii="Arial" w:eastAsia="宋体" w:hAnsi="Arial" w:cs="Arial"/>
          <w:color w:val="262626"/>
          <w:sz w:val="18"/>
          <w:szCs w:val="18"/>
        </w:rPr>
        <w:t>tially completed by the end of 2023, but this is subject to change. Any changes to the estimates or timing of executing the 2022 Restructuring Program will be reflected in our future results of operations.</w:t>
      </w:r>
    </w:p>
    <w:p w14:paraId="5A1B1BE7" w14:textId="77777777" w:rsidR="00960BB8" w:rsidRDefault="00C06650">
      <w:pPr>
        <w:spacing w:after="180"/>
      </w:pPr>
      <w:r>
        <w:rPr>
          <w:rFonts w:ascii="Arial" w:eastAsia="宋体" w:hAnsi="Arial" w:cs="Arial"/>
          <w:i/>
          <w:iCs/>
          <w:color w:val="262626"/>
          <w:sz w:val="18"/>
          <w:szCs w:val="18"/>
        </w:rPr>
        <w:t>Litigation charges and other</w:t>
      </w:r>
      <w:r>
        <w:rPr>
          <w:rFonts w:ascii="Arial" w:eastAsia="宋体" w:hAnsi="Arial" w:cs="Arial"/>
          <w:color w:val="262626"/>
          <w:sz w:val="18"/>
          <w:szCs w:val="18"/>
        </w:rPr>
        <w:t xml:space="preserve"> includes a $1.2 billi</w:t>
      </w:r>
      <w:r>
        <w:rPr>
          <w:rFonts w:ascii="Arial" w:eastAsia="宋体" w:hAnsi="Arial" w:cs="Arial"/>
          <w:color w:val="262626"/>
          <w:sz w:val="18"/>
          <w:szCs w:val="18"/>
        </w:rPr>
        <w:t>on benefit in 2022 from the annulled penalty related to an EC fine that was recorded and paid in 2009, and a charge of $2.2 billion in 2021 related to the VLSI litigation. These were recorded as a corporate benefit and charge in the "all other" category pr</w:t>
      </w:r>
      <w:r>
        <w:rPr>
          <w:rFonts w:ascii="Arial" w:eastAsia="宋体" w:hAnsi="Arial" w:cs="Arial"/>
          <w:color w:val="262626"/>
          <w:sz w:val="18"/>
          <w:szCs w:val="18"/>
        </w:rPr>
        <w:t>esented in "Note 3: Operating Segments" within the Notes to Consolidated Financial Statements. Refer to "Note 19: Commitments and Contingencies" within the Notes to Consolidated Financial Statements for further information on legal proceedings related to t</w:t>
      </w:r>
      <w:r>
        <w:rPr>
          <w:rFonts w:ascii="Arial" w:eastAsia="宋体" w:hAnsi="Arial" w:cs="Arial"/>
          <w:color w:val="262626"/>
          <w:sz w:val="18"/>
          <w:szCs w:val="18"/>
        </w:rPr>
        <w:t>he EC fine and the VLSI litigation.</w:t>
      </w:r>
    </w:p>
    <w:p w14:paraId="5A1B1BE8" w14:textId="77777777" w:rsidR="00960BB8" w:rsidRDefault="00C06650">
      <w:pPr>
        <w:spacing w:after="180"/>
      </w:pPr>
      <w:r>
        <w:rPr>
          <w:rFonts w:ascii="Arial" w:eastAsia="宋体" w:hAnsi="Arial" w:cs="Arial"/>
          <w:i/>
          <w:iCs/>
          <w:color w:val="262626"/>
          <w:sz w:val="18"/>
          <w:szCs w:val="18"/>
        </w:rPr>
        <w:t>Asset impairment charges</w:t>
      </w:r>
      <w:r>
        <w:rPr>
          <w:rFonts w:ascii="Arial" w:eastAsia="宋体" w:hAnsi="Arial" w:cs="Arial"/>
          <w:color w:val="262626"/>
          <w:sz w:val="18"/>
          <w:szCs w:val="18"/>
        </w:rPr>
        <w:t xml:space="preserve"> includes $238 million of goodwill and other impairments related to the shutdown in 2021 of two of our non-strategic businesses, the results of which are included in the “all other” category prese</w:t>
      </w:r>
      <w:r>
        <w:rPr>
          <w:rFonts w:ascii="Arial" w:eastAsia="宋体" w:hAnsi="Arial" w:cs="Arial"/>
          <w:color w:val="262626"/>
          <w:sz w:val="18"/>
          <w:szCs w:val="18"/>
        </w:rPr>
        <w:t xml:space="preserve">nted in “Note 3: Operating Segments” within the Notes to Consolidated Financial Statements.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BF5" w14:textId="77777777">
        <w:tc>
          <w:tcPr>
            <w:tcW w:w="50" w:type="pct"/>
            <w:shd w:val="clear" w:color="auto" w:fill="auto"/>
            <w:vAlign w:val="bottom"/>
          </w:tcPr>
          <w:p w14:paraId="5A1B1BE9" w14:textId="77777777" w:rsidR="00960BB8" w:rsidRDefault="00960BB8">
            <w:pPr>
              <w:rPr>
                <w:rFonts w:ascii="宋体"/>
              </w:rPr>
            </w:pPr>
          </w:p>
        </w:tc>
        <w:tc>
          <w:tcPr>
            <w:tcW w:w="276" w:type="pct"/>
            <w:shd w:val="clear" w:color="auto" w:fill="auto"/>
            <w:vAlign w:val="bottom"/>
          </w:tcPr>
          <w:p w14:paraId="5A1B1BEA" w14:textId="77777777" w:rsidR="00960BB8" w:rsidRDefault="00960BB8">
            <w:pPr>
              <w:rPr>
                <w:rFonts w:ascii="宋体"/>
              </w:rPr>
            </w:pPr>
          </w:p>
        </w:tc>
        <w:tc>
          <w:tcPr>
            <w:tcW w:w="5" w:type="pct"/>
            <w:shd w:val="clear" w:color="auto" w:fill="auto"/>
            <w:vAlign w:val="bottom"/>
          </w:tcPr>
          <w:p w14:paraId="5A1B1BEB" w14:textId="77777777" w:rsidR="00960BB8" w:rsidRDefault="00960BB8">
            <w:pPr>
              <w:rPr>
                <w:rFonts w:ascii="宋体"/>
              </w:rPr>
            </w:pPr>
          </w:p>
        </w:tc>
        <w:tc>
          <w:tcPr>
            <w:tcW w:w="50" w:type="pct"/>
            <w:shd w:val="clear" w:color="auto" w:fill="auto"/>
            <w:vAlign w:val="bottom"/>
          </w:tcPr>
          <w:p w14:paraId="5A1B1BEC" w14:textId="77777777" w:rsidR="00960BB8" w:rsidRDefault="00960BB8">
            <w:pPr>
              <w:rPr>
                <w:rFonts w:ascii="宋体"/>
              </w:rPr>
            </w:pPr>
          </w:p>
        </w:tc>
        <w:tc>
          <w:tcPr>
            <w:tcW w:w="940" w:type="pct"/>
            <w:shd w:val="clear" w:color="auto" w:fill="auto"/>
            <w:vAlign w:val="bottom"/>
          </w:tcPr>
          <w:p w14:paraId="5A1B1BED" w14:textId="77777777" w:rsidR="00960BB8" w:rsidRDefault="00960BB8">
            <w:pPr>
              <w:rPr>
                <w:rFonts w:ascii="宋体"/>
              </w:rPr>
            </w:pPr>
          </w:p>
        </w:tc>
        <w:tc>
          <w:tcPr>
            <w:tcW w:w="5" w:type="pct"/>
            <w:shd w:val="clear" w:color="auto" w:fill="auto"/>
            <w:vAlign w:val="bottom"/>
          </w:tcPr>
          <w:p w14:paraId="5A1B1BEE" w14:textId="77777777" w:rsidR="00960BB8" w:rsidRDefault="00960BB8">
            <w:pPr>
              <w:rPr>
                <w:rFonts w:ascii="宋体"/>
              </w:rPr>
            </w:pPr>
          </w:p>
        </w:tc>
        <w:tc>
          <w:tcPr>
            <w:tcW w:w="50" w:type="pct"/>
            <w:shd w:val="clear" w:color="auto" w:fill="auto"/>
            <w:vAlign w:val="bottom"/>
          </w:tcPr>
          <w:p w14:paraId="5A1B1BEF" w14:textId="77777777" w:rsidR="00960BB8" w:rsidRDefault="00960BB8">
            <w:pPr>
              <w:rPr>
                <w:rFonts w:ascii="宋体"/>
              </w:rPr>
            </w:pPr>
          </w:p>
        </w:tc>
        <w:tc>
          <w:tcPr>
            <w:tcW w:w="1837" w:type="pct"/>
            <w:shd w:val="clear" w:color="auto" w:fill="auto"/>
            <w:vAlign w:val="bottom"/>
          </w:tcPr>
          <w:p w14:paraId="5A1B1BF0" w14:textId="77777777" w:rsidR="00960BB8" w:rsidRDefault="00960BB8">
            <w:pPr>
              <w:rPr>
                <w:rFonts w:ascii="宋体"/>
              </w:rPr>
            </w:pPr>
          </w:p>
        </w:tc>
        <w:tc>
          <w:tcPr>
            <w:tcW w:w="5" w:type="pct"/>
            <w:shd w:val="clear" w:color="auto" w:fill="auto"/>
            <w:vAlign w:val="bottom"/>
          </w:tcPr>
          <w:p w14:paraId="5A1B1BF1" w14:textId="77777777" w:rsidR="00960BB8" w:rsidRDefault="00960BB8">
            <w:pPr>
              <w:rPr>
                <w:rFonts w:ascii="宋体"/>
              </w:rPr>
            </w:pPr>
          </w:p>
        </w:tc>
        <w:tc>
          <w:tcPr>
            <w:tcW w:w="50" w:type="pct"/>
            <w:shd w:val="clear" w:color="auto" w:fill="auto"/>
            <w:vAlign w:val="bottom"/>
          </w:tcPr>
          <w:p w14:paraId="5A1B1BF2" w14:textId="77777777" w:rsidR="00960BB8" w:rsidRDefault="00960BB8">
            <w:pPr>
              <w:rPr>
                <w:rFonts w:ascii="宋体"/>
              </w:rPr>
            </w:pPr>
          </w:p>
        </w:tc>
        <w:tc>
          <w:tcPr>
            <w:tcW w:w="1724" w:type="pct"/>
            <w:shd w:val="clear" w:color="auto" w:fill="auto"/>
            <w:vAlign w:val="bottom"/>
          </w:tcPr>
          <w:p w14:paraId="5A1B1BF3" w14:textId="77777777" w:rsidR="00960BB8" w:rsidRDefault="00960BB8">
            <w:pPr>
              <w:rPr>
                <w:rFonts w:ascii="宋体"/>
              </w:rPr>
            </w:pPr>
          </w:p>
        </w:tc>
        <w:tc>
          <w:tcPr>
            <w:tcW w:w="5" w:type="pct"/>
            <w:shd w:val="clear" w:color="auto" w:fill="auto"/>
            <w:vAlign w:val="bottom"/>
          </w:tcPr>
          <w:p w14:paraId="5A1B1BF4" w14:textId="77777777" w:rsidR="00960BB8" w:rsidRDefault="00960BB8">
            <w:pPr>
              <w:rPr>
                <w:rFonts w:ascii="宋体"/>
              </w:rPr>
            </w:pPr>
          </w:p>
        </w:tc>
      </w:tr>
      <w:tr w:rsidR="00960BB8" w14:paraId="5A1B1BFA"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BF6"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99" wp14:editId="5A1B449A">
                  <wp:extent cx="304800" cy="304800"/>
                  <wp:effectExtent l="0" t="0" r="0" b="0"/>
                  <wp:docPr id="149" name="图片 27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7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BF7"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BF8"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BF9" w14:textId="77777777" w:rsidR="00960BB8" w:rsidRDefault="00C06650">
            <w:pPr>
              <w:jc w:val="right"/>
              <w:textAlignment w:val="center"/>
            </w:pPr>
            <w:r>
              <w:rPr>
                <w:rFonts w:ascii="Arial" w:eastAsia="宋体" w:hAnsi="Arial" w:cs="Arial"/>
                <w:color w:val="262626"/>
                <w:sz w:val="16"/>
                <w:szCs w:val="16"/>
              </w:rPr>
              <w:t>93</w:t>
            </w:r>
          </w:p>
        </w:tc>
      </w:tr>
    </w:tbl>
    <w:p w14:paraId="5A1B1BFB" w14:textId="77777777" w:rsidR="00960BB8" w:rsidRDefault="00C06650">
      <w:r>
        <w:pict w14:anchorId="5A1B449B">
          <v:rect id="_x0000_i1119" style="width:415.3pt;height:1.5pt" o:hralign="center" o:hrstd="t" o:hr="t" fillcolor="#a0a0a0" stroked="f"/>
        </w:pict>
      </w:r>
    </w:p>
    <w:p w14:paraId="5A1B1BFC" w14:textId="77777777" w:rsidR="00960BB8" w:rsidRDefault="00C06650">
      <w:pPr>
        <w:jc w:val="right"/>
      </w:pPr>
      <w:hyperlink r:id="rId142" w:anchor="i8aaa7b4dbd2e419ca0f5c30af85a11aa_16" w:history="1">
        <w:r>
          <w:rPr>
            <w:rStyle w:val="a5"/>
            <w:rFonts w:ascii="Arial" w:eastAsia="宋体" w:hAnsi="Arial" w:cs="Arial"/>
            <w:b/>
            <w:bCs/>
            <w:sz w:val="16"/>
            <w:szCs w:val="16"/>
          </w:rPr>
          <w:t>Table of Contents</w:t>
        </w:r>
      </w:hyperlink>
    </w:p>
    <w:p w14:paraId="5A1B1BFD"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960BB8" w14:paraId="5A1B1C04" w14:textId="77777777">
        <w:tc>
          <w:tcPr>
            <w:tcW w:w="50" w:type="pct"/>
            <w:shd w:val="clear" w:color="auto" w:fill="auto"/>
            <w:vAlign w:val="bottom"/>
          </w:tcPr>
          <w:p w14:paraId="5A1B1BFE" w14:textId="77777777" w:rsidR="00960BB8" w:rsidRDefault="00960BB8">
            <w:pPr>
              <w:rPr>
                <w:rFonts w:ascii="宋体"/>
              </w:rPr>
            </w:pPr>
          </w:p>
        </w:tc>
        <w:tc>
          <w:tcPr>
            <w:tcW w:w="491" w:type="pct"/>
            <w:shd w:val="clear" w:color="auto" w:fill="auto"/>
            <w:vAlign w:val="bottom"/>
          </w:tcPr>
          <w:p w14:paraId="5A1B1BFF" w14:textId="77777777" w:rsidR="00960BB8" w:rsidRDefault="00960BB8">
            <w:pPr>
              <w:rPr>
                <w:rFonts w:ascii="宋体"/>
              </w:rPr>
            </w:pPr>
          </w:p>
        </w:tc>
        <w:tc>
          <w:tcPr>
            <w:tcW w:w="5" w:type="pct"/>
            <w:shd w:val="clear" w:color="auto" w:fill="auto"/>
            <w:vAlign w:val="bottom"/>
          </w:tcPr>
          <w:p w14:paraId="5A1B1C00" w14:textId="77777777" w:rsidR="00960BB8" w:rsidRDefault="00960BB8">
            <w:pPr>
              <w:rPr>
                <w:rFonts w:ascii="宋体"/>
              </w:rPr>
            </w:pPr>
          </w:p>
        </w:tc>
        <w:tc>
          <w:tcPr>
            <w:tcW w:w="50" w:type="pct"/>
            <w:shd w:val="clear" w:color="auto" w:fill="auto"/>
            <w:vAlign w:val="bottom"/>
          </w:tcPr>
          <w:p w14:paraId="5A1B1C01" w14:textId="77777777" w:rsidR="00960BB8" w:rsidRDefault="00960BB8">
            <w:pPr>
              <w:rPr>
                <w:rFonts w:ascii="宋体"/>
              </w:rPr>
            </w:pPr>
          </w:p>
        </w:tc>
        <w:tc>
          <w:tcPr>
            <w:tcW w:w="4398" w:type="pct"/>
            <w:shd w:val="clear" w:color="auto" w:fill="auto"/>
            <w:vAlign w:val="bottom"/>
          </w:tcPr>
          <w:p w14:paraId="5A1B1C02" w14:textId="77777777" w:rsidR="00960BB8" w:rsidRDefault="00960BB8">
            <w:pPr>
              <w:rPr>
                <w:rFonts w:ascii="宋体"/>
              </w:rPr>
            </w:pPr>
          </w:p>
        </w:tc>
        <w:tc>
          <w:tcPr>
            <w:tcW w:w="5" w:type="pct"/>
            <w:shd w:val="clear" w:color="auto" w:fill="auto"/>
            <w:vAlign w:val="bottom"/>
          </w:tcPr>
          <w:p w14:paraId="5A1B1C03" w14:textId="77777777" w:rsidR="00960BB8" w:rsidRDefault="00960BB8">
            <w:pPr>
              <w:rPr>
                <w:rFonts w:ascii="宋体"/>
              </w:rPr>
            </w:pPr>
          </w:p>
        </w:tc>
      </w:tr>
      <w:tr w:rsidR="00960BB8" w14:paraId="5A1B1C07"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1C05" w14:textId="77777777" w:rsidR="00960BB8" w:rsidRDefault="00C06650">
            <w:pPr>
              <w:textAlignment w:val="bottom"/>
            </w:pPr>
            <w:r>
              <w:rPr>
                <w:rFonts w:ascii="Arial" w:eastAsia="宋体" w:hAnsi="Arial" w:cs="Arial"/>
                <w:color w:val="FFFFFF"/>
                <w:sz w:val="28"/>
                <w:szCs w:val="28"/>
              </w:rPr>
              <w:t xml:space="preserve">Note 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C06" w14:textId="77777777" w:rsidR="00960BB8" w:rsidRDefault="00C06650">
            <w:pPr>
              <w:textAlignment w:val="bottom"/>
            </w:pPr>
            <w:r>
              <w:rPr>
                <w:rFonts w:ascii="Arial" w:eastAsia="宋体" w:hAnsi="Arial" w:cs="Arial"/>
                <w:color w:val="0068B5"/>
                <w:sz w:val="28"/>
                <w:szCs w:val="28"/>
              </w:rPr>
              <w:t>Income Taxes</w:t>
            </w:r>
          </w:p>
        </w:tc>
      </w:tr>
    </w:tbl>
    <w:p w14:paraId="5A1B1C08" w14:textId="77777777" w:rsidR="00960BB8" w:rsidRDefault="00C06650">
      <w:pPr>
        <w:spacing w:after="180"/>
      </w:pPr>
      <w:r>
        <w:rPr>
          <w:rFonts w:ascii="Arial" w:eastAsia="宋体" w:hAnsi="Arial" w:cs="Arial"/>
          <w:color w:val="0068B5"/>
        </w:rPr>
        <w:t>Provision for (Benefit From) Taxes</w:t>
      </w:r>
    </w:p>
    <w:tbl>
      <w:tblPr>
        <w:tblW w:w="5000" w:type="pct"/>
        <w:tblCellMar>
          <w:top w:w="15" w:type="dxa"/>
          <w:left w:w="15" w:type="dxa"/>
          <w:bottom w:w="15" w:type="dxa"/>
          <w:right w:w="15" w:type="dxa"/>
        </w:tblCellMar>
        <w:tblLook w:val="04A0" w:firstRow="1" w:lastRow="0" w:firstColumn="1" w:lastColumn="0" w:noHBand="0" w:noVBand="1"/>
      </w:tblPr>
      <w:tblGrid>
        <w:gridCol w:w="38"/>
        <w:gridCol w:w="4940"/>
        <w:gridCol w:w="37"/>
        <w:gridCol w:w="36"/>
        <w:gridCol w:w="36"/>
        <w:gridCol w:w="36"/>
        <w:gridCol w:w="121"/>
        <w:gridCol w:w="697"/>
        <w:gridCol w:w="181"/>
        <w:gridCol w:w="36"/>
        <w:gridCol w:w="36"/>
        <w:gridCol w:w="36"/>
        <w:gridCol w:w="121"/>
        <w:gridCol w:w="697"/>
        <w:gridCol w:w="181"/>
        <w:gridCol w:w="36"/>
        <w:gridCol w:w="36"/>
        <w:gridCol w:w="36"/>
        <w:gridCol w:w="121"/>
        <w:gridCol w:w="697"/>
        <w:gridCol w:w="181"/>
      </w:tblGrid>
      <w:tr w:rsidR="00960BB8" w14:paraId="5A1B1C1E" w14:textId="77777777">
        <w:tc>
          <w:tcPr>
            <w:tcW w:w="50" w:type="pct"/>
            <w:shd w:val="clear" w:color="auto" w:fill="auto"/>
            <w:vAlign w:val="bottom"/>
          </w:tcPr>
          <w:p w14:paraId="5A1B1C09" w14:textId="77777777" w:rsidR="00960BB8" w:rsidRDefault="00960BB8">
            <w:pPr>
              <w:rPr>
                <w:rFonts w:ascii="宋体"/>
              </w:rPr>
            </w:pPr>
          </w:p>
        </w:tc>
        <w:tc>
          <w:tcPr>
            <w:tcW w:w="3059" w:type="pct"/>
            <w:shd w:val="clear" w:color="auto" w:fill="auto"/>
            <w:vAlign w:val="bottom"/>
          </w:tcPr>
          <w:p w14:paraId="5A1B1C0A" w14:textId="77777777" w:rsidR="00960BB8" w:rsidRDefault="00960BB8">
            <w:pPr>
              <w:rPr>
                <w:rFonts w:ascii="宋体"/>
              </w:rPr>
            </w:pPr>
          </w:p>
        </w:tc>
        <w:tc>
          <w:tcPr>
            <w:tcW w:w="5" w:type="pct"/>
            <w:shd w:val="clear" w:color="auto" w:fill="auto"/>
            <w:vAlign w:val="bottom"/>
          </w:tcPr>
          <w:p w14:paraId="5A1B1C0B" w14:textId="77777777" w:rsidR="00960BB8" w:rsidRDefault="00960BB8">
            <w:pPr>
              <w:rPr>
                <w:rFonts w:ascii="宋体"/>
              </w:rPr>
            </w:pPr>
          </w:p>
        </w:tc>
        <w:tc>
          <w:tcPr>
            <w:tcW w:w="5" w:type="pct"/>
            <w:shd w:val="clear" w:color="auto" w:fill="auto"/>
            <w:vAlign w:val="bottom"/>
          </w:tcPr>
          <w:p w14:paraId="5A1B1C0C" w14:textId="77777777" w:rsidR="00960BB8" w:rsidRDefault="00960BB8">
            <w:pPr>
              <w:rPr>
                <w:rFonts w:ascii="宋体"/>
              </w:rPr>
            </w:pPr>
          </w:p>
        </w:tc>
        <w:tc>
          <w:tcPr>
            <w:tcW w:w="24" w:type="pct"/>
            <w:shd w:val="clear" w:color="auto" w:fill="auto"/>
            <w:vAlign w:val="bottom"/>
          </w:tcPr>
          <w:p w14:paraId="5A1B1C0D" w14:textId="77777777" w:rsidR="00960BB8" w:rsidRDefault="00960BB8">
            <w:pPr>
              <w:rPr>
                <w:rFonts w:ascii="宋体"/>
              </w:rPr>
            </w:pPr>
          </w:p>
        </w:tc>
        <w:tc>
          <w:tcPr>
            <w:tcW w:w="5" w:type="pct"/>
            <w:shd w:val="clear" w:color="auto" w:fill="auto"/>
            <w:vAlign w:val="bottom"/>
          </w:tcPr>
          <w:p w14:paraId="5A1B1C0E" w14:textId="77777777" w:rsidR="00960BB8" w:rsidRDefault="00960BB8">
            <w:pPr>
              <w:rPr>
                <w:rFonts w:ascii="宋体"/>
              </w:rPr>
            </w:pPr>
          </w:p>
        </w:tc>
        <w:tc>
          <w:tcPr>
            <w:tcW w:w="50" w:type="pct"/>
            <w:shd w:val="clear" w:color="auto" w:fill="auto"/>
            <w:vAlign w:val="bottom"/>
          </w:tcPr>
          <w:p w14:paraId="5A1B1C0F" w14:textId="77777777" w:rsidR="00960BB8" w:rsidRDefault="00960BB8">
            <w:pPr>
              <w:rPr>
                <w:rFonts w:ascii="宋体"/>
              </w:rPr>
            </w:pPr>
          </w:p>
        </w:tc>
        <w:tc>
          <w:tcPr>
            <w:tcW w:w="539" w:type="pct"/>
            <w:shd w:val="clear" w:color="auto" w:fill="auto"/>
            <w:vAlign w:val="bottom"/>
          </w:tcPr>
          <w:p w14:paraId="5A1B1C10" w14:textId="77777777" w:rsidR="00960BB8" w:rsidRDefault="00960BB8">
            <w:pPr>
              <w:rPr>
                <w:rFonts w:ascii="宋体"/>
              </w:rPr>
            </w:pPr>
          </w:p>
        </w:tc>
        <w:tc>
          <w:tcPr>
            <w:tcW w:w="5" w:type="pct"/>
            <w:shd w:val="clear" w:color="auto" w:fill="auto"/>
            <w:vAlign w:val="bottom"/>
          </w:tcPr>
          <w:p w14:paraId="5A1B1C11" w14:textId="77777777" w:rsidR="00960BB8" w:rsidRDefault="00960BB8">
            <w:pPr>
              <w:rPr>
                <w:rFonts w:ascii="宋体"/>
              </w:rPr>
            </w:pPr>
          </w:p>
        </w:tc>
        <w:tc>
          <w:tcPr>
            <w:tcW w:w="5" w:type="pct"/>
            <w:shd w:val="clear" w:color="auto" w:fill="auto"/>
            <w:vAlign w:val="bottom"/>
          </w:tcPr>
          <w:p w14:paraId="5A1B1C12" w14:textId="77777777" w:rsidR="00960BB8" w:rsidRDefault="00960BB8">
            <w:pPr>
              <w:rPr>
                <w:rFonts w:ascii="宋体"/>
              </w:rPr>
            </w:pPr>
          </w:p>
        </w:tc>
        <w:tc>
          <w:tcPr>
            <w:tcW w:w="24" w:type="pct"/>
            <w:shd w:val="clear" w:color="auto" w:fill="auto"/>
            <w:vAlign w:val="bottom"/>
          </w:tcPr>
          <w:p w14:paraId="5A1B1C13" w14:textId="77777777" w:rsidR="00960BB8" w:rsidRDefault="00960BB8">
            <w:pPr>
              <w:rPr>
                <w:rFonts w:ascii="宋体"/>
              </w:rPr>
            </w:pPr>
          </w:p>
        </w:tc>
        <w:tc>
          <w:tcPr>
            <w:tcW w:w="5" w:type="pct"/>
            <w:shd w:val="clear" w:color="auto" w:fill="auto"/>
            <w:vAlign w:val="bottom"/>
          </w:tcPr>
          <w:p w14:paraId="5A1B1C14" w14:textId="77777777" w:rsidR="00960BB8" w:rsidRDefault="00960BB8">
            <w:pPr>
              <w:rPr>
                <w:rFonts w:ascii="宋体"/>
              </w:rPr>
            </w:pPr>
          </w:p>
        </w:tc>
        <w:tc>
          <w:tcPr>
            <w:tcW w:w="50" w:type="pct"/>
            <w:shd w:val="clear" w:color="auto" w:fill="auto"/>
            <w:vAlign w:val="bottom"/>
          </w:tcPr>
          <w:p w14:paraId="5A1B1C15" w14:textId="77777777" w:rsidR="00960BB8" w:rsidRDefault="00960BB8">
            <w:pPr>
              <w:rPr>
                <w:rFonts w:ascii="宋体"/>
              </w:rPr>
            </w:pPr>
          </w:p>
        </w:tc>
        <w:tc>
          <w:tcPr>
            <w:tcW w:w="539" w:type="pct"/>
            <w:shd w:val="clear" w:color="auto" w:fill="auto"/>
            <w:vAlign w:val="bottom"/>
          </w:tcPr>
          <w:p w14:paraId="5A1B1C16" w14:textId="77777777" w:rsidR="00960BB8" w:rsidRDefault="00960BB8">
            <w:pPr>
              <w:rPr>
                <w:rFonts w:ascii="宋体"/>
              </w:rPr>
            </w:pPr>
          </w:p>
        </w:tc>
        <w:tc>
          <w:tcPr>
            <w:tcW w:w="5" w:type="pct"/>
            <w:shd w:val="clear" w:color="auto" w:fill="auto"/>
            <w:vAlign w:val="bottom"/>
          </w:tcPr>
          <w:p w14:paraId="5A1B1C17" w14:textId="77777777" w:rsidR="00960BB8" w:rsidRDefault="00960BB8">
            <w:pPr>
              <w:rPr>
                <w:rFonts w:ascii="宋体"/>
              </w:rPr>
            </w:pPr>
          </w:p>
        </w:tc>
        <w:tc>
          <w:tcPr>
            <w:tcW w:w="5" w:type="pct"/>
            <w:shd w:val="clear" w:color="auto" w:fill="auto"/>
            <w:vAlign w:val="bottom"/>
          </w:tcPr>
          <w:p w14:paraId="5A1B1C18" w14:textId="77777777" w:rsidR="00960BB8" w:rsidRDefault="00960BB8">
            <w:pPr>
              <w:rPr>
                <w:rFonts w:ascii="宋体"/>
              </w:rPr>
            </w:pPr>
          </w:p>
        </w:tc>
        <w:tc>
          <w:tcPr>
            <w:tcW w:w="24" w:type="pct"/>
            <w:shd w:val="clear" w:color="auto" w:fill="auto"/>
            <w:vAlign w:val="bottom"/>
          </w:tcPr>
          <w:p w14:paraId="5A1B1C19" w14:textId="77777777" w:rsidR="00960BB8" w:rsidRDefault="00960BB8">
            <w:pPr>
              <w:rPr>
                <w:rFonts w:ascii="宋体"/>
              </w:rPr>
            </w:pPr>
          </w:p>
        </w:tc>
        <w:tc>
          <w:tcPr>
            <w:tcW w:w="5" w:type="pct"/>
            <w:shd w:val="clear" w:color="auto" w:fill="auto"/>
            <w:vAlign w:val="bottom"/>
          </w:tcPr>
          <w:p w14:paraId="5A1B1C1A" w14:textId="77777777" w:rsidR="00960BB8" w:rsidRDefault="00960BB8">
            <w:pPr>
              <w:rPr>
                <w:rFonts w:ascii="宋体"/>
              </w:rPr>
            </w:pPr>
          </w:p>
        </w:tc>
        <w:tc>
          <w:tcPr>
            <w:tcW w:w="50" w:type="pct"/>
            <w:shd w:val="clear" w:color="auto" w:fill="auto"/>
            <w:vAlign w:val="bottom"/>
          </w:tcPr>
          <w:p w14:paraId="5A1B1C1B" w14:textId="77777777" w:rsidR="00960BB8" w:rsidRDefault="00960BB8">
            <w:pPr>
              <w:rPr>
                <w:rFonts w:ascii="宋体"/>
              </w:rPr>
            </w:pPr>
          </w:p>
        </w:tc>
        <w:tc>
          <w:tcPr>
            <w:tcW w:w="539" w:type="pct"/>
            <w:shd w:val="clear" w:color="auto" w:fill="auto"/>
            <w:vAlign w:val="bottom"/>
          </w:tcPr>
          <w:p w14:paraId="5A1B1C1C" w14:textId="77777777" w:rsidR="00960BB8" w:rsidRDefault="00960BB8">
            <w:pPr>
              <w:rPr>
                <w:rFonts w:ascii="宋体"/>
              </w:rPr>
            </w:pPr>
          </w:p>
        </w:tc>
        <w:tc>
          <w:tcPr>
            <w:tcW w:w="5" w:type="pct"/>
            <w:shd w:val="clear" w:color="auto" w:fill="auto"/>
            <w:vAlign w:val="bottom"/>
          </w:tcPr>
          <w:p w14:paraId="5A1B1C1D" w14:textId="77777777" w:rsidR="00960BB8" w:rsidRDefault="00960BB8">
            <w:pPr>
              <w:rPr>
                <w:rFonts w:ascii="宋体"/>
              </w:rPr>
            </w:pPr>
          </w:p>
        </w:tc>
      </w:tr>
      <w:tr w:rsidR="00960BB8" w14:paraId="5A1B1C26" w14:textId="77777777">
        <w:tc>
          <w:tcPr>
            <w:tcW w:w="0" w:type="auto"/>
            <w:gridSpan w:val="3"/>
            <w:shd w:val="clear" w:color="auto" w:fill="auto"/>
            <w:tcMar>
              <w:top w:w="40" w:type="dxa"/>
              <w:left w:w="20" w:type="dxa"/>
              <w:bottom w:w="40" w:type="dxa"/>
              <w:right w:w="20" w:type="dxa"/>
            </w:tcMar>
            <w:vAlign w:val="bottom"/>
          </w:tcPr>
          <w:p w14:paraId="5A1B1C1F" w14:textId="77777777" w:rsidR="00960BB8" w:rsidRDefault="00C06650">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5A1B1C2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C21"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C2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C23"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1C2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C25"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1C2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C27" w14:textId="77777777" w:rsidR="00960BB8" w:rsidRDefault="00C06650">
            <w:pPr>
              <w:textAlignment w:val="bottom"/>
            </w:pPr>
            <w:r>
              <w:rPr>
                <w:rFonts w:ascii="Arial" w:eastAsia="宋体" w:hAnsi="Arial" w:cs="Arial"/>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5A1B1C28"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C2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C2A"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C2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C2C"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C2D" w14:textId="77777777" w:rsidR="00960BB8" w:rsidRDefault="00960BB8">
            <w:pPr>
              <w:rPr>
                <w:rFonts w:ascii="宋体"/>
              </w:rPr>
            </w:pPr>
          </w:p>
        </w:tc>
      </w:tr>
      <w:tr w:rsidR="00960BB8" w14:paraId="5A1B1C3C" w14:textId="77777777">
        <w:tc>
          <w:tcPr>
            <w:tcW w:w="0" w:type="auto"/>
            <w:gridSpan w:val="3"/>
            <w:shd w:val="clear" w:color="auto" w:fill="auto"/>
            <w:tcMar>
              <w:top w:w="40" w:type="dxa"/>
              <w:left w:w="155" w:type="dxa"/>
              <w:bottom w:w="40" w:type="dxa"/>
              <w:right w:w="20" w:type="dxa"/>
            </w:tcMar>
            <w:vAlign w:val="bottom"/>
          </w:tcPr>
          <w:p w14:paraId="5A1B1C2F" w14:textId="77777777" w:rsidR="00960BB8" w:rsidRDefault="00C06650">
            <w:pPr>
              <w:textAlignment w:val="bottom"/>
            </w:pPr>
            <w:r>
              <w:rPr>
                <w:rFonts w:ascii="Arial" w:eastAsia="宋体" w:hAnsi="Arial" w:cs="Arial"/>
                <w:color w:val="262626"/>
                <w:sz w:val="18"/>
                <w:szCs w:val="18"/>
              </w:rPr>
              <w:t>US</w:t>
            </w:r>
          </w:p>
        </w:tc>
        <w:tc>
          <w:tcPr>
            <w:tcW w:w="0" w:type="auto"/>
            <w:gridSpan w:val="3"/>
            <w:shd w:val="clear" w:color="auto" w:fill="auto"/>
            <w:tcMar>
              <w:top w:w="0" w:type="dxa"/>
              <w:left w:w="20" w:type="dxa"/>
              <w:bottom w:w="0" w:type="dxa"/>
              <w:right w:w="20" w:type="dxa"/>
            </w:tcMar>
            <w:vAlign w:val="bottom"/>
          </w:tcPr>
          <w:p w14:paraId="5A1B1C30"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C31"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1C32" w14:textId="77777777" w:rsidR="00960BB8" w:rsidRDefault="00C06650">
            <w:pPr>
              <w:jc w:val="right"/>
              <w:textAlignment w:val="bottom"/>
            </w:pPr>
            <w:r>
              <w:rPr>
                <w:rFonts w:ascii="Arial" w:eastAsia="宋体" w:hAnsi="Arial" w:cs="Arial"/>
                <w:color w:val="0068B5"/>
                <w:sz w:val="18"/>
                <w:szCs w:val="18"/>
              </w:rPr>
              <w:t>(1,161)</w:t>
            </w:r>
          </w:p>
        </w:tc>
        <w:tc>
          <w:tcPr>
            <w:tcW w:w="0" w:type="auto"/>
            <w:shd w:val="clear" w:color="auto" w:fill="auto"/>
            <w:tcMar>
              <w:top w:w="40" w:type="dxa"/>
              <w:left w:w="0" w:type="dxa"/>
              <w:bottom w:w="40" w:type="dxa"/>
              <w:right w:w="20" w:type="dxa"/>
            </w:tcMar>
            <w:vAlign w:val="bottom"/>
          </w:tcPr>
          <w:p w14:paraId="5A1B1C3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34"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C35"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C36" w14:textId="77777777" w:rsidR="00960BB8" w:rsidRDefault="00C06650">
            <w:pPr>
              <w:jc w:val="right"/>
              <w:textAlignment w:val="bottom"/>
            </w:pPr>
            <w:r>
              <w:rPr>
                <w:rFonts w:ascii="Arial" w:eastAsia="宋体" w:hAnsi="Arial" w:cs="Arial"/>
                <w:color w:val="262626"/>
                <w:sz w:val="18"/>
                <w:szCs w:val="18"/>
              </w:rPr>
              <w:t>9,361 </w:t>
            </w:r>
          </w:p>
        </w:tc>
        <w:tc>
          <w:tcPr>
            <w:tcW w:w="0" w:type="auto"/>
            <w:shd w:val="clear" w:color="auto" w:fill="auto"/>
            <w:tcMar>
              <w:top w:w="40" w:type="dxa"/>
              <w:left w:w="0" w:type="dxa"/>
              <w:bottom w:w="40" w:type="dxa"/>
              <w:right w:w="20" w:type="dxa"/>
            </w:tcMar>
            <w:vAlign w:val="bottom"/>
          </w:tcPr>
          <w:p w14:paraId="5A1B1C3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38"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C39"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C3A" w14:textId="77777777" w:rsidR="00960BB8" w:rsidRDefault="00C06650">
            <w:pPr>
              <w:jc w:val="right"/>
              <w:textAlignment w:val="bottom"/>
            </w:pPr>
            <w:r>
              <w:rPr>
                <w:rFonts w:ascii="Arial" w:eastAsia="宋体" w:hAnsi="Arial" w:cs="Arial"/>
                <w:color w:val="262626"/>
                <w:sz w:val="18"/>
                <w:szCs w:val="18"/>
              </w:rPr>
              <w:t>15,452 </w:t>
            </w:r>
          </w:p>
        </w:tc>
        <w:tc>
          <w:tcPr>
            <w:tcW w:w="0" w:type="auto"/>
            <w:shd w:val="clear" w:color="auto" w:fill="auto"/>
            <w:tcMar>
              <w:top w:w="40" w:type="dxa"/>
              <w:left w:w="0" w:type="dxa"/>
              <w:bottom w:w="40" w:type="dxa"/>
              <w:right w:w="20" w:type="dxa"/>
            </w:tcMar>
            <w:vAlign w:val="bottom"/>
          </w:tcPr>
          <w:p w14:paraId="5A1B1C3B" w14:textId="77777777" w:rsidR="00960BB8" w:rsidRDefault="00960BB8">
            <w:pPr>
              <w:jc w:val="right"/>
              <w:rPr>
                <w:rFonts w:ascii="宋体"/>
              </w:rPr>
            </w:pPr>
          </w:p>
        </w:tc>
      </w:tr>
      <w:tr w:rsidR="00960BB8" w14:paraId="5A1B1C47" w14:textId="77777777">
        <w:tc>
          <w:tcPr>
            <w:tcW w:w="0" w:type="auto"/>
            <w:gridSpan w:val="3"/>
            <w:shd w:val="clear" w:color="auto" w:fill="auto"/>
            <w:tcMar>
              <w:top w:w="40" w:type="dxa"/>
              <w:left w:w="155" w:type="dxa"/>
              <w:bottom w:w="40" w:type="dxa"/>
              <w:right w:w="20" w:type="dxa"/>
            </w:tcMar>
            <w:vAlign w:val="bottom"/>
          </w:tcPr>
          <w:p w14:paraId="5A1B1C3D" w14:textId="77777777" w:rsidR="00960BB8" w:rsidRDefault="00C06650">
            <w:pPr>
              <w:textAlignment w:val="bottom"/>
            </w:pPr>
            <w:r>
              <w:rPr>
                <w:rFonts w:ascii="Arial" w:eastAsia="宋体" w:hAnsi="Arial" w:cs="Arial"/>
                <w:color w:val="262626"/>
                <w:sz w:val="18"/>
                <w:szCs w:val="18"/>
              </w:rPr>
              <w:t>Non-US</w:t>
            </w:r>
          </w:p>
        </w:tc>
        <w:tc>
          <w:tcPr>
            <w:tcW w:w="0" w:type="auto"/>
            <w:gridSpan w:val="3"/>
            <w:shd w:val="clear" w:color="auto" w:fill="auto"/>
            <w:tcMar>
              <w:top w:w="0" w:type="dxa"/>
              <w:left w:w="20" w:type="dxa"/>
              <w:bottom w:w="0" w:type="dxa"/>
              <w:right w:w="20" w:type="dxa"/>
            </w:tcMar>
            <w:vAlign w:val="bottom"/>
          </w:tcPr>
          <w:p w14:paraId="5A1B1C3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3F" w14:textId="77777777" w:rsidR="00960BB8" w:rsidRDefault="00C06650">
            <w:pPr>
              <w:jc w:val="right"/>
              <w:textAlignment w:val="bottom"/>
            </w:pPr>
            <w:r>
              <w:rPr>
                <w:rFonts w:ascii="Arial" w:eastAsia="宋体" w:hAnsi="Arial" w:cs="Arial"/>
                <w:color w:val="0068B5"/>
                <w:sz w:val="18"/>
                <w:szCs w:val="18"/>
              </w:rPr>
              <w:t>8,929 </w:t>
            </w:r>
          </w:p>
        </w:tc>
        <w:tc>
          <w:tcPr>
            <w:tcW w:w="0" w:type="auto"/>
            <w:shd w:val="clear" w:color="auto" w:fill="auto"/>
            <w:tcMar>
              <w:top w:w="40" w:type="dxa"/>
              <w:left w:w="0" w:type="dxa"/>
              <w:bottom w:w="40" w:type="dxa"/>
              <w:right w:w="20" w:type="dxa"/>
            </w:tcMar>
            <w:vAlign w:val="bottom"/>
          </w:tcPr>
          <w:p w14:paraId="5A1B1C4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4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42" w14:textId="77777777" w:rsidR="00960BB8" w:rsidRDefault="00C06650">
            <w:pPr>
              <w:jc w:val="right"/>
              <w:textAlignment w:val="bottom"/>
            </w:pPr>
            <w:r>
              <w:rPr>
                <w:rFonts w:ascii="Arial" w:eastAsia="宋体" w:hAnsi="Arial" w:cs="Arial"/>
                <w:color w:val="262626"/>
                <w:sz w:val="18"/>
                <w:szCs w:val="18"/>
              </w:rPr>
              <w:t>12,342 </w:t>
            </w:r>
          </w:p>
        </w:tc>
        <w:tc>
          <w:tcPr>
            <w:tcW w:w="0" w:type="auto"/>
            <w:shd w:val="clear" w:color="auto" w:fill="auto"/>
            <w:tcMar>
              <w:top w:w="40" w:type="dxa"/>
              <w:left w:w="0" w:type="dxa"/>
              <w:bottom w:w="40" w:type="dxa"/>
              <w:right w:w="20" w:type="dxa"/>
            </w:tcMar>
            <w:vAlign w:val="bottom"/>
          </w:tcPr>
          <w:p w14:paraId="5A1B1C4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4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45" w14:textId="77777777" w:rsidR="00960BB8" w:rsidRDefault="00C06650">
            <w:pPr>
              <w:jc w:val="right"/>
              <w:textAlignment w:val="bottom"/>
            </w:pPr>
            <w:r>
              <w:rPr>
                <w:rFonts w:ascii="Arial" w:eastAsia="宋体" w:hAnsi="Arial" w:cs="Arial"/>
                <w:color w:val="262626"/>
                <w:sz w:val="18"/>
                <w:szCs w:val="18"/>
              </w:rPr>
              <w:t>9,626 </w:t>
            </w:r>
          </w:p>
        </w:tc>
        <w:tc>
          <w:tcPr>
            <w:tcW w:w="0" w:type="auto"/>
            <w:shd w:val="clear" w:color="auto" w:fill="auto"/>
            <w:tcMar>
              <w:top w:w="40" w:type="dxa"/>
              <w:left w:w="0" w:type="dxa"/>
              <w:bottom w:w="40" w:type="dxa"/>
              <w:right w:w="20" w:type="dxa"/>
            </w:tcMar>
            <w:vAlign w:val="bottom"/>
          </w:tcPr>
          <w:p w14:paraId="5A1B1C46" w14:textId="77777777" w:rsidR="00960BB8" w:rsidRDefault="00960BB8">
            <w:pPr>
              <w:jc w:val="right"/>
              <w:rPr>
                <w:rFonts w:ascii="宋体"/>
              </w:rPr>
            </w:pPr>
          </w:p>
        </w:tc>
      </w:tr>
      <w:tr w:rsidR="00960BB8" w14:paraId="5A1B1C52" w14:textId="77777777">
        <w:tc>
          <w:tcPr>
            <w:tcW w:w="0" w:type="auto"/>
            <w:gridSpan w:val="3"/>
            <w:shd w:val="clear" w:color="auto" w:fill="auto"/>
            <w:tcMar>
              <w:top w:w="40" w:type="dxa"/>
              <w:left w:w="20" w:type="dxa"/>
              <w:bottom w:w="40" w:type="dxa"/>
              <w:right w:w="20" w:type="dxa"/>
            </w:tcMar>
            <w:vAlign w:val="bottom"/>
          </w:tcPr>
          <w:p w14:paraId="5A1B1C48" w14:textId="77777777" w:rsidR="00960BB8" w:rsidRDefault="00C06650">
            <w:pPr>
              <w:textAlignment w:val="bottom"/>
            </w:pPr>
            <w:r>
              <w:rPr>
                <w:rFonts w:ascii="Arial" w:eastAsia="宋体" w:hAnsi="Arial" w:cs="Arial"/>
                <w:b/>
                <w:bCs/>
                <w:color w:val="262626"/>
                <w:sz w:val="18"/>
                <w:szCs w:val="18"/>
              </w:rPr>
              <w:t>Total income before taxes</w:t>
            </w:r>
          </w:p>
        </w:tc>
        <w:tc>
          <w:tcPr>
            <w:tcW w:w="0" w:type="auto"/>
            <w:gridSpan w:val="3"/>
            <w:shd w:val="clear" w:color="auto" w:fill="auto"/>
            <w:tcMar>
              <w:top w:w="0" w:type="dxa"/>
              <w:left w:w="20" w:type="dxa"/>
              <w:bottom w:w="0" w:type="dxa"/>
              <w:right w:w="20" w:type="dxa"/>
            </w:tcMar>
            <w:vAlign w:val="bottom"/>
          </w:tcPr>
          <w:p w14:paraId="5A1B1C4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C4A" w14:textId="77777777" w:rsidR="00960BB8" w:rsidRDefault="00C06650">
            <w:pPr>
              <w:jc w:val="right"/>
              <w:textAlignment w:val="bottom"/>
            </w:pPr>
            <w:r>
              <w:rPr>
                <w:rFonts w:ascii="Arial" w:eastAsia="宋体" w:hAnsi="Arial" w:cs="Arial"/>
                <w:b/>
                <w:bCs/>
                <w:color w:val="0068B5"/>
                <w:sz w:val="18"/>
                <w:szCs w:val="18"/>
              </w:rPr>
              <w:t>7,768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C4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4C" w14:textId="77777777" w:rsidR="00960BB8" w:rsidRDefault="00960BB8">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5A1B1C4D" w14:textId="77777777" w:rsidR="00960BB8" w:rsidRDefault="00C06650">
            <w:pPr>
              <w:jc w:val="right"/>
              <w:textAlignment w:val="bottom"/>
            </w:pPr>
            <w:r>
              <w:rPr>
                <w:rFonts w:ascii="Arial" w:eastAsia="宋体" w:hAnsi="Arial" w:cs="Arial"/>
                <w:b/>
                <w:bCs/>
                <w:color w:val="262626"/>
                <w:sz w:val="18"/>
                <w:szCs w:val="18"/>
              </w:rPr>
              <w:t>21,703</w:t>
            </w:r>
            <w:r>
              <w:rPr>
                <w:rFonts w:ascii="Arial" w:eastAsia="宋体" w:hAnsi="Arial" w:cs="Arial"/>
                <w:color w:val="262626"/>
                <w:sz w:val="18"/>
                <w:szCs w:val="18"/>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A1B1C4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4F" w14:textId="77777777" w:rsidR="00960BB8" w:rsidRDefault="00960BB8">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5A1B1C50" w14:textId="77777777" w:rsidR="00960BB8" w:rsidRDefault="00C06650">
            <w:pPr>
              <w:jc w:val="right"/>
              <w:textAlignment w:val="bottom"/>
            </w:pPr>
            <w:r>
              <w:rPr>
                <w:rFonts w:ascii="Arial" w:eastAsia="宋体" w:hAnsi="Arial" w:cs="Arial"/>
                <w:b/>
                <w:bCs/>
                <w:color w:val="262626"/>
                <w:sz w:val="18"/>
                <w:szCs w:val="18"/>
              </w:rPr>
              <w:t>25,078</w:t>
            </w:r>
            <w:r>
              <w:rPr>
                <w:rFonts w:ascii="Arial" w:eastAsia="宋体" w:hAnsi="Arial" w:cs="Arial"/>
                <w:color w:val="262626"/>
                <w:sz w:val="18"/>
                <w:szCs w:val="18"/>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A1B1C51" w14:textId="77777777" w:rsidR="00960BB8" w:rsidRDefault="00960BB8">
            <w:pPr>
              <w:jc w:val="right"/>
              <w:rPr>
                <w:rFonts w:ascii="宋体"/>
              </w:rPr>
            </w:pPr>
          </w:p>
        </w:tc>
      </w:tr>
      <w:tr w:rsidR="00960BB8" w14:paraId="5A1B1C5A" w14:textId="77777777">
        <w:tc>
          <w:tcPr>
            <w:tcW w:w="0" w:type="auto"/>
            <w:gridSpan w:val="3"/>
            <w:shd w:val="clear" w:color="auto" w:fill="auto"/>
            <w:tcMar>
              <w:top w:w="40" w:type="dxa"/>
              <w:left w:w="20" w:type="dxa"/>
              <w:bottom w:w="40" w:type="dxa"/>
              <w:right w:w="20" w:type="dxa"/>
            </w:tcMar>
            <w:vAlign w:val="bottom"/>
          </w:tcPr>
          <w:p w14:paraId="5A1B1C53" w14:textId="77777777" w:rsidR="00960BB8" w:rsidRDefault="00C06650">
            <w:pPr>
              <w:textAlignment w:val="bottom"/>
            </w:pPr>
            <w:r>
              <w:rPr>
                <w:rFonts w:ascii="Arial" w:eastAsia="宋体" w:hAnsi="Arial" w:cs="Arial"/>
                <w:color w:val="262626"/>
                <w:sz w:val="18"/>
                <w:szCs w:val="18"/>
              </w:rPr>
              <w:t>P</w:t>
            </w:r>
            <w:r>
              <w:rPr>
                <w:rFonts w:ascii="Arial" w:eastAsia="宋体" w:hAnsi="Arial" w:cs="Arial"/>
                <w:color w:val="262626"/>
                <w:sz w:val="18"/>
                <w:szCs w:val="18"/>
              </w:rPr>
              <w:t>rovision for (benefit from) taxes:</w:t>
            </w:r>
          </w:p>
        </w:tc>
        <w:tc>
          <w:tcPr>
            <w:tcW w:w="0" w:type="auto"/>
            <w:gridSpan w:val="3"/>
            <w:shd w:val="clear" w:color="auto" w:fill="auto"/>
            <w:tcMar>
              <w:top w:w="0" w:type="dxa"/>
              <w:left w:w="20" w:type="dxa"/>
              <w:bottom w:w="0" w:type="dxa"/>
              <w:right w:w="20" w:type="dxa"/>
            </w:tcMar>
            <w:vAlign w:val="bottom"/>
          </w:tcPr>
          <w:p w14:paraId="5A1B1C54"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1C5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C56" w14:textId="77777777" w:rsidR="00960BB8" w:rsidRDefault="00960BB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A1B1C5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C58" w14:textId="77777777" w:rsidR="00960BB8" w:rsidRDefault="00960BB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A1B1C59" w14:textId="77777777" w:rsidR="00960BB8" w:rsidRDefault="00960BB8">
            <w:pPr>
              <w:rPr>
                <w:rFonts w:ascii="宋体"/>
              </w:rPr>
            </w:pPr>
          </w:p>
        </w:tc>
      </w:tr>
      <w:tr w:rsidR="00960BB8" w14:paraId="5A1B1C62" w14:textId="77777777">
        <w:tc>
          <w:tcPr>
            <w:tcW w:w="0" w:type="auto"/>
            <w:gridSpan w:val="3"/>
            <w:shd w:val="clear" w:color="auto" w:fill="auto"/>
            <w:tcMar>
              <w:top w:w="40" w:type="dxa"/>
              <w:left w:w="155" w:type="dxa"/>
              <w:bottom w:w="40" w:type="dxa"/>
              <w:right w:w="20" w:type="dxa"/>
            </w:tcMar>
            <w:vAlign w:val="bottom"/>
          </w:tcPr>
          <w:p w14:paraId="5A1B1C5B" w14:textId="77777777" w:rsidR="00960BB8" w:rsidRDefault="00C06650">
            <w:pPr>
              <w:textAlignment w:val="bottom"/>
            </w:pPr>
            <w:r>
              <w:rPr>
                <w:rFonts w:ascii="Arial" w:eastAsia="宋体" w:hAnsi="Arial" w:cs="Arial"/>
                <w:color w:val="262626"/>
                <w:sz w:val="18"/>
                <w:szCs w:val="18"/>
              </w:rPr>
              <w:t>Current:</w:t>
            </w:r>
          </w:p>
        </w:tc>
        <w:tc>
          <w:tcPr>
            <w:tcW w:w="0" w:type="auto"/>
            <w:gridSpan w:val="3"/>
            <w:shd w:val="clear" w:color="auto" w:fill="auto"/>
            <w:tcMar>
              <w:top w:w="0" w:type="dxa"/>
              <w:left w:w="20" w:type="dxa"/>
              <w:bottom w:w="0" w:type="dxa"/>
              <w:right w:w="20" w:type="dxa"/>
            </w:tcMar>
            <w:vAlign w:val="bottom"/>
          </w:tcPr>
          <w:p w14:paraId="5A1B1C5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C5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C5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C5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C6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C61" w14:textId="77777777" w:rsidR="00960BB8" w:rsidRDefault="00960BB8">
            <w:pPr>
              <w:rPr>
                <w:rFonts w:ascii="宋体"/>
              </w:rPr>
            </w:pPr>
          </w:p>
        </w:tc>
      </w:tr>
      <w:tr w:rsidR="00960BB8" w14:paraId="5A1B1C6D" w14:textId="77777777">
        <w:tc>
          <w:tcPr>
            <w:tcW w:w="0" w:type="auto"/>
            <w:gridSpan w:val="3"/>
            <w:shd w:val="clear" w:color="auto" w:fill="auto"/>
            <w:tcMar>
              <w:top w:w="40" w:type="dxa"/>
              <w:left w:w="245" w:type="dxa"/>
              <w:bottom w:w="40" w:type="dxa"/>
              <w:right w:w="20" w:type="dxa"/>
            </w:tcMar>
            <w:vAlign w:val="bottom"/>
          </w:tcPr>
          <w:p w14:paraId="5A1B1C63" w14:textId="77777777" w:rsidR="00960BB8" w:rsidRDefault="00C06650">
            <w:pPr>
              <w:textAlignment w:val="bottom"/>
            </w:pPr>
            <w:r>
              <w:rPr>
                <w:rFonts w:ascii="Arial" w:eastAsia="宋体" w:hAnsi="Arial" w:cs="Arial"/>
                <w:color w:val="262626"/>
                <w:sz w:val="18"/>
                <w:szCs w:val="18"/>
              </w:rPr>
              <w:t>Federal</w:t>
            </w:r>
          </w:p>
        </w:tc>
        <w:tc>
          <w:tcPr>
            <w:tcW w:w="0" w:type="auto"/>
            <w:gridSpan w:val="3"/>
            <w:shd w:val="clear" w:color="auto" w:fill="auto"/>
            <w:tcMar>
              <w:top w:w="0" w:type="dxa"/>
              <w:left w:w="20" w:type="dxa"/>
              <w:bottom w:w="0" w:type="dxa"/>
              <w:right w:w="20" w:type="dxa"/>
            </w:tcMar>
            <w:vAlign w:val="bottom"/>
          </w:tcPr>
          <w:p w14:paraId="5A1B1C6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65" w14:textId="77777777" w:rsidR="00960BB8" w:rsidRDefault="00C06650">
            <w:pPr>
              <w:jc w:val="right"/>
              <w:textAlignment w:val="bottom"/>
            </w:pPr>
            <w:r>
              <w:rPr>
                <w:rFonts w:ascii="Arial" w:eastAsia="宋体" w:hAnsi="Arial" w:cs="Arial"/>
                <w:color w:val="0068B5"/>
                <w:sz w:val="18"/>
                <w:szCs w:val="18"/>
              </w:rPr>
              <w:t>4,106 </w:t>
            </w:r>
          </w:p>
        </w:tc>
        <w:tc>
          <w:tcPr>
            <w:tcW w:w="0" w:type="auto"/>
            <w:shd w:val="clear" w:color="auto" w:fill="auto"/>
            <w:tcMar>
              <w:top w:w="40" w:type="dxa"/>
              <w:left w:w="0" w:type="dxa"/>
              <w:bottom w:w="40" w:type="dxa"/>
              <w:right w:w="20" w:type="dxa"/>
            </w:tcMar>
            <w:vAlign w:val="bottom"/>
          </w:tcPr>
          <w:p w14:paraId="5A1B1C6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6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68" w14:textId="77777777" w:rsidR="00960BB8" w:rsidRDefault="00C06650">
            <w:pPr>
              <w:jc w:val="right"/>
              <w:textAlignment w:val="bottom"/>
            </w:pPr>
            <w:r>
              <w:rPr>
                <w:rFonts w:ascii="Arial" w:eastAsia="宋体" w:hAnsi="Arial" w:cs="Arial"/>
                <w:color w:val="262626"/>
                <w:sz w:val="18"/>
                <w:szCs w:val="18"/>
              </w:rPr>
              <w:t>1,304 </w:t>
            </w:r>
          </w:p>
        </w:tc>
        <w:tc>
          <w:tcPr>
            <w:tcW w:w="0" w:type="auto"/>
            <w:shd w:val="clear" w:color="auto" w:fill="auto"/>
            <w:tcMar>
              <w:top w:w="40" w:type="dxa"/>
              <w:left w:w="0" w:type="dxa"/>
              <w:bottom w:w="40" w:type="dxa"/>
              <w:right w:w="20" w:type="dxa"/>
            </w:tcMar>
            <w:vAlign w:val="bottom"/>
          </w:tcPr>
          <w:p w14:paraId="5A1B1C6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6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6B" w14:textId="77777777" w:rsidR="00960BB8" w:rsidRDefault="00C06650">
            <w:pPr>
              <w:jc w:val="right"/>
              <w:textAlignment w:val="bottom"/>
            </w:pPr>
            <w:r>
              <w:rPr>
                <w:rFonts w:ascii="Arial" w:eastAsia="宋体" w:hAnsi="Arial" w:cs="Arial"/>
                <w:color w:val="262626"/>
                <w:sz w:val="18"/>
                <w:szCs w:val="18"/>
              </w:rPr>
              <w:t>1,120 </w:t>
            </w:r>
          </w:p>
        </w:tc>
        <w:tc>
          <w:tcPr>
            <w:tcW w:w="0" w:type="auto"/>
            <w:shd w:val="clear" w:color="auto" w:fill="auto"/>
            <w:tcMar>
              <w:top w:w="40" w:type="dxa"/>
              <w:left w:w="0" w:type="dxa"/>
              <w:bottom w:w="40" w:type="dxa"/>
              <w:right w:w="20" w:type="dxa"/>
            </w:tcMar>
            <w:vAlign w:val="bottom"/>
          </w:tcPr>
          <w:p w14:paraId="5A1B1C6C" w14:textId="77777777" w:rsidR="00960BB8" w:rsidRDefault="00960BB8">
            <w:pPr>
              <w:jc w:val="right"/>
              <w:rPr>
                <w:rFonts w:ascii="宋体"/>
              </w:rPr>
            </w:pPr>
          </w:p>
        </w:tc>
      </w:tr>
      <w:tr w:rsidR="00960BB8" w14:paraId="5A1B1C78" w14:textId="77777777">
        <w:tc>
          <w:tcPr>
            <w:tcW w:w="0" w:type="auto"/>
            <w:gridSpan w:val="3"/>
            <w:shd w:val="clear" w:color="auto" w:fill="auto"/>
            <w:tcMar>
              <w:top w:w="40" w:type="dxa"/>
              <w:left w:w="245" w:type="dxa"/>
              <w:bottom w:w="40" w:type="dxa"/>
              <w:right w:w="20" w:type="dxa"/>
            </w:tcMar>
            <w:vAlign w:val="bottom"/>
          </w:tcPr>
          <w:p w14:paraId="5A1B1C6E" w14:textId="77777777" w:rsidR="00960BB8" w:rsidRDefault="00C06650">
            <w:pPr>
              <w:textAlignment w:val="bottom"/>
            </w:pPr>
            <w:r>
              <w:rPr>
                <w:rFonts w:ascii="Arial" w:eastAsia="宋体" w:hAnsi="Arial" w:cs="Arial"/>
                <w:color w:val="262626"/>
                <w:sz w:val="18"/>
                <w:szCs w:val="18"/>
              </w:rPr>
              <w:t>State</w:t>
            </w:r>
          </w:p>
        </w:tc>
        <w:tc>
          <w:tcPr>
            <w:tcW w:w="0" w:type="auto"/>
            <w:gridSpan w:val="3"/>
            <w:shd w:val="clear" w:color="auto" w:fill="auto"/>
            <w:tcMar>
              <w:top w:w="0" w:type="dxa"/>
              <w:left w:w="20" w:type="dxa"/>
              <w:bottom w:w="0" w:type="dxa"/>
              <w:right w:w="20" w:type="dxa"/>
            </w:tcMar>
            <w:vAlign w:val="bottom"/>
          </w:tcPr>
          <w:p w14:paraId="5A1B1C6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70" w14:textId="77777777" w:rsidR="00960BB8" w:rsidRDefault="00C06650">
            <w:pPr>
              <w:jc w:val="right"/>
              <w:textAlignment w:val="bottom"/>
            </w:pPr>
            <w:r>
              <w:rPr>
                <w:rFonts w:ascii="Arial" w:eastAsia="宋体" w:hAnsi="Arial" w:cs="Arial"/>
                <w:color w:val="0068B5"/>
                <w:sz w:val="18"/>
                <w:szCs w:val="18"/>
              </w:rPr>
              <w:t>68 </w:t>
            </w:r>
          </w:p>
        </w:tc>
        <w:tc>
          <w:tcPr>
            <w:tcW w:w="0" w:type="auto"/>
            <w:shd w:val="clear" w:color="auto" w:fill="auto"/>
            <w:tcMar>
              <w:top w:w="40" w:type="dxa"/>
              <w:left w:w="0" w:type="dxa"/>
              <w:bottom w:w="40" w:type="dxa"/>
              <w:right w:w="20" w:type="dxa"/>
            </w:tcMar>
            <w:vAlign w:val="bottom"/>
          </w:tcPr>
          <w:p w14:paraId="5A1B1C7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7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73" w14:textId="77777777" w:rsidR="00960BB8" w:rsidRDefault="00C06650">
            <w:pPr>
              <w:jc w:val="right"/>
              <w:textAlignment w:val="bottom"/>
            </w:pPr>
            <w:r>
              <w:rPr>
                <w:rFonts w:ascii="Arial" w:eastAsia="宋体" w:hAnsi="Arial" w:cs="Arial"/>
                <w:color w:val="262626"/>
                <w:sz w:val="18"/>
                <w:szCs w:val="18"/>
              </w:rPr>
              <w:t>75 </w:t>
            </w:r>
          </w:p>
        </w:tc>
        <w:tc>
          <w:tcPr>
            <w:tcW w:w="0" w:type="auto"/>
            <w:shd w:val="clear" w:color="auto" w:fill="auto"/>
            <w:tcMar>
              <w:top w:w="40" w:type="dxa"/>
              <w:left w:w="0" w:type="dxa"/>
              <w:bottom w:w="40" w:type="dxa"/>
              <w:right w:w="20" w:type="dxa"/>
            </w:tcMar>
            <w:vAlign w:val="bottom"/>
          </w:tcPr>
          <w:p w14:paraId="5A1B1C7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7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76" w14:textId="77777777" w:rsidR="00960BB8" w:rsidRDefault="00C06650">
            <w:pPr>
              <w:jc w:val="right"/>
              <w:textAlignment w:val="bottom"/>
            </w:pPr>
            <w:r>
              <w:rPr>
                <w:rFonts w:ascii="Arial" w:eastAsia="宋体" w:hAnsi="Arial" w:cs="Arial"/>
                <w:color w:val="262626"/>
                <w:sz w:val="18"/>
                <w:szCs w:val="18"/>
              </w:rPr>
              <w:t>46 </w:t>
            </w:r>
          </w:p>
        </w:tc>
        <w:tc>
          <w:tcPr>
            <w:tcW w:w="0" w:type="auto"/>
            <w:shd w:val="clear" w:color="auto" w:fill="auto"/>
            <w:tcMar>
              <w:top w:w="40" w:type="dxa"/>
              <w:left w:w="0" w:type="dxa"/>
              <w:bottom w:w="40" w:type="dxa"/>
              <w:right w:w="20" w:type="dxa"/>
            </w:tcMar>
            <w:vAlign w:val="bottom"/>
          </w:tcPr>
          <w:p w14:paraId="5A1B1C77" w14:textId="77777777" w:rsidR="00960BB8" w:rsidRDefault="00960BB8">
            <w:pPr>
              <w:jc w:val="right"/>
              <w:rPr>
                <w:rFonts w:ascii="宋体"/>
              </w:rPr>
            </w:pPr>
          </w:p>
        </w:tc>
      </w:tr>
      <w:tr w:rsidR="00960BB8" w14:paraId="5A1B1C83" w14:textId="77777777">
        <w:tc>
          <w:tcPr>
            <w:tcW w:w="0" w:type="auto"/>
            <w:gridSpan w:val="3"/>
            <w:shd w:val="clear" w:color="auto" w:fill="auto"/>
            <w:tcMar>
              <w:top w:w="40" w:type="dxa"/>
              <w:left w:w="245" w:type="dxa"/>
              <w:bottom w:w="40" w:type="dxa"/>
              <w:right w:w="20" w:type="dxa"/>
            </w:tcMar>
            <w:vAlign w:val="bottom"/>
          </w:tcPr>
          <w:p w14:paraId="5A1B1C79" w14:textId="77777777" w:rsidR="00960BB8" w:rsidRDefault="00C06650">
            <w:pPr>
              <w:textAlignment w:val="bottom"/>
            </w:pPr>
            <w:r>
              <w:rPr>
                <w:rFonts w:ascii="Arial" w:eastAsia="宋体" w:hAnsi="Arial" w:cs="Arial"/>
                <w:color w:val="262626"/>
                <w:sz w:val="18"/>
                <w:szCs w:val="18"/>
              </w:rPr>
              <w:t>Non-US</w:t>
            </w:r>
          </w:p>
        </w:tc>
        <w:tc>
          <w:tcPr>
            <w:tcW w:w="0" w:type="auto"/>
            <w:gridSpan w:val="3"/>
            <w:shd w:val="clear" w:color="auto" w:fill="auto"/>
            <w:tcMar>
              <w:top w:w="0" w:type="dxa"/>
              <w:left w:w="20" w:type="dxa"/>
              <w:bottom w:w="0" w:type="dxa"/>
              <w:right w:w="20" w:type="dxa"/>
            </w:tcMar>
            <w:vAlign w:val="bottom"/>
          </w:tcPr>
          <w:p w14:paraId="5A1B1C7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7B" w14:textId="77777777" w:rsidR="00960BB8" w:rsidRDefault="00C06650">
            <w:pPr>
              <w:jc w:val="right"/>
              <w:textAlignment w:val="bottom"/>
            </w:pPr>
            <w:r>
              <w:rPr>
                <w:rFonts w:ascii="Arial" w:eastAsia="宋体" w:hAnsi="Arial" w:cs="Arial"/>
                <w:color w:val="0068B5"/>
                <w:sz w:val="18"/>
                <w:szCs w:val="18"/>
              </w:rPr>
              <w:t>735 </w:t>
            </w:r>
          </w:p>
        </w:tc>
        <w:tc>
          <w:tcPr>
            <w:tcW w:w="0" w:type="auto"/>
            <w:shd w:val="clear" w:color="auto" w:fill="auto"/>
            <w:tcMar>
              <w:top w:w="40" w:type="dxa"/>
              <w:left w:w="0" w:type="dxa"/>
              <w:bottom w:w="40" w:type="dxa"/>
              <w:right w:w="20" w:type="dxa"/>
            </w:tcMar>
            <w:vAlign w:val="bottom"/>
          </w:tcPr>
          <w:p w14:paraId="5A1B1C7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7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7E" w14:textId="77777777" w:rsidR="00960BB8" w:rsidRDefault="00C06650">
            <w:pPr>
              <w:jc w:val="right"/>
              <w:textAlignment w:val="bottom"/>
            </w:pPr>
            <w:r>
              <w:rPr>
                <w:rFonts w:ascii="Arial" w:eastAsia="宋体" w:hAnsi="Arial" w:cs="Arial"/>
                <w:color w:val="262626"/>
                <w:sz w:val="18"/>
                <w:szCs w:val="18"/>
              </w:rPr>
              <w:t>1,198 </w:t>
            </w:r>
          </w:p>
        </w:tc>
        <w:tc>
          <w:tcPr>
            <w:tcW w:w="0" w:type="auto"/>
            <w:shd w:val="clear" w:color="auto" w:fill="auto"/>
            <w:tcMar>
              <w:top w:w="40" w:type="dxa"/>
              <w:left w:w="0" w:type="dxa"/>
              <w:bottom w:w="40" w:type="dxa"/>
              <w:right w:w="20" w:type="dxa"/>
            </w:tcMar>
            <w:vAlign w:val="bottom"/>
          </w:tcPr>
          <w:p w14:paraId="5A1B1C7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8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81" w14:textId="77777777" w:rsidR="00960BB8" w:rsidRDefault="00C06650">
            <w:pPr>
              <w:jc w:val="right"/>
              <w:textAlignment w:val="bottom"/>
            </w:pPr>
            <w:r>
              <w:rPr>
                <w:rFonts w:ascii="Arial" w:eastAsia="宋体" w:hAnsi="Arial" w:cs="Arial"/>
                <w:color w:val="262626"/>
                <w:sz w:val="18"/>
                <w:szCs w:val="18"/>
              </w:rPr>
              <w:t>1,244 </w:t>
            </w:r>
          </w:p>
        </w:tc>
        <w:tc>
          <w:tcPr>
            <w:tcW w:w="0" w:type="auto"/>
            <w:shd w:val="clear" w:color="auto" w:fill="auto"/>
            <w:tcMar>
              <w:top w:w="40" w:type="dxa"/>
              <w:left w:w="0" w:type="dxa"/>
              <w:bottom w:w="40" w:type="dxa"/>
              <w:right w:w="20" w:type="dxa"/>
            </w:tcMar>
            <w:vAlign w:val="bottom"/>
          </w:tcPr>
          <w:p w14:paraId="5A1B1C82" w14:textId="77777777" w:rsidR="00960BB8" w:rsidRDefault="00960BB8">
            <w:pPr>
              <w:jc w:val="right"/>
              <w:rPr>
                <w:rFonts w:ascii="宋体"/>
              </w:rPr>
            </w:pPr>
          </w:p>
        </w:tc>
      </w:tr>
      <w:tr w:rsidR="00960BB8" w14:paraId="5A1B1C8E" w14:textId="77777777">
        <w:tc>
          <w:tcPr>
            <w:tcW w:w="0" w:type="auto"/>
            <w:gridSpan w:val="3"/>
            <w:shd w:val="clear" w:color="auto" w:fill="auto"/>
            <w:tcMar>
              <w:top w:w="40" w:type="dxa"/>
              <w:left w:w="20" w:type="dxa"/>
              <w:bottom w:w="40" w:type="dxa"/>
              <w:right w:w="20" w:type="dxa"/>
            </w:tcMar>
            <w:vAlign w:val="bottom"/>
          </w:tcPr>
          <w:p w14:paraId="5A1B1C84" w14:textId="77777777" w:rsidR="00960BB8" w:rsidRDefault="00C06650">
            <w:pPr>
              <w:textAlignment w:val="bottom"/>
            </w:pPr>
            <w:r>
              <w:rPr>
                <w:rFonts w:ascii="Arial" w:eastAsia="宋体" w:hAnsi="Arial" w:cs="Arial"/>
                <w:b/>
                <w:bCs/>
                <w:color w:val="262626"/>
                <w:sz w:val="18"/>
                <w:szCs w:val="18"/>
              </w:rPr>
              <w:t>Total current provision for (benefit from) taxes</w:t>
            </w:r>
          </w:p>
        </w:tc>
        <w:tc>
          <w:tcPr>
            <w:tcW w:w="0" w:type="auto"/>
            <w:gridSpan w:val="3"/>
            <w:shd w:val="clear" w:color="auto" w:fill="auto"/>
            <w:tcMar>
              <w:top w:w="0" w:type="dxa"/>
              <w:left w:w="20" w:type="dxa"/>
              <w:bottom w:w="0" w:type="dxa"/>
              <w:right w:w="20" w:type="dxa"/>
            </w:tcMar>
            <w:vAlign w:val="bottom"/>
          </w:tcPr>
          <w:p w14:paraId="5A1B1C85"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C86" w14:textId="77777777" w:rsidR="00960BB8" w:rsidRDefault="00C06650">
            <w:pPr>
              <w:jc w:val="right"/>
              <w:textAlignment w:val="bottom"/>
            </w:pPr>
            <w:r>
              <w:rPr>
                <w:rFonts w:ascii="Arial" w:eastAsia="宋体" w:hAnsi="Arial" w:cs="Arial"/>
                <w:b/>
                <w:bCs/>
                <w:color w:val="0068B5"/>
                <w:sz w:val="18"/>
                <w:szCs w:val="18"/>
              </w:rPr>
              <w:t>4,909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C8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88"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C89" w14:textId="77777777" w:rsidR="00960BB8" w:rsidRDefault="00C06650">
            <w:pPr>
              <w:jc w:val="right"/>
              <w:textAlignment w:val="bottom"/>
            </w:pPr>
            <w:r>
              <w:rPr>
                <w:rFonts w:ascii="Arial" w:eastAsia="宋体" w:hAnsi="Arial" w:cs="Arial"/>
                <w:b/>
                <w:bCs/>
                <w:color w:val="262626"/>
                <w:sz w:val="18"/>
                <w:szCs w:val="18"/>
              </w:rPr>
              <w:t>2,577</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C8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8B"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C8C" w14:textId="77777777" w:rsidR="00960BB8" w:rsidRDefault="00C06650">
            <w:pPr>
              <w:jc w:val="right"/>
              <w:textAlignment w:val="bottom"/>
            </w:pPr>
            <w:r>
              <w:rPr>
                <w:rFonts w:ascii="Arial" w:eastAsia="宋体" w:hAnsi="Arial" w:cs="Arial"/>
                <w:b/>
                <w:bCs/>
                <w:color w:val="262626"/>
                <w:sz w:val="18"/>
                <w:szCs w:val="18"/>
              </w:rPr>
              <w:t>2,410</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C8D" w14:textId="77777777" w:rsidR="00960BB8" w:rsidRDefault="00960BB8">
            <w:pPr>
              <w:jc w:val="right"/>
              <w:rPr>
                <w:rFonts w:ascii="宋体"/>
              </w:rPr>
            </w:pPr>
          </w:p>
        </w:tc>
      </w:tr>
      <w:tr w:rsidR="00960BB8" w14:paraId="5A1B1C96" w14:textId="77777777">
        <w:tc>
          <w:tcPr>
            <w:tcW w:w="0" w:type="auto"/>
            <w:gridSpan w:val="3"/>
            <w:shd w:val="clear" w:color="auto" w:fill="auto"/>
            <w:tcMar>
              <w:top w:w="40" w:type="dxa"/>
              <w:left w:w="155" w:type="dxa"/>
              <w:bottom w:w="40" w:type="dxa"/>
              <w:right w:w="20" w:type="dxa"/>
            </w:tcMar>
            <w:vAlign w:val="bottom"/>
          </w:tcPr>
          <w:p w14:paraId="5A1B1C8F" w14:textId="77777777" w:rsidR="00960BB8" w:rsidRDefault="00C06650">
            <w:pPr>
              <w:textAlignment w:val="bottom"/>
            </w:pPr>
            <w:r>
              <w:rPr>
                <w:rFonts w:ascii="Arial" w:eastAsia="宋体" w:hAnsi="Arial" w:cs="Arial"/>
                <w:color w:val="262626"/>
                <w:sz w:val="18"/>
                <w:szCs w:val="18"/>
              </w:rPr>
              <w:t>D</w:t>
            </w:r>
            <w:r>
              <w:rPr>
                <w:rFonts w:ascii="Arial" w:eastAsia="宋体" w:hAnsi="Arial" w:cs="Arial"/>
                <w:color w:val="262626"/>
                <w:sz w:val="18"/>
                <w:szCs w:val="18"/>
              </w:rPr>
              <w:t>eferred:</w:t>
            </w:r>
          </w:p>
        </w:tc>
        <w:tc>
          <w:tcPr>
            <w:tcW w:w="0" w:type="auto"/>
            <w:gridSpan w:val="3"/>
            <w:shd w:val="clear" w:color="auto" w:fill="auto"/>
            <w:tcMar>
              <w:top w:w="0" w:type="dxa"/>
              <w:left w:w="20" w:type="dxa"/>
              <w:bottom w:w="0" w:type="dxa"/>
              <w:right w:w="20" w:type="dxa"/>
            </w:tcMar>
            <w:vAlign w:val="bottom"/>
          </w:tcPr>
          <w:p w14:paraId="5A1B1C90"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C9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C92"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C9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C94"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C95" w14:textId="77777777" w:rsidR="00960BB8" w:rsidRDefault="00960BB8">
            <w:pPr>
              <w:rPr>
                <w:rFonts w:ascii="宋体"/>
              </w:rPr>
            </w:pPr>
          </w:p>
        </w:tc>
      </w:tr>
      <w:tr w:rsidR="00960BB8" w14:paraId="5A1B1CA1" w14:textId="77777777">
        <w:tc>
          <w:tcPr>
            <w:tcW w:w="0" w:type="auto"/>
            <w:gridSpan w:val="3"/>
            <w:shd w:val="clear" w:color="auto" w:fill="auto"/>
            <w:tcMar>
              <w:top w:w="40" w:type="dxa"/>
              <w:left w:w="245" w:type="dxa"/>
              <w:bottom w:w="40" w:type="dxa"/>
              <w:right w:w="20" w:type="dxa"/>
            </w:tcMar>
            <w:vAlign w:val="bottom"/>
          </w:tcPr>
          <w:p w14:paraId="5A1B1C97" w14:textId="77777777" w:rsidR="00960BB8" w:rsidRDefault="00C06650">
            <w:pPr>
              <w:textAlignment w:val="bottom"/>
            </w:pPr>
            <w:r>
              <w:rPr>
                <w:rFonts w:ascii="Arial" w:eastAsia="宋体" w:hAnsi="Arial" w:cs="Arial"/>
                <w:color w:val="262626"/>
                <w:sz w:val="18"/>
                <w:szCs w:val="18"/>
              </w:rPr>
              <w:t>Federal</w:t>
            </w:r>
          </w:p>
        </w:tc>
        <w:tc>
          <w:tcPr>
            <w:tcW w:w="0" w:type="auto"/>
            <w:gridSpan w:val="3"/>
            <w:shd w:val="clear" w:color="auto" w:fill="auto"/>
            <w:tcMar>
              <w:top w:w="0" w:type="dxa"/>
              <w:left w:w="20" w:type="dxa"/>
              <w:bottom w:w="0" w:type="dxa"/>
              <w:right w:w="20" w:type="dxa"/>
            </w:tcMar>
            <w:vAlign w:val="bottom"/>
          </w:tcPr>
          <w:p w14:paraId="5A1B1C9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99" w14:textId="77777777" w:rsidR="00960BB8" w:rsidRDefault="00C06650">
            <w:pPr>
              <w:jc w:val="right"/>
              <w:textAlignment w:val="bottom"/>
            </w:pPr>
            <w:r>
              <w:rPr>
                <w:rFonts w:ascii="Arial" w:eastAsia="宋体" w:hAnsi="Arial" w:cs="Arial"/>
                <w:color w:val="0068B5"/>
                <w:sz w:val="18"/>
                <w:szCs w:val="18"/>
              </w:rPr>
              <w:t>(5,806)</w:t>
            </w:r>
          </w:p>
        </w:tc>
        <w:tc>
          <w:tcPr>
            <w:tcW w:w="0" w:type="auto"/>
            <w:shd w:val="clear" w:color="auto" w:fill="auto"/>
            <w:tcMar>
              <w:top w:w="40" w:type="dxa"/>
              <w:left w:w="0" w:type="dxa"/>
              <w:bottom w:w="40" w:type="dxa"/>
              <w:right w:w="20" w:type="dxa"/>
            </w:tcMar>
            <w:vAlign w:val="bottom"/>
          </w:tcPr>
          <w:p w14:paraId="5A1B1C9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9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9C" w14:textId="77777777" w:rsidR="00960BB8" w:rsidRDefault="00C06650">
            <w:pPr>
              <w:jc w:val="right"/>
              <w:textAlignment w:val="bottom"/>
            </w:pPr>
            <w:r>
              <w:rPr>
                <w:rFonts w:ascii="Arial" w:eastAsia="宋体" w:hAnsi="Arial" w:cs="Arial"/>
                <w:color w:val="262626"/>
                <w:sz w:val="18"/>
                <w:szCs w:val="18"/>
              </w:rPr>
              <w:t>(863)</w:t>
            </w:r>
          </w:p>
        </w:tc>
        <w:tc>
          <w:tcPr>
            <w:tcW w:w="0" w:type="auto"/>
            <w:shd w:val="clear" w:color="auto" w:fill="auto"/>
            <w:tcMar>
              <w:top w:w="40" w:type="dxa"/>
              <w:left w:w="0" w:type="dxa"/>
              <w:bottom w:w="40" w:type="dxa"/>
              <w:right w:w="20" w:type="dxa"/>
            </w:tcMar>
            <w:vAlign w:val="bottom"/>
          </w:tcPr>
          <w:p w14:paraId="5A1B1C9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9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9F" w14:textId="77777777" w:rsidR="00960BB8" w:rsidRDefault="00C06650">
            <w:pPr>
              <w:jc w:val="right"/>
              <w:textAlignment w:val="bottom"/>
            </w:pPr>
            <w:r>
              <w:rPr>
                <w:rFonts w:ascii="Arial" w:eastAsia="宋体" w:hAnsi="Arial" w:cs="Arial"/>
                <w:color w:val="262626"/>
                <w:sz w:val="18"/>
                <w:szCs w:val="18"/>
              </w:rPr>
              <w:t>1,369 </w:t>
            </w:r>
          </w:p>
        </w:tc>
        <w:tc>
          <w:tcPr>
            <w:tcW w:w="0" w:type="auto"/>
            <w:shd w:val="clear" w:color="auto" w:fill="auto"/>
            <w:tcMar>
              <w:top w:w="40" w:type="dxa"/>
              <w:left w:w="0" w:type="dxa"/>
              <w:bottom w:w="40" w:type="dxa"/>
              <w:right w:w="20" w:type="dxa"/>
            </w:tcMar>
            <w:vAlign w:val="bottom"/>
          </w:tcPr>
          <w:p w14:paraId="5A1B1CA0" w14:textId="77777777" w:rsidR="00960BB8" w:rsidRDefault="00960BB8">
            <w:pPr>
              <w:jc w:val="right"/>
              <w:rPr>
                <w:rFonts w:ascii="宋体"/>
              </w:rPr>
            </w:pPr>
          </w:p>
        </w:tc>
      </w:tr>
      <w:tr w:rsidR="00960BB8" w14:paraId="5A1B1CAC" w14:textId="77777777">
        <w:tc>
          <w:tcPr>
            <w:tcW w:w="0" w:type="auto"/>
            <w:gridSpan w:val="3"/>
            <w:shd w:val="clear" w:color="auto" w:fill="auto"/>
            <w:tcMar>
              <w:top w:w="40" w:type="dxa"/>
              <w:left w:w="245" w:type="dxa"/>
              <w:bottom w:w="40" w:type="dxa"/>
              <w:right w:w="20" w:type="dxa"/>
            </w:tcMar>
            <w:vAlign w:val="bottom"/>
          </w:tcPr>
          <w:p w14:paraId="5A1B1CA2" w14:textId="77777777" w:rsidR="00960BB8" w:rsidRDefault="00C06650">
            <w:pPr>
              <w:textAlignment w:val="bottom"/>
            </w:pPr>
            <w:r>
              <w:rPr>
                <w:rFonts w:ascii="Arial" w:eastAsia="宋体" w:hAnsi="Arial" w:cs="Arial"/>
                <w:color w:val="262626"/>
                <w:sz w:val="18"/>
                <w:szCs w:val="18"/>
              </w:rPr>
              <w:t>State</w:t>
            </w:r>
          </w:p>
        </w:tc>
        <w:tc>
          <w:tcPr>
            <w:tcW w:w="0" w:type="auto"/>
            <w:gridSpan w:val="3"/>
            <w:shd w:val="clear" w:color="auto" w:fill="auto"/>
            <w:tcMar>
              <w:top w:w="0" w:type="dxa"/>
              <w:left w:w="20" w:type="dxa"/>
              <w:bottom w:w="0" w:type="dxa"/>
              <w:right w:w="20" w:type="dxa"/>
            </w:tcMar>
            <w:vAlign w:val="bottom"/>
          </w:tcPr>
          <w:p w14:paraId="5A1B1CA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A4" w14:textId="77777777" w:rsidR="00960BB8" w:rsidRDefault="00C06650">
            <w:pPr>
              <w:jc w:val="right"/>
              <w:textAlignment w:val="bottom"/>
            </w:pPr>
            <w:r>
              <w:rPr>
                <w:rFonts w:ascii="Arial" w:eastAsia="宋体" w:hAnsi="Arial" w:cs="Arial"/>
                <w:color w:val="0068B5"/>
                <w:sz w:val="18"/>
                <w:szCs w:val="18"/>
              </w:rPr>
              <w:t>(40)</w:t>
            </w:r>
          </w:p>
        </w:tc>
        <w:tc>
          <w:tcPr>
            <w:tcW w:w="0" w:type="auto"/>
            <w:shd w:val="clear" w:color="auto" w:fill="auto"/>
            <w:tcMar>
              <w:top w:w="40" w:type="dxa"/>
              <w:left w:w="0" w:type="dxa"/>
              <w:bottom w:w="40" w:type="dxa"/>
              <w:right w:w="20" w:type="dxa"/>
            </w:tcMar>
            <w:vAlign w:val="bottom"/>
          </w:tcPr>
          <w:p w14:paraId="5A1B1CA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A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A7" w14:textId="77777777" w:rsidR="00960BB8" w:rsidRDefault="00C06650">
            <w:pPr>
              <w:jc w:val="right"/>
              <w:textAlignment w:val="bottom"/>
            </w:pPr>
            <w:r>
              <w:rPr>
                <w:rFonts w:ascii="Arial" w:eastAsia="宋体" w:hAnsi="Arial" w:cs="Arial"/>
                <w:color w:val="262626"/>
                <w:sz w:val="18"/>
                <w:szCs w:val="18"/>
              </w:rPr>
              <w:t>(25)</w:t>
            </w:r>
          </w:p>
        </w:tc>
        <w:tc>
          <w:tcPr>
            <w:tcW w:w="0" w:type="auto"/>
            <w:shd w:val="clear" w:color="auto" w:fill="auto"/>
            <w:tcMar>
              <w:top w:w="40" w:type="dxa"/>
              <w:left w:w="0" w:type="dxa"/>
              <w:bottom w:w="40" w:type="dxa"/>
              <w:right w:w="20" w:type="dxa"/>
            </w:tcMar>
            <w:vAlign w:val="bottom"/>
          </w:tcPr>
          <w:p w14:paraId="5A1B1CA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A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AA" w14:textId="77777777" w:rsidR="00960BB8" w:rsidRDefault="00C06650">
            <w:pPr>
              <w:jc w:val="right"/>
              <w:textAlignment w:val="bottom"/>
            </w:pPr>
            <w:r>
              <w:rPr>
                <w:rFonts w:ascii="Arial" w:eastAsia="宋体" w:hAnsi="Arial" w:cs="Arial"/>
                <w:color w:val="262626"/>
                <w:sz w:val="18"/>
                <w:szCs w:val="18"/>
              </w:rPr>
              <w:t>25 </w:t>
            </w:r>
          </w:p>
        </w:tc>
        <w:tc>
          <w:tcPr>
            <w:tcW w:w="0" w:type="auto"/>
            <w:shd w:val="clear" w:color="auto" w:fill="auto"/>
            <w:tcMar>
              <w:top w:w="40" w:type="dxa"/>
              <w:left w:w="0" w:type="dxa"/>
              <w:bottom w:w="40" w:type="dxa"/>
              <w:right w:w="20" w:type="dxa"/>
            </w:tcMar>
            <w:vAlign w:val="bottom"/>
          </w:tcPr>
          <w:p w14:paraId="5A1B1CAB" w14:textId="77777777" w:rsidR="00960BB8" w:rsidRDefault="00960BB8">
            <w:pPr>
              <w:jc w:val="right"/>
              <w:rPr>
                <w:rFonts w:ascii="宋体"/>
              </w:rPr>
            </w:pPr>
          </w:p>
        </w:tc>
      </w:tr>
      <w:tr w:rsidR="00960BB8" w14:paraId="5A1B1CB7" w14:textId="77777777">
        <w:tc>
          <w:tcPr>
            <w:tcW w:w="0" w:type="auto"/>
            <w:gridSpan w:val="3"/>
            <w:shd w:val="clear" w:color="auto" w:fill="auto"/>
            <w:tcMar>
              <w:top w:w="40" w:type="dxa"/>
              <w:left w:w="245" w:type="dxa"/>
              <w:bottom w:w="40" w:type="dxa"/>
              <w:right w:w="20" w:type="dxa"/>
            </w:tcMar>
            <w:vAlign w:val="bottom"/>
          </w:tcPr>
          <w:p w14:paraId="5A1B1CAD" w14:textId="77777777" w:rsidR="00960BB8" w:rsidRDefault="00C06650">
            <w:pPr>
              <w:textAlignment w:val="bottom"/>
            </w:pPr>
            <w:r>
              <w:rPr>
                <w:rFonts w:ascii="Arial" w:eastAsia="宋体" w:hAnsi="Arial" w:cs="Arial"/>
                <w:color w:val="262626"/>
                <w:sz w:val="18"/>
                <w:szCs w:val="18"/>
              </w:rPr>
              <w:t>Non-US</w:t>
            </w:r>
          </w:p>
        </w:tc>
        <w:tc>
          <w:tcPr>
            <w:tcW w:w="0" w:type="auto"/>
            <w:gridSpan w:val="3"/>
            <w:shd w:val="clear" w:color="auto" w:fill="auto"/>
            <w:tcMar>
              <w:top w:w="0" w:type="dxa"/>
              <w:left w:w="20" w:type="dxa"/>
              <w:bottom w:w="0" w:type="dxa"/>
              <w:right w:w="20" w:type="dxa"/>
            </w:tcMar>
            <w:vAlign w:val="bottom"/>
          </w:tcPr>
          <w:p w14:paraId="5A1B1CA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AF" w14:textId="77777777" w:rsidR="00960BB8" w:rsidRDefault="00C06650">
            <w:pPr>
              <w:jc w:val="right"/>
              <w:textAlignment w:val="bottom"/>
            </w:pPr>
            <w:r>
              <w:rPr>
                <w:rFonts w:ascii="Arial" w:eastAsia="宋体" w:hAnsi="Arial" w:cs="Arial"/>
                <w:color w:val="0068B5"/>
                <w:sz w:val="18"/>
                <w:szCs w:val="18"/>
              </w:rPr>
              <w:t>688 </w:t>
            </w:r>
          </w:p>
        </w:tc>
        <w:tc>
          <w:tcPr>
            <w:tcW w:w="0" w:type="auto"/>
            <w:shd w:val="clear" w:color="auto" w:fill="auto"/>
            <w:tcMar>
              <w:top w:w="40" w:type="dxa"/>
              <w:left w:w="0" w:type="dxa"/>
              <w:bottom w:w="40" w:type="dxa"/>
              <w:right w:w="20" w:type="dxa"/>
            </w:tcMar>
            <w:vAlign w:val="bottom"/>
          </w:tcPr>
          <w:p w14:paraId="5A1B1CB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B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B2" w14:textId="77777777" w:rsidR="00960BB8" w:rsidRDefault="00C06650">
            <w:pPr>
              <w:jc w:val="right"/>
              <w:textAlignment w:val="bottom"/>
            </w:pPr>
            <w:r>
              <w:rPr>
                <w:rFonts w:ascii="Arial" w:eastAsia="宋体" w:hAnsi="Arial" w:cs="Arial"/>
                <w:color w:val="262626"/>
                <w:sz w:val="18"/>
                <w:szCs w:val="18"/>
              </w:rPr>
              <w:t>146 </w:t>
            </w:r>
          </w:p>
        </w:tc>
        <w:tc>
          <w:tcPr>
            <w:tcW w:w="0" w:type="auto"/>
            <w:shd w:val="clear" w:color="auto" w:fill="auto"/>
            <w:tcMar>
              <w:top w:w="40" w:type="dxa"/>
              <w:left w:w="0" w:type="dxa"/>
              <w:bottom w:w="40" w:type="dxa"/>
              <w:right w:w="20" w:type="dxa"/>
            </w:tcMar>
            <w:vAlign w:val="bottom"/>
          </w:tcPr>
          <w:p w14:paraId="5A1B1CB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B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CB5" w14:textId="77777777" w:rsidR="00960BB8" w:rsidRDefault="00C06650">
            <w:pPr>
              <w:jc w:val="right"/>
              <w:textAlignment w:val="bottom"/>
            </w:pPr>
            <w:r>
              <w:rPr>
                <w:rFonts w:ascii="Arial" w:eastAsia="宋体" w:hAnsi="Arial" w:cs="Arial"/>
                <w:color w:val="262626"/>
                <w:sz w:val="18"/>
                <w:szCs w:val="18"/>
              </w:rPr>
              <w:t>375 </w:t>
            </w:r>
          </w:p>
        </w:tc>
        <w:tc>
          <w:tcPr>
            <w:tcW w:w="0" w:type="auto"/>
            <w:shd w:val="clear" w:color="auto" w:fill="auto"/>
            <w:tcMar>
              <w:top w:w="40" w:type="dxa"/>
              <w:left w:w="0" w:type="dxa"/>
              <w:bottom w:w="40" w:type="dxa"/>
              <w:right w:w="20" w:type="dxa"/>
            </w:tcMar>
            <w:vAlign w:val="bottom"/>
          </w:tcPr>
          <w:p w14:paraId="5A1B1CB6" w14:textId="77777777" w:rsidR="00960BB8" w:rsidRDefault="00960BB8">
            <w:pPr>
              <w:jc w:val="right"/>
              <w:rPr>
                <w:rFonts w:ascii="宋体"/>
              </w:rPr>
            </w:pPr>
          </w:p>
        </w:tc>
      </w:tr>
      <w:tr w:rsidR="00960BB8" w14:paraId="5A1B1CC2" w14:textId="77777777">
        <w:tc>
          <w:tcPr>
            <w:tcW w:w="0" w:type="auto"/>
            <w:gridSpan w:val="3"/>
            <w:shd w:val="clear" w:color="auto" w:fill="auto"/>
            <w:tcMar>
              <w:top w:w="40" w:type="dxa"/>
              <w:left w:w="20" w:type="dxa"/>
              <w:bottom w:w="40" w:type="dxa"/>
              <w:right w:w="20" w:type="dxa"/>
            </w:tcMar>
            <w:vAlign w:val="bottom"/>
          </w:tcPr>
          <w:p w14:paraId="5A1B1CB8" w14:textId="77777777" w:rsidR="00960BB8" w:rsidRDefault="00C06650">
            <w:pPr>
              <w:textAlignment w:val="bottom"/>
            </w:pPr>
            <w:r>
              <w:rPr>
                <w:rFonts w:ascii="Arial" w:eastAsia="宋体" w:hAnsi="Arial" w:cs="Arial"/>
                <w:b/>
                <w:bCs/>
                <w:color w:val="262626"/>
                <w:sz w:val="18"/>
                <w:szCs w:val="18"/>
              </w:rPr>
              <w:t>Total deferred provision for (benefit from) taxes</w:t>
            </w:r>
          </w:p>
        </w:tc>
        <w:tc>
          <w:tcPr>
            <w:tcW w:w="0" w:type="auto"/>
            <w:gridSpan w:val="3"/>
            <w:shd w:val="clear" w:color="auto" w:fill="auto"/>
            <w:tcMar>
              <w:top w:w="0" w:type="dxa"/>
              <w:left w:w="20" w:type="dxa"/>
              <w:bottom w:w="0" w:type="dxa"/>
              <w:right w:w="20" w:type="dxa"/>
            </w:tcMar>
            <w:vAlign w:val="bottom"/>
          </w:tcPr>
          <w:p w14:paraId="5A1B1CB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CBA" w14:textId="77777777" w:rsidR="00960BB8" w:rsidRDefault="00C06650">
            <w:pPr>
              <w:jc w:val="right"/>
              <w:textAlignment w:val="bottom"/>
            </w:pPr>
            <w:r>
              <w:rPr>
                <w:rFonts w:ascii="Arial" w:eastAsia="宋体" w:hAnsi="Arial" w:cs="Arial"/>
                <w:b/>
                <w:bCs/>
                <w:color w:val="0068B5"/>
                <w:sz w:val="18"/>
                <w:szCs w:val="18"/>
              </w:rPr>
              <w:t>(5,158)</w:t>
            </w:r>
          </w:p>
        </w:tc>
        <w:tc>
          <w:tcPr>
            <w:tcW w:w="0" w:type="auto"/>
            <w:tcBorders>
              <w:top w:val="single" w:sz="4" w:space="0" w:color="262626"/>
            </w:tcBorders>
            <w:shd w:val="clear" w:color="auto" w:fill="auto"/>
            <w:tcMar>
              <w:top w:w="40" w:type="dxa"/>
              <w:left w:w="0" w:type="dxa"/>
              <w:bottom w:w="40" w:type="dxa"/>
              <w:right w:w="20" w:type="dxa"/>
            </w:tcMar>
            <w:vAlign w:val="bottom"/>
          </w:tcPr>
          <w:p w14:paraId="5A1B1CB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BC"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CBD" w14:textId="77777777" w:rsidR="00960BB8" w:rsidRDefault="00C06650">
            <w:pPr>
              <w:jc w:val="right"/>
              <w:textAlignment w:val="bottom"/>
            </w:pPr>
            <w:r>
              <w:rPr>
                <w:rFonts w:ascii="Arial" w:eastAsia="宋体" w:hAnsi="Arial" w:cs="Arial"/>
                <w:b/>
                <w:bCs/>
                <w:color w:val="262626"/>
                <w:sz w:val="18"/>
                <w:szCs w:val="18"/>
              </w:rPr>
              <w:t>(742)</w:t>
            </w:r>
          </w:p>
        </w:tc>
        <w:tc>
          <w:tcPr>
            <w:tcW w:w="0" w:type="auto"/>
            <w:tcBorders>
              <w:top w:val="single" w:sz="4" w:space="0" w:color="333333"/>
            </w:tcBorders>
            <w:shd w:val="clear" w:color="auto" w:fill="auto"/>
            <w:tcMar>
              <w:top w:w="40" w:type="dxa"/>
              <w:left w:w="0" w:type="dxa"/>
              <w:bottom w:w="40" w:type="dxa"/>
              <w:right w:w="20" w:type="dxa"/>
            </w:tcMar>
            <w:vAlign w:val="bottom"/>
          </w:tcPr>
          <w:p w14:paraId="5A1B1CB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BF"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CC0" w14:textId="77777777" w:rsidR="00960BB8" w:rsidRDefault="00C06650">
            <w:pPr>
              <w:jc w:val="right"/>
              <w:textAlignment w:val="bottom"/>
            </w:pPr>
            <w:r>
              <w:rPr>
                <w:rFonts w:ascii="Arial" w:eastAsia="宋体" w:hAnsi="Arial" w:cs="Arial"/>
                <w:b/>
                <w:bCs/>
                <w:color w:val="262626"/>
                <w:sz w:val="18"/>
                <w:szCs w:val="18"/>
              </w:rPr>
              <w:t>1,769</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CC1" w14:textId="77777777" w:rsidR="00960BB8" w:rsidRDefault="00960BB8">
            <w:pPr>
              <w:jc w:val="right"/>
              <w:rPr>
                <w:rFonts w:ascii="宋体"/>
              </w:rPr>
            </w:pPr>
          </w:p>
        </w:tc>
      </w:tr>
      <w:tr w:rsidR="00960BB8" w14:paraId="5A1B1CD0" w14:textId="77777777">
        <w:tc>
          <w:tcPr>
            <w:tcW w:w="0" w:type="auto"/>
            <w:gridSpan w:val="3"/>
            <w:shd w:val="clear" w:color="auto" w:fill="auto"/>
            <w:tcMar>
              <w:top w:w="40" w:type="dxa"/>
              <w:left w:w="20" w:type="dxa"/>
              <w:bottom w:w="40" w:type="dxa"/>
              <w:right w:w="20" w:type="dxa"/>
            </w:tcMar>
            <w:vAlign w:val="bottom"/>
          </w:tcPr>
          <w:p w14:paraId="5A1B1CC3" w14:textId="77777777" w:rsidR="00960BB8" w:rsidRDefault="00C06650">
            <w:pPr>
              <w:textAlignment w:val="bottom"/>
            </w:pPr>
            <w:r>
              <w:rPr>
                <w:rFonts w:ascii="Arial" w:eastAsia="宋体" w:hAnsi="Arial" w:cs="Arial"/>
                <w:b/>
                <w:bCs/>
                <w:color w:val="262626"/>
                <w:sz w:val="18"/>
                <w:szCs w:val="18"/>
              </w:rPr>
              <w:t>T</w:t>
            </w:r>
            <w:r>
              <w:rPr>
                <w:rFonts w:ascii="Arial" w:eastAsia="宋体" w:hAnsi="Arial" w:cs="Arial"/>
                <w:b/>
                <w:bCs/>
                <w:color w:val="262626"/>
                <w:sz w:val="18"/>
                <w:szCs w:val="18"/>
              </w:rPr>
              <w:t>otal provision for (benefit from) taxes</w:t>
            </w:r>
          </w:p>
        </w:tc>
        <w:tc>
          <w:tcPr>
            <w:tcW w:w="0" w:type="auto"/>
            <w:gridSpan w:val="3"/>
            <w:shd w:val="clear" w:color="auto" w:fill="auto"/>
            <w:tcMar>
              <w:top w:w="0" w:type="dxa"/>
              <w:left w:w="20" w:type="dxa"/>
              <w:bottom w:w="0" w:type="dxa"/>
              <w:right w:w="20" w:type="dxa"/>
            </w:tcMar>
            <w:vAlign w:val="bottom"/>
          </w:tcPr>
          <w:p w14:paraId="5A1B1CC4" w14:textId="77777777" w:rsidR="00960BB8" w:rsidRDefault="00960BB8">
            <w:pPr>
              <w:rPr>
                <w:rFonts w:ascii="宋体"/>
              </w:rPr>
            </w:pPr>
          </w:p>
        </w:tc>
        <w:tc>
          <w:tcPr>
            <w:tcW w:w="0" w:type="auto"/>
            <w:tcBorders>
              <w:top w:val="single" w:sz="4" w:space="0" w:color="333333"/>
            </w:tcBorders>
            <w:shd w:val="clear" w:color="auto" w:fill="auto"/>
            <w:tcMar>
              <w:top w:w="40" w:type="dxa"/>
              <w:left w:w="20" w:type="dxa"/>
              <w:bottom w:w="40" w:type="dxa"/>
              <w:right w:w="0" w:type="dxa"/>
            </w:tcMar>
            <w:vAlign w:val="bottom"/>
          </w:tcPr>
          <w:p w14:paraId="5A1B1CC5"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333333"/>
            </w:tcBorders>
            <w:shd w:val="clear" w:color="auto" w:fill="auto"/>
            <w:tcMar>
              <w:top w:w="40" w:type="dxa"/>
              <w:left w:w="0" w:type="dxa"/>
              <w:bottom w:w="40" w:type="dxa"/>
              <w:right w:w="0" w:type="dxa"/>
            </w:tcMar>
            <w:vAlign w:val="bottom"/>
          </w:tcPr>
          <w:p w14:paraId="5A1B1CC6" w14:textId="77777777" w:rsidR="00960BB8" w:rsidRDefault="00C06650">
            <w:pPr>
              <w:jc w:val="right"/>
              <w:textAlignment w:val="bottom"/>
            </w:pPr>
            <w:r>
              <w:rPr>
                <w:rFonts w:ascii="Arial" w:eastAsia="宋体" w:hAnsi="Arial" w:cs="Arial"/>
                <w:b/>
                <w:bCs/>
                <w:color w:val="0068B5"/>
                <w:sz w:val="18"/>
                <w:szCs w:val="18"/>
              </w:rPr>
              <w:t>(249)</w:t>
            </w:r>
          </w:p>
        </w:tc>
        <w:tc>
          <w:tcPr>
            <w:tcW w:w="0" w:type="auto"/>
            <w:tcBorders>
              <w:top w:val="single" w:sz="4" w:space="0" w:color="333333"/>
            </w:tcBorders>
            <w:shd w:val="clear" w:color="auto" w:fill="auto"/>
            <w:tcMar>
              <w:top w:w="40" w:type="dxa"/>
              <w:left w:w="0" w:type="dxa"/>
              <w:bottom w:w="40" w:type="dxa"/>
              <w:right w:w="20" w:type="dxa"/>
            </w:tcMar>
            <w:vAlign w:val="bottom"/>
          </w:tcPr>
          <w:p w14:paraId="5A1B1CC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C8" w14:textId="77777777" w:rsidR="00960BB8" w:rsidRDefault="00960BB8">
            <w:pPr>
              <w:rPr>
                <w:rFonts w:ascii="宋体"/>
              </w:rPr>
            </w:pPr>
          </w:p>
        </w:tc>
        <w:tc>
          <w:tcPr>
            <w:tcW w:w="0" w:type="auto"/>
            <w:tcBorders>
              <w:top w:val="single" w:sz="4" w:space="0" w:color="333333"/>
            </w:tcBorders>
            <w:shd w:val="clear" w:color="auto" w:fill="auto"/>
            <w:tcMar>
              <w:top w:w="40" w:type="dxa"/>
              <w:left w:w="20" w:type="dxa"/>
              <w:bottom w:w="40" w:type="dxa"/>
              <w:right w:w="0" w:type="dxa"/>
            </w:tcMar>
            <w:vAlign w:val="bottom"/>
          </w:tcPr>
          <w:p w14:paraId="5A1B1CC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333333"/>
            </w:tcBorders>
            <w:shd w:val="clear" w:color="auto" w:fill="auto"/>
            <w:tcMar>
              <w:top w:w="40" w:type="dxa"/>
              <w:left w:w="0" w:type="dxa"/>
              <w:bottom w:w="40" w:type="dxa"/>
              <w:right w:w="0" w:type="dxa"/>
            </w:tcMar>
            <w:vAlign w:val="bottom"/>
          </w:tcPr>
          <w:p w14:paraId="5A1B1CCA" w14:textId="77777777" w:rsidR="00960BB8" w:rsidRDefault="00C06650">
            <w:pPr>
              <w:jc w:val="right"/>
              <w:textAlignment w:val="bottom"/>
            </w:pPr>
            <w:r>
              <w:rPr>
                <w:rFonts w:ascii="Arial" w:eastAsia="宋体" w:hAnsi="Arial" w:cs="Arial"/>
                <w:b/>
                <w:bCs/>
                <w:color w:val="262626"/>
                <w:sz w:val="18"/>
                <w:szCs w:val="18"/>
              </w:rPr>
              <w:t>1,835</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CC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CCC" w14:textId="77777777" w:rsidR="00960BB8" w:rsidRDefault="00960BB8">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A1B1CCD"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A1B1CCE" w14:textId="77777777" w:rsidR="00960BB8" w:rsidRDefault="00C06650">
            <w:pPr>
              <w:jc w:val="right"/>
              <w:textAlignment w:val="bottom"/>
            </w:pPr>
            <w:r>
              <w:rPr>
                <w:rFonts w:ascii="Arial" w:eastAsia="宋体" w:hAnsi="Arial" w:cs="Arial"/>
                <w:b/>
                <w:bCs/>
                <w:color w:val="262626"/>
                <w:sz w:val="18"/>
                <w:szCs w:val="18"/>
              </w:rPr>
              <w:t>4,179</w:t>
            </w:r>
            <w:r>
              <w:rPr>
                <w:rFonts w:ascii="Arial" w:eastAsia="宋体" w:hAnsi="Arial" w:cs="Arial"/>
                <w:color w:val="262626"/>
                <w:sz w:val="18"/>
                <w:szCs w:val="18"/>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A1B1CCF" w14:textId="77777777" w:rsidR="00960BB8" w:rsidRDefault="00960BB8">
            <w:pPr>
              <w:jc w:val="right"/>
              <w:rPr>
                <w:rFonts w:ascii="宋体"/>
              </w:rPr>
            </w:pPr>
          </w:p>
        </w:tc>
      </w:tr>
      <w:tr w:rsidR="00960BB8" w14:paraId="5A1B1CDB" w14:textId="77777777">
        <w:tc>
          <w:tcPr>
            <w:tcW w:w="0" w:type="auto"/>
            <w:gridSpan w:val="3"/>
            <w:shd w:val="clear" w:color="auto" w:fill="auto"/>
            <w:tcMar>
              <w:top w:w="40" w:type="dxa"/>
              <w:left w:w="20" w:type="dxa"/>
              <w:bottom w:w="40" w:type="dxa"/>
              <w:right w:w="20" w:type="dxa"/>
            </w:tcMar>
            <w:vAlign w:val="bottom"/>
          </w:tcPr>
          <w:p w14:paraId="5A1B1CD1" w14:textId="77777777" w:rsidR="00960BB8" w:rsidRDefault="00C06650">
            <w:pPr>
              <w:textAlignment w:val="bottom"/>
            </w:pPr>
            <w:r>
              <w:rPr>
                <w:rFonts w:ascii="Arial" w:eastAsia="宋体" w:hAnsi="Arial" w:cs="Arial"/>
                <w:b/>
                <w:bCs/>
                <w:color w:val="262626"/>
                <w:sz w:val="18"/>
                <w:szCs w:val="18"/>
              </w:rPr>
              <w:t>Effective tax rate</w:t>
            </w:r>
          </w:p>
        </w:tc>
        <w:tc>
          <w:tcPr>
            <w:tcW w:w="0" w:type="auto"/>
            <w:gridSpan w:val="3"/>
            <w:shd w:val="clear" w:color="auto" w:fill="auto"/>
            <w:tcMar>
              <w:top w:w="0" w:type="dxa"/>
              <w:left w:w="20" w:type="dxa"/>
              <w:bottom w:w="0" w:type="dxa"/>
              <w:right w:w="20" w:type="dxa"/>
            </w:tcMar>
            <w:vAlign w:val="bottom"/>
          </w:tcPr>
          <w:p w14:paraId="5A1B1CD2" w14:textId="77777777" w:rsidR="00960BB8" w:rsidRDefault="00960BB8">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5A1B1CD3" w14:textId="77777777" w:rsidR="00960BB8" w:rsidRDefault="00C06650">
            <w:pPr>
              <w:jc w:val="right"/>
              <w:textAlignment w:val="bottom"/>
            </w:pPr>
            <w:r>
              <w:rPr>
                <w:rFonts w:ascii="Arial" w:eastAsia="宋体" w:hAnsi="Arial" w:cs="Arial"/>
                <w:b/>
                <w:bCs/>
                <w:color w:val="0068B5"/>
                <w:sz w:val="18"/>
                <w:szCs w:val="18"/>
              </w:rPr>
              <w:t>(3.2)</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5A1B1CD4" w14:textId="77777777" w:rsidR="00960BB8" w:rsidRDefault="00C06650">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CD5" w14:textId="77777777" w:rsidR="00960BB8" w:rsidRDefault="00960BB8">
            <w:pPr>
              <w:rPr>
                <w:rFonts w:ascii="宋体"/>
              </w:rPr>
            </w:pPr>
          </w:p>
        </w:tc>
        <w:tc>
          <w:tcPr>
            <w:tcW w:w="0" w:type="auto"/>
            <w:gridSpan w:val="2"/>
            <w:tcBorders>
              <w:top w:val="double" w:sz="6" w:space="0" w:color="000000"/>
              <w:bottom w:val="double" w:sz="6" w:space="0" w:color="000000"/>
            </w:tcBorders>
            <w:shd w:val="clear" w:color="auto" w:fill="auto"/>
            <w:tcMar>
              <w:top w:w="40" w:type="dxa"/>
              <w:left w:w="20" w:type="dxa"/>
              <w:bottom w:w="40" w:type="dxa"/>
              <w:right w:w="0" w:type="dxa"/>
            </w:tcMar>
            <w:vAlign w:val="bottom"/>
          </w:tcPr>
          <w:p w14:paraId="5A1B1CD6" w14:textId="77777777" w:rsidR="00960BB8" w:rsidRDefault="00C06650">
            <w:pPr>
              <w:jc w:val="right"/>
              <w:textAlignment w:val="bottom"/>
            </w:pPr>
            <w:r>
              <w:rPr>
                <w:rFonts w:ascii="Arial" w:eastAsia="宋体" w:hAnsi="Arial" w:cs="Arial"/>
                <w:b/>
                <w:bCs/>
                <w:color w:val="000000"/>
                <w:sz w:val="18"/>
                <w:szCs w:val="18"/>
              </w:rPr>
              <w:t>8.5</w:t>
            </w:r>
            <w:r>
              <w:rPr>
                <w:rFonts w:ascii="Arial" w:eastAsia="宋体" w:hAnsi="Arial" w:cs="Arial"/>
                <w:color w:val="000000"/>
                <w:sz w:val="18"/>
                <w:szCs w:val="18"/>
              </w:rPr>
              <w:t> </w:t>
            </w:r>
          </w:p>
        </w:tc>
        <w:tc>
          <w:tcPr>
            <w:tcW w:w="0" w:type="auto"/>
            <w:tcBorders>
              <w:top w:val="double" w:sz="6" w:space="0" w:color="000000"/>
              <w:bottom w:val="double" w:sz="6" w:space="0" w:color="000000"/>
            </w:tcBorders>
            <w:shd w:val="clear" w:color="auto" w:fill="auto"/>
            <w:tcMar>
              <w:top w:w="40" w:type="dxa"/>
              <w:left w:w="0" w:type="dxa"/>
              <w:bottom w:w="40" w:type="dxa"/>
              <w:right w:w="20" w:type="dxa"/>
            </w:tcMar>
            <w:vAlign w:val="bottom"/>
          </w:tcPr>
          <w:p w14:paraId="5A1B1CD7" w14:textId="77777777" w:rsidR="00960BB8" w:rsidRDefault="00C06650">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5A1B1CD8" w14:textId="77777777" w:rsidR="00960BB8" w:rsidRDefault="00960BB8">
            <w:pPr>
              <w:rPr>
                <w:rFonts w:ascii="宋体"/>
              </w:rPr>
            </w:pPr>
          </w:p>
        </w:tc>
        <w:tc>
          <w:tcPr>
            <w:tcW w:w="0" w:type="auto"/>
            <w:gridSpan w:val="2"/>
            <w:tcBorders>
              <w:top w:val="double" w:sz="6" w:space="0" w:color="000000"/>
              <w:bottom w:val="double" w:sz="6" w:space="0" w:color="262626"/>
            </w:tcBorders>
            <w:shd w:val="clear" w:color="auto" w:fill="auto"/>
            <w:tcMar>
              <w:top w:w="40" w:type="dxa"/>
              <w:left w:w="20" w:type="dxa"/>
              <w:bottom w:w="40" w:type="dxa"/>
              <w:right w:w="0" w:type="dxa"/>
            </w:tcMar>
            <w:vAlign w:val="bottom"/>
          </w:tcPr>
          <w:p w14:paraId="5A1B1CD9" w14:textId="77777777" w:rsidR="00960BB8" w:rsidRDefault="00C06650">
            <w:pPr>
              <w:jc w:val="right"/>
              <w:textAlignment w:val="bottom"/>
            </w:pPr>
            <w:r>
              <w:rPr>
                <w:rFonts w:ascii="Arial" w:eastAsia="宋体" w:hAnsi="Arial" w:cs="Arial"/>
                <w:b/>
                <w:bCs/>
                <w:color w:val="262626"/>
                <w:sz w:val="18"/>
                <w:szCs w:val="18"/>
              </w:rPr>
              <w:t>16.7</w:t>
            </w:r>
            <w:r>
              <w:rPr>
                <w:rFonts w:ascii="Arial" w:eastAsia="宋体" w:hAnsi="Arial" w:cs="Arial"/>
                <w:color w:val="262626"/>
                <w:sz w:val="18"/>
                <w:szCs w:val="18"/>
              </w:rPr>
              <w:t> </w:t>
            </w:r>
          </w:p>
        </w:tc>
        <w:tc>
          <w:tcPr>
            <w:tcW w:w="0" w:type="auto"/>
            <w:tcBorders>
              <w:top w:val="double" w:sz="6" w:space="0" w:color="000000"/>
              <w:bottom w:val="double" w:sz="6" w:space="0" w:color="262626"/>
            </w:tcBorders>
            <w:shd w:val="clear" w:color="auto" w:fill="auto"/>
            <w:tcMar>
              <w:top w:w="40" w:type="dxa"/>
              <w:left w:w="0" w:type="dxa"/>
              <w:bottom w:w="40" w:type="dxa"/>
              <w:right w:w="20" w:type="dxa"/>
            </w:tcMar>
            <w:vAlign w:val="bottom"/>
          </w:tcPr>
          <w:p w14:paraId="5A1B1CDA" w14:textId="77777777" w:rsidR="00960BB8" w:rsidRDefault="00C06650">
            <w:pPr>
              <w:jc w:val="right"/>
              <w:textAlignment w:val="bottom"/>
            </w:pPr>
            <w:r>
              <w:rPr>
                <w:rFonts w:ascii="Arial" w:eastAsia="宋体" w:hAnsi="Arial" w:cs="Arial"/>
                <w:b/>
                <w:bCs/>
                <w:color w:val="262626"/>
                <w:sz w:val="18"/>
                <w:szCs w:val="18"/>
              </w:rPr>
              <w:t>%</w:t>
            </w:r>
          </w:p>
        </w:tc>
      </w:tr>
    </w:tbl>
    <w:p w14:paraId="5A1B1CDC" w14:textId="77777777" w:rsidR="00960BB8" w:rsidRDefault="00C06650">
      <w:pPr>
        <w:spacing w:before="180" w:after="120"/>
      </w:pPr>
      <w:r>
        <w:rPr>
          <w:rFonts w:ascii="Arial" w:eastAsia="宋体" w:hAnsi="Arial" w:cs="Arial"/>
          <w:color w:val="262626"/>
          <w:sz w:val="18"/>
          <w:szCs w:val="18"/>
        </w:rPr>
        <w:t>The difference between the tax provision at the statutory federal income tax rate and the tax provision as a percentage of income before income taxes (effe</w:t>
      </w:r>
      <w:r>
        <w:rPr>
          <w:rFonts w:ascii="Arial" w:eastAsia="宋体" w:hAnsi="Arial" w:cs="Arial"/>
          <w:color w:val="262626"/>
          <w:sz w:val="18"/>
          <w:szCs w:val="18"/>
        </w:rPr>
        <w:t>ctive tax rate) for each period was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5014"/>
        <w:gridCol w:w="40"/>
        <w:gridCol w:w="36"/>
        <w:gridCol w:w="36"/>
        <w:gridCol w:w="36"/>
        <w:gridCol w:w="42"/>
        <w:gridCol w:w="749"/>
        <w:gridCol w:w="181"/>
        <w:gridCol w:w="36"/>
        <w:gridCol w:w="36"/>
        <w:gridCol w:w="36"/>
        <w:gridCol w:w="38"/>
        <w:gridCol w:w="753"/>
        <w:gridCol w:w="181"/>
        <w:gridCol w:w="36"/>
        <w:gridCol w:w="36"/>
        <w:gridCol w:w="36"/>
        <w:gridCol w:w="38"/>
        <w:gridCol w:w="754"/>
        <w:gridCol w:w="181"/>
      </w:tblGrid>
      <w:tr w:rsidR="00960BB8" w14:paraId="5A1B1CF2" w14:textId="77777777">
        <w:tc>
          <w:tcPr>
            <w:tcW w:w="50" w:type="pct"/>
            <w:shd w:val="clear" w:color="auto" w:fill="auto"/>
            <w:vAlign w:val="bottom"/>
          </w:tcPr>
          <w:p w14:paraId="5A1B1CDD" w14:textId="77777777" w:rsidR="00960BB8" w:rsidRDefault="00960BB8">
            <w:pPr>
              <w:rPr>
                <w:rFonts w:ascii="宋体"/>
              </w:rPr>
            </w:pPr>
          </w:p>
        </w:tc>
        <w:tc>
          <w:tcPr>
            <w:tcW w:w="3059" w:type="pct"/>
            <w:shd w:val="clear" w:color="auto" w:fill="auto"/>
            <w:vAlign w:val="bottom"/>
          </w:tcPr>
          <w:p w14:paraId="5A1B1CDE" w14:textId="77777777" w:rsidR="00960BB8" w:rsidRDefault="00960BB8">
            <w:pPr>
              <w:rPr>
                <w:rFonts w:ascii="宋体"/>
              </w:rPr>
            </w:pPr>
          </w:p>
        </w:tc>
        <w:tc>
          <w:tcPr>
            <w:tcW w:w="5" w:type="pct"/>
            <w:shd w:val="clear" w:color="auto" w:fill="auto"/>
            <w:vAlign w:val="bottom"/>
          </w:tcPr>
          <w:p w14:paraId="5A1B1CDF" w14:textId="77777777" w:rsidR="00960BB8" w:rsidRDefault="00960BB8">
            <w:pPr>
              <w:rPr>
                <w:rFonts w:ascii="宋体"/>
              </w:rPr>
            </w:pPr>
          </w:p>
        </w:tc>
        <w:tc>
          <w:tcPr>
            <w:tcW w:w="5" w:type="pct"/>
            <w:shd w:val="clear" w:color="auto" w:fill="auto"/>
            <w:vAlign w:val="bottom"/>
          </w:tcPr>
          <w:p w14:paraId="5A1B1CE0" w14:textId="77777777" w:rsidR="00960BB8" w:rsidRDefault="00960BB8">
            <w:pPr>
              <w:rPr>
                <w:rFonts w:ascii="宋体"/>
              </w:rPr>
            </w:pPr>
          </w:p>
        </w:tc>
        <w:tc>
          <w:tcPr>
            <w:tcW w:w="24" w:type="pct"/>
            <w:shd w:val="clear" w:color="auto" w:fill="auto"/>
            <w:vAlign w:val="bottom"/>
          </w:tcPr>
          <w:p w14:paraId="5A1B1CE1" w14:textId="77777777" w:rsidR="00960BB8" w:rsidRDefault="00960BB8">
            <w:pPr>
              <w:rPr>
                <w:rFonts w:ascii="宋体"/>
              </w:rPr>
            </w:pPr>
          </w:p>
        </w:tc>
        <w:tc>
          <w:tcPr>
            <w:tcW w:w="5" w:type="pct"/>
            <w:shd w:val="clear" w:color="auto" w:fill="auto"/>
            <w:vAlign w:val="bottom"/>
          </w:tcPr>
          <w:p w14:paraId="5A1B1CE2" w14:textId="77777777" w:rsidR="00960BB8" w:rsidRDefault="00960BB8">
            <w:pPr>
              <w:rPr>
                <w:rFonts w:ascii="宋体"/>
              </w:rPr>
            </w:pPr>
          </w:p>
        </w:tc>
        <w:tc>
          <w:tcPr>
            <w:tcW w:w="50" w:type="pct"/>
            <w:shd w:val="clear" w:color="auto" w:fill="auto"/>
            <w:vAlign w:val="bottom"/>
          </w:tcPr>
          <w:p w14:paraId="5A1B1CE3" w14:textId="77777777" w:rsidR="00960BB8" w:rsidRDefault="00960BB8">
            <w:pPr>
              <w:rPr>
                <w:rFonts w:ascii="宋体"/>
              </w:rPr>
            </w:pPr>
          </w:p>
        </w:tc>
        <w:tc>
          <w:tcPr>
            <w:tcW w:w="539" w:type="pct"/>
            <w:shd w:val="clear" w:color="auto" w:fill="auto"/>
            <w:vAlign w:val="bottom"/>
          </w:tcPr>
          <w:p w14:paraId="5A1B1CE4" w14:textId="77777777" w:rsidR="00960BB8" w:rsidRDefault="00960BB8">
            <w:pPr>
              <w:rPr>
                <w:rFonts w:ascii="宋体"/>
              </w:rPr>
            </w:pPr>
          </w:p>
        </w:tc>
        <w:tc>
          <w:tcPr>
            <w:tcW w:w="5" w:type="pct"/>
            <w:shd w:val="clear" w:color="auto" w:fill="auto"/>
            <w:vAlign w:val="bottom"/>
          </w:tcPr>
          <w:p w14:paraId="5A1B1CE5" w14:textId="77777777" w:rsidR="00960BB8" w:rsidRDefault="00960BB8">
            <w:pPr>
              <w:rPr>
                <w:rFonts w:ascii="宋体"/>
              </w:rPr>
            </w:pPr>
          </w:p>
        </w:tc>
        <w:tc>
          <w:tcPr>
            <w:tcW w:w="5" w:type="pct"/>
            <w:shd w:val="clear" w:color="auto" w:fill="auto"/>
            <w:vAlign w:val="bottom"/>
          </w:tcPr>
          <w:p w14:paraId="5A1B1CE6" w14:textId="77777777" w:rsidR="00960BB8" w:rsidRDefault="00960BB8">
            <w:pPr>
              <w:rPr>
                <w:rFonts w:ascii="宋体"/>
              </w:rPr>
            </w:pPr>
          </w:p>
        </w:tc>
        <w:tc>
          <w:tcPr>
            <w:tcW w:w="24" w:type="pct"/>
            <w:shd w:val="clear" w:color="auto" w:fill="auto"/>
            <w:vAlign w:val="bottom"/>
          </w:tcPr>
          <w:p w14:paraId="5A1B1CE7" w14:textId="77777777" w:rsidR="00960BB8" w:rsidRDefault="00960BB8">
            <w:pPr>
              <w:rPr>
                <w:rFonts w:ascii="宋体"/>
              </w:rPr>
            </w:pPr>
          </w:p>
        </w:tc>
        <w:tc>
          <w:tcPr>
            <w:tcW w:w="5" w:type="pct"/>
            <w:shd w:val="clear" w:color="auto" w:fill="auto"/>
            <w:vAlign w:val="bottom"/>
          </w:tcPr>
          <w:p w14:paraId="5A1B1CE8" w14:textId="77777777" w:rsidR="00960BB8" w:rsidRDefault="00960BB8">
            <w:pPr>
              <w:rPr>
                <w:rFonts w:ascii="宋体"/>
              </w:rPr>
            </w:pPr>
          </w:p>
        </w:tc>
        <w:tc>
          <w:tcPr>
            <w:tcW w:w="50" w:type="pct"/>
            <w:shd w:val="clear" w:color="auto" w:fill="auto"/>
            <w:vAlign w:val="bottom"/>
          </w:tcPr>
          <w:p w14:paraId="5A1B1CE9" w14:textId="77777777" w:rsidR="00960BB8" w:rsidRDefault="00960BB8">
            <w:pPr>
              <w:rPr>
                <w:rFonts w:ascii="宋体"/>
              </w:rPr>
            </w:pPr>
          </w:p>
        </w:tc>
        <w:tc>
          <w:tcPr>
            <w:tcW w:w="539" w:type="pct"/>
            <w:shd w:val="clear" w:color="auto" w:fill="auto"/>
            <w:vAlign w:val="bottom"/>
          </w:tcPr>
          <w:p w14:paraId="5A1B1CEA" w14:textId="77777777" w:rsidR="00960BB8" w:rsidRDefault="00960BB8">
            <w:pPr>
              <w:rPr>
                <w:rFonts w:ascii="宋体"/>
              </w:rPr>
            </w:pPr>
          </w:p>
        </w:tc>
        <w:tc>
          <w:tcPr>
            <w:tcW w:w="5" w:type="pct"/>
            <w:shd w:val="clear" w:color="auto" w:fill="auto"/>
            <w:vAlign w:val="bottom"/>
          </w:tcPr>
          <w:p w14:paraId="5A1B1CEB" w14:textId="77777777" w:rsidR="00960BB8" w:rsidRDefault="00960BB8">
            <w:pPr>
              <w:rPr>
                <w:rFonts w:ascii="宋体"/>
              </w:rPr>
            </w:pPr>
          </w:p>
        </w:tc>
        <w:tc>
          <w:tcPr>
            <w:tcW w:w="5" w:type="pct"/>
            <w:shd w:val="clear" w:color="auto" w:fill="auto"/>
            <w:vAlign w:val="bottom"/>
          </w:tcPr>
          <w:p w14:paraId="5A1B1CEC" w14:textId="77777777" w:rsidR="00960BB8" w:rsidRDefault="00960BB8">
            <w:pPr>
              <w:rPr>
                <w:rFonts w:ascii="宋体"/>
              </w:rPr>
            </w:pPr>
          </w:p>
        </w:tc>
        <w:tc>
          <w:tcPr>
            <w:tcW w:w="24" w:type="pct"/>
            <w:shd w:val="clear" w:color="auto" w:fill="auto"/>
            <w:vAlign w:val="bottom"/>
          </w:tcPr>
          <w:p w14:paraId="5A1B1CED" w14:textId="77777777" w:rsidR="00960BB8" w:rsidRDefault="00960BB8">
            <w:pPr>
              <w:rPr>
                <w:rFonts w:ascii="宋体"/>
              </w:rPr>
            </w:pPr>
          </w:p>
        </w:tc>
        <w:tc>
          <w:tcPr>
            <w:tcW w:w="5" w:type="pct"/>
            <w:shd w:val="clear" w:color="auto" w:fill="auto"/>
            <w:vAlign w:val="bottom"/>
          </w:tcPr>
          <w:p w14:paraId="5A1B1CEE" w14:textId="77777777" w:rsidR="00960BB8" w:rsidRDefault="00960BB8">
            <w:pPr>
              <w:rPr>
                <w:rFonts w:ascii="宋体"/>
              </w:rPr>
            </w:pPr>
          </w:p>
        </w:tc>
        <w:tc>
          <w:tcPr>
            <w:tcW w:w="50" w:type="pct"/>
            <w:shd w:val="clear" w:color="auto" w:fill="auto"/>
            <w:vAlign w:val="bottom"/>
          </w:tcPr>
          <w:p w14:paraId="5A1B1CEF" w14:textId="77777777" w:rsidR="00960BB8" w:rsidRDefault="00960BB8">
            <w:pPr>
              <w:rPr>
                <w:rFonts w:ascii="宋体"/>
              </w:rPr>
            </w:pPr>
          </w:p>
        </w:tc>
        <w:tc>
          <w:tcPr>
            <w:tcW w:w="539" w:type="pct"/>
            <w:shd w:val="clear" w:color="auto" w:fill="auto"/>
            <w:vAlign w:val="bottom"/>
          </w:tcPr>
          <w:p w14:paraId="5A1B1CF0" w14:textId="77777777" w:rsidR="00960BB8" w:rsidRDefault="00960BB8">
            <w:pPr>
              <w:rPr>
                <w:rFonts w:ascii="宋体"/>
              </w:rPr>
            </w:pPr>
          </w:p>
        </w:tc>
        <w:tc>
          <w:tcPr>
            <w:tcW w:w="5" w:type="pct"/>
            <w:shd w:val="clear" w:color="auto" w:fill="auto"/>
            <w:vAlign w:val="bottom"/>
          </w:tcPr>
          <w:p w14:paraId="5A1B1CF1" w14:textId="77777777" w:rsidR="00960BB8" w:rsidRDefault="00960BB8">
            <w:pPr>
              <w:rPr>
                <w:rFonts w:ascii="宋体"/>
              </w:rPr>
            </w:pPr>
          </w:p>
        </w:tc>
      </w:tr>
      <w:tr w:rsidR="00960BB8" w14:paraId="5A1B1CFA" w14:textId="77777777">
        <w:tc>
          <w:tcPr>
            <w:tcW w:w="0" w:type="auto"/>
            <w:gridSpan w:val="3"/>
            <w:shd w:val="clear" w:color="auto" w:fill="auto"/>
            <w:tcMar>
              <w:top w:w="40" w:type="dxa"/>
              <w:left w:w="20" w:type="dxa"/>
              <w:bottom w:w="40" w:type="dxa"/>
              <w:right w:w="20" w:type="dxa"/>
            </w:tcMar>
            <w:vAlign w:val="bottom"/>
          </w:tcPr>
          <w:p w14:paraId="5A1B1CF3" w14:textId="77777777" w:rsidR="00960BB8" w:rsidRDefault="00C06650">
            <w:pPr>
              <w:textAlignment w:val="bottom"/>
            </w:pPr>
            <w:r>
              <w:rPr>
                <w:rFonts w:ascii="Arial" w:eastAsia="宋体" w:hAnsi="Arial" w:cs="Arial"/>
                <w:b/>
                <w:bCs/>
                <w:color w:val="262626"/>
                <w:sz w:val="18"/>
                <w:szCs w:val="18"/>
              </w:rPr>
              <w:t>Y</w:t>
            </w:r>
            <w:r>
              <w:rPr>
                <w:rFonts w:ascii="Arial" w:eastAsia="宋体" w:hAnsi="Arial" w:cs="Arial"/>
                <w:b/>
                <w:bCs/>
                <w:color w:val="262626"/>
                <w:sz w:val="18"/>
                <w:szCs w:val="18"/>
              </w:rPr>
              <w:t>ears Ended</w:t>
            </w:r>
          </w:p>
        </w:tc>
        <w:tc>
          <w:tcPr>
            <w:tcW w:w="0" w:type="auto"/>
            <w:gridSpan w:val="3"/>
            <w:shd w:val="clear" w:color="auto" w:fill="auto"/>
            <w:tcMar>
              <w:top w:w="0" w:type="dxa"/>
              <w:left w:w="20" w:type="dxa"/>
              <w:bottom w:w="0" w:type="dxa"/>
              <w:right w:w="20" w:type="dxa"/>
            </w:tcMar>
            <w:vAlign w:val="bottom"/>
          </w:tcPr>
          <w:p w14:paraId="5A1B1CF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CF5"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CF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CF7"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1CF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CF9"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1D0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CFB" w14:textId="77777777" w:rsidR="00960BB8" w:rsidRDefault="00C06650">
            <w:pPr>
              <w:textAlignment w:val="bottom"/>
            </w:pPr>
            <w:r>
              <w:rPr>
                <w:rFonts w:ascii="Arial" w:eastAsia="宋体" w:hAnsi="Arial" w:cs="Arial"/>
                <w:color w:val="262626"/>
                <w:sz w:val="18"/>
                <w:szCs w:val="18"/>
              </w:rPr>
              <w:t>Statutory federal income tax rate</w:t>
            </w:r>
          </w:p>
        </w:tc>
        <w:tc>
          <w:tcPr>
            <w:tcW w:w="0" w:type="auto"/>
            <w:gridSpan w:val="3"/>
            <w:shd w:val="clear" w:color="auto" w:fill="auto"/>
            <w:tcMar>
              <w:top w:w="0" w:type="dxa"/>
              <w:left w:w="20" w:type="dxa"/>
              <w:bottom w:w="0" w:type="dxa"/>
              <w:right w:w="20" w:type="dxa"/>
            </w:tcMar>
            <w:vAlign w:val="bottom"/>
          </w:tcPr>
          <w:p w14:paraId="5A1B1CFC"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B1CFD" w14:textId="77777777" w:rsidR="00960BB8" w:rsidRDefault="00C06650">
            <w:pPr>
              <w:jc w:val="right"/>
              <w:textAlignment w:val="bottom"/>
            </w:pPr>
            <w:r>
              <w:rPr>
                <w:rFonts w:ascii="Arial" w:eastAsia="宋体" w:hAnsi="Arial" w:cs="Arial"/>
                <w:color w:val="0068B5"/>
                <w:sz w:val="18"/>
                <w:szCs w:val="18"/>
              </w:rPr>
              <w:t>21.0 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CFE"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1CFF"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B1D00" w14:textId="77777777" w:rsidR="00960BB8" w:rsidRDefault="00C06650">
            <w:pPr>
              <w:jc w:val="right"/>
              <w:textAlignment w:val="bottom"/>
            </w:pPr>
            <w:r>
              <w:rPr>
                <w:rFonts w:ascii="Arial" w:eastAsia="宋体" w:hAnsi="Arial" w:cs="Arial"/>
                <w:color w:val="262626"/>
                <w:sz w:val="18"/>
                <w:szCs w:val="18"/>
              </w:rPr>
              <w:t>21.0 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D01"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D02"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B1D03" w14:textId="77777777" w:rsidR="00960BB8" w:rsidRDefault="00C06650">
            <w:pPr>
              <w:jc w:val="right"/>
              <w:textAlignment w:val="bottom"/>
            </w:pPr>
            <w:r>
              <w:rPr>
                <w:rFonts w:ascii="Arial" w:eastAsia="宋体" w:hAnsi="Arial" w:cs="Arial"/>
                <w:color w:val="262626"/>
                <w:sz w:val="18"/>
                <w:szCs w:val="18"/>
              </w:rPr>
              <w:t>21.0 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D04" w14:textId="77777777" w:rsidR="00960BB8" w:rsidRDefault="00C06650">
            <w:pPr>
              <w:jc w:val="right"/>
              <w:textAlignment w:val="bottom"/>
            </w:pPr>
            <w:r>
              <w:rPr>
                <w:rFonts w:ascii="Arial" w:eastAsia="宋体" w:hAnsi="Arial" w:cs="Arial"/>
                <w:color w:val="262626"/>
                <w:sz w:val="18"/>
                <w:szCs w:val="18"/>
              </w:rPr>
              <w:t>%</w:t>
            </w:r>
          </w:p>
        </w:tc>
      </w:tr>
      <w:tr w:rsidR="00960BB8" w14:paraId="5A1B1D0D" w14:textId="77777777">
        <w:tc>
          <w:tcPr>
            <w:tcW w:w="0" w:type="auto"/>
            <w:gridSpan w:val="3"/>
            <w:shd w:val="clear" w:color="auto" w:fill="auto"/>
            <w:tcMar>
              <w:top w:w="40" w:type="dxa"/>
              <w:left w:w="20" w:type="dxa"/>
              <w:bottom w:w="40" w:type="dxa"/>
              <w:right w:w="20" w:type="dxa"/>
            </w:tcMar>
            <w:vAlign w:val="bottom"/>
          </w:tcPr>
          <w:p w14:paraId="5A1B1D06" w14:textId="77777777" w:rsidR="00960BB8" w:rsidRDefault="00C06650">
            <w:pPr>
              <w:textAlignment w:val="bottom"/>
            </w:pPr>
            <w:r>
              <w:rPr>
                <w:rFonts w:ascii="Arial" w:eastAsia="宋体" w:hAnsi="Arial" w:cs="Arial"/>
                <w:color w:val="262626"/>
                <w:sz w:val="18"/>
                <w:szCs w:val="18"/>
              </w:rPr>
              <w:t>Increase (reduction) in rate resulting from:</w:t>
            </w:r>
          </w:p>
        </w:tc>
        <w:tc>
          <w:tcPr>
            <w:tcW w:w="0" w:type="auto"/>
            <w:gridSpan w:val="3"/>
            <w:shd w:val="clear" w:color="auto" w:fill="auto"/>
            <w:tcMar>
              <w:top w:w="0" w:type="dxa"/>
              <w:left w:w="20" w:type="dxa"/>
              <w:bottom w:w="0" w:type="dxa"/>
              <w:right w:w="20" w:type="dxa"/>
            </w:tcMar>
            <w:vAlign w:val="bottom"/>
          </w:tcPr>
          <w:p w14:paraId="5A1B1D0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D0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D0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D0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D0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D0C" w14:textId="77777777" w:rsidR="00960BB8" w:rsidRDefault="00960BB8">
            <w:pPr>
              <w:rPr>
                <w:rFonts w:ascii="宋体"/>
              </w:rPr>
            </w:pPr>
          </w:p>
        </w:tc>
      </w:tr>
      <w:tr w:rsidR="00960BB8" w14:paraId="5A1B1D18" w14:textId="77777777">
        <w:tc>
          <w:tcPr>
            <w:tcW w:w="0" w:type="auto"/>
            <w:gridSpan w:val="3"/>
            <w:shd w:val="clear" w:color="auto" w:fill="auto"/>
            <w:tcMar>
              <w:top w:w="40" w:type="dxa"/>
              <w:left w:w="155" w:type="dxa"/>
              <w:bottom w:w="40" w:type="dxa"/>
              <w:right w:w="20" w:type="dxa"/>
            </w:tcMar>
            <w:vAlign w:val="bottom"/>
          </w:tcPr>
          <w:p w14:paraId="5A1B1D0E" w14:textId="77777777" w:rsidR="00960BB8" w:rsidRDefault="00C06650">
            <w:pPr>
              <w:textAlignment w:val="bottom"/>
            </w:pPr>
            <w:r>
              <w:rPr>
                <w:rFonts w:ascii="Arial" w:eastAsia="宋体" w:hAnsi="Arial" w:cs="Arial"/>
                <w:color w:val="262626"/>
                <w:sz w:val="18"/>
                <w:szCs w:val="18"/>
              </w:rPr>
              <w:t>Non-US income taxed at different rates</w:t>
            </w:r>
          </w:p>
        </w:tc>
        <w:tc>
          <w:tcPr>
            <w:tcW w:w="0" w:type="auto"/>
            <w:gridSpan w:val="3"/>
            <w:shd w:val="clear" w:color="auto" w:fill="auto"/>
            <w:tcMar>
              <w:top w:w="0" w:type="dxa"/>
              <w:left w:w="20" w:type="dxa"/>
              <w:bottom w:w="0" w:type="dxa"/>
              <w:right w:w="20" w:type="dxa"/>
            </w:tcMar>
            <w:vAlign w:val="bottom"/>
          </w:tcPr>
          <w:p w14:paraId="5A1B1D0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10" w14:textId="77777777" w:rsidR="00960BB8" w:rsidRDefault="00C06650">
            <w:pPr>
              <w:jc w:val="right"/>
              <w:textAlignment w:val="bottom"/>
            </w:pPr>
            <w:r>
              <w:rPr>
                <w:rFonts w:ascii="Arial" w:eastAsia="宋体" w:hAnsi="Arial" w:cs="Arial"/>
                <w:color w:val="0068B5"/>
                <w:sz w:val="18"/>
                <w:szCs w:val="18"/>
              </w:rPr>
              <w:t>(13.4)</w:t>
            </w:r>
          </w:p>
        </w:tc>
        <w:tc>
          <w:tcPr>
            <w:tcW w:w="0" w:type="auto"/>
            <w:shd w:val="clear" w:color="auto" w:fill="auto"/>
            <w:tcMar>
              <w:top w:w="40" w:type="dxa"/>
              <w:left w:w="0" w:type="dxa"/>
              <w:bottom w:w="40" w:type="dxa"/>
              <w:right w:w="20" w:type="dxa"/>
            </w:tcMar>
            <w:vAlign w:val="bottom"/>
          </w:tcPr>
          <w:p w14:paraId="5A1B1D1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1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13" w14:textId="77777777" w:rsidR="00960BB8" w:rsidRDefault="00C06650">
            <w:pPr>
              <w:jc w:val="right"/>
              <w:textAlignment w:val="bottom"/>
            </w:pPr>
            <w:r>
              <w:rPr>
                <w:rFonts w:ascii="Arial" w:eastAsia="宋体" w:hAnsi="Arial" w:cs="Arial"/>
                <w:color w:val="262626"/>
                <w:sz w:val="18"/>
                <w:szCs w:val="18"/>
              </w:rPr>
              <w:t>(5.9)</w:t>
            </w:r>
          </w:p>
        </w:tc>
        <w:tc>
          <w:tcPr>
            <w:tcW w:w="0" w:type="auto"/>
            <w:shd w:val="clear" w:color="auto" w:fill="auto"/>
            <w:tcMar>
              <w:top w:w="40" w:type="dxa"/>
              <w:left w:w="0" w:type="dxa"/>
              <w:bottom w:w="40" w:type="dxa"/>
              <w:right w:w="20" w:type="dxa"/>
            </w:tcMar>
            <w:vAlign w:val="bottom"/>
          </w:tcPr>
          <w:p w14:paraId="5A1B1D1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1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16" w14:textId="77777777" w:rsidR="00960BB8" w:rsidRDefault="00C06650">
            <w:pPr>
              <w:jc w:val="right"/>
              <w:textAlignment w:val="bottom"/>
            </w:pPr>
            <w:r>
              <w:rPr>
                <w:rFonts w:ascii="Arial" w:eastAsia="宋体" w:hAnsi="Arial" w:cs="Arial"/>
                <w:color w:val="262626"/>
                <w:sz w:val="18"/>
                <w:szCs w:val="18"/>
              </w:rPr>
              <w:t>(3.7)</w:t>
            </w:r>
          </w:p>
        </w:tc>
        <w:tc>
          <w:tcPr>
            <w:tcW w:w="0" w:type="auto"/>
            <w:shd w:val="clear" w:color="auto" w:fill="auto"/>
            <w:tcMar>
              <w:top w:w="40" w:type="dxa"/>
              <w:left w:w="0" w:type="dxa"/>
              <w:bottom w:w="40" w:type="dxa"/>
              <w:right w:w="20" w:type="dxa"/>
            </w:tcMar>
            <w:vAlign w:val="bottom"/>
          </w:tcPr>
          <w:p w14:paraId="5A1B1D17" w14:textId="77777777" w:rsidR="00960BB8" w:rsidRDefault="00960BB8">
            <w:pPr>
              <w:jc w:val="right"/>
              <w:rPr>
                <w:rFonts w:ascii="宋体"/>
              </w:rPr>
            </w:pPr>
          </w:p>
        </w:tc>
      </w:tr>
      <w:tr w:rsidR="00960BB8" w14:paraId="5A1B1D23" w14:textId="77777777">
        <w:tc>
          <w:tcPr>
            <w:tcW w:w="0" w:type="auto"/>
            <w:gridSpan w:val="3"/>
            <w:shd w:val="clear" w:color="auto" w:fill="auto"/>
            <w:tcMar>
              <w:top w:w="40" w:type="dxa"/>
              <w:left w:w="155" w:type="dxa"/>
              <w:bottom w:w="40" w:type="dxa"/>
              <w:right w:w="20" w:type="dxa"/>
            </w:tcMar>
            <w:vAlign w:val="bottom"/>
          </w:tcPr>
          <w:p w14:paraId="5A1B1D19" w14:textId="77777777" w:rsidR="00960BB8" w:rsidRDefault="00C06650">
            <w:pPr>
              <w:textAlignment w:val="bottom"/>
            </w:pPr>
            <w:r>
              <w:rPr>
                <w:rFonts w:ascii="Arial" w:eastAsia="宋体" w:hAnsi="Arial" w:cs="Arial"/>
                <w:color w:val="262626"/>
                <w:sz w:val="18"/>
                <w:szCs w:val="18"/>
              </w:rPr>
              <w:t>Research and development tax credits</w:t>
            </w:r>
          </w:p>
        </w:tc>
        <w:tc>
          <w:tcPr>
            <w:tcW w:w="0" w:type="auto"/>
            <w:gridSpan w:val="3"/>
            <w:shd w:val="clear" w:color="auto" w:fill="auto"/>
            <w:tcMar>
              <w:top w:w="0" w:type="dxa"/>
              <w:left w:w="20" w:type="dxa"/>
              <w:bottom w:w="0" w:type="dxa"/>
              <w:right w:w="20" w:type="dxa"/>
            </w:tcMar>
            <w:vAlign w:val="bottom"/>
          </w:tcPr>
          <w:p w14:paraId="5A1B1D1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1B" w14:textId="77777777" w:rsidR="00960BB8" w:rsidRDefault="00C06650">
            <w:pPr>
              <w:jc w:val="right"/>
              <w:textAlignment w:val="bottom"/>
            </w:pPr>
            <w:r>
              <w:rPr>
                <w:rFonts w:ascii="Arial" w:eastAsia="宋体" w:hAnsi="Arial" w:cs="Arial"/>
                <w:color w:val="0068B5"/>
                <w:sz w:val="18"/>
                <w:szCs w:val="18"/>
              </w:rPr>
              <w:t>(11.4)</w:t>
            </w:r>
          </w:p>
        </w:tc>
        <w:tc>
          <w:tcPr>
            <w:tcW w:w="0" w:type="auto"/>
            <w:shd w:val="clear" w:color="auto" w:fill="auto"/>
            <w:tcMar>
              <w:top w:w="40" w:type="dxa"/>
              <w:left w:w="0" w:type="dxa"/>
              <w:bottom w:w="40" w:type="dxa"/>
              <w:right w:w="20" w:type="dxa"/>
            </w:tcMar>
            <w:vAlign w:val="bottom"/>
          </w:tcPr>
          <w:p w14:paraId="5A1B1D1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1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1E" w14:textId="77777777" w:rsidR="00960BB8" w:rsidRDefault="00C06650">
            <w:pPr>
              <w:jc w:val="right"/>
              <w:textAlignment w:val="bottom"/>
            </w:pPr>
            <w:r>
              <w:rPr>
                <w:rFonts w:ascii="Arial" w:eastAsia="宋体" w:hAnsi="Arial" w:cs="Arial"/>
                <w:color w:val="262626"/>
                <w:sz w:val="18"/>
                <w:szCs w:val="18"/>
              </w:rPr>
              <w:t>(2.4)</w:t>
            </w:r>
          </w:p>
        </w:tc>
        <w:tc>
          <w:tcPr>
            <w:tcW w:w="0" w:type="auto"/>
            <w:shd w:val="clear" w:color="auto" w:fill="auto"/>
            <w:tcMar>
              <w:top w:w="40" w:type="dxa"/>
              <w:left w:w="0" w:type="dxa"/>
              <w:bottom w:w="40" w:type="dxa"/>
              <w:right w:w="20" w:type="dxa"/>
            </w:tcMar>
            <w:vAlign w:val="bottom"/>
          </w:tcPr>
          <w:p w14:paraId="5A1B1D1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2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21" w14:textId="77777777" w:rsidR="00960BB8" w:rsidRDefault="00C06650">
            <w:pPr>
              <w:jc w:val="right"/>
              <w:textAlignment w:val="bottom"/>
            </w:pPr>
            <w:r>
              <w:rPr>
                <w:rFonts w:ascii="Arial" w:eastAsia="宋体" w:hAnsi="Arial" w:cs="Arial"/>
                <w:color w:val="262626"/>
                <w:sz w:val="18"/>
                <w:szCs w:val="18"/>
              </w:rPr>
              <w:t>(2.1)</w:t>
            </w:r>
          </w:p>
        </w:tc>
        <w:tc>
          <w:tcPr>
            <w:tcW w:w="0" w:type="auto"/>
            <w:shd w:val="clear" w:color="auto" w:fill="auto"/>
            <w:tcMar>
              <w:top w:w="40" w:type="dxa"/>
              <w:left w:w="0" w:type="dxa"/>
              <w:bottom w:w="40" w:type="dxa"/>
              <w:right w:w="20" w:type="dxa"/>
            </w:tcMar>
            <w:vAlign w:val="bottom"/>
          </w:tcPr>
          <w:p w14:paraId="5A1B1D22" w14:textId="77777777" w:rsidR="00960BB8" w:rsidRDefault="00960BB8">
            <w:pPr>
              <w:jc w:val="right"/>
              <w:rPr>
                <w:rFonts w:ascii="宋体"/>
              </w:rPr>
            </w:pPr>
          </w:p>
        </w:tc>
      </w:tr>
      <w:tr w:rsidR="00960BB8" w14:paraId="5A1B1D2E" w14:textId="77777777">
        <w:tc>
          <w:tcPr>
            <w:tcW w:w="0" w:type="auto"/>
            <w:gridSpan w:val="3"/>
            <w:shd w:val="clear" w:color="auto" w:fill="auto"/>
            <w:tcMar>
              <w:top w:w="40" w:type="dxa"/>
              <w:left w:w="155" w:type="dxa"/>
              <w:bottom w:w="40" w:type="dxa"/>
              <w:right w:w="20" w:type="dxa"/>
            </w:tcMar>
            <w:vAlign w:val="bottom"/>
          </w:tcPr>
          <w:p w14:paraId="5A1B1D24" w14:textId="77777777" w:rsidR="00960BB8" w:rsidRDefault="00C06650">
            <w:pPr>
              <w:textAlignment w:val="bottom"/>
            </w:pPr>
            <w:r>
              <w:rPr>
                <w:rFonts w:ascii="Arial" w:eastAsia="宋体" w:hAnsi="Arial" w:cs="Arial"/>
                <w:color w:val="262626"/>
                <w:sz w:val="18"/>
                <w:szCs w:val="18"/>
              </w:rPr>
              <w:t>Foreign derived intangible income benefit</w:t>
            </w:r>
          </w:p>
        </w:tc>
        <w:tc>
          <w:tcPr>
            <w:tcW w:w="0" w:type="auto"/>
            <w:gridSpan w:val="3"/>
            <w:shd w:val="clear" w:color="auto" w:fill="auto"/>
            <w:tcMar>
              <w:top w:w="0" w:type="dxa"/>
              <w:left w:w="20" w:type="dxa"/>
              <w:bottom w:w="0" w:type="dxa"/>
              <w:right w:w="20" w:type="dxa"/>
            </w:tcMar>
            <w:vAlign w:val="bottom"/>
          </w:tcPr>
          <w:p w14:paraId="5A1B1D2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26" w14:textId="77777777" w:rsidR="00960BB8" w:rsidRDefault="00C06650">
            <w:pPr>
              <w:jc w:val="right"/>
              <w:textAlignment w:val="bottom"/>
            </w:pPr>
            <w:r>
              <w:rPr>
                <w:rFonts w:ascii="Arial" w:eastAsia="宋体" w:hAnsi="Arial" w:cs="Arial"/>
                <w:color w:val="0068B5"/>
                <w:sz w:val="18"/>
                <w:szCs w:val="18"/>
              </w:rPr>
              <w:t>(9.7)</w:t>
            </w:r>
          </w:p>
        </w:tc>
        <w:tc>
          <w:tcPr>
            <w:tcW w:w="0" w:type="auto"/>
            <w:shd w:val="clear" w:color="auto" w:fill="auto"/>
            <w:tcMar>
              <w:top w:w="40" w:type="dxa"/>
              <w:left w:w="0" w:type="dxa"/>
              <w:bottom w:w="40" w:type="dxa"/>
              <w:right w:w="20" w:type="dxa"/>
            </w:tcMar>
            <w:vAlign w:val="bottom"/>
          </w:tcPr>
          <w:p w14:paraId="5A1B1D2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2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29" w14:textId="77777777" w:rsidR="00960BB8" w:rsidRDefault="00C06650">
            <w:pPr>
              <w:jc w:val="right"/>
              <w:textAlignment w:val="bottom"/>
            </w:pPr>
            <w:r>
              <w:rPr>
                <w:rFonts w:ascii="Arial" w:eastAsia="宋体" w:hAnsi="Arial" w:cs="Arial"/>
                <w:color w:val="262626"/>
                <w:sz w:val="18"/>
                <w:szCs w:val="18"/>
              </w:rPr>
              <w:t>(2.2)</w:t>
            </w:r>
          </w:p>
        </w:tc>
        <w:tc>
          <w:tcPr>
            <w:tcW w:w="0" w:type="auto"/>
            <w:shd w:val="clear" w:color="auto" w:fill="auto"/>
            <w:tcMar>
              <w:top w:w="40" w:type="dxa"/>
              <w:left w:w="0" w:type="dxa"/>
              <w:bottom w:w="40" w:type="dxa"/>
              <w:right w:w="20" w:type="dxa"/>
            </w:tcMar>
            <w:vAlign w:val="bottom"/>
          </w:tcPr>
          <w:p w14:paraId="5A1B1D2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2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2C" w14:textId="77777777" w:rsidR="00960BB8" w:rsidRDefault="00C06650">
            <w:pPr>
              <w:jc w:val="right"/>
              <w:textAlignment w:val="bottom"/>
            </w:pPr>
            <w:r>
              <w:rPr>
                <w:rFonts w:ascii="Arial" w:eastAsia="宋体" w:hAnsi="Arial" w:cs="Arial"/>
                <w:color w:val="262626"/>
                <w:sz w:val="18"/>
                <w:szCs w:val="18"/>
              </w:rPr>
              <w:t>(1.9)</w:t>
            </w:r>
          </w:p>
        </w:tc>
        <w:tc>
          <w:tcPr>
            <w:tcW w:w="0" w:type="auto"/>
            <w:shd w:val="clear" w:color="auto" w:fill="auto"/>
            <w:tcMar>
              <w:top w:w="40" w:type="dxa"/>
              <w:left w:w="0" w:type="dxa"/>
              <w:bottom w:w="40" w:type="dxa"/>
              <w:right w:w="20" w:type="dxa"/>
            </w:tcMar>
            <w:vAlign w:val="bottom"/>
          </w:tcPr>
          <w:p w14:paraId="5A1B1D2D" w14:textId="77777777" w:rsidR="00960BB8" w:rsidRDefault="00960BB8">
            <w:pPr>
              <w:jc w:val="right"/>
              <w:rPr>
                <w:rFonts w:ascii="宋体"/>
              </w:rPr>
            </w:pPr>
          </w:p>
        </w:tc>
      </w:tr>
      <w:tr w:rsidR="00960BB8" w14:paraId="5A1B1D39" w14:textId="77777777">
        <w:tc>
          <w:tcPr>
            <w:tcW w:w="0" w:type="auto"/>
            <w:gridSpan w:val="3"/>
            <w:shd w:val="clear" w:color="auto" w:fill="auto"/>
            <w:tcMar>
              <w:top w:w="40" w:type="dxa"/>
              <w:left w:w="155" w:type="dxa"/>
              <w:bottom w:w="40" w:type="dxa"/>
              <w:right w:w="20" w:type="dxa"/>
            </w:tcMar>
            <w:vAlign w:val="bottom"/>
          </w:tcPr>
          <w:p w14:paraId="5A1B1D2F" w14:textId="77777777" w:rsidR="00960BB8" w:rsidRDefault="00C06650">
            <w:pPr>
              <w:textAlignment w:val="bottom"/>
            </w:pPr>
            <w:r>
              <w:rPr>
                <w:rFonts w:ascii="Arial" w:eastAsia="宋体" w:hAnsi="Arial" w:cs="Arial"/>
                <w:color w:val="262626"/>
                <w:sz w:val="18"/>
                <w:szCs w:val="18"/>
              </w:rPr>
              <w:t>Unrecognized tax benefits and settlements</w:t>
            </w:r>
          </w:p>
        </w:tc>
        <w:tc>
          <w:tcPr>
            <w:tcW w:w="0" w:type="auto"/>
            <w:gridSpan w:val="3"/>
            <w:shd w:val="clear" w:color="auto" w:fill="auto"/>
            <w:tcMar>
              <w:top w:w="0" w:type="dxa"/>
              <w:left w:w="20" w:type="dxa"/>
              <w:bottom w:w="0" w:type="dxa"/>
              <w:right w:w="20" w:type="dxa"/>
            </w:tcMar>
            <w:vAlign w:val="bottom"/>
          </w:tcPr>
          <w:p w14:paraId="5A1B1D3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31" w14:textId="77777777" w:rsidR="00960BB8" w:rsidRDefault="00C06650">
            <w:pPr>
              <w:jc w:val="right"/>
              <w:textAlignment w:val="bottom"/>
            </w:pPr>
            <w:r>
              <w:rPr>
                <w:rFonts w:ascii="Arial" w:eastAsia="宋体" w:hAnsi="Arial" w:cs="Arial"/>
                <w:color w:val="0068B5"/>
                <w:sz w:val="18"/>
                <w:szCs w:val="18"/>
              </w:rPr>
              <w:t>4.5 </w:t>
            </w:r>
          </w:p>
        </w:tc>
        <w:tc>
          <w:tcPr>
            <w:tcW w:w="0" w:type="auto"/>
            <w:shd w:val="clear" w:color="auto" w:fill="auto"/>
            <w:tcMar>
              <w:top w:w="40" w:type="dxa"/>
              <w:left w:w="0" w:type="dxa"/>
              <w:bottom w:w="40" w:type="dxa"/>
              <w:right w:w="20" w:type="dxa"/>
            </w:tcMar>
            <w:vAlign w:val="bottom"/>
          </w:tcPr>
          <w:p w14:paraId="5A1B1D3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3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34" w14:textId="77777777" w:rsidR="00960BB8" w:rsidRDefault="00C06650">
            <w:pPr>
              <w:jc w:val="right"/>
              <w:textAlignment w:val="bottom"/>
            </w:pPr>
            <w:r>
              <w:rPr>
                <w:rFonts w:ascii="Arial" w:eastAsia="宋体" w:hAnsi="Arial" w:cs="Arial"/>
                <w:color w:val="262626"/>
                <w:sz w:val="18"/>
                <w:szCs w:val="18"/>
              </w:rPr>
              <w:t>1.1 </w:t>
            </w:r>
          </w:p>
        </w:tc>
        <w:tc>
          <w:tcPr>
            <w:tcW w:w="0" w:type="auto"/>
            <w:shd w:val="clear" w:color="auto" w:fill="auto"/>
            <w:tcMar>
              <w:top w:w="40" w:type="dxa"/>
              <w:left w:w="0" w:type="dxa"/>
              <w:bottom w:w="40" w:type="dxa"/>
              <w:right w:w="20" w:type="dxa"/>
            </w:tcMar>
            <w:vAlign w:val="bottom"/>
          </w:tcPr>
          <w:p w14:paraId="5A1B1D3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3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37" w14:textId="77777777" w:rsidR="00960BB8" w:rsidRDefault="00C06650">
            <w:pPr>
              <w:jc w:val="right"/>
              <w:textAlignment w:val="bottom"/>
            </w:pPr>
            <w:r>
              <w:rPr>
                <w:rFonts w:ascii="Arial" w:eastAsia="宋体" w:hAnsi="Arial" w:cs="Arial"/>
                <w:color w:val="262626"/>
                <w:sz w:val="18"/>
                <w:szCs w:val="18"/>
              </w:rPr>
              <w:t>0.6 </w:t>
            </w:r>
          </w:p>
        </w:tc>
        <w:tc>
          <w:tcPr>
            <w:tcW w:w="0" w:type="auto"/>
            <w:shd w:val="clear" w:color="auto" w:fill="auto"/>
            <w:tcMar>
              <w:top w:w="40" w:type="dxa"/>
              <w:left w:w="0" w:type="dxa"/>
              <w:bottom w:w="40" w:type="dxa"/>
              <w:right w:w="20" w:type="dxa"/>
            </w:tcMar>
            <w:vAlign w:val="bottom"/>
          </w:tcPr>
          <w:p w14:paraId="5A1B1D38" w14:textId="77777777" w:rsidR="00960BB8" w:rsidRDefault="00960BB8">
            <w:pPr>
              <w:jc w:val="right"/>
              <w:rPr>
                <w:rFonts w:ascii="宋体"/>
              </w:rPr>
            </w:pPr>
          </w:p>
        </w:tc>
      </w:tr>
      <w:tr w:rsidR="00960BB8" w14:paraId="5A1B1D44" w14:textId="77777777">
        <w:tc>
          <w:tcPr>
            <w:tcW w:w="0" w:type="auto"/>
            <w:gridSpan w:val="3"/>
            <w:shd w:val="clear" w:color="auto" w:fill="auto"/>
            <w:tcMar>
              <w:top w:w="40" w:type="dxa"/>
              <w:left w:w="155" w:type="dxa"/>
              <w:bottom w:w="40" w:type="dxa"/>
              <w:right w:w="20" w:type="dxa"/>
            </w:tcMar>
            <w:vAlign w:val="bottom"/>
          </w:tcPr>
          <w:p w14:paraId="5A1B1D3A" w14:textId="77777777" w:rsidR="00960BB8" w:rsidRDefault="00C06650">
            <w:pPr>
              <w:textAlignment w:val="bottom"/>
            </w:pPr>
            <w:r>
              <w:rPr>
                <w:rFonts w:ascii="Arial" w:eastAsia="宋体" w:hAnsi="Arial" w:cs="Arial"/>
                <w:color w:val="262626"/>
                <w:sz w:val="18"/>
                <w:szCs w:val="18"/>
              </w:rPr>
              <w:t>Restructuring of certain non-US subsidiaries</w:t>
            </w:r>
          </w:p>
        </w:tc>
        <w:tc>
          <w:tcPr>
            <w:tcW w:w="0" w:type="auto"/>
            <w:gridSpan w:val="3"/>
            <w:shd w:val="clear" w:color="auto" w:fill="auto"/>
            <w:tcMar>
              <w:top w:w="0" w:type="dxa"/>
              <w:left w:w="20" w:type="dxa"/>
              <w:bottom w:w="0" w:type="dxa"/>
              <w:right w:w="20" w:type="dxa"/>
            </w:tcMar>
            <w:vAlign w:val="bottom"/>
          </w:tcPr>
          <w:p w14:paraId="5A1B1D3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3C"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D3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3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3F" w14:textId="77777777" w:rsidR="00960BB8" w:rsidRDefault="00C06650">
            <w:pPr>
              <w:jc w:val="right"/>
              <w:textAlignment w:val="bottom"/>
            </w:pPr>
            <w:r>
              <w:rPr>
                <w:rFonts w:ascii="Arial" w:eastAsia="宋体" w:hAnsi="Arial" w:cs="Arial"/>
                <w:color w:val="262626"/>
                <w:sz w:val="18"/>
                <w:szCs w:val="18"/>
              </w:rPr>
              <w:t>(3.4)</w:t>
            </w:r>
          </w:p>
        </w:tc>
        <w:tc>
          <w:tcPr>
            <w:tcW w:w="0" w:type="auto"/>
            <w:shd w:val="clear" w:color="auto" w:fill="auto"/>
            <w:tcMar>
              <w:top w:w="40" w:type="dxa"/>
              <w:left w:w="0" w:type="dxa"/>
              <w:bottom w:w="40" w:type="dxa"/>
              <w:right w:w="20" w:type="dxa"/>
            </w:tcMar>
            <w:vAlign w:val="bottom"/>
          </w:tcPr>
          <w:p w14:paraId="5A1B1D4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4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42"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D43" w14:textId="77777777" w:rsidR="00960BB8" w:rsidRDefault="00960BB8">
            <w:pPr>
              <w:jc w:val="right"/>
              <w:rPr>
                <w:rFonts w:ascii="宋体"/>
              </w:rPr>
            </w:pPr>
          </w:p>
        </w:tc>
      </w:tr>
      <w:tr w:rsidR="00960BB8" w14:paraId="5A1B1D4F" w14:textId="77777777">
        <w:tc>
          <w:tcPr>
            <w:tcW w:w="0" w:type="auto"/>
            <w:gridSpan w:val="3"/>
            <w:shd w:val="clear" w:color="auto" w:fill="auto"/>
            <w:tcMar>
              <w:top w:w="40" w:type="dxa"/>
              <w:left w:w="155" w:type="dxa"/>
              <w:bottom w:w="40" w:type="dxa"/>
              <w:right w:w="20" w:type="dxa"/>
            </w:tcMar>
            <w:vAlign w:val="bottom"/>
          </w:tcPr>
          <w:p w14:paraId="5A1B1D45" w14:textId="77777777" w:rsidR="00960BB8" w:rsidRDefault="00C06650">
            <w:pPr>
              <w:textAlignment w:val="bottom"/>
            </w:pPr>
            <w:r>
              <w:rPr>
                <w:rFonts w:ascii="Arial" w:eastAsia="宋体" w:hAnsi="Arial" w:cs="Arial"/>
                <w:color w:val="262626"/>
                <w:sz w:val="18"/>
                <w:szCs w:val="18"/>
              </w:rPr>
              <w:t>Change in permanent reinvestment assertion</w:t>
            </w:r>
          </w:p>
        </w:tc>
        <w:tc>
          <w:tcPr>
            <w:tcW w:w="0" w:type="auto"/>
            <w:gridSpan w:val="3"/>
            <w:shd w:val="clear" w:color="auto" w:fill="auto"/>
            <w:tcMar>
              <w:top w:w="0" w:type="dxa"/>
              <w:left w:w="20" w:type="dxa"/>
              <w:bottom w:w="0" w:type="dxa"/>
              <w:right w:w="20" w:type="dxa"/>
            </w:tcMar>
            <w:vAlign w:val="bottom"/>
          </w:tcPr>
          <w:p w14:paraId="5A1B1D4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47"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1D4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4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4A"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1D4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4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4D" w14:textId="77777777" w:rsidR="00960BB8" w:rsidRDefault="00C06650">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5A1B1D4E" w14:textId="77777777" w:rsidR="00960BB8" w:rsidRDefault="00960BB8">
            <w:pPr>
              <w:jc w:val="right"/>
              <w:rPr>
                <w:rFonts w:ascii="宋体"/>
              </w:rPr>
            </w:pPr>
          </w:p>
        </w:tc>
      </w:tr>
      <w:tr w:rsidR="00960BB8" w14:paraId="5A1B1D57" w14:textId="77777777">
        <w:trPr>
          <w:hidden/>
        </w:trPr>
        <w:tc>
          <w:tcPr>
            <w:tcW w:w="0" w:type="auto"/>
            <w:gridSpan w:val="3"/>
            <w:shd w:val="clear" w:color="auto" w:fill="auto"/>
            <w:vAlign w:val="bottom"/>
          </w:tcPr>
          <w:p w14:paraId="5A1B1D50" w14:textId="77777777" w:rsidR="00960BB8" w:rsidRDefault="00960BB8">
            <w:pPr>
              <w:rPr>
                <w:rFonts w:ascii="宋体"/>
                <w:vanish/>
              </w:rPr>
            </w:pPr>
          </w:p>
        </w:tc>
        <w:tc>
          <w:tcPr>
            <w:tcW w:w="0" w:type="auto"/>
            <w:gridSpan w:val="3"/>
            <w:shd w:val="clear" w:color="auto" w:fill="auto"/>
            <w:vAlign w:val="bottom"/>
          </w:tcPr>
          <w:p w14:paraId="5A1B1D51" w14:textId="77777777" w:rsidR="00960BB8" w:rsidRDefault="00960BB8">
            <w:pPr>
              <w:rPr>
                <w:rFonts w:ascii="宋体"/>
                <w:vanish/>
              </w:rPr>
            </w:pPr>
          </w:p>
        </w:tc>
        <w:tc>
          <w:tcPr>
            <w:tcW w:w="0" w:type="auto"/>
            <w:gridSpan w:val="3"/>
            <w:shd w:val="clear" w:color="auto" w:fill="auto"/>
            <w:vAlign w:val="bottom"/>
          </w:tcPr>
          <w:p w14:paraId="5A1B1D52" w14:textId="77777777" w:rsidR="00960BB8" w:rsidRDefault="00960BB8">
            <w:pPr>
              <w:rPr>
                <w:rFonts w:ascii="宋体"/>
                <w:vanish/>
              </w:rPr>
            </w:pPr>
          </w:p>
        </w:tc>
        <w:tc>
          <w:tcPr>
            <w:tcW w:w="0" w:type="auto"/>
            <w:gridSpan w:val="3"/>
            <w:shd w:val="clear" w:color="auto" w:fill="auto"/>
            <w:vAlign w:val="bottom"/>
          </w:tcPr>
          <w:p w14:paraId="5A1B1D53" w14:textId="77777777" w:rsidR="00960BB8" w:rsidRDefault="00960BB8">
            <w:pPr>
              <w:rPr>
                <w:rFonts w:ascii="宋体"/>
                <w:vanish/>
              </w:rPr>
            </w:pPr>
          </w:p>
        </w:tc>
        <w:tc>
          <w:tcPr>
            <w:tcW w:w="0" w:type="auto"/>
            <w:gridSpan w:val="3"/>
            <w:shd w:val="clear" w:color="auto" w:fill="auto"/>
            <w:vAlign w:val="bottom"/>
          </w:tcPr>
          <w:p w14:paraId="5A1B1D54" w14:textId="77777777" w:rsidR="00960BB8" w:rsidRDefault="00960BB8">
            <w:pPr>
              <w:rPr>
                <w:rFonts w:ascii="宋体"/>
                <w:vanish/>
              </w:rPr>
            </w:pPr>
          </w:p>
        </w:tc>
        <w:tc>
          <w:tcPr>
            <w:tcW w:w="0" w:type="auto"/>
            <w:gridSpan w:val="3"/>
            <w:shd w:val="clear" w:color="auto" w:fill="auto"/>
            <w:vAlign w:val="bottom"/>
          </w:tcPr>
          <w:p w14:paraId="5A1B1D55" w14:textId="77777777" w:rsidR="00960BB8" w:rsidRDefault="00960BB8">
            <w:pPr>
              <w:rPr>
                <w:rFonts w:ascii="宋体"/>
                <w:vanish/>
              </w:rPr>
            </w:pPr>
          </w:p>
        </w:tc>
        <w:tc>
          <w:tcPr>
            <w:tcW w:w="0" w:type="auto"/>
            <w:gridSpan w:val="3"/>
            <w:shd w:val="clear" w:color="auto" w:fill="auto"/>
            <w:vAlign w:val="bottom"/>
          </w:tcPr>
          <w:p w14:paraId="5A1B1D56" w14:textId="77777777" w:rsidR="00960BB8" w:rsidRDefault="00960BB8">
            <w:pPr>
              <w:rPr>
                <w:rFonts w:ascii="宋体"/>
                <w:vanish/>
              </w:rPr>
            </w:pPr>
          </w:p>
        </w:tc>
      </w:tr>
      <w:tr w:rsidR="00960BB8" w14:paraId="5A1B1D5F" w14:textId="77777777">
        <w:trPr>
          <w:hidden/>
        </w:trPr>
        <w:tc>
          <w:tcPr>
            <w:tcW w:w="0" w:type="auto"/>
            <w:gridSpan w:val="3"/>
            <w:shd w:val="clear" w:color="auto" w:fill="auto"/>
            <w:vAlign w:val="bottom"/>
          </w:tcPr>
          <w:p w14:paraId="5A1B1D58" w14:textId="77777777" w:rsidR="00960BB8" w:rsidRDefault="00960BB8">
            <w:pPr>
              <w:rPr>
                <w:rFonts w:ascii="宋体"/>
                <w:vanish/>
              </w:rPr>
            </w:pPr>
          </w:p>
        </w:tc>
        <w:tc>
          <w:tcPr>
            <w:tcW w:w="0" w:type="auto"/>
            <w:gridSpan w:val="3"/>
            <w:shd w:val="clear" w:color="auto" w:fill="auto"/>
            <w:vAlign w:val="bottom"/>
          </w:tcPr>
          <w:p w14:paraId="5A1B1D59" w14:textId="77777777" w:rsidR="00960BB8" w:rsidRDefault="00960BB8">
            <w:pPr>
              <w:rPr>
                <w:rFonts w:ascii="宋体"/>
                <w:vanish/>
              </w:rPr>
            </w:pPr>
          </w:p>
        </w:tc>
        <w:tc>
          <w:tcPr>
            <w:tcW w:w="0" w:type="auto"/>
            <w:gridSpan w:val="3"/>
            <w:shd w:val="clear" w:color="auto" w:fill="auto"/>
            <w:vAlign w:val="bottom"/>
          </w:tcPr>
          <w:p w14:paraId="5A1B1D5A" w14:textId="77777777" w:rsidR="00960BB8" w:rsidRDefault="00960BB8">
            <w:pPr>
              <w:rPr>
                <w:rFonts w:ascii="宋体"/>
                <w:vanish/>
              </w:rPr>
            </w:pPr>
          </w:p>
        </w:tc>
        <w:tc>
          <w:tcPr>
            <w:tcW w:w="0" w:type="auto"/>
            <w:gridSpan w:val="3"/>
            <w:shd w:val="clear" w:color="auto" w:fill="auto"/>
            <w:vAlign w:val="bottom"/>
          </w:tcPr>
          <w:p w14:paraId="5A1B1D5B" w14:textId="77777777" w:rsidR="00960BB8" w:rsidRDefault="00960BB8">
            <w:pPr>
              <w:rPr>
                <w:rFonts w:ascii="宋体"/>
                <w:vanish/>
              </w:rPr>
            </w:pPr>
          </w:p>
        </w:tc>
        <w:tc>
          <w:tcPr>
            <w:tcW w:w="0" w:type="auto"/>
            <w:gridSpan w:val="3"/>
            <w:shd w:val="clear" w:color="auto" w:fill="auto"/>
            <w:vAlign w:val="bottom"/>
          </w:tcPr>
          <w:p w14:paraId="5A1B1D5C" w14:textId="77777777" w:rsidR="00960BB8" w:rsidRDefault="00960BB8">
            <w:pPr>
              <w:rPr>
                <w:rFonts w:ascii="宋体"/>
                <w:vanish/>
              </w:rPr>
            </w:pPr>
          </w:p>
        </w:tc>
        <w:tc>
          <w:tcPr>
            <w:tcW w:w="0" w:type="auto"/>
            <w:gridSpan w:val="3"/>
            <w:shd w:val="clear" w:color="auto" w:fill="auto"/>
            <w:vAlign w:val="bottom"/>
          </w:tcPr>
          <w:p w14:paraId="5A1B1D5D" w14:textId="77777777" w:rsidR="00960BB8" w:rsidRDefault="00960BB8">
            <w:pPr>
              <w:rPr>
                <w:rFonts w:ascii="宋体"/>
                <w:vanish/>
              </w:rPr>
            </w:pPr>
          </w:p>
        </w:tc>
        <w:tc>
          <w:tcPr>
            <w:tcW w:w="0" w:type="auto"/>
            <w:gridSpan w:val="3"/>
            <w:shd w:val="clear" w:color="auto" w:fill="auto"/>
            <w:vAlign w:val="bottom"/>
          </w:tcPr>
          <w:p w14:paraId="5A1B1D5E" w14:textId="77777777" w:rsidR="00960BB8" w:rsidRDefault="00960BB8">
            <w:pPr>
              <w:rPr>
                <w:rFonts w:ascii="宋体"/>
                <w:vanish/>
              </w:rPr>
            </w:pPr>
          </w:p>
        </w:tc>
      </w:tr>
      <w:tr w:rsidR="00960BB8" w14:paraId="5A1B1D67" w14:textId="77777777">
        <w:trPr>
          <w:hidden/>
        </w:trPr>
        <w:tc>
          <w:tcPr>
            <w:tcW w:w="0" w:type="auto"/>
            <w:gridSpan w:val="3"/>
            <w:shd w:val="clear" w:color="auto" w:fill="auto"/>
            <w:vAlign w:val="bottom"/>
          </w:tcPr>
          <w:p w14:paraId="5A1B1D60" w14:textId="77777777" w:rsidR="00960BB8" w:rsidRDefault="00960BB8">
            <w:pPr>
              <w:rPr>
                <w:rFonts w:ascii="宋体"/>
                <w:vanish/>
              </w:rPr>
            </w:pPr>
          </w:p>
        </w:tc>
        <w:tc>
          <w:tcPr>
            <w:tcW w:w="0" w:type="auto"/>
            <w:gridSpan w:val="3"/>
            <w:shd w:val="clear" w:color="auto" w:fill="auto"/>
            <w:vAlign w:val="bottom"/>
          </w:tcPr>
          <w:p w14:paraId="5A1B1D61" w14:textId="77777777" w:rsidR="00960BB8" w:rsidRDefault="00960BB8">
            <w:pPr>
              <w:rPr>
                <w:rFonts w:ascii="宋体"/>
                <w:vanish/>
              </w:rPr>
            </w:pPr>
          </w:p>
        </w:tc>
        <w:tc>
          <w:tcPr>
            <w:tcW w:w="0" w:type="auto"/>
            <w:gridSpan w:val="3"/>
            <w:shd w:val="clear" w:color="auto" w:fill="auto"/>
            <w:vAlign w:val="bottom"/>
          </w:tcPr>
          <w:p w14:paraId="5A1B1D62" w14:textId="77777777" w:rsidR="00960BB8" w:rsidRDefault="00960BB8">
            <w:pPr>
              <w:rPr>
                <w:rFonts w:ascii="宋体"/>
                <w:vanish/>
              </w:rPr>
            </w:pPr>
          </w:p>
        </w:tc>
        <w:tc>
          <w:tcPr>
            <w:tcW w:w="0" w:type="auto"/>
            <w:gridSpan w:val="3"/>
            <w:shd w:val="clear" w:color="auto" w:fill="auto"/>
            <w:vAlign w:val="bottom"/>
          </w:tcPr>
          <w:p w14:paraId="5A1B1D63" w14:textId="77777777" w:rsidR="00960BB8" w:rsidRDefault="00960BB8">
            <w:pPr>
              <w:rPr>
                <w:rFonts w:ascii="宋体"/>
                <w:vanish/>
              </w:rPr>
            </w:pPr>
          </w:p>
        </w:tc>
        <w:tc>
          <w:tcPr>
            <w:tcW w:w="0" w:type="auto"/>
            <w:gridSpan w:val="3"/>
            <w:shd w:val="clear" w:color="auto" w:fill="auto"/>
            <w:vAlign w:val="bottom"/>
          </w:tcPr>
          <w:p w14:paraId="5A1B1D64" w14:textId="77777777" w:rsidR="00960BB8" w:rsidRDefault="00960BB8">
            <w:pPr>
              <w:rPr>
                <w:rFonts w:ascii="宋体"/>
                <w:vanish/>
              </w:rPr>
            </w:pPr>
          </w:p>
        </w:tc>
        <w:tc>
          <w:tcPr>
            <w:tcW w:w="0" w:type="auto"/>
            <w:gridSpan w:val="3"/>
            <w:shd w:val="clear" w:color="auto" w:fill="auto"/>
            <w:vAlign w:val="bottom"/>
          </w:tcPr>
          <w:p w14:paraId="5A1B1D65" w14:textId="77777777" w:rsidR="00960BB8" w:rsidRDefault="00960BB8">
            <w:pPr>
              <w:rPr>
                <w:rFonts w:ascii="宋体"/>
                <w:vanish/>
              </w:rPr>
            </w:pPr>
          </w:p>
        </w:tc>
        <w:tc>
          <w:tcPr>
            <w:tcW w:w="0" w:type="auto"/>
            <w:gridSpan w:val="3"/>
            <w:shd w:val="clear" w:color="auto" w:fill="auto"/>
            <w:vAlign w:val="bottom"/>
          </w:tcPr>
          <w:p w14:paraId="5A1B1D66" w14:textId="77777777" w:rsidR="00960BB8" w:rsidRDefault="00960BB8">
            <w:pPr>
              <w:rPr>
                <w:rFonts w:ascii="宋体"/>
                <w:vanish/>
              </w:rPr>
            </w:pPr>
          </w:p>
        </w:tc>
      </w:tr>
      <w:tr w:rsidR="00960BB8" w14:paraId="5A1B1D6F" w14:textId="77777777">
        <w:trPr>
          <w:hidden/>
        </w:trPr>
        <w:tc>
          <w:tcPr>
            <w:tcW w:w="0" w:type="auto"/>
            <w:gridSpan w:val="3"/>
            <w:shd w:val="clear" w:color="auto" w:fill="auto"/>
            <w:vAlign w:val="bottom"/>
          </w:tcPr>
          <w:p w14:paraId="5A1B1D68" w14:textId="77777777" w:rsidR="00960BB8" w:rsidRDefault="00960BB8">
            <w:pPr>
              <w:rPr>
                <w:rFonts w:ascii="宋体"/>
                <w:vanish/>
              </w:rPr>
            </w:pPr>
          </w:p>
        </w:tc>
        <w:tc>
          <w:tcPr>
            <w:tcW w:w="0" w:type="auto"/>
            <w:gridSpan w:val="3"/>
            <w:shd w:val="clear" w:color="auto" w:fill="auto"/>
            <w:vAlign w:val="bottom"/>
          </w:tcPr>
          <w:p w14:paraId="5A1B1D69" w14:textId="77777777" w:rsidR="00960BB8" w:rsidRDefault="00960BB8">
            <w:pPr>
              <w:rPr>
                <w:rFonts w:ascii="宋体"/>
                <w:vanish/>
              </w:rPr>
            </w:pPr>
          </w:p>
        </w:tc>
        <w:tc>
          <w:tcPr>
            <w:tcW w:w="0" w:type="auto"/>
            <w:gridSpan w:val="3"/>
            <w:shd w:val="clear" w:color="auto" w:fill="auto"/>
            <w:vAlign w:val="bottom"/>
          </w:tcPr>
          <w:p w14:paraId="5A1B1D6A" w14:textId="77777777" w:rsidR="00960BB8" w:rsidRDefault="00960BB8">
            <w:pPr>
              <w:rPr>
                <w:rFonts w:ascii="宋体"/>
                <w:vanish/>
              </w:rPr>
            </w:pPr>
          </w:p>
        </w:tc>
        <w:tc>
          <w:tcPr>
            <w:tcW w:w="0" w:type="auto"/>
            <w:gridSpan w:val="3"/>
            <w:shd w:val="clear" w:color="auto" w:fill="auto"/>
            <w:vAlign w:val="bottom"/>
          </w:tcPr>
          <w:p w14:paraId="5A1B1D6B" w14:textId="77777777" w:rsidR="00960BB8" w:rsidRDefault="00960BB8">
            <w:pPr>
              <w:rPr>
                <w:rFonts w:ascii="宋体"/>
                <w:vanish/>
              </w:rPr>
            </w:pPr>
          </w:p>
        </w:tc>
        <w:tc>
          <w:tcPr>
            <w:tcW w:w="0" w:type="auto"/>
            <w:gridSpan w:val="3"/>
            <w:shd w:val="clear" w:color="auto" w:fill="auto"/>
            <w:vAlign w:val="bottom"/>
          </w:tcPr>
          <w:p w14:paraId="5A1B1D6C" w14:textId="77777777" w:rsidR="00960BB8" w:rsidRDefault="00960BB8">
            <w:pPr>
              <w:rPr>
                <w:rFonts w:ascii="宋体"/>
                <w:vanish/>
              </w:rPr>
            </w:pPr>
          </w:p>
        </w:tc>
        <w:tc>
          <w:tcPr>
            <w:tcW w:w="0" w:type="auto"/>
            <w:gridSpan w:val="3"/>
            <w:shd w:val="clear" w:color="auto" w:fill="auto"/>
            <w:vAlign w:val="bottom"/>
          </w:tcPr>
          <w:p w14:paraId="5A1B1D6D" w14:textId="77777777" w:rsidR="00960BB8" w:rsidRDefault="00960BB8">
            <w:pPr>
              <w:rPr>
                <w:rFonts w:ascii="宋体"/>
                <w:vanish/>
              </w:rPr>
            </w:pPr>
          </w:p>
        </w:tc>
        <w:tc>
          <w:tcPr>
            <w:tcW w:w="0" w:type="auto"/>
            <w:gridSpan w:val="3"/>
            <w:shd w:val="clear" w:color="auto" w:fill="auto"/>
            <w:vAlign w:val="bottom"/>
          </w:tcPr>
          <w:p w14:paraId="5A1B1D6E" w14:textId="77777777" w:rsidR="00960BB8" w:rsidRDefault="00960BB8">
            <w:pPr>
              <w:rPr>
                <w:rFonts w:ascii="宋体"/>
                <w:vanish/>
              </w:rPr>
            </w:pPr>
          </w:p>
        </w:tc>
      </w:tr>
      <w:tr w:rsidR="00960BB8" w14:paraId="5A1B1D7A" w14:textId="77777777">
        <w:tc>
          <w:tcPr>
            <w:tcW w:w="0" w:type="auto"/>
            <w:gridSpan w:val="3"/>
            <w:shd w:val="clear" w:color="auto" w:fill="auto"/>
            <w:tcMar>
              <w:top w:w="40" w:type="dxa"/>
              <w:left w:w="155" w:type="dxa"/>
              <w:bottom w:w="40" w:type="dxa"/>
              <w:right w:w="20" w:type="dxa"/>
            </w:tcMar>
            <w:vAlign w:val="bottom"/>
          </w:tcPr>
          <w:p w14:paraId="5A1B1D70" w14:textId="77777777" w:rsidR="00960BB8" w:rsidRDefault="00C06650">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5A1B1D7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72" w14:textId="77777777" w:rsidR="00960BB8" w:rsidRDefault="00C06650">
            <w:pPr>
              <w:jc w:val="right"/>
              <w:textAlignment w:val="bottom"/>
            </w:pPr>
            <w:r>
              <w:rPr>
                <w:rFonts w:ascii="Arial" w:eastAsia="宋体" w:hAnsi="Arial" w:cs="Arial"/>
                <w:color w:val="0068B5"/>
                <w:sz w:val="18"/>
                <w:szCs w:val="18"/>
              </w:rPr>
              <w:t>5.8 </w:t>
            </w:r>
          </w:p>
        </w:tc>
        <w:tc>
          <w:tcPr>
            <w:tcW w:w="0" w:type="auto"/>
            <w:shd w:val="clear" w:color="auto" w:fill="auto"/>
            <w:tcMar>
              <w:top w:w="40" w:type="dxa"/>
              <w:left w:w="0" w:type="dxa"/>
              <w:bottom w:w="40" w:type="dxa"/>
              <w:right w:w="20" w:type="dxa"/>
            </w:tcMar>
            <w:vAlign w:val="bottom"/>
          </w:tcPr>
          <w:p w14:paraId="5A1B1D7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7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75" w14:textId="77777777" w:rsidR="00960BB8" w:rsidRDefault="00C06650">
            <w:pPr>
              <w:jc w:val="right"/>
              <w:textAlignment w:val="bottom"/>
            </w:pPr>
            <w:r>
              <w:rPr>
                <w:rFonts w:ascii="Arial" w:eastAsia="宋体" w:hAnsi="Arial" w:cs="Arial"/>
                <w:color w:val="262626"/>
                <w:sz w:val="18"/>
                <w:szCs w:val="18"/>
              </w:rPr>
              <w:t>0.3 </w:t>
            </w:r>
          </w:p>
        </w:tc>
        <w:tc>
          <w:tcPr>
            <w:tcW w:w="0" w:type="auto"/>
            <w:shd w:val="clear" w:color="auto" w:fill="auto"/>
            <w:tcMar>
              <w:top w:w="40" w:type="dxa"/>
              <w:left w:w="0" w:type="dxa"/>
              <w:bottom w:w="40" w:type="dxa"/>
              <w:right w:w="20" w:type="dxa"/>
            </w:tcMar>
            <w:vAlign w:val="bottom"/>
          </w:tcPr>
          <w:p w14:paraId="5A1B1D7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7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78" w14:textId="77777777" w:rsidR="00960BB8" w:rsidRDefault="00C06650">
            <w:pPr>
              <w:jc w:val="right"/>
              <w:textAlignment w:val="bottom"/>
            </w:pPr>
            <w:r>
              <w:rPr>
                <w:rFonts w:ascii="Arial" w:eastAsia="宋体" w:hAnsi="Arial" w:cs="Arial"/>
                <w:color w:val="262626"/>
                <w:sz w:val="18"/>
                <w:szCs w:val="18"/>
              </w:rPr>
              <w:t>1.2 </w:t>
            </w:r>
          </w:p>
        </w:tc>
        <w:tc>
          <w:tcPr>
            <w:tcW w:w="0" w:type="auto"/>
            <w:shd w:val="clear" w:color="auto" w:fill="auto"/>
            <w:tcMar>
              <w:top w:w="40" w:type="dxa"/>
              <w:left w:w="0" w:type="dxa"/>
              <w:bottom w:w="40" w:type="dxa"/>
              <w:right w:w="20" w:type="dxa"/>
            </w:tcMar>
            <w:vAlign w:val="bottom"/>
          </w:tcPr>
          <w:p w14:paraId="5A1B1D79" w14:textId="77777777" w:rsidR="00960BB8" w:rsidRDefault="00960BB8">
            <w:pPr>
              <w:jc w:val="right"/>
              <w:rPr>
                <w:rFonts w:ascii="宋体"/>
              </w:rPr>
            </w:pPr>
          </w:p>
        </w:tc>
      </w:tr>
      <w:tr w:rsidR="00960BB8" w14:paraId="5A1B1D85" w14:textId="77777777">
        <w:tc>
          <w:tcPr>
            <w:tcW w:w="0" w:type="auto"/>
            <w:gridSpan w:val="3"/>
            <w:shd w:val="clear" w:color="auto" w:fill="auto"/>
            <w:tcMar>
              <w:top w:w="40" w:type="dxa"/>
              <w:left w:w="20" w:type="dxa"/>
              <w:bottom w:w="40" w:type="dxa"/>
              <w:right w:w="20" w:type="dxa"/>
            </w:tcMar>
            <w:vAlign w:val="bottom"/>
          </w:tcPr>
          <w:p w14:paraId="5A1B1D7B" w14:textId="77777777" w:rsidR="00960BB8" w:rsidRDefault="00C06650">
            <w:pPr>
              <w:textAlignment w:val="bottom"/>
            </w:pPr>
            <w:r>
              <w:rPr>
                <w:rFonts w:ascii="Arial" w:eastAsia="宋体" w:hAnsi="Arial" w:cs="Arial"/>
                <w:b/>
                <w:bCs/>
                <w:color w:val="262626"/>
                <w:sz w:val="18"/>
                <w:szCs w:val="18"/>
              </w:rPr>
              <w:t>Effective tax rate</w:t>
            </w:r>
          </w:p>
        </w:tc>
        <w:tc>
          <w:tcPr>
            <w:tcW w:w="0" w:type="auto"/>
            <w:gridSpan w:val="3"/>
            <w:shd w:val="clear" w:color="auto" w:fill="auto"/>
            <w:tcMar>
              <w:top w:w="0" w:type="dxa"/>
              <w:left w:w="20" w:type="dxa"/>
              <w:bottom w:w="0" w:type="dxa"/>
              <w:right w:w="20" w:type="dxa"/>
            </w:tcMar>
            <w:vAlign w:val="bottom"/>
          </w:tcPr>
          <w:p w14:paraId="5A1B1D7C" w14:textId="77777777" w:rsidR="00960BB8" w:rsidRDefault="00960BB8">
            <w:pPr>
              <w:rPr>
                <w:rFonts w:ascii="宋体"/>
              </w:rPr>
            </w:pP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bottom"/>
          </w:tcPr>
          <w:p w14:paraId="5A1B1D7D" w14:textId="77777777" w:rsidR="00960BB8" w:rsidRDefault="00C06650">
            <w:pPr>
              <w:jc w:val="right"/>
              <w:textAlignment w:val="bottom"/>
            </w:pPr>
            <w:r>
              <w:rPr>
                <w:rFonts w:ascii="Arial" w:eastAsia="宋体" w:hAnsi="Arial" w:cs="Arial"/>
                <w:b/>
                <w:bCs/>
                <w:color w:val="0860A8"/>
                <w:sz w:val="18"/>
                <w:szCs w:val="18"/>
              </w:rPr>
              <w:t>(3.2)</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A1B1D7E" w14:textId="77777777" w:rsidR="00960BB8" w:rsidRDefault="00C06650">
            <w:pPr>
              <w:jc w:val="right"/>
              <w:textAlignment w:val="bottom"/>
            </w:pPr>
            <w:r>
              <w:rPr>
                <w:rFonts w:ascii="Arial" w:eastAsia="宋体" w:hAnsi="Arial" w:cs="Arial"/>
                <w:b/>
                <w:bCs/>
                <w:color w:val="0860A8"/>
                <w:sz w:val="18"/>
                <w:szCs w:val="18"/>
              </w:rPr>
              <w:t>%</w:t>
            </w:r>
          </w:p>
        </w:tc>
        <w:tc>
          <w:tcPr>
            <w:tcW w:w="0" w:type="auto"/>
            <w:gridSpan w:val="3"/>
            <w:shd w:val="clear" w:color="auto" w:fill="auto"/>
            <w:tcMar>
              <w:top w:w="0" w:type="dxa"/>
              <w:left w:w="20" w:type="dxa"/>
              <w:bottom w:w="0" w:type="dxa"/>
              <w:right w:w="20" w:type="dxa"/>
            </w:tcMar>
            <w:vAlign w:val="bottom"/>
          </w:tcPr>
          <w:p w14:paraId="5A1B1D7F" w14:textId="77777777" w:rsidR="00960BB8" w:rsidRDefault="00960BB8">
            <w:pPr>
              <w:rPr>
                <w:rFonts w:ascii="宋体"/>
              </w:rPr>
            </w:pP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D80" w14:textId="77777777" w:rsidR="00960BB8" w:rsidRDefault="00C06650">
            <w:pPr>
              <w:jc w:val="right"/>
              <w:textAlignment w:val="bottom"/>
            </w:pPr>
            <w:r>
              <w:rPr>
                <w:rFonts w:ascii="Arial" w:eastAsia="宋体" w:hAnsi="Arial" w:cs="Arial"/>
                <w:b/>
                <w:bCs/>
                <w:color w:val="262626"/>
                <w:sz w:val="18"/>
                <w:szCs w:val="18"/>
              </w:rPr>
              <w:t>8.5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D81" w14:textId="77777777" w:rsidR="00960BB8" w:rsidRDefault="00C06650">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5A1B1D82" w14:textId="77777777" w:rsidR="00960BB8" w:rsidRDefault="00960BB8">
            <w:pPr>
              <w:rPr>
                <w:rFonts w:ascii="宋体"/>
              </w:rPr>
            </w:pP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D83" w14:textId="77777777" w:rsidR="00960BB8" w:rsidRDefault="00C06650">
            <w:pPr>
              <w:jc w:val="right"/>
              <w:textAlignment w:val="bottom"/>
            </w:pPr>
            <w:r>
              <w:rPr>
                <w:rFonts w:ascii="Arial" w:eastAsia="宋体" w:hAnsi="Arial" w:cs="Arial"/>
                <w:b/>
                <w:bCs/>
                <w:color w:val="262626"/>
                <w:sz w:val="18"/>
                <w:szCs w:val="18"/>
              </w:rPr>
              <w:t>16.7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D84" w14:textId="77777777" w:rsidR="00960BB8" w:rsidRDefault="00C06650">
            <w:pPr>
              <w:jc w:val="right"/>
              <w:textAlignment w:val="bottom"/>
            </w:pPr>
            <w:r>
              <w:rPr>
                <w:rFonts w:ascii="Arial" w:eastAsia="宋体" w:hAnsi="Arial" w:cs="Arial"/>
                <w:b/>
                <w:bCs/>
                <w:color w:val="262626"/>
                <w:sz w:val="18"/>
                <w:szCs w:val="18"/>
              </w:rPr>
              <w:t>%</w:t>
            </w:r>
          </w:p>
        </w:tc>
      </w:tr>
    </w:tbl>
    <w:p w14:paraId="5A1B1D86" w14:textId="77777777" w:rsidR="00960BB8" w:rsidRDefault="00C06650">
      <w:r>
        <w:rPr>
          <w:rFonts w:ascii="Arial" w:eastAsia="宋体" w:hAnsi="Arial" w:cs="Arial"/>
          <w:color w:val="000000"/>
          <w:sz w:val="18"/>
          <w:szCs w:val="18"/>
        </w:rPr>
        <w:t xml:space="preserve">Our effective tax rate decreased in </w:t>
      </w:r>
      <w:r>
        <w:rPr>
          <w:rFonts w:ascii="Arial" w:eastAsia="宋体" w:hAnsi="Arial" w:cs="Arial"/>
          <w:color w:val="262626"/>
          <w:sz w:val="18"/>
          <w:szCs w:val="18"/>
        </w:rPr>
        <w:t xml:space="preserve">2022 </w:t>
      </w:r>
      <w:r>
        <w:rPr>
          <w:rFonts w:ascii="Arial" w:eastAsia="宋体" w:hAnsi="Arial" w:cs="Arial"/>
          <w:color w:val="000000"/>
          <w:sz w:val="18"/>
          <w:szCs w:val="18"/>
        </w:rPr>
        <w:t>compared to</w:t>
      </w:r>
      <w:r>
        <w:rPr>
          <w:rFonts w:ascii="Arial" w:eastAsia="宋体" w:hAnsi="Arial" w:cs="Arial"/>
          <w:color w:val="262626"/>
          <w:sz w:val="18"/>
          <w:szCs w:val="18"/>
        </w:rPr>
        <w:t xml:space="preserve"> 2021</w:t>
      </w:r>
      <w:r>
        <w:rPr>
          <w:rFonts w:ascii="Arial" w:eastAsia="宋体" w:hAnsi="Arial" w:cs="Arial"/>
          <w:color w:val="000000"/>
          <w:sz w:val="18"/>
          <w:szCs w:val="18"/>
        </w:rPr>
        <w:t>, primarily driven by a higher proportion of our income being taxed in non-US jurisdictions and a change in tax law from 2017 Tax Refo</w:t>
      </w:r>
      <w:r>
        <w:rPr>
          <w:rFonts w:ascii="Arial" w:eastAsia="宋体" w:hAnsi="Arial" w:cs="Arial"/>
          <w:color w:val="000000"/>
          <w:sz w:val="18"/>
          <w:szCs w:val="18"/>
        </w:rPr>
        <w:t>rm related to the capitalization of R&amp;D expenses that went into effect in January 2022.</w:t>
      </w:r>
    </w:p>
    <w:p w14:paraId="5A1B1D87" w14:textId="77777777" w:rsidR="00960BB8" w:rsidRDefault="00960BB8"/>
    <w:p w14:paraId="5A1B1D88" w14:textId="77777777" w:rsidR="00960BB8" w:rsidRDefault="00C06650">
      <w:pPr>
        <w:spacing w:after="180"/>
      </w:pPr>
      <w:r>
        <w:rPr>
          <w:rFonts w:ascii="Arial" w:eastAsia="宋体" w:hAnsi="Arial" w:cs="Arial"/>
          <w:color w:val="262626"/>
          <w:sz w:val="18"/>
          <w:szCs w:val="18"/>
        </w:rPr>
        <w:t>Our effective tax rate decreased in 2021 compared to 2020, primarily driven by one-time tax benefits due to the restructuring of certain non-US subsidiaries as well as</w:t>
      </w:r>
      <w:r>
        <w:rPr>
          <w:rFonts w:ascii="Arial" w:eastAsia="宋体" w:hAnsi="Arial" w:cs="Arial"/>
          <w:color w:val="262626"/>
          <w:sz w:val="18"/>
          <w:szCs w:val="18"/>
        </w:rPr>
        <w:t xml:space="preserve"> a higher proportion of our income in non-US jurisdictions. As a result of the restructuring, we established deferred tax assets and released the valuation allowances of certain foreign deferred tax assets. The majority of these deferred tax assets establi</w:t>
      </w:r>
      <w:r>
        <w:rPr>
          <w:rFonts w:ascii="Arial" w:eastAsia="宋体" w:hAnsi="Arial" w:cs="Arial"/>
          <w:color w:val="262626"/>
          <w:sz w:val="18"/>
          <w:szCs w:val="18"/>
        </w:rPr>
        <w:t>shed in 2021 fully offset the deferred tax liabilities recognized in 2020 driven by a change in our permanent reinvestment assertion with respect to undistributed earnings in China, as a result of the divestiture of our NAND memory business.</w:t>
      </w:r>
    </w:p>
    <w:p w14:paraId="5A1B1D89" w14:textId="77777777" w:rsidR="00960BB8" w:rsidRDefault="00C06650">
      <w:r>
        <w:rPr>
          <w:rFonts w:ascii="Arial" w:eastAsia="宋体" w:hAnsi="Arial" w:cs="Arial"/>
          <w:color w:val="262626"/>
          <w:sz w:val="18"/>
          <w:szCs w:val="18"/>
        </w:rPr>
        <w:t xml:space="preserve">We derive the </w:t>
      </w:r>
      <w:r>
        <w:rPr>
          <w:rFonts w:ascii="Arial" w:eastAsia="宋体" w:hAnsi="Arial" w:cs="Arial"/>
          <w:color w:val="262626"/>
          <w:sz w:val="18"/>
          <w:szCs w:val="18"/>
        </w:rPr>
        <w:t>effective tax rate benefit attributed to non-US income taxed at different rates primarily from our operations in Hong Kong, Ireland, Israel, and Malaysia. The statutory tax rates in these jurisdictions range from 12.5% to 24.0%. We are subject to reduced t</w:t>
      </w:r>
      <w:r>
        <w:rPr>
          <w:rFonts w:ascii="Arial" w:eastAsia="宋体" w:hAnsi="Arial" w:cs="Arial"/>
          <w:color w:val="262626"/>
          <w:sz w:val="18"/>
          <w:szCs w:val="18"/>
        </w:rPr>
        <w:t xml:space="preserve">ax rates in Israel and Malaysia as long as we conduct certain eligible activities and make certain capital investments. We have conditional reduced tax rates that expire at various dates through 2056 and we expect to apply for renewals upon expiration. </w:t>
      </w:r>
      <w:r>
        <w:rPr>
          <w:rFonts w:ascii="Arial" w:eastAsia="宋体" w:hAnsi="Arial" w:cs="Arial"/>
          <w:color w:val="000000"/>
          <w:sz w:val="18"/>
          <w:szCs w:val="18"/>
        </w:rPr>
        <w:t xml:space="preserve">In </w:t>
      </w:r>
      <w:r>
        <w:rPr>
          <w:rFonts w:ascii="Arial" w:eastAsia="宋体" w:hAnsi="Arial" w:cs="Arial"/>
          <w:color w:val="000000"/>
          <w:sz w:val="18"/>
          <w:szCs w:val="18"/>
        </w:rPr>
        <w:t xml:space="preserve">2022, the tax benefit specifically attributable to tax holidays was $220 million ($187 million for 2021 and $134 million for 2020) with a $0.05 impact on diluted earnings per share ($0.05 for 2021 and $0.03 for 2020).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D96" w14:textId="77777777">
        <w:tc>
          <w:tcPr>
            <w:tcW w:w="50" w:type="pct"/>
            <w:shd w:val="clear" w:color="auto" w:fill="auto"/>
            <w:vAlign w:val="bottom"/>
          </w:tcPr>
          <w:p w14:paraId="5A1B1D8A" w14:textId="77777777" w:rsidR="00960BB8" w:rsidRDefault="00960BB8">
            <w:pPr>
              <w:rPr>
                <w:rFonts w:ascii="宋体"/>
              </w:rPr>
            </w:pPr>
          </w:p>
        </w:tc>
        <w:tc>
          <w:tcPr>
            <w:tcW w:w="276" w:type="pct"/>
            <w:shd w:val="clear" w:color="auto" w:fill="auto"/>
            <w:vAlign w:val="bottom"/>
          </w:tcPr>
          <w:p w14:paraId="5A1B1D8B" w14:textId="77777777" w:rsidR="00960BB8" w:rsidRDefault="00960BB8">
            <w:pPr>
              <w:rPr>
                <w:rFonts w:ascii="宋体"/>
              </w:rPr>
            </w:pPr>
          </w:p>
        </w:tc>
        <w:tc>
          <w:tcPr>
            <w:tcW w:w="5" w:type="pct"/>
            <w:shd w:val="clear" w:color="auto" w:fill="auto"/>
            <w:vAlign w:val="bottom"/>
          </w:tcPr>
          <w:p w14:paraId="5A1B1D8C" w14:textId="77777777" w:rsidR="00960BB8" w:rsidRDefault="00960BB8">
            <w:pPr>
              <w:rPr>
                <w:rFonts w:ascii="宋体"/>
              </w:rPr>
            </w:pPr>
          </w:p>
        </w:tc>
        <w:tc>
          <w:tcPr>
            <w:tcW w:w="50" w:type="pct"/>
            <w:shd w:val="clear" w:color="auto" w:fill="auto"/>
            <w:vAlign w:val="bottom"/>
          </w:tcPr>
          <w:p w14:paraId="5A1B1D8D" w14:textId="77777777" w:rsidR="00960BB8" w:rsidRDefault="00960BB8">
            <w:pPr>
              <w:rPr>
                <w:rFonts w:ascii="宋体"/>
              </w:rPr>
            </w:pPr>
          </w:p>
        </w:tc>
        <w:tc>
          <w:tcPr>
            <w:tcW w:w="940" w:type="pct"/>
            <w:shd w:val="clear" w:color="auto" w:fill="auto"/>
            <w:vAlign w:val="bottom"/>
          </w:tcPr>
          <w:p w14:paraId="5A1B1D8E" w14:textId="77777777" w:rsidR="00960BB8" w:rsidRDefault="00960BB8">
            <w:pPr>
              <w:rPr>
                <w:rFonts w:ascii="宋体"/>
              </w:rPr>
            </w:pPr>
          </w:p>
        </w:tc>
        <w:tc>
          <w:tcPr>
            <w:tcW w:w="5" w:type="pct"/>
            <w:shd w:val="clear" w:color="auto" w:fill="auto"/>
            <w:vAlign w:val="bottom"/>
          </w:tcPr>
          <w:p w14:paraId="5A1B1D8F" w14:textId="77777777" w:rsidR="00960BB8" w:rsidRDefault="00960BB8">
            <w:pPr>
              <w:rPr>
                <w:rFonts w:ascii="宋体"/>
              </w:rPr>
            </w:pPr>
          </w:p>
        </w:tc>
        <w:tc>
          <w:tcPr>
            <w:tcW w:w="50" w:type="pct"/>
            <w:shd w:val="clear" w:color="auto" w:fill="auto"/>
            <w:vAlign w:val="bottom"/>
          </w:tcPr>
          <w:p w14:paraId="5A1B1D90" w14:textId="77777777" w:rsidR="00960BB8" w:rsidRDefault="00960BB8">
            <w:pPr>
              <w:rPr>
                <w:rFonts w:ascii="宋体"/>
              </w:rPr>
            </w:pPr>
          </w:p>
        </w:tc>
        <w:tc>
          <w:tcPr>
            <w:tcW w:w="1837" w:type="pct"/>
            <w:shd w:val="clear" w:color="auto" w:fill="auto"/>
            <w:vAlign w:val="bottom"/>
          </w:tcPr>
          <w:p w14:paraId="5A1B1D91" w14:textId="77777777" w:rsidR="00960BB8" w:rsidRDefault="00960BB8">
            <w:pPr>
              <w:rPr>
                <w:rFonts w:ascii="宋体"/>
              </w:rPr>
            </w:pPr>
          </w:p>
        </w:tc>
        <w:tc>
          <w:tcPr>
            <w:tcW w:w="5" w:type="pct"/>
            <w:shd w:val="clear" w:color="auto" w:fill="auto"/>
            <w:vAlign w:val="bottom"/>
          </w:tcPr>
          <w:p w14:paraId="5A1B1D92" w14:textId="77777777" w:rsidR="00960BB8" w:rsidRDefault="00960BB8">
            <w:pPr>
              <w:rPr>
                <w:rFonts w:ascii="宋体"/>
              </w:rPr>
            </w:pPr>
          </w:p>
        </w:tc>
        <w:tc>
          <w:tcPr>
            <w:tcW w:w="50" w:type="pct"/>
            <w:shd w:val="clear" w:color="auto" w:fill="auto"/>
            <w:vAlign w:val="bottom"/>
          </w:tcPr>
          <w:p w14:paraId="5A1B1D93" w14:textId="77777777" w:rsidR="00960BB8" w:rsidRDefault="00960BB8">
            <w:pPr>
              <w:rPr>
                <w:rFonts w:ascii="宋体"/>
              </w:rPr>
            </w:pPr>
          </w:p>
        </w:tc>
        <w:tc>
          <w:tcPr>
            <w:tcW w:w="1724" w:type="pct"/>
            <w:shd w:val="clear" w:color="auto" w:fill="auto"/>
            <w:vAlign w:val="bottom"/>
          </w:tcPr>
          <w:p w14:paraId="5A1B1D94" w14:textId="77777777" w:rsidR="00960BB8" w:rsidRDefault="00960BB8">
            <w:pPr>
              <w:rPr>
                <w:rFonts w:ascii="宋体"/>
              </w:rPr>
            </w:pPr>
          </w:p>
        </w:tc>
        <w:tc>
          <w:tcPr>
            <w:tcW w:w="5" w:type="pct"/>
            <w:shd w:val="clear" w:color="auto" w:fill="auto"/>
            <w:vAlign w:val="bottom"/>
          </w:tcPr>
          <w:p w14:paraId="5A1B1D95" w14:textId="77777777" w:rsidR="00960BB8" w:rsidRDefault="00960BB8">
            <w:pPr>
              <w:rPr>
                <w:rFonts w:ascii="宋体"/>
              </w:rPr>
            </w:pPr>
          </w:p>
        </w:tc>
      </w:tr>
      <w:tr w:rsidR="00960BB8" w14:paraId="5A1B1D9B"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D97"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9C" wp14:editId="5A1B449D">
                  <wp:extent cx="304800" cy="304800"/>
                  <wp:effectExtent l="0" t="0" r="0" b="0"/>
                  <wp:docPr id="38" name="图片 27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D98"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D99"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D9A" w14:textId="77777777" w:rsidR="00960BB8" w:rsidRDefault="00C06650">
            <w:pPr>
              <w:jc w:val="right"/>
              <w:textAlignment w:val="center"/>
            </w:pPr>
            <w:r>
              <w:rPr>
                <w:rFonts w:ascii="Arial" w:eastAsia="宋体" w:hAnsi="Arial" w:cs="Arial"/>
                <w:color w:val="262626"/>
                <w:sz w:val="16"/>
                <w:szCs w:val="16"/>
              </w:rPr>
              <w:t>94</w:t>
            </w:r>
          </w:p>
        </w:tc>
      </w:tr>
    </w:tbl>
    <w:p w14:paraId="5A1B1D9C" w14:textId="77777777" w:rsidR="00960BB8" w:rsidRDefault="00C06650">
      <w:r>
        <w:pict w14:anchorId="5A1B449E">
          <v:rect id="_x0000_i1120" style="width:415.3pt;height:1.5pt" o:hralign="center" o:hrstd="t" o:hr="t" fillcolor="#a0a0a0" stroked="f"/>
        </w:pict>
      </w:r>
    </w:p>
    <w:p w14:paraId="5A1B1D9D" w14:textId="77777777" w:rsidR="00960BB8" w:rsidRDefault="00C06650">
      <w:pPr>
        <w:jc w:val="right"/>
      </w:pPr>
      <w:hyperlink r:id="rId143" w:anchor="i8aaa7b4dbd2e419ca0f5c30af85a11aa_16" w:history="1">
        <w:r>
          <w:rPr>
            <w:rStyle w:val="a5"/>
            <w:rFonts w:ascii="Arial" w:eastAsia="宋体" w:hAnsi="Arial" w:cs="Arial"/>
            <w:b/>
            <w:bCs/>
            <w:sz w:val="16"/>
            <w:szCs w:val="16"/>
          </w:rPr>
          <w:t>Table of Contents</w:t>
        </w:r>
      </w:hyperlink>
    </w:p>
    <w:p w14:paraId="5A1B1D9E" w14:textId="77777777" w:rsidR="00960BB8" w:rsidRDefault="00960BB8">
      <w:pPr>
        <w:jc w:val="right"/>
      </w:pPr>
    </w:p>
    <w:p w14:paraId="5A1B1D9F" w14:textId="77777777" w:rsidR="00960BB8" w:rsidRDefault="00C06650">
      <w:pPr>
        <w:spacing w:after="180"/>
      </w:pPr>
      <w:r>
        <w:rPr>
          <w:rFonts w:ascii="Arial" w:eastAsia="宋体" w:hAnsi="Arial" w:cs="Arial"/>
          <w:color w:val="0068B5"/>
        </w:rPr>
        <w:t>Deferred and Current Income Taxes</w:t>
      </w:r>
    </w:p>
    <w:p w14:paraId="5A1B1DA0" w14:textId="77777777" w:rsidR="00960BB8" w:rsidRDefault="00C06650">
      <w:pPr>
        <w:spacing w:after="120"/>
      </w:pPr>
      <w:r>
        <w:rPr>
          <w:rFonts w:ascii="Arial" w:eastAsia="宋体" w:hAnsi="Arial" w:cs="Arial"/>
          <w:color w:val="262626"/>
          <w:sz w:val="18"/>
          <w:szCs w:val="18"/>
        </w:rPr>
        <w:t xml:space="preserve">Deferred income taxes reflect the net tax effects of temporary differences between the </w:t>
      </w:r>
      <w:r>
        <w:rPr>
          <w:rFonts w:ascii="Arial" w:eastAsia="宋体" w:hAnsi="Arial" w:cs="Arial"/>
          <w:color w:val="262626"/>
          <w:sz w:val="18"/>
          <w:szCs w:val="18"/>
        </w:rPr>
        <w:t>carrying amounts of assets and liabilities for financial reporting purposes and the amounts for income tax purposes. Significant components of our deferred tax assets and liabilities at the end of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960BB8" w14:paraId="5A1B1DB0" w14:textId="77777777">
        <w:tc>
          <w:tcPr>
            <w:tcW w:w="50" w:type="pct"/>
            <w:shd w:val="clear" w:color="auto" w:fill="auto"/>
            <w:vAlign w:val="bottom"/>
          </w:tcPr>
          <w:p w14:paraId="5A1B1DA1" w14:textId="77777777" w:rsidR="00960BB8" w:rsidRDefault="00960BB8">
            <w:pPr>
              <w:rPr>
                <w:rFonts w:ascii="宋体"/>
              </w:rPr>
            </w:pPr>
          </w:p>
        </w:tc>
        <w:tc>
          <w:tcPr>
            <w:tcW w:w="3688" w:type="pct"/>
            <w:shd w:val="clear" w:color="auto" w:fill="auto"/>
            <w:vAlign w:val="bottom"/>
          </w:tcPr>
          <w:p w14:paraId="5A1B1DA2" w14:textId="77777777" w:rsidR="00960BB8" w:rsidRDefault="00960BB8">
            <w:pPr>
              <w:rPr>
                <w:rFonts w:ascii="宋体"/>
              </w:rPr>
            </w:pPr>
          </w:p>
        </w:tc>
        <w:tc>
          <w:tcPr>
            <w:tcW w:w="5" w:type="pct"/>
            <w:shd w:val="clear" w:color="auto" w:fill="auto"/>
            <w:vAlign w:val="bottom"/>
          </w:tcPr>
          <w:p w14:paraId="5A1B1DA3" w14:textId="77777777" w:rsidR="00960BB8" w:rsidRDefault="00960BB8">
            <w:pPr>
              <w:rPr>
                <w:rFonts w:ascii="宋体"/>
              </w:rPr>
            </w:pPr>
          </w:p>
        </w:tc>
        <w:tc>
          <w:tcPr>
            <w:tcW w:w="5" w:type="pct"/>
            <w:shd w:val="clear" w:color="auto" w:fill="auto"/>
            <w:vAlign w:val="bottom"/>
          </w:tcPr>
          <w:p w14:paraId="5A1B1DA4" w14:textId="77777777" w:rsidR="00960BB8" w:rsidRDefault="00960BB8">
            <w:pPr>
              <w:rPr>
                <w:rFonts w:ascii="宋体"/>
              </w:rPr>
            </w:pPr>
          </w:p>
        </w:tc>
        <w:tc>
          <w:tcPr>
            <w:tcW w:w="24" w:type="pct"/>
            <w:shd w:val="clear" w:color="auto" w:fill="auto"/>
            <w:vAlign w:val="bottom"/>
          </w:tcPr>
          <w:p w14:paraId="5A1B1DA5" w14:textId="77777777" w:rsidR="00960BB8" w:rsidRDefault="00960BB8">
            <w:pPr>
              <w:rPr>
                <w:rFonts w:ascii="宋体"/>
              </w:rPr>
            </w:pPr>
          </w:p>
        </w:tc>
        <w:tc>
          <w:tcPr>
            <w:tcW w:w="5" w:type="pct"/>
            <w:shd w:val="clear" w:color="auto" w:fill="auto"/>
            <w:vAlign w:val="bottom"/>
          </w:tcPr>
          <w:p w14:paraId="5A1B1DA6" w14:textId="77777777" w:rsidR="00960BB8" w:rsidRDefault="00960BB8">
            <w:pPr>
              <w:rPr>
                <w:rFonts w:ascii="宋体"/>
              </w:rPr>
            </w:pPr>
          </w:p>
        </w:tc>
        <w:tc>
          <w:tcPr>
            <w:tcW w:w="50" w:type="pct"/>
            <w:shd w:val="clear" w:color="auto" w:fill="auto"/>
            <w:vAlign w:val="bottom"/>
          </w:tcPr>
          <w:p w14:paraId="5A1B1DA7" w14:textId="77777777" w:rsidR="00960BB8" w:rsidRDefault="00960BB8">
            <w:pPr>
              <w:rPr>
                <w:rFonts w:ascii="宋体"/>
              </w:rPr>
            </w:pPr>
          </w:p>
        </w:tc>
        <w:tc>
          <w:tcPr>
            <w:tcW w:w="539" w:type="pct"/>
            <w:shd w:val="clear" w:color="auto" w:fill="auto"/>
            <w:vAlign w:val="bottom"/>
          </w:tcPr>
          <w:p w14:paraId="5A1B1DA8" w14:textId="77777777" w:rsidR="00960BB8" w:rsidRDefault="00960BB8">
            <w:pPr>
              <w:rPr>
                <w:rFonts w:ascii="宋体"/>
              </w:rPr>
            </w:pPr>
          </w:p>
        </w:tc>
        <w:tc>
          <w:tcPr>
            <w:tcW w:w="5" w:type="pct"/>
            <w:shd w:val="clear" w:color="auto" w:fill="auto"/>
            <w:vAlign w:val="bottom"/>
          </w:tcPr>
          <w:p w14:paraId="5A1B1DA9" w14:textId="77777777" w:rsidR="00960BB8" w:rsidRDefault="00960BB8">
            <w:pPr>
              <w:rPr>
                <w:rFonts w:ascii="宋体"/>
              </w:rPr>
            </w:pPr>
          </w:p>
        </w:tc>
        <w:tc>
          <w:tcPr>
            <w:tcW w:w="5" w:type="pct"/>
            <w:shd w:val="clear" w:color="auto" w:fill="auto"/>
            <w:vAlign w:val="bottom"/>
          </w:tcPr>
          <w:p w14:paraId="5A1B1DAA" w14:textId="77777777" w:rsidR="00960BB8" w:rsidRDefault="00960BB8">
            <w:pPr>
              <w:rPr>
                <w:rFonts w:ascii="宋体"/>
              </w:rPr>
            </w:pPr>
          </w:p>
        </w:tc>
        <w:tc>
          <w:tcPr>
            <w:tcW w:w="24" w:type="pct"/>
            <w:shd w:val="clear" w:color="auto" w:fill="auto"/>
            <w:vAlign w:val="bottom"/>
          </w:tcPr>
          <w:p w14:paraId="5A1B1DAB" w14:textId="77777777" w:rsidR="00960BB8" w:rsidRDefault="00960BB8">
            <w:pPr>
              <w:rPr>
                <w:rFonts w:ascii="宋体"/>
              </w:rPr>
            </w:pPr>
          </w:p>
        </w:tc>
        <w:tc>
          <w:tcPr>
            <w:tcW w:w="5" w:type="pct"/>
            <w:shd w:val="clear" w:color="auto" w:fill="auto"/>
            <w:vAlign w:val="bottom"/>
          </w:tcPr>
          <w:p w14:paraId="5A1B1DAC" w14:textId="77777777" w:rsidR="00960BB8" w:rsidRDefault="00960BB8">
            <w:pPr>
              <w:rPr>
                <w:rFonts w:ascii="宋体"/>
              </w:rPr>
            </w:pPr>
          </w:p>
        </w:tc>
        <w:tc>
          <w:tcPr>
            <w:tcW w:w="50" w:type="pct"/>
            <w:shd w:val="clear" w:color="auto" w:fill="auto"/>
            <w:vAlign w:val="bottom"/>
          </w:tcPr>
          <w:p w14:paraId="5A1B1DAD" w14:textId="77777777" w:rsidR="00960BB8" w:rsidRDefault="00960BB8">
            <w:pPr>
              <w:rPr>
                <w:rFonts w:ascii="宋体"/>
              </w:rPr>
            </w:pPr>
          </w:p>
        </w:tc>
        <w:tc>
          <w:tcPr>
            <w:tcW w:w="539" w:type="pct"/>
            <w:shd w:val="clear" w:color="auto" w:fill="auto"/>
            <w:vAlign w:val="bottom"/>
          </w:tcPr>
          <w:p w14:paraId="5A1B1DAE" w14:textId="77777777" w:rsidR="00960BB8" w:rsidRDefault="00960BB8">
            <w:pPr>
              <w:rPr>
                <w:rFonts w:ascii="宋体"/>
              </w:rPr>
            </w:pPr>
          </w:p>
        </w:tc>
        <w:tc>
          <w:tcPr>
            <w:tcW w:w="5" w:type="pct"/>
            <w:shd w:val="clear" w:color="auto" w:fill="auto"/>
            <w:vAlign w:val="bottom"/>
          </w:tcPr>
          <w:p w14:paraId="5A1B1DAF" w14:textId="77777777" w:rsidR="00960BB8" w:rsidRDefault="00960BB8">
            <w:pPr>
              <w:rPr>
                <w:rFonts w:ascii="宋体"/>
              </w:rPr>
            </w:pPr>
          </w:p>
        </w:tc>
      </w:tr>
      <w:tr w:rsidR="00960BB8" w14:paraId="5A1B1DB6" w14:textId="77777777">
        <w:tc>
          <w:tcPr>
            <w:tcW w:w="0" w:type="auto"/>
            <w:gridSpan w:val="3"/>
            <w:shd w:val="clear" w:color="auto" w:fill="auto"/>
            <w:tcMar>
              <w:top w:w="40" w:type="dxa"/>
              <w:left w:w="20" w:type="dxa"/>
              <w:bottom w:w="40" w:type="dxa"/>
              <w:right w:w="20" w:type="dxa"/>
            </w:tcMar>
            <w:vAlign w:val="bottom"/>
          </w:tcPr>
          <w:p w14:paraId="5A1B1DB1" w14:textId="77777777" w:rsidR="00960BB8" w:rsidRDefault="00C06650">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5A1B1DB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DB3"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DB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DB5"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1DBC"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DB7" w14:textId="77777777" w:rsidR="00960BB8" w:rsidRDefault="00C06650">
            <w:pPr>
              <w:textAlignment w:val="bottom"/>
            </w:pPr>
            <w:r>
              <w:rPr>
                <w:rFonts w:ascii="Arial" w:eastAsia="宋体" w:hAnsi="Arial" w:cs="Arial"/>
                <w:color w:val="262626"/>
                <w:sz w:val="18"/>
                <w:szCs w:val="18"/>
              </w:rPr>
              <w:t>Deferred tax assets:</w:t>
            </w:r>
          </w:p>
        </w:tc>
        <w:tc>
          <w:tcPr>
            <w:tcW w:w="0" w:type="auto"/>
            <w:gridSpan w:val="3"/>
            <w:shd w:val="clear" w:color="auto" w:fill="auto"/>
            <w:tcMar>
              <w:top w:w="0" w:type="dxa"/>
              <w:left w:w="20" w:type="dxa"/>
              <w:bottom w:w="0" w:type="dxa"/>
              <w:right w:w="20" w:type="dxa"/>
            </w:tcMar>
            <w:vAlign w:val="bottom"/>
          </w:tcPr>
          <w:p w14:paraId="5A1B1DB8"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DB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DBA"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DBB" w14:textId="77777777" w:rsidR="00960BB8" w:rsidRDefault="00960BB8">
            <w:pPr>
              <w:rPr>
                <w:rFonts w:ascii="宋体"/>
              </w:rPr>
            </w:pPr>
          </w:p>
        </w:tc>
      </w:tr>
      <w:tr w:rsidR="00960BB8" w14:paraId="5A1B1DC6" w14:textId="77777777">
        <w:tc>
          <w:tcPr>
            <w:tcW w:w="0" w:type="auto"/>
            <w:gridSpan w:val="3"/>
            <w:shd w:val="clear" w:color="auto" w:fill="auto"/>
            <w:tcMar>
              <w:top w:w="40" w:type="dxa"/>
              <w:left w:w="155" w:type="dxa"/>
              <w:bottom w:w="40" w:type="dxa"/>
              <w:right w:w="20" w:type="dxa"/>
            </w:tcMar>
            <w:vAlign w:val="bottom"/>
          </w:tcPr>
          <w:p w14:paraId="5A1B1DBD" w14:textId="77777777" w:rsidR="00960BB8" w:rsidRDefault="00C06650">
            <w:pPr>
              <w:textAlignment w:val="bottom"/>
            </w:pPr>
            <w:r>
              <w:rPr>
                <w:rFonts w:ascii="Arial" w:eastAsia="宋体" w:hAnsi="Arial" w:cs="Arial"/>
                <w:color w:val="262626"/>
                <w:sz w:val="18"/>
                <w:szCs w:val="18"/>
              </w:rPr>
              <w:t>R&amp;D expenditures capitalization</w:t>
            </w:r>
          </w:p>
        </w:tc>
        <w:tc>
          <w:tcPr>
            <w:tcW w:w="0" w:type="auto"/>
            <w:gridSpan w:val="3"/>
            <w:shd w:val="clear" w:color="auto" w:fill="auto"/>
            <w:tcMar>
              <w:top w:w="0" w:type="dxa"/>
              <w:left w:w="20" w:type="dxa"/>
              <w:bottom w:w="0" w:type="dxa"/>
              <w:right w:w="20" w:type="dxa"/>
            </w:tcMar>
            <w:vAlign w:val="bottom"/>
          </w:tcPr>
          <w:p w14:paraId="5A1B1DBE"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DBF"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1DC0" w14:textId="77777777" w:rsidR="00960BB8" w:rsidRDefault="00C06650">
            <w:pPr>
              <w:jc w:val="right"/>
              <w:textAlignment w:val="bottom"/>
            </w:pPr>
            <w:r>
              <w:rPr>
                <w:rFonts w:ascii="Arial" w:eastAsia="宋体" w:hAnsi="Arial" w:cs="Arial"/>
                <w:color w:val="0068B5"/>
                <w:sz w:val="18"/>
                <w:szCs w:val="18"/>
              </w:rPr>
              <w:t>5,067 </w:t>
            </w:r>
          </w:p>
        </w:tc>
        <w:tc>
          <w:tcPr>
            <w:tcW w:w="0" w:type="auto"/>
            <w:shd w:val="clear" w:color="auto" w:fill="auto"/>
            <w:tcMar>
              <w:top w:w="40" w:type="dxa"/>
              <w:left w:w="0" w:type="dxa"/>
              <w:bottom w:w="40" w:type="dxa"/>
              <w:right w:w="20" w:type="dxa"/>
            </w:tcMar>
            <w:vAlign w:val="bottom"/>
          </w:tcPr>
          <w:p w14:paraId="5A1B1DC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C2"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DC3"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DC4" w14:textId="77777777" w:rsidR="00960BB8" w:rsidRDefault="00C06650">
            <w:pPr>
              <w:jc w:val="right"/>
              <w:textAlignment w:val="bottom"/>
            </w:pPr>
            <w:r>
              <w:rPr>
                <w:rFonts w:ascii="Arial" w:eastAsia="宋体" w:hAnsi="Arial" w:cs="Arial"/>
                <w:color w:val="262626"/>
                <w:sz w:val="18"/>
                <w:szCs w:val="18"/>
              </w:rPr>
              <w:t>519 </w:t>
            </w:r>
          </w:p>
        </w:tc>
        <w:tc>
          <w:tcPr>
            <w:tcW w:w="0" w:type="auto"/>
            <w:shd w:val="clear" w:color="auto" w:fill="auto"/>
            <w:tcMar>
              <w:top w:w="40" w:type="dxa"/>
              <w:left w:w="0" w:type="dxa"/>
              <w:bottom w:w="40" w:type="dxa"/>
              <w:right w:w="20" w:type="dxa"/>
            </w:tcMar>
            <w:vAlign w:val="bottom"/>
          </w:tcPr>
          <w:p w14:paraId="5A1B1DC5" w14:textId="77777777" w:rsidR="00960BB8" w:rsidRDefault="00960BB8">
            <w:pPr>
              <w:jc w:val="right"/>
              <w:rPr>
                <w:rFonts w:ascii="宋体"/>
              </w:rPr>
            </w:pPr>
          </w:p>
        </w:tc>
      </w:tr>
      <w:tr w:rsidR="00960BB8" w14:paraId="5A1B1DCE" w14:textId="77777777">
        <w:tc>
          <w:tcPr>
            <w:tcW w:w="0" w:type="auto"/>
            <w:gridSpan w:val="3"/>
            <w:shd w:val="clear" w:color="auto" w:fill="auto"/>
            <w:tcMar>
              <w:top w:w="40" w:type="dxa"/>
              <w:left w:w="155" w:type="dxa"/>
              <w:bottom w:w="40" w:type="dxa"/>
              <w:right w:w="20" w:type="dxa"/>
            </w:tcMar>
            <w:vAlign w:val="bottom"/>
          </w:tcPr>
          <w:p w14:paraId="5A1B1DC7" w14:textId="77777777" w:rsidR="00960BB8" w:rsidRDefault="00C06650">
            <w:pPr>
              <w:textAlignment w:val="bottom"/>
            </w:pPr>
            <w:r>
              <w:rPr>
                <w:rFonts w:ascii="Arial" w:eastAsia="宋体" w:hAnsi="Arial" w:cs="Arial"/>
                <w:color w:val="262626"/>
                <w:sz w:val="18"/>
                <w:szCs w:val="18"/>
              </w:rPr>
              <w:t>State credits and net operating losses</w:t>
            </w:r>
          </w:p>
        </w:tc>
        <w:tc>
          <w:tcPr>
            <w:tcW w:w="0" w:type="auto"/>
            <w:gridSpan w:val="3"/>
            <w:shd w:val="clear" w:color="auto" w:fill="auto"/>
            <w:tcMar>
              <w:top w:w="0" w:type="dxa"/>
              <w:left w:w="20" w:type="dxa"/>
              <w:bottom w:w="0" w:type="dxa"/>
              <w:right w:w="20" w:type="dxa"/>
            </w:tcMar>
            <w:vAlign w:val="bottom"/>
          </w:tcPr>
          <w:p w14:paraId="5A1B1DC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C9" w14:textId="77777777" w:rsidR="00960BB8" w:rsidRDefault="00C06650">
            <w:pPr>
              <w:jc w:val="right"/>
              <w:textAlignment w:val="bottom"/>
            </w:pPr>
            <w:r>
              <w:rPr>
                <w:rFonts w:ascii="Arial" w:eastAsia="宋体" w:hAnsi="Arial" w:cs="Arial"/>
                <w:color w:val="0068B5"/>
                <w:sz w:val="18"/>
                <w:szCs w:val="18"/>
              </w:rPr>
              <w:t>2,259 </w:t>
            </w:r>
          </w:p>
        </w:tc>
        <w:tc>
          <w:tcPr>
            <w:tcW w:w="0" w:type="auto"/>
            <w:shd w:val="clear" w:color="auto" w:fill="auto"/>
            <w:tcMar>
              <w:top w:w="40" w:type="dxa"/>
              <w:left w:w="0" w:type="dxa"/>
              <w:bottom w:w="40" w:type="dxa"/>
              <w:right w:w="20" w:type="dxa"/>
            </w:tcMar>
            <w:vAlign w:val="bottom"/>
          </w:tcPr>
          <w:p w14:paraId="5A1B1DC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C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CC" w14:textId="77777777" w:rsidR="00960BB8" w:rsidRDefault="00C06650">
            <w:pPr>
              <w:jc w:val="right"/>
              <w:textAlignment w:val="bottom"/>
            </w:pPr>
            <w:r>
              <w:rPr>
                <w:rFonts w:ascii="Arial" w:eastAsia="宋体" w:hAnsi="Arial" w:cs="Arial"/>
                <w:color w:val="262626"/>
                <w:sz w:val="18"/>
                <w:szCs w:val="18"/>
              </w:rPr>
              <w:t>2,010 </w:t>
            </w:r>
          </w:p>
        </w:tc>
        <w:tc>
          <w:tcPr>
            <w:tcW w:w="0" w:type="auto"/>
            <w:shd w:val="clear" w:color="auto" w:fill="auto"/>
            <w:tcMar>
              <w:top w:w="40" w:type="dxa"/>
              <w:left w:w="0" w:type="dxa"/>
              <w:bottom w:w="40" w:type="dxa"/>
              <w:right w:w="20" w:type="dxa"/>
            </w:tcMar>
            <w:vAlign w:val="bottom"/>
          </w:tcPr>
          <w:p w14:paraId="5A1B1DCD" w14:textId="77777777" w:rsidR="00960BB8" w:rsidRDefault="00960BB8">
            <w:pPr>
              <w:jc w:val="right"/>
              <w:rPr>
                <w:rFonts w:ascii="宋体"/>
              </w:rPr>
            </w:pPr>
          </w:p>
        </w:tc>
      </w:tr>
      <w:tr w:rsidR="00960BB8" w14:paraId="5A1B1DD6" w14:textId="77777777">
        <w:tc>
          <w:tcPr>
            <w:tcW w:w="0" w:type="auto"/>
            <w:gridSpan w:val="3"/>
            <w:shd w:val="clear" w:color="auto" w:fill="auto"/>
            <w:tcMar>
              <w:top w:w="40" w:type="dxa"/>
              <w:left w:w="155" w:type="dxa"/>
              <w:bottom w:w="40" w:type="dxa"/>
              <w:right w:w="20" w:type="dxa"/>
            </w:tcMar>
            <w:vAlign w:val="bottom"/>
          </w:tcPr>
          <w:p w14:paraId="5A1B1DCF" w14:textId="77777777" w:rsidR="00960BB8" w:rsidRDefault="00C06650">
            <w:pPr>
              <w:textAlignment w:val="bottom"/>
            </w:pPr>
            <w:r>
              <w:rPr>
                <w:rFonts w:ascii="Arial" w:eastAsia="宋体" w:hAnsi="Arial" w:cs="Arial"/>
                <w:color w:val="262626"/>
                <w:sz w:val="18"/>
                <w:szCs w:val="18"/>
              </w:rPr>
              <w:t>Inventory</w:t>
            </w:r>
          </w:p>
        </w:tc>
        <w:tc>
          <w:tcPr>
            <w:tcW w:w="0" w:type="auto"/>
            <w:gridSpan w:val="3"/>
            <w:shd w:val="clear" w:color="auto" w:fill="auto"/>
            <w:tcMar>
              <w:top w:w="0" w:type="dxa"/>
              <w:left w:w="20" w:type="dxa"/>
              <w:bottom w:w="0" w:type="dxa"/>
              <w:right w:w="20" w:type="dxa"/>
            </w:tcMar>
            <w:vAlign w:val="bottom"/>
          </w:tcPr>
          <w:p w14:paraId="5A1B1DD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D1" w14:textId="77777777" w:rsidR="00960BB8" w:rsidRDefault="00C06650">
            <w:pPr>
              <w:jc w:val="right"/>
              <w:textAlignment w:val="bottom"/>
            </w:pPr>
            <w:r>
              <w:rPr>
                <w:rFonts w:ascii="Arial" w:eastAsia="宋体" w:hAnsi="Arial" w:cs="Arial"/>
                <w:color w:val="0068B5"/>
                <w:sz w:val="18"/>
                <w:szCs w:val="18"/>
              </w:rPr>
              <w:t>1,788 </w:t>
            </w:r>
          </w:p>
        </w:tc>
        <w:tc>
          <w:tcPr>
            <w:tcW w:w="0" w:type="auto"/>
            <w:shd w:val="clear" w:color="auto" w:fill="auto"/>
            <w:tcMar>
              <w:top w:w="40" w:type="dxa"/>
              <w:left w:w="0" w:type="dxa"/>
              <w:bottom w:w="40" w:type="dxa"/>
              <w:right w:w="20" w:type="dxa"/>
            </w:tcMar>
            <w:vAlign w:val="bottom"/>
          </w:tcPr>
          <w:p w14:paraId="5A1B1DD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D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D4" w14:textId="77777777" w:rsidR="00960BB8" w:rsidRDefault="00C06650">
            <w:pPr>
              <w:jc w:val="right"/>
              <w:textAlignment w:val="bottom"/>
            </w:pPr>
            <w:r>
              <w:rPr>
                <w:rFonts w:ascii="Arial" w:eastAsia="宋体" w:hAnsi="Arial" w:cs="Arial"/>
                <w:color w:val="262626"/>
                <w:sz w:val="18"/>
                <w:szCs w:val="18"/>
              </w:rPr>
              <w:t>914 </w:t>
            </w:r>
          </w:p>
        </w:tc>
        <w:tc>
          <w:tcPr>
            <w:tcW w:w="0" w:type="auto"/>
            <w:shd w:val="clear" w:color="auto" w:fill="auto"/>
            <w:tcMar>
              <w:top w:w="40" w:type="dxa"/>
              <w:left w:w="0" w:type="dxa"/>
              <w:bottom w:w="40" w:type="dxa"/>
              <w:right w:w="20" w:type="dxa"/>
            </w:tcMar>
            <w:vAlign w:val="bottom"/>
          </w:tcPr>
          <w:p w14:paraId="5A1B1DD5" w14:textId="77777777" w:rsidR="00960BB8" w:rsidRDefault="00960BB8">
            <w:pPr>
              <w:jc w:val="right"/>
              <w:rPr>
                <w:rFonts w:ascii="宋体"/>
              </w:rPr>
            </w:pPr>
          </w:p>
        </w:tc>
      </w:tr>
      <w:tr w:rsidR="00960BB8" w14:paraId="5A1B1DDE" w14:textId="77777777">
        <w:tc>
          <w:tcPr>
            <w:tcW w:w="0" w:type="auto"/>
            <w:gridSpan w:val="3"/>
            <w:shd w:val="clear" w:color="auto" w:fill="auto"/>
            <w:tcMar>
              <w:top w:w="40" w:type="dxa"/>
              <w:left w:w="155" w:type="dxa"/>
              <w:bottom w:w="40" w:type="dxa"/>
              <w:right w:w="20" w:type="dxa"/>
            </w:tcMar>
            <w:vAlign w:val="bottom"/>
          </w:tcPr>
          <w:p w14:paraId="5A1B1DD7" w14:textId="77777777" w:rsidR="00960BB8" w:rsidRDefault="00C06650">
            <w:pPr>
              <w:textAlignment w:val="bottom"/>
            </w:pPr>
            <w:r>
              <w:rPr>
                <w:rFonts w:ascii="Arial" w:eastAsia="宋体" w:hAnsi="Arial" w:cs="Arial"/>
                <w:color w:val="262626"/>
                <w:sz w:val="18"/>
                <w:szCs w:val="18"/>
              </w:rPr>
              <w:t>Accrued compensation and other benefits</w:t>
            </w:r>
          </w:p>
        </w:tc>
        <w:tc>
          <w:tcPr>
            <w:tcW w:w="0" w:type="auto"/>
            <w:gridSpan w:val="3"/>
            <w:shd w:val="clear" w:color="auto" w:fill="auto"/>
            <w:tcMar>
              <w:top w:w="0" w:type="dxa"/>
              <w:left w:w="20" w:type="dxa"/>
              <w:bottom w:w="0" w:type="dxa"/>
              <w:right w:w="20" w:type="dxa"/>
            </w:tcMar>
            <w:vAlign w:val="bottom"/>
          </w:tcPr>
          <w:p w14:paraId="5A1B1DD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D9" w14:textId="77777777" w:rsidR="00960BB8" w:rsidRDefault="00C06650">
            <w:pPr>
              <w:jc w:val="right"/>
              <w:textAlignment w:val="bottom"/>
            </w:pPr>
            <w:r>
              <w:rPr>
                <w:rFonts w:ascii="Arial" w:eastAsia="宋体" w:hAnsi="Arial" w:cs="Arial"/>
                <w:color w:val="0068B5"/>
                <w:sz w:val="18"/>
                <w:szCs w:val="18"/>
              </w:rPr>
              <w:t>1,031 </w:t>
            </w:r>
          </w:p>
        </w:tc>
        <w:tc>
          <w:tcPr>
            <w:tcW w:w="0" w:type="auto"/>
            <w:shd w:val="clear" w:color="auto" w:fill="auto"/>
            <w:tcMar>
              <w:top w:w="40" w:type="dxa"/>
              <w:left w:w="0" w:type="dxa"/>
              <w:bottom w:w="40" w:type="dxa"/>
              <w:right w:w="20" w:type="dxa"/>
            </w:tcMar>
            <w:vAlign w:val="bottom"/>
          </w:tcPr>
          <w:p w14:paraId="5A1B1DD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D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DC" w14:textId="77777777" w:rsidR="00960BB8" w:rsidRDefault="00C06650">
            <w:pPr>
              <w:jc w:val="right"/>
              <w:textAlignment w:val="bottom"/>
            </w:pPr>
            <w:r>
              <w:rPr>
                <w:rFonts w:ascii="Arial" w:eastAsia="宋体" w:hAnsi="Arial" w:cs="Arial"/>
                <w:color w:val="262626"/>
                <w:sz w:val="18"/>
                <w:szCs w:val="18"/>
              </w:rPr>
              <w:t>1,019 </w:t>
            </w:r>
          </w:p>
        </w:tc>
        <w:tc>
          <w:tcPr>
            <w:tcW w:w="0" w:type="auto"/>
            <w:shd w:val="clear" w:color="auto" w:fill="auto"/>
            <w:tcMar>
              <w:top w:w="40" w:type="dxa"/>
              <w:left w:w="0" w:type="dxa"/>
              <w:bottom w:w="40" w:type="dxa"/>
              <w:right w:w="20" w:type="dxa"/>
            </w:tcMar>
            <w:vAlign w:val="bottom"/>
          </w:tcPr>
          <w:p w14:paraId="5A1B1DDD" w14:textId="77777777" w:rsidR="00960BB8" w:rsidRDefault="00960BB8">
            <w:pPr>
              <w:jc w:val="right"/>
              <w:rPr>
                <w:rFonts w:ascii="宋体"/>
              </w:rPr>
            </w:pPr>
          </w:p>
        </w:tc>
      </w:tr>
      <w:tr w:rsidR="00960BB8" w14:paraId="5A1B1DE6" w14:textId="77777777">
        <w:tc>
          <w:tcPr>
            <w:tcW w:w="0" w:type="auto"/>
            <w:gridSpan w:val="3"/>
            <w:shd w:val="clear" w:color="auto" w:fill="auto"/>
            <w:tcMar>
              <w:top w:w="40" w:type="dxa"/>
              <w:left w:w="155" w:type="dxa"/>
              <w:bottom w:w="40" w:type="dxa"/>
              <w:right w:w="20" w:type="dxa"/>
            </w:tcMar>
            <w:vAlign w:val="bottom"/>
          </w:tcPr>
          <w:p w14:paraId="5A1B1DDF" w14:textId="77777777" w:rsidR="00960BB8" w:rsidRDefault="00C06650">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5A1B1DE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E1" w14:textId="77777777" w:rsidR="00960BB8" w:rsidRDefault="00C06650">
            <w:pPr>
              <w:jc w:val="right"/>
              <w:textAlignment w:val="bottom"/>
            </w:pPr>
            <w:r>
              <w:rPr>
                <w:rFonts w:ascii="Arial" w:eastAsia="宋体" w:hAnsi="Arial" w:cs="Arial"/>
                <w:color w:val="0068B5"/>
                <w:sz w:val="18"/>
                <w:szCs w:val="18"/>
              </w:rPr>
              <w:t>557 </w:t>
            </w:r>
          </w:p>
        </w:tc>
        <w:tc>
          <w:tcPr>
            <w:tcW w:w="0" w:type="auto"/>
            <w:shd w:val="clear" w:color="auto" w:fill="auto"/>
            <w:tcMar>
              <w:top w:w="40" w:type="dxa"/>
              <w:left w:w="0" w:type="dxa"/>
              <w:bottom w:w="40" w:type="dxa"/>
              <w:right w:w="20" w:type="dxa"/>
            </w:tcMar>
            <w:vAlign w:val="bottom"/>
          </w:tcPr>
          <w:p w14:paraId="5A1B1DE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E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E4" w14:textId="77777777" w:rsidR="00960BB8" w:rsidRDefault="00C06650">
            <w:pPr>
              <w:jc w:val="right"/>
              <w:textAlignment w:val="bottom"/>
            </w:pPr>
            <w:r>
              <w:rPr>
                <w:rFonts w:ascii="Arial" w:eastAsia="宋体" w:hAnsi="Arial" w:cs="Arial"/>
                <w:color w:val="262626"/>
                <w:sz w:val="18"/>
                <w:szCs w:val="18"/>
              </w:rPr>
              <w:t>477 </w:t>
            </w:r>
          </w:p>
        </w:tc>
        <w:tc>
          <w:tcPr>
            <w:tcW w:w="0" w:type="auto"/>
            <w:shd w:val="clear" w:color="auto" w:fill="auto"/>
            <w:tcMar>
              <w:top w:w="40" w:type="dxa"/>
              <w:left w:w="0" w:type="dxa"/>
              <w:bottom w:w="40" w:type="dxa"/>
              <w:right w:w="20" w:type="dxa"/>
            </w:tcMar>
            <w:vAlign w:val="bottom"/>
          </w:tcPr>
          <w:p w14:paraId="5A1B1DE5" w14:textId="77777777" w:rsidR="00960BB8" w:rsidRDefault="00960BB8">
            <w:pPr>
              <w:jc w:val="right"/>
              <w:rPr>
                <w:rFonts w:ascii="宋体"/>
              </w:rPr>
            </w:pPr>
          </w:p>
        </w:tc>
      </w:tr>
      <w:tr w:rsidR="00960BB8" w14:paraId="5A1B1DEE" w14:textId="77777777">
        <w:tc>
          <w:tcPr>
            <w:tcW w:w="0" w:type="auto"/>
            <w:gridSpan w:val="3"/>
            <w:shd w:val="clear" w:color="auto" w:fill="auto"/>
            <w:tcMar>
              <w:top w:w="40" w:type="dxa"/>
              <w:left w:w="155" w:type="dxa"/>
              <w:bottom w:w="40" w:type="dxa"/>
              <w:right w:w="20" w:type="dxa"/>
            </w:tcMar>
            <w:vAlign w:val="bottom"/>
          </w:tcPr>
          <w:p w14:paraId="5A1B1DE7" w14:textId="77777777" w:rsidR="00960BB8" w:rsidRDefault="00C06650">
            <w:pPr>
              <w:textAlignment w:val="bottom"/>
            </w:pPr>
            <w:r>
              <w:rPr>
                <w:rFonts w:ascii="Arial" w:eastAsia="宋体" w:hAnsi="Arial" w:cs="Arial"/>
                <w:color w:val="262626"/>
                <w:sz w:val="18"/>
                <w:szCs w:val="18"/>
              </w:rPr>
              <w:t>Litigation charge</w:t>
            </w:r>
          </w:p>
        </w:tc>
        <w:tc>
          <w:tcPr>
            <w:tcW w:w="0" w:type="auto"/>
            <w:gridSpan w:val="3"/>
            <w:shd w:val="clear" w:color="auto" w:fill="auto"/>
            <w:tcMar>
              <w:top w:w="0" w:type="dxa"/>
              <w:left w:w="20" w:type="dxa"/>
              <w:bottom w:w="0" w:type="dxa"/>
              <w:right w:w="20" w:type="dxa"/>
            </w:tcMar>
            <w:vAlign w:val="bottom"/>
          </w:tcPr>
          <w:p w14:paraId="5A1B1DE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E9" w14:textId="77777777" w:rsidR="00960BB8" w:rsidRDefault="00C06650">
            <w:pPr>
              <w:jc w:val="right"/>
              <w:textAlignment w:val="bottom"/>
            </w:pPr>
            <w:r>
              <w:rPr>
                <w:rFonts w:ascii="Arial" w:eastAsia="宋体" w:hAnsi="Arial" w:cs="Arial"/>
                <w:color w:val="0068B5"/>
                <w:sz w:val="18"/>
                <w:szCs w:val="18"/>
              </w:rPr>
              <w:t>470 </w:t>
            </w:r>
          </w:p>
        </w:tc>
        <w:tc>
          <w:tcPr>
            <w:tcW w:w="0" w:type="auto"/>
            <w:shd w:val="clear" w:color="auto" w:fill="auto"/>
            <w:tcMar>
              <w:top w:w="40" w:type="dxa"/>
              <w:left w:w="0" w:type="dxa"/>
              <w:bottom w:w="40" w:type="dxa"/>
              <w:right w:w="20" w:type="dxa"/>
            </w:tcMar>
            <w:vAlign w:val="bottom"/>
          </w:tcPr>
          <w:p w14:paraId="5A1B1DE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E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EC" w14:textId="77777777" w:rsidR="00960BB8" w:rsidRDefault="00C06650">
            <w:pPr>
              <w:jc w:val="right"/>
              <w:textAlignment w:val="bottom"/>
            </w:pPr>
            <w:r>
              <w:rPr>
                <w:rFonts w:ascii="Arial" w:eastAsia="宋体" w:hAnsi="Arial" w:cs="Arial"/>
                <w:color w:val="262626"/>
                <w:sz w:val="18"/>
                <w:szCs w:val="18"/>
              </w:rPr>
              <w:t>467 </w:t>
            </w:r>
          </w:p>
        </w:tc>
        <w:tc>
          <w:tcPr>
            <w:tcW w:w="0" w:type="auto"/>
            <w:shd w:val="clear" w:color="auto" w:fill="auto"/>
            <w:tcMar>
              <w:top w:w="40" w:type="dxa"/>
              <w:left w:w="0" w:type="dxa"/>
              <w:bottom w:w="40" w:type="dxa"/>
              <w:right w:w="20" w:type="dxa"/>
            </w:tcMar>
            <w:vAlign w:val="bottom"/>
          </w:tcPr>
          <w:p w14:paraId="5A1B1DED" w14:textId="77777777" w:rsidR="00960BB8" w:rsidRDefault="00960BB8">
            <w:pPr>
              <w:jc w:val="right"/>
              <w:rPr>
                <w:rFonts w:ascii="宋体"/>
              </w:rPr>
            </w:pPr>
          </w:p>
        </w:tc>
      </w:tr>
      <w:tr w:rsidR="00960BB8" w14:paraId="5A1B1DF6" w14:textId="77777777">
        <w:tc>
          <w:tcPr>
            <w:tcW w:w="0" w:type="auto"/>
            <w:gridSpan w:val="3"/>
            <w:shd w:val="clear" w:color="auto" w:fill="auto"/>
            <w:tcMar>
              <w:top w:w="40" w:type="dxa"/>
              <w:left w:w="155" w:type="dxa"/>
              <w:bottom w:w="40" w:type="dxa"/>
              <w:right w:w="20" w:type="dxa"/>
            </w:tcMar>
            <w:vAlign w:val="bottom"/>
          </w:tcPr>
          <w:p w14:paraId="5A1B1DEF" w14:textId="77777777" w:rsidR="00960BB8" w:rsidRDefault="00C06650">
            <w:pPr>
              <w:textAlignment w:val="bottom"/>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5A1B1DF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F1" w14:textId="77777777" w:rsidR="00960BB8" w:rsidRDefault="00C06650">
            <w:pPr>
              <w:jc w:val="right"/>
              <w:textAlignment w:val="bottom"/>
            </w:pPr>
            <w:r>
              <w:rPr>
                <w:rFonts w:ascii="Arial" w:eastAsia="宋体" w:hAnsi="Arial" w:cs="Arial"/>
                <w:color w:val="0068B5"/>
                <w:sz w:val="18"/>
                <w:szCs w:val="18"/>
              </w:rPr>
              <w:t>709 </w:t>
            </w:r>
          </w:p>
        </w:tc>
        <w:tc>
          <w:tcPr>
            <w:tcW w:w="0" w:type="auto"/>
            <w:shd w:val="clear" w:color="auto" w:fill="auto"/>
            <w:tcMar>
              <w:top w:w="40" w:type="dxa"/>
              <w:left w:w="0" w:type="dxa"/>
              <w:bottom w:w="40" w:type="dxa"/>
              <w:right w:w="20" w:type="dxa"/>
            </w:tcMar>
            <w:vAlign w:val="bottom"/>
          </w:tcPr>
          <w:p w14:paraId="5A1B1DF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F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DF4" w14:textId="77777777" w:rsidR="00960BB8" w:rsidRDefault="00C06650">
            <w:pPr>
              <w:jc w:val="right"/>
              <w:textAlignment w:val="bottom"/>
            </w:pPr>
            <w:r>
              <w:rPr>
                <w:rFonts w:ascii="Arial" w:eastAsia="宋体" w:hAnsi="Arial" w:cs="Arial"/>
                <w:color w:val="262626"/>
                <w:sz w:val="18"/>
                <w:szCs w:val="18"/>
              </w:rPr>
              <w:t>819 </w:t>
            </w:r>
          </w:p>
        </w:tc>
        <w:tc>
          <w:tcPr>
            <w:tcW w:w="0" w:type="auto"/>
            <w:shd w:val="clear" w:color="auto" w:fill="auto"/>
            <w:tcMar>
              <w:top w:w="40" w:type="dxa"/>
              <w:left w:w="0" w:type="dxa"/>
              <w:bottom w:w="40" w:type="dxa"/>
              <w:right w:w="20" w:type="dxa"/>
            </w:tcMar>
            <w:vAlign w:val="bottom"/>
          </w:tcPr>
          <w:p w14:paraId="5A1B1DF5" w14:textId="77777777" w:rsidR="00960BB8" w:rsidRDefault="00960BB8">
            <w:pPr>
              <w:jc w:val="right"/>
              <w:rPr>
                <w:rFonts w:ascii="宋体"/>
              </w:rPr>
            </w:pPr>
          </w:p>
        </w:tc>
      </w:tr>
      <w:tr w:rsidR="00960BB8" w14:paraId="5A1B1DFE" w14:textId="77777777">
        <w:tc>
          <w:tcPr>
            <w:tcW w:w="0" w:type="auto"/>
            <w:gridSpan w:val="3"/>
            <w:shd w:val="clear" w:color="auto" w:fill="auto"/>
            <w:tcMar>
              <w:top w:w="40" w:type="dxa"/>
              <w:left w:w="20" w:type="dxa"/>
              <w:bottom w:w="40" w:type="dxa"/>
              <w:right w:w="20" w:type="dxa"/>
            </w:tcMar>
            <w:vAlign w:val="bottom"/>
          </w:tcPr>
          <w:p w14:paraId="5A1B1DF7" w14:textId="77777777" w:rsidR="00960BB8" w:rsidRDefault="00C06650">
            <w:pPr>
              <w:textAlignment w:val="bottom"/>
            </w:pPr>
            <w:r>
              <w:rPr>
                <w:rFonts w:ascii="Arial" w:eastAsia="宋体" w:hAnsi="Arial" w:cs="Arial"/>
                <w:b/>
                <w:bCs/>
                <w:color w:val="262626"/>
                <w:sz w:val="18"/>
                <w:szCs w:val="18"/>
              </w:rPr>
              <w:t>Gross deferred tax assets</w:t>
            </w:r>
          </w:p>
        </w:tc>
        <w:tc>
          <w:tcPr>
            <w:tcW w:w="0" w:type="auto"/>
            <w:gridSpan w:val="3"/>
            <w:shd w:val="clear" w:color="auto" w:fill="auto"/>
            <w:tcMar>
              <w:top w:w="0" w:type="dxa"/>
              <w:left w:w="20" w:type="dxa"/>
              <w:bottom w:w="0" w:type="dxa"/>
              <w:right w:w="20" w:type="dxa"/>
            </w:tcMar>
            <w:vAlign w:val="bottom"/>
          </w:tcPr>
          <w:p w14:paraId="5A1B1DF8"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DF9" w14:textId="77777777" w:rsidR="00960BB8" w:rsidRDefault="00C06650">
            <w:pPr>
              <w:jc w:val="right"/>
              <w:textAlignment w:val="bottom"/>
            </w:pPr>
            <w:r>
              <w:rPr>
                <w:rFonts w:ascii="Arial" w:eastAsia="宋体" w:hAnsi="Arial" w:cs="Arial"/>
                <w:b/>
                <w:bCs/>
                <w:color w:val="0068B5"/>
                <w:sz w:val="18"/>
                <w:szCs w:val="18"/>
              </w:rPr>
              <w:t>11,881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DF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DFB"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1DFC" w14:textId="77777777" w:rsidR="00960BB8" w:rsidRDefault="00C06650">
            <w:pPr>
              <w:jc w:val="right"/>
              <w:textAlignment w:val="bottom"/>
            </w:pPr>
            <w:r>
              <w:rPr>
                <w:rFonts w:ascii="Arial" w:eastAsia="宋体" w:hAnsi="Arial" w:cs="Arial"/>
                <w:b/>
                <w:bCs/>
                <w:color w:val="262626"/>
                <w:sz w:val="18"/>
                <w:szCs w:val="18"/>
              </w:rPr>
              <w:t>6,225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DFD" w14:textId="77777777" w:rsidR="00960BB8" w:rsidRDefault="00960BB8">
            <w:pPr>
              <w:jc w:val="right"/>
              <w:rPr>
                <w:rFonts w:ascii="宋体"/>
              </w:rPr>
            </w:pPr>
          </w:p>
        </w:tc>
      </w:tr>
      <w:tr w:rsidR="00960BB8" w14:paraId="5A1B1E06" w14:textId="77777777">
        <w:tc>
          <w:tcPr>
            <w:tcW w:w="0" w:type="auto"/>
            <w:gridSpan w:val="3"/>
            <w:shd w:val="clear" w:color="auto" w:fill="auto"/>
            <w:tcMar>
              <w:top w:w="40" w:type="dxa"/>
              <w:left w:w="20" w:type="dxa"/>
              <w:bottom w:w="40" w:type="dxa"/>
              <w:right w:w="20" w:type="dxa"/>
            </w:tcMar>
            <w:vAlign w:val="bottom"/>
          </w:tcPr>
          <w:p w14:paraId="5A1B1DFF" w14:textId="77777777" w:rsidR="00960BB8" w:rsidRDefault="00C06650">
            <w:pPr>
              <w:textAlignment w:val="bottom"/>
            </w:pPr>
            <w:r>
              <w:rPr>
                <w:rFonts w:ascii="Arial" w:eastAsia="宋体" w:hAnsi="Arial" w:cs="Arial"/>
                <w:color w:val="262626"/>
                <w:sz w:val="18"/>
                <w:szCs w:val="18"/>
              </w:rPr>
              <w:t>Valuation allowance</w:t>
            </w:r>
          </w:p>
        </w:tc>
        <w:tc>
          <w:tcPr>
            <w:tcW w:w="0" w:type="auto"/>
            <w:gridSpan w:val="3"/>
            <w:shd w:val="clear" w:color="auto" w:fill="auto"/>
            <w:tcMar>
              <w:top w:w="0" w:type="dxa"/>
              <w:left w:w="20" w:type="dxa"/>
              <w:bottom w:w="0" w:type="dxa"/>
              <w:right w:w="20" w:type="dxa"/>
            </w:tcMar>
            <w:vAlign w:val="bottom"/>
          </w:tcPr>
          <w:p w14:paraId="5A1B1E0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01" w14:textId="77777777" w:rsidR="00960BB8" w:rsidRDefault="00C06650">
            <w:pPr>
              <w:jc w:val="right"/>
              <w:textAlignment w:val="bottom"/>
            </w:pPr>
            <w:r>
              <w:rPr>
                <w:rFonts w:ascii="Arial" w:eastAsia="宋体" w:hAnsi="Arial" w:cs="Arial"/>
                <w:color w:val="0068B5"/>
                <w:sz w:val="18"/>
                <w:szCs w:val="18"/>
              </w:rPr>
              <w:t>(2,586)</w:t>
            </w:r>
          </w:p>
        </w:tc>
        <w:tc>
          <w:tcPr>
            <w:tcW w:w="0" w:type="auto"/>
            <w:shd w:val="clear" w:color="auto" w:fill="auto"/>
            <w:tcMar>
              <w:top w:w="40" w:type="dxa"/>
              <w:left w:w="0" w:type="dxa"/>
              <w:bottom w:w="40" w:type="dxa"/>
              <w:right w:w="20" w:type="dxa"/>
            </w:tcMar>
            <w:vAlign w:val="bottom"/>
          </w:tcPr>
          <w:p w14:paraId="5A1B1E0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0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04" w14:textId="77777777" w:rsidR="00960BB8" w:rsidRDefault="00C06650">
            <w:pPr>
              <w:jc w:val="right"/>
              <w:textAlignment w:val="bottom"/>
            </w:pPr>
            <w:r>
              <w:rPr>
                <w:rFonts w:ascii="Arial" w:eastAsia="宋体" w:hAnsi="Arial" w:cs="Arial"/>
                <w:color w:val="262626"/>
                <w:sz w:val="18"/>
                <w:szCs w:val="18"/>
              </w:rPr>
              <w:t>(2,259)</w:t>
            </w:r>
          </w:p>
        </w:tc>
        <w:tc>
          <w:tcPr>
            <w:tcW w:w="0" w:type="auto"/>
            <w:shd w:val="clear" w:color="auto" w:fill="auto"/>
            <w:tcMar>
              <w:top w:w="40" w:type="dxa"/>
              <w:left w:w="0" w:type="dxa"/>
              <w:bottom w:w="40" w:type="dxa"/>
              <w:right w:w="20" w:type="dxa"/>
            </w:tcMar>
            <w:vAlign w:val="bottom"/>
          </w:tcPr>
          <w:p w14:paraId="5A1B1E05" w14:textId="77777777" w:rsidR="00960BB8" w:rsidRDefault="00960BB8">
            <w:pPr>
              <w:jc w:val="right"/>
              <w:rPr>
                <w:rFonts w:ascii="宋体"/>
              </w:rPr>
            </w:pPr>
          </w:p>
        </w:tc>
      </w:tr>
      <w:tr w:rsidR="00960BB8" w14:paraId="5A1B1E0E" w14:textId="77777777">
        <w:tc>
          <w:tcPr>
            <w:tcW w:w="0" w:type="auto"/>
            <w:gridSpan w:val="3"/>
            <w:shd w:val="clear" w:color="auto" w:fill="auto"/>
            <w:tcMar>
              <w:top w:w="40" w:type="dxa"/>
              <w:left w:w="20" w:type="dxa"/>
              <w:bottom w:w="40" w:type="dxa"/>
              <w:right w:w="20" w:type="dxa"/>
            </w:tcMar>
            <w:vAlign w:val="bottom"/>
          </w:tcPr>
          <w:p w14:paraId="5A1B1E07" w14:textId="77777777" w:rsidR="00960BB8" w:rsidRDefault="00C06650">
            <w:pPr>
              <w:textAlignment w:val="bottom"/>
            </w:pPr>
            <w:r>
              <w:rPr>
                <w:rFonts w:ascii="Arial" w:eastAsia="宋体" w:hAnsi="Arial" w:cs="Arial"/>
                <w:b/>
                <w:bCs/>
                <w:color w:val="262626"/>
                <w:sz w:val="18"/>
                <w:szCs w:val="18"/>
              </w:rPr>
              <w:t>Total deferred tax assets</w:t>
            </w:r>
          </w:p>
        </w:tc>
        <w:tc>
          <w:tcPr>
            <w:tcW w:w="0" w:type="auto"/>
            <w:gridSpan w:val="3"/>
            <w:shd w:val="clear" w:color="auto" w:fill="auto"/>
            <w:tcMar>
              <w:top w:w="0" w:type="dxa"/>
              <w:left w:w="20" w:type="dxa"/>
              <w:bottom w:w="0" w:type="dxa"/>
              <w:right w:w="20" w:type="dxa"/>
            </w:tcMar>
            <w:vAlign w:val="bottom"/>
          </w:tcPr>
          <w:p w14:paraId="5A1B1E08"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E09" w14:textId="77777777" w:rsidR="00960BB8" w:rsidRDefault="00C06650">
            <w:pPr>
              <w:jc w:val="right"/>
              <w:textAlignment w:val="bottom"/>
            </w:pPr>
            <w:r>
              <w:rPr>
                <w:rFonts w:ascii="Arial" w:eastAsia="宋体" w:hAnsi="Arial" w:cs="Arial"/>
                <w:b/>
                <w:bCs/>
                <w:color w:val="0068B5"/>
                <w:sz w:val="18"/>
                <w:szCs w:val="18"/>
              </w:rPr>
              <w:t>9,295</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E0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0B"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E0C" w14:textId="77777777" w:rsidR="00960BB8" w:rsidRDefault="00C06650">
            <w:pPr>
              <w:jc w:val="right"/>
              <w:textAlignment w:val="bottom"/>
            </w:pPr>
            <w:r>
              <w:rPr>
                <w:rFonts w:ascii="Arial" w:eastAsia="宋体" w:hAnsi="Arial" w:cs="Arial"/>
                <w:b/>
                <w:bCs/>
                <w:color w:val="262626"/>
                <w:sz w:val="18"/>
                <w:szCs w:val="18"/>
              </w:rPr>
              <w:t>3,966</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1E0D" w14:textId="77777777" w:rsidR="00960BB8" w:rsidRDefault="00960BB8">
            <w:pPr>
              <w:jc w:val="right"/>
              <w:rPr>
                <w:rFonts w:ascii="宋体"/>
              </w:rPr>
            </w:pPr>
          </w:p>
        </w:tc>
      </w:tr>
      <w:tr w:rsidR="00960BB8" w14:paraId="5A1B1E14" w14:textId="77777777">
        <w:tc>
          <w:tcPr>
            <w:tcW w:w="0" w:type="auto"/>
            <w:gridSpan w:val="3"/>
            <w:shd w:val="clear" w:color="auto" w:fill="auto"/>
            <w:tcMar>
              <w:top w:w="40" w:type="dxa"/>
              <w:left w:w="20" w:type="dxa"/>
              <w:bottom w:w="40" w:type="dxa"/>
              <w:right w:w="20" w:type="dxa"/>
            </w:tcMar>
            <w:vAlign w:val="bottom"/>
          </w:tcPr>
          <w:p w14:paraId="5A1B1E0F" w14:textId="77777777" w:rsidR="00960BB8" w:rsidRDefault="00C06650">
            <w:pPr>
              <w:textAlignment w:val="bottom"/>
            </w:pPr>
            <w:r>
              <w:rPr>
                <w:rFonts w:ascii="Arial" w:eastAsia="宋体" w:hAnsi="Arial" w:cs="Arial"/>
                <w:color w:val="262626"/>
                <w:sz w:val="18"/>
                <w:szCs w:val="18"/>
              </w:rPr>
              <w:t xml:space="preserve">Deferred tax </w:t>
            </w: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5A1B1E10"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E1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E12"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1E13" w14:textId="77777777" w:rsidR="00960BB8" w:rsidRDefault="00960BB8">
            <w:pPr>
              <w:rPr>
                <w:rFonts w:ascii="宋体"/>
              </w:rPr>
            </w:pPr>
          </w:p>
        </w:tc>
      </w:tr>
      <w:tr w:rsidR="00960BB8" w14:paraId="5A1B1E1C" w14:textId="77777777">
        <w:tc>
          <w:tcPr>
            <w:tcW w:w="0" w:type="auto"/>
            <w:gridSpan w:val="3"/>
            <w:shd w:val="clear" w:color="auto" w:fill="auto"/>
            <w:tcMar>
              <w:top w:w="40" w:type="dxa"/>
              <w:left w:w="155" w:type="dxa"/>
              <w:bottom w:w="40" w:type="dxa"/>
              <w:right w:w="20" w:type="dxa"/>
            </w:tcMar>
            <w:vAlign w:val="bottom"/>
          </w:tcPr>
          <w:p w14:paraId="5A1B1E15" w14:textId="77777777" w:rsidR="00960BB8" w:rsidRDefault="00C06650">
            <w:pPr>
              <w:textAlignment w:val="bottom"/>
            </w:pPr>
            <w:r>
              <w:rPr>
                <w:rFonts w:ascii="Arial" w:eastAsia="宋体" w:hAnsi="Arial" w:cs="Arial"/>
                <w:color w:val="262626"/>
                <w:sz w:val="18"/>
                <w:szCs w:val="18"/>
              </w:rPr>
              <w:t>Property, plant and equipment</w:t>
            </w:r>
          </w:p>
        </w:tc>
        <w:tc>
          <w:tcPr>
            <w:tcW w:w="0" w:type="auto"/>
            <w:gridSpan w:val="3"/>
            <w:shd w:val="clear" w:color="auto" w:fill="auto"/>
            <w:tcMar>
              <w:top w:w="0" w:type="dxa"/>
              <w:left w:w="20" w:type="dxa"/>
              <w:bottom w:w="0" w:type="dxa"/>
              <w:right w:w="20" w:type="dxa"/>
            </w:tcMar>
            <w:vAlign w:val="bottom"/>
          </w:tcPr>
          <w:p w14:paraId="5A1B1E1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17" w14:textId="77777777" w:rsidR="00960BB8" w:rsidRDefault="00C06650">
            <w:pPr>
              <w:jc w:val="right"/>
              <w:textAlignment w:val="bottom"/>
            </w:pPr>
            <w:r>
              <w:rPr>
                <w:rFonts w:ascii="Arial" w:eastAsia="宋体" w:hAnsi="Arial" w:cs="Arial"/>
                <w:color w:val="0068B5"/>
                <w:sz w:val="18"/>
                <w:szCs w:val="18"/>
              </w:rPr>
              <w:t>(4,776)</w:t>
            </w:r>
          </w:p>
        </w:tc>
        <w:tc>
          <w:tcPr>
            <w:tcW w:w="0" w:type="auto"/>
            <w:shd w:val="clear" w:color="auto" w:fill="auto"/>
            <w:tcMar>
              <w:top w:w="40" w:type="dxa"/>
              <w:left w:w="0" w:type="dxa"/>
              <w:bottom w:w="40" w:type="dxa"/>
              <w:right w:w="20" w:type="dxa"/>
            </w:tcMar>
            <w:vAlign w:val="bottom"/>
          </w:tcPr>
          <w:p w14:paraId="5A1B1E1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1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1A" w14:textId="77777777" w:rsidR="00960BB8" w:rsidRDefault="00C06650">
            <w:pPr>
              <w:jc w:val="right"/>
              <w:textAlignment w:val="bottom"/>
            </w:pPr>
            <w:r>
              <w:rPr>
                <w:rFonts w:ascii="Arial" w:eastAsia="宋体" w:hAnsi="Arial" w:cs="Arial"/>
                <w:color w:val="262626"/>
                <w:sz w:val="18"/>
                <w:szCs w:val="18"/>
              </w:rPr>
              <w:t>(4,213)</w:t>
            </w:r>
          </w:p>
        </w:tc>
        <w:tc>
          <w:tcPr>
            <w:tcW w:w="0" w:type="auto"/>
            <w:shd w:val="clear" w:color="auto" w:fill="auto"/>
            <w:tcMar>
              <w:top w:w="40" w:type="dxa"/>
              <w:left w:w="0" w:type="dxa"/>
              <w:bottom w:w="40" w:type="dxa"/>
              <w:right w:w="20" w:type="dxa"/>
            </w:tcMar>
            <w:vAlign w:val="bottom"/>
          </w:tcPr>
          <w:p w14:paraId="5A1B1E1B" w14:textId="77777777" w:rsidR="00960BB8" w:rsidRDefault="00960BB8">
            <w:pPr>
              <w:jc w:val="right"/>
              <w:rPr>
                <w:rFonts w:ascii="宋体"/>
              </w:rPr>
            </w:pPr>
          </w:p>
        </w:tc>
      </w:tr>
      <w:tr w:rsidR="00960BB8" w14:paraId="5A1B1E24" w14:textId="77777777">
        <w:tc>
          <w:tcPr>
            <w:tcW w:w="0" w:type="auto"/>
            <w:gridSpan w:val="3"/>
            <w:shd w:val="clear" w:color="auto" w:fill="auto"/>
            <w:tcMar>
              <w:top w:w="40" w:type="dxa"/>
              <w:left w:w="155" w:type="dxa"/>
              <w:bottom w:w="40" w:type="dxa"/>
              <w:right w:w="20" w:type="dxa"/>
            </w:tcMar>
            <w:vAlign w:val="bottom"/>
          </w:tcPr>
          <w:p w14:paraId="5A1B1E1D" w14:textId="77777777" w:rsidR="00960BB8" w:rsidRDefault="00C06650">
            <w:pPr>
              <w:textAlignment w:val="bottom"/>
            </w:pPr>
            <w:r>
              <w:rPr>
                <w:rFonts w:ascii="Arial" w:eastAsia="宋体" w:hAnsi="Arial" w:cs="Arial"/>
                <w:color w:val="262626"/>
                <w:sz w:val="18"/>
                <w:szCs w:val="18"/>
              </w:rPr>
              <w:t>Licenses and intangibles</w:t>
            </w:r>
          </w:p>
        </w:tc>
        <w:tc>
          <w:tcPr>
            <w:tcW w:w="0" w:type="auto"/>
            <w:gridSpan w:val="3"/>
            <w:shd w:val="clear" w:color="auto" w:fill="auto"/>
            <w:tcMar>
              <w:top w:w="0" w:type="dxa"/>
              <w:left w:w="20" w:type="dxa"/>
              <w:bottom w:w="0" w:type="dxa"/>
              <w:right w:w="20" w:type="dxa"/>
            </w:tcMar>
            <w:vAlign w:val="bottom"/>
          </w:tcPr>
          <w:p w14:paraId="5A1B1E1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1F" w14:textId="77777777" w:rsidR="00960BB8" w:rsidRDefault="00C06650">
            <w:pPr>
              <w:jc w:val="right"/>
              <w:textAlignment w:val="bottom"/>
            </w:pPr>
            <w:r>
              <w:rPr>
                <w:rFonts w:ascii="Arial" w:eastAsia="宋体" w:hAnsi="Arial" w:cs="Arial"/>
                <w:color w:val="0068B5"/>
                <w:sz w:val="18"/>
                <w:szCs w:val="18"/>
              </w:rPr>
              <w:t>(386)</w:t>
            </w:r>
          </w:p>
        </w:tc>
        <w:tc>
          <w:tcPr>
            <w:tcW w:w="0" w:type="auto"/>
            <w:shd w:val="clear" w:color="auto" w:fill="auto"/>
            <w:tcMar>
              <w:top w:w="40" w:type="dxa"/>
              <w:left w:w="0" w:type="dxa"/>
              <w:bottom w:w="40" w:type="dxa"/>
              <w:right w:w="20" w:type="dxa"/>
            </w:tcMar>
            <w:vAlign w:val="bottom"/>
          </w:tcPr>
          <w:p w14:paraId="5A1B1E2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2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22" w14:textId="77777777" w:rsidR="00960BB8" w:rsidRDefault="00C06650">
            <w:pPr>
              <w:jc w:val="right"/>
              <w:textAlignment w:val="bottom"/>
            </w:pPr>
            <w:r>
              <w:rPr>
                <w:rFonts w:ascii="Arial" w:eastAsia="宋体" w:hAnsi="Arial" w:cs="Arial"/>
                <w:color w:val="262626"/>
                <w:sz w:val="18"/>
                <w:szCs w:val="18"/>
              </w:rPr>
              <w:t>(486)</w:t>
            </w:r>
          </w:p>
        </w:tc>
        <w:tc>
          <w:tcPr>
            <w:tcW w:w="0" w:type="auto"/>
            <w:shd w:val="clear" w:color="auto" w:fill="auto"/>
            <w:tcMar>
              <w:top w:w="40" w:type="dxa"/>
              <w:left w:w="0" w:type="dxa"/>
              <w:bottom w:w="40" w:type="dxa"/>
              <w:right w:w="20" w:type="dxa"/>
            </w:tcMar>
            <w:vAlign w:val="bottom"/>
          </w:tcPr>
          <w:p w14:paraId="5A1B1E23" w14:textId="77777777" w:rsidR="00960BB8" w:rsidRDefault="00960BB8">
            <w:pPr>
              <w:jc w:val="right"/>
              <w:rPr>
                <w:rFonts w:ascii="宋体"/>
              </w:rPr>
            </w:pPr>
          </w:p>
        </w:tc>
      </w:tr>
      <w:tr w:rsidR="00960BB8" w14:paraId="5A1B1E2A" w14:textId="77777777">
        <w:trPr>
          <w:hidden/>
        </w:trPr>
        <w:tc>
          <w:tcPr>
            <w:tcW w:w="0" w:type="auto"/>
            <w:gridSpan w:val="3"/>
            <w:shd w:val="clear" w:color="auto" w:fill="auto"/>
            <w:vAlign w:val="bottom"/>
          </w:tcPr>
          <w:p w14:paraId="5A1B1E25" w14:textId="77777777" w:rsidR="00960BB8" w:rsidRDefault="00960BB8">
            <w:pPr>
              <w:rPr>
                <w:rFonts w:ascii="宋体"/>
                <w:vanish/>
              </w:rPr>
            </w:pPr>
          </w:p>
        </w:tc>
        <w:tc>
          <w:tcPr>
            <w:tcW w:w="0" w:type="auto"/>
            <w:gridSpan w:val="3"/>
            <w:shd w:val="clear" w:color="auto" w:fill="auto"/>
            <w:vAlign w:val="bottom"/>
          </w:tcPr>
          <w:p w14:paraId="5A1B1E26" w14:textId="77777777" w:rsidR="00960BB8" w:rsidRDefault="00960BB8">
            <w:pPr>
              <w:rPr>
                <w:rFonts w:ascii="宋体"/>
                <w:vanish/>
              </w:rPr>
            </w:pPr>
          </w:p>
        </w:tc>
        <w:tc>
          <w:tcPr>
            <w:tcW w:w="0" w:type="auto"/>
            <w:gridSpan w:val="3"/>
            <w:shd w:val="clear" w:color="auto" w:fill="auto"/>
            <w:vAlign w:val="bottom"/>
          </w:tcPr>
          <w:p w14:paraId="5A1B1E27" w14:textId="77777777" w:rsidR="00960BB8" w:rsidRDefault="00960BB8">
            <w:pPr>
              <w:rPr>
                <w:rFonts w:ascii="宋体"/>
                <w:vanish/>
              </w:rPr>
            </w:pPr>
          </w:p>
        </w:tc>
        <w:tc>
          <w:tcPr>
            <w:tcW w:w="0" w:type="auto"/>
            <w:gridSpan w:val="3"/>
            <w:shd w:val="clear" w:color="auto" w:fill="auto"/>
            <w:vAlign w:val="bottom"/>
          </w:tcPr>
          <w:p w14:paraId="5A1B1E28" w14:textId="77777777" w:rsidR="00960BB8" w:rsidRDefault="00960BB8">
            <w:pPr>
              <w:rPr>
                <w:rFonts w:ascii="宋体"/>
                <w:vanish/>
              </w:rPr>
            </w:pPr>
          </w:p>
        </w:tc>
        <w:tc>
          <w:tcPr>
            <w:tcW w:w="0" w:type="auto"/>
            <w:gridSpan w:val="3"/>
            <w:shd w:val="clear" w:color="auto" w:fill="auto"/>
            <w:vAlign w:val="bottom"/>
          </w:tcPr>
          <w:p w14:paraId="5A1B1E29" w14:textId="77777777" w:rsidR="00960BB8" w:rsidRDefault="00960BB8">
            <w:pPr>
              <w:rPr>
                <w:rFonts w:ascii="宋体"/>
                <w:vanish/>
              </w:rPr>
            </w:pPr>
          </w:p>
        </w:tc>
      </w:tr>
      <w:tr w:rsidR="00960BB8" w14:paraId="5A1B1E32" w14:textId="77777777">
        <w:tc>
          <w:tcPr>
            <w:tcW w:w="0" w:type="auto"/>
            <w:gridSpan w:val="3"/>
            <w:shd w:val="clear" w:color="auto" w:fill="auto"/>
            <w:tcMar>
              <w:top w:w="40" w:type="dxa"/>
              <w:left w:w="155" w:type="dxa"/>
              <w:bottom w:w="40" w:type="dxa"/>
              <w:right w:w="20" w:type="dxa"/>
            </w:tcMar>
            <w:vAlign w:val="bottom"/>
          </w:tcPr>
          <w:p w14:paraId="5A1B1E2B" w14:textId="77777777" w:rsidR="00960BB8" w:rsidRDefault="00C06650">
            <w:pPr>
              <w:textAlignment w:val="bottom"/>
            </w:pPr>
            <w:r>
              <w:rPr>
                <w:rFonts w:ascii="Arial" w:eastAsia="宋体" w:hAnsi="Arial" w:cs="Arial"/>
                <w:color w:val="262626"/>
                <w:sz w:val="18"/>
                <w:szCs w:val="18"/>
              </w:rPr>
              <w:t>Unrealized gains on investments and derivatives</w:t>
            </w:r>
          </w:p>
        </w:tc>
        <w:tc>
          <w:tcPr>
            <w:tcW w:w="0" w:type="auto"/>
            <w:gridSpan w:val="3"/>
            <w:shd w:val="clear" w:color="auto" w:fill="auto"/>
            <w:tcMar>
              <w:top w:w="0" w:type="dxa"/>
              <w:left w:w="20" w:type="dxa"/>
              <w:bottom w:w="0" w:type="dxa"/>
              <w:right w:w="20" w:type="dxa"/>
            </w:tcMar>
            <w:vAlign w:val="bottom"/>
          </w:tcPr>
          <w:p w14:paraId="5A1B1E2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2D" w14:textId="77777777" w:rsidR="00960BB8" w:rsidRDefault="00C06650">
            <w:pPr>
              <w:jc w:val="right"/>
              <w:textAlignment w:val="bottom"/>
            </w:pPr>
            <w:r>
              <w:rPr>
                <w:rFonts w:ascii="Arial" w:eastAsia="宋体" w:hAnsi="Arial" w:cs="Arial"/>
                <w:color w:val="0068B5"/>
                <w:sz w:val="18"/>
                <w:szCs w:val="18"/>
              </w:rPr>
              <w:t>(415)</w:t>
            </w:r>
          </w:p>
        </w:tc>
        <w:tc>
          <w:tcPr>
            <w:tcW w:w="0" w:type="auto"/>
            <w:shd w:val="clear" w:color="auto" w:fill="auto"/>
            <w:tcMar>
              <w:top w:w="40" w:type="dxa"/>
              <w:left w:w="0" w:type="dxa"/>
              <w:bottom w:w="40" w:type="dxa"/>
              <w:right w:w="20" w:type="dxa"/>
            </w:tcMar>
            <w:vAlign w:val="bottom"/>
          </w:tcPr>
          <w:p w14:paraId="5A1B1E2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2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30" w14:textId="77777777" w:rsidR="00960BB8" w:rsidRDefault="00C06650">
            <w:pPr>
              <w:jc w:val="right"/>
              <w:textAlignment w:val="bottom"/>
            </w:pPr>
            <w:r>
              <w:rPr>
                <w:rFonts w:ascii="Arial" w:eastAsia="宋体" w:hAnsi="Arial" w:cs="Arial"/>
                <w:color w:val="262626"/>
                <w:sz w:val="18"/>
                <w:szCs w:val="18"/>
              </w:rPr>
              <w:t>(819)</w:t>
            </w:r>
          </w:p>
        </w:tc>
        <w:tc>
          <w:tcPr>
            <w:tcW w:w="0" w:type="auto"/>
            <w:shd w:val="clear" w:color="auto" w:fill="auto"/>
            <w:tcMar>
              <w:top w:w="40" w:type="dxa"/>
              <w:left w:w="0" w:type="dxa"/>
              <w:bottom w:w="40" w:type="dxa"/>
              <w:right w:w="20" w:type="dxa"/>
            </w:tcMar>
            <w:vAlign w:val="bottom"/>
          </w:tcPr>
          <w:p w14:paraId="5A1B1E31" w14:textId="77777777" w:rsidR="00960BB8" w:rsidRDefault="00960BB8">
            <w:pPr>
              <w:jc w:val="right"/>
              <w:rPr>
                <w:rFonts w:ascii="宋体"/>
              </w:rPr>
            </w:pPr>
          </w:p>
        </w:tc>
      </w:tr>
      <w:tr w:rsidR="00960BB8" w14:paraId="5A1B1E38" w14:textId="77777777">
        <w:trPr>
          <w:hidden/>
        </w:trPr>
        <w:tc>
          <w:tcPr>
            <w:tcW w:w="0" w:type="auto"/>
            <w:gridSpan w:val="3"/>
            <w:shd w:val="clear" w:color="auto" w:fill="auto"/>
            <w:vAlign w:val="bottom"/>
          </w:tcPr>
          <w:p w14:paraId="5A1B1E33" w14:textId="77777777" w:rsidR="00960BB8" w:rsidRDefault="00960BB8">
            <w:pPr>
              <w:rPr>
                <w:rFonts w:ascii="宋体"/>
                <w:vanish/>
              </w:rPr>
            </w:pPr>
          </w:p>
        </w:tc>
        <w:tc>
          <w:tcPr>
            <w:tcW w:w="0" w:type="auto"/>
            <w:gridSpan w:val="3"/>
            <w:shd w:val="clear" w:color="auto" w:fill="auto"/>
            <w:vAlign w:val="bottom"/>
          </w:tcPr>
          <w:p w14:paraId="5A1B1E34" w14:textId="77777777" w:rsidR="00960BB8" w:rsidRDefault="00960BB8">
            <w:pPr>
              <w:rPr>
                <w:rFonts w:ascii="宋体"/>
                <w:vanish/>
              </w:rPr>
            </w:pPr>
          </w:p>
        </w:tc>
        <w:tc>
          <w:tcPr>
            <w:tcW w:w="0" w:type="auto"/>
            <w:gridSpan w:val="3"/>
            <w:shd w:val="clear" w:color="auto" w:fill="auto"/>
            <w:vAlign w:val="bottom"/>
          </w:tcPr>
          <w:p w14:paraId="5A1B1E35" w14:textId="77777777" w:rsidR="00960BB8" w:rsidRDefault="00960BB8">
            <w:pPr>
              <w:rPr>
                <w:rFonts w:ascii="宋体"/>
                <w:vanish/>
              </w:rPr>
            </w:pPr>
          </w:p>
        </w:tc>
        <w:tc>
          <w:tcPr>
            <w:tcW w:w="0" w:type="auto"/>
            <w:gridSpan w:val="3"/>
            <w:shd w:val="clear" w:color="auto" w:fill="auto"/>
            <w:vAlign w:val="bottom"/>
          </w:tcPr>
          <w:p w14:paraId="5A1B1E36" w14:textId="77777777" w:rsidR="00960BB8" w:rsidRDefault="00960BB8">
            <w:pPr>
              <w:rPr>
                <w:rFonts w:ascii="宋体"/>
                <w:vanish/>
              </w:rPr>
            </w:pPr>
          </w:p>
        </w:tc>
        <w:tc>
          <w:tcPr>
            <w:tcW w:w="0" w:type="auto"/>
            <w:gridSpan w:val="3"/>
            <w:shd w:val="clear" w:color="auto" w:fill="auto"/>
            <w:vAlign w:val="bottom"/>
          </w:tcPr>
          <w:p w14:paraId="5A1B1E37" w14:textId="77777777" w:rsidR="00960BB8" w:rsidRDefault="00960BB8">
            <w:pPr>
              <w:rPr>
                <w:rFonts w:ascii="宋体"/>
                <w:vanish/>
              </w:rPr>
            </w:pPr>
          </w:p>
        </w:tc>
      </w:tr>
      <w:tr w:rsidR="00960BB8" w14:paraId="5A1B1E40" w14:textId="77777777">
        <w:tc>
          <w:tcPr>
            <w:tcW w:w="0" w:type="auto"/>
            <w:gridSpan w:val="3"/>
            <w:shd w:val="clear" w:color="auto" w:fill="auto"/>
            <w:tcMar>
              <w:top w:w="40" w:type="dxa"/>
              <w:left w:w="155" w:type="dxa"/>
              <w:bottom w:w="40" w:type="dxa"/>
              <w:right w:w="20" w:type="dxa"/>
            </w:tcMar>
            <w:vAlign w:val="bottom"/>
          </w:tcPr>
          <w:p w14:paraId="5A1B1E39" w14:textId="77777777" w:rsidR="00960BB8" w:rsidRDefault="00C06650">
            <w:pPr>
              <w:textAlignment w:val="bottom"/>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5A1B1E3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3B" w14:textId="77777777" w:rsidR="00960BB8" w:rsidRDefault="00C06650">
            <w:pPr>
              <w:jc w:val="right"/>
              <w:textAlignment w:val="bottom"/>
            </w:pPr>
            <w:r>
              <w:rPr>
                <w:rFonts w:ascii="Arial" w:eastAsia="宋体" w:hAnsi="Arial" w:cs="Arial"/>
                <w:color w:val="0068B5"/>
                <w:sz w:val="18"/>
                <w:szCs w:val="18"/>
              </w:rPr>
              <w:t>(470)</w:t>
            </w:r>
          </w:p>
        </w:tc>
        <w:tc>
          <w:tcPr>
            <w:tcW w:w="0" w:type="auto"/>
            <w:shd w:val="clear" w:color="auto" w:fill="auto"/>
            <w:tcMar>
              <w:top w:w="40" w:type="dxa"/>
              <w:left w:w="0" w:type="dxa"/>
              <w:bottom w:w="40" w:type="dxa"/>
              <w:right w:w="20" w:type="dxa"/>
            </w:tcMar>
            <w:vAlign w:val="bottom"/>
          </w:tcPr>
          <w:p w14:paraId="5A1B1E3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3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3E" w14:textId="77777777" w:rsidR="00960BB8" w:rsidRDefault="00C06650">
            <w:pPr>
              <w:jc w:val="right"/>
              <w:textAlignment w:val="bottom"/>
            </w:pPr>
            <w:r>
              <w:rPr>
                <w:rFonts w:ascii="Arial" w:eastAsia="宋体" w:hAnsi="Arial" w:cs="Arial"/>
                <w:color w:val="262626"/>
                <w:sz w:val="18"/>
                <w:szCs w:val="18"/>
              </w:rPr>
              <w:t>(241)</w:t>
            </w:r>
          </w:p>
        </w:tc>
        <w:tc>
          <w:tcPr>
            <w:tcW w:w="0" w:type="auto"/>
            <w:shd w:val="clear" w:color="auto" w:fill="auto"/>
            <w:tcMar>
              <w:top w:w="40" w:type="dxa"/>
              <w:left w:w="0" w:type="dxa"/>
              <w:bottom w:w="40" w:type="dxa"/>
              <w:right w:w="20" w:type="dxa"/>
            </w:tcMar>
            <w:vAlign w:val="bottom"/>
          </w:tcPr>
          <w:p w14:paraId="5A1B1E3F" w14:textId="77777777" w:rsidR="00960BB8" w:rsidRDefault="00960BB8">
            <w:pPr>
              <w:jc w:val="right"/>
              <w:rPr>
                <w:rFonts w:ascii="宋体"/>
              </w:rPr>
            </w:pPr>
          </w:p>
        </w:tc>
      </w:tr>
      <w:tr w:rsidR="00960BB8" w14:paraId="5A1B1E48" w14:textId="77777777">
        <w:tc>
          <w:tcPr>
            <w:tcW w:w="0" w:type="auto"/>
            <w:gridSpan w:val="3"/>
            <w:shd w:val="clear" w:color="auto" w:fill="auto"/>
            <w:tcMar>
              <w:top w:w="40" w:type="dxa"/>
              <w:left w:w="20" w:type="dxa"/>
              <w:bottom w:w="40" w:type="dxa"/>
              <w:right w:w="20" w:type="dxa"/>
            </w:tcMar>
            <w:vAlign w:val="bottom"/>
          </w:tcPr>
          <w:p w14:paraId="5A1B1E41" w14:textId="77777777" w:rsidR="00960BB8" w:rsidRDefault="00C06650">
            <w:pPr>
              <w:textAlignment w:val="bottom"/>
            </w:pPr>
            <w:r>
              <w:rPr>
                <w:rFonts w:ascii="Arial" w:eastAsia="宋体" w:hAnsi="Arial" w:cs="Arial"/>
                <w:b/>
                <w:bCs/>
                <w:color w:val="262626"/>
                <w:sz w:val="18"/>
                <w:szCs w:val="18"/>
              </w:rPr>
              <w:t xml:space="preserve">Total deferred tax </w:t>
            </w:r>
            <w:r>
              <w:rPr>
                <w:rFonts w:ascii="Arial" w:eastAsia="宋体" w:hAnsi="Arial" w:cs="Arial"/>
                <w:b/>
                <w:bCs/>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5A1B1E42"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E43" w14:textId="77777777" w:rsidR="00960BB8" w:rsidRDefault="00C06650">
            <w:pPr>
              <w:jc w:val="right"/>
              <w:textAlignment w:val="bottom"/>
            </w:pPr>
            <w:r>
              <w:rPr>
                <w:rFonts w:ascii="Arial" w:eastAsia="宋体" w:hAnsi="Arial" w:cs="Arial"/>
                <w:b/>
                <w:bCs/>
                <w:color w:val="0068B5"/>
                <w:sz w:val="18"/>
                <w:szCs w:val="18"/>
              </w:rPr>
              <w:t>(6,047)</w:t>
            </w:r>
          </w:p>
        </w:tc>
        <w:tc>
          <w:tcPr>
            <w:tcW w:w="0" w:type="auto"/>
            <w:tcBorders>
              <w:top w:val="single" w:sz="4" w:space="0" w:color="333333"/>
            </w:tcBorders>
            <w:shd w:val="clear" w:color="auto" w:fill="auto"/>
            <w:tcMar>
              <w:top w:w="40" w:type="dxa"/>
              <w:left w:w="0" w:type="dxa"/>
              <w:bottom w:w="40" w:type="dxa"/>
              <w:right w:w="20" w:type="dxa"/>
            </w:tcMar>
            <w:vAlign w:val="bottom"/>
          </w:tcPr>
          <w:p w14:paraId="5A1B1E4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45"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1E46" w14:textId="77777777" w:rsidR="00960BB8" w:rsidRDefault="00C06650">
            <w:pPr>
              <w:jc w:val="right"/>
              <w:textAlignment w:val="bottom"/>
            </w:pPr>
            <w:r>
              <w:rPr>
                <w:rFonts w:ascii="Arial" w:eastAsia="宋体" w:hAnsi="Arial" w:cs="Arial"/>
                <w:b/>
                <w:bCs/>
                <w:color w:val="262626"/>
                <w:sz w:val="18"/>
                <w:szCs w:val="18"/>
              </w:rPr>
              <w:t>(5,759)</w:t>
            </w:r>
          </w:p>
        </w:tc>
        <w:tc>
          <w:tcPr>
            <w:tcW w:w="0" w:type="auto"/>
            <w:tcBorders>
              <w:top w:val="single" w:sz="4" w:space="0" w:color="333333"/>
            </w:tcBorders>
            <w:shd w:val="clear" w:color="auto" w:fill="auto"/>
            <w:tcMar>
              <w:top w:w="40" w:type="dxa"/>
              <w:left w:w="0" w:type="dxa"/>
              <w:bottom w:w="40" w:type="dxa"/>
              <w:right w:w="20" w:type="dxa"/>
            </w:tcMar>
            <w:vAlign w:val="bottom"/>
          </w:tcPr>
          <w:p w14:paraId="5A1B1E47" w14:textId="77777777" w:rsidR="00960BB8" w:rsidRDefault="00960BB8">
            <w:pPr>
              <w:jc w:val="right"/>
              <w:rPr>
                <w:rFonts w:ascii="宋体"/>
              </w:rPr>
            </w:pPr>
          </w:p>
        </w:tc>
      </w:tr>
      <w:tr w:rsidR="00960BB8" w14:paraId="5A1B1E52" w14:textId="77777777">
        <w:tc>
          <w:tcPr>
            <w:tcW w:w="0" w:type="auto"/>
            <w:gridSpan w:val="3"/>
            <w:shd w:val="clear" w:color="auto" w:fill="auto"/>
            <w:tcMar>
              <w:top w:w="40" w:type="dxa"/>
              <w:left w:w="20" w:type="dxa"/>
              <w:bottom w:w="40" w:type="dxa"/>
              <w:right w:w="20" w:type="dxa"/>
            </w:tcMar>
            <w:vAlign w:val="bottom"/>
          </w:tcPr>
          <w:p w14:paraId="5A1B1E49" w14:textId="77777777" w:rsidR="00960BB8" w:rsidRDefault="00C06650">
            <w:pPr>
              <w:textAlignment w:val="bottom"/>
            </w:pPr>
            <w:r>
              <w:rPr>
                <w:rFonts w:ascii="Arial" w:eastAsia="宋体" w:hAnsi="Arial" w:cs="Arial"/>
                <w:b/>
                <w:bCs/>
                <w:color w:val="262626"/>
                <w:sz w:val="18"/>
                <w:szCs w:val="18"/>
              </w:rPr>
              <w:t>Net deferred tax assets (liabilities)</w:t>
            </w:r>
          </w:p>
        </w:tc>
        <w:tc>
          <w:tcPr>
            <w:tcW w:w="0" w:type="auto"/>
            <w:gridSpan w:val="3"/>
            <w:shd w:val="clear" w:color="auto" w:fill="auto"/>
            <w:tcMar>
              <w:top w:w="0" w:type="dxa"/>
              <w:left w:w="20" w:type="dxa"/>
              <w:bottom w:w="0" w:type="dxa"/>
              <w:right w:w="20" w:type="dxa"/>
            </w:tcMar>
            <w:vAlign w:val="bottom"/>
          </w:tcPr>
          <w:p w14:paraId="5A1B1E4A"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E4B"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E4C" w14:textId="77777777" w:rsidR="00960BB8" w:rsidRDefault="00C06650">
            <w:pPr>
              <w:jc w:val="right"/>
              <w:textAlignment w:val="bottom"/>
            </w:pPr>
            <w:r>
              <w:rPr>
                <w:rFonts w:ascii="Arial" w:eastAsia="宋体" w:hAnsi="Arial" w:cs="Arial"/>
                <w:b/>
                <w:bCs/>
                <w:color w:val="0068B5"/>
                <w:sz w:val="18"/>
                <w:szCs w:val="18"/>
              </w:rPr>
              <w:t>3,248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1E4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4E"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1E4F"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1E50" w14:textId="77777777" w:rsidR="00960BB8" w:rsidRDefault="00C06650">
            <w:pPr>
              <w:jc w:val="right"/>
              <w:textAlignment w:val="bottom"/>
            </w:pPr>
            <w:r>
              <w:rPr>
                <w:rFonts w:ascii="Arial" w:eastAsia="宋体" w:hAnsi="Arial" w:cs="Arial"/>
                <w:b/>
                <w:bCs/>
                <w:color w:val="262626"/>
                <w:sz w:val="18"/>
                <w:szCs w:val="18"/>
              </w:rPr>
              <w:t>(1,793)</w:t>
            </w:r>
          </w:p>
        </w:tc>
        <w:tc>
          <w:tcPr>
            <w:tcW w:w="0" w:type="auto"/>
            <w:tcBorders>
              <w:top w:val="single" w:sz="4" w:space="0" w:color="262626"/>
            </w:tcBorders>
            <w:shd w:val="clear" w:color="auto" w:fill="auto"/>
            <w:tcMar>
              <w:top w:w="40" w:type="dxa"/>
              <w:left w:w="0" w:type="dxa"/>
              <w:bottom w:w="40" w:type="dxa"/>
              <w:right w:w="20" w:type="dxa"/>
            </w:tcMar>
            <w:vAlign w:val="bottom"/>
          </w:tcPr>
          <w:p w14:paraId="5A1B1E51" w14:textId="77777777" w:rsidR="00960BB8" w:rsidRDefault="00960BB8">
            <w:pPr>
              <w:jc w:val="right"/>
              <w:rPr>
                <w:rFonts w:ascii="宋体"/>
              </w:rPr>
            </w:pPr>
          </w:p>
        </w:tc>
      </w:tr>
      <w:tr w:rsidR="00960BB8" w14:paraId="5A1B1E58" w14:textId="77777777">
        <w:trPr>
          <w:trHeight w:val="120"/>
        </w:trPr>
        <w:tc>
          <w:tcPr>
            <w:tcW w:w="0" w:type="auto"/>
            <w:gridSpan w:val="3"/>
            <w:shd w:val="clear" w:color="auto" w:fill="auto"/>
            <w:tcMar>
              <w:top w:w="0" w:type="dxa"/>
              <w:left w:w="20" w:type="dxa"/>
              <w:bottom w:w="0" w:type="dxa"/>
              <w:right w:w="20" w:type="dxa"/>
            </w:tcMar>
            <w:vAlign w:val="bottom"/>
          </w:tcPr>
          <w:p w14:paraId="5A1B1E5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E54"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1E5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E56"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1E57" w14:textId="77777777" w:rsidR="00960BB8" w:rsidRDefault="00960BB8">
            <w:pPr>
              <w:rPr>
                <w:rFonts w:ascii="宋体"/>
              </w:rPr>
            </w:pPr>
          </w:p>
        </w:tc>
      </w:tr>
      <w:tr w:rsidR="00960BB8" w14:paraId="5A1B1E5E" w14:textId="77777777">
        <w:tc>
          <w:tcPr>
            <w:tcW w:w="0" w:type="auto"/>
            <w:gridSpan w:val="3"/>
            <w:shd w:val="clear" w:color="auto" w:fill="auto"/>
            <w:tcMar>
              <w:top w:w="40" w:type="dxa"/>
              <w:left w:w="20" w:type="dxa"/>
              <w:bottom w:w="40" w:type="dxa"/>
              <w:right w:w="20" w:type="dxa"/>
            </w:tcMar>
            <w:vAlign w:val="bottom"/>
          </w:tcPr>
          <w:p w14:paraId="5A1B1E59" w14:textId="77777777" w:rsidR="00960BB8" w:rsidRDefault="00C06650">
            <w:pPr>
              <w:textAlignment w:val="bottom"/>
            </w:pPr>
            <w:r>
              <w:rPr>
                <w:rFonts w:ascii="Arial" w:eastAsia="宋体" w:hAnsi="Arial" w:cs="Arial"/>
                <w:color w:val="262626"/>
                <w:sz w:val="18"/>
                <w:szCs w:val="18"/>
              </w:rPr>
              <w:t>Reported as:</w:t>
            </w:r>
          </w:p>
        </w:tc>
        <w:tc>
          <w:tcPr>
            <w:tcW w:w="0" w:type="auto"/>
            <w:gridSpan w:val="3"/>
            <w:shd w:val="clear" w:color="auto" w:fill="auto"/>
            <w:tcMar>
              <w:top w:w="0" w:type="dxa"/>
              <w:left w:w="20" w:type="dxa"/>
              <w:bottom w:w="0" w:type="dxa"/>
              <w:right w:w="20" w:type="dxa"/>
            </w:tcMar>
            <w:vAlign w:val="bottom"/>
          </w:tcPr>
          <w:p w14:paraId="5A1B1E5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E5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E5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E5D" w14:textId="77777777" w:rsidR="00960BB8" w:rsidRDefault="00960BB8">
            <w:pPr>
              <w:rPr>
                <w:rFonts w:ascii="宋体"/>
              </w:rPr>
            </w:pPr>
          </w:p>
        </w:tc>
      </w:tr>
      <w:tr w:rsidR="00960BB8" w14:paraId="5A1B1E66" w14:textId="77777777">
        <w:tc>
          <w:tcPr>
            <w:tcW w:w="0" w:type="auto"/>
            <w:gridSpan w:val="3"/>
            <w:shd w:val="clear" w:color="auto" w:fill="auto"/>
            <w:tcMar>
              <w:top w:w="40" w:type="dxa"/>
              <w:left w:w="155" w:type="dxa"/>
              <w:bottom w:w="40" w:type="dxa"/>
              <w:right w:w="20" w:type="dxa"/>
            </w:tcMar>
            <w:vAlign w:val="bottom"/>
          </w:tcPr>
          <w:p w14:paraId="5A1B1E5F" w14:textId="77777777" w:rsidR="00960BB8" w:rsidRDefault="00C06650">
            <w:pPr>
              <w:textAlignment w:val="bottom"/>
            </w:pPr>
            <w:r>
              <w:rPr>
                <w:rFonts w:ascii="Arial" w:eastAsia="宋体" w:hAnsi="Arial" w:cs="Arial"/>
                <w:color w:val="262626"/>
                <w:sz w:val="18"/>
                <w:szCs w:val="18"/>
              </w:rPr>
              <w:t>Deferred tax assets</w:t>
            </w:r>
          </w:p>
        </w:tc>
        <w:tc>
          <w:tcPr>
            <w:tcW w:w="0" w:type="auto"/>
            <w:gridSpan w:val="3"/>
            <w:shd w:val="clear" w:color="auto" w:fill="auto"/>
            <w:tcMar>
              <w:top w:w="0" w:type="dxa"/>
              <w:left w:w="20" w:type="dxa"/>
              <w:bottom w:w="0" w:type="dxa"/>
              <w:right w:w="20" w:type="dxa"/>
            </w:tcMar>
            <w:vAlign w:val="bottom"/>
          </w:tcPr>
          <w:p w14:paraId="5A1B1E6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61" w14:textId="77777777" w:rsidR="00960BB8" w:rsidRDefault="00C06650">
            <w:pPr>
              <w:jc w:val="right"/>
              <w:textAlignment w:val="bottom"/>
            </w:pPr>
            <w:r>
              <w:rPr>
                <w:rFonts w:ascii="Arial" w:eastAsia="宋体" w:hAnsi="Arial" w:cs="Arial"/>
                <w:color w:val="0068B5"/>
                <w:sz w:val="18"/>
                <w:szCs w:val="18"/>
              </w:rPr>
              <w:t>3,450 </w:t>
            </w:r>
          </w:p>
        </w:tc>
        <w:tc>
          <w:tcPr>
            <w:tcW w:w="0" w:type="auto"/>
            <w:shd w:val="clear" w:color="auto" w:fill="auto"/>
            <w:tcMar>
              <w:top w:w="40" w:type="dxa"/>
              <w:left w:w="0" w:type="dxa"/>
              <w:bottom w:w="40" w:type="dxa"/>
              <w:right w:w="20" w:type="dxa"/>
            </w:tcMar>
            <w:vAlign w:val="bottom"/>
          </w:tcPr>
          <w:p w14:paraId="5A1B1E6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6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64" w14:textId="77777777" w:rsidR="00960BB8" w:rsidRDefault="00C06650">
            <w:pPr>
              <w:jc w:val="right"/>
              <w:textAlignment w:val="bottom"/>
            </w:pPr>
            <w:r>
              <w:rPr>
                <w:rFonts w:ascii="Arial" w:eastAsia="宋体" w:hAnsi="Arial" w:cs="Arial"/>
                <w:color w:val="262626"/>
                <w:sz w:val="18"/>
                <w:szCs w:val="18"/>
              </w:rPr>
              <w:t>874 </w:t>
            </w:r>
          </w:p>
        </w:tc>
        <w:tc>
          <w:tcPr>
            <w:tcW w:w="0" w:type="auto"/>
            <w:shd w:val="clear" w:color="auto" w:fill="auto"/>
            <w:tcMar>
              <w:top w:w="40" w:type="dxa"/>
              <w:left w:w="0" w:type="dxa"/>
              <w:bottom w:w="40" w:type="dxa"/>
              <w:right w:w="20" w:type="dxa"/>
            </w:tcMar>
            <w:vAlign w:val="bottom"/>
          </w:tcPr>
          <w:p w14:paraId="5A1B1E65" w14:textId="77777777" w:rsidR="00960BB8" w:rsidRDefault="00960BB8">
            <w:pPr>
              <w:jc w:val="right"/>
              <w:rPr>
                <w:rFonts w:ascii="宋体"/>
              </w:rPr>
            </w:pPr>
          </w:p>
        </w:tc>
      </w:tr>
      <w:tr w:rsidR="00960BB8" w14:paraId="5A1B1E6E" w14:textId="77777777">
        <w:tc>
          <w:tcPr>
            <w:tcW w:w="0" w:type="auto"/>
            <w:gridSpan w:val="3"/>
            <w:shd w:val="clear" w:color="auto" w:fill="auto"/>
            <w:tcMar>
              <w:top w:w="40" w:type="dxa"/>
              <w:left w:w="155" w:type="dxa"/>
              <w:bottom w:w="40" w:type="dxa"/>
              <w:right w:w="20" w:type="dxa"/>
            </w:tcMar>
            <w:vAlign w:val="bottom"/>
          </w:tcPr>
          <w:p w14:paraId="5A1B1E67" w14:textId="77777777" w:rsidR="00960BB8" w:rsidRDefault="00C06650">
            <w:pPr>
              <w:textAlignment w:val="bottom"/>
            </w:pPr>
            <w:r>
              <w:rPr>
                <w:rFonts w:ascii="Arial" w:eastAsia="宋体" w:hAnsi="Arial" w:cs="Arial"/>
                <w:color w:val="262626"/>
                <w:sz w:val="18"/>
                <w:szCs w:val="18"/>
              </w:rPr>
              <w:t>Deferred tax liabilities</w:t>
            </w:r>
          </w:p>
        </w:tc>
        <w:tc>
          <w:tcPr>
            <w:tcW w:w="0" w:type="auto"/>
            <w:gridSpan w:val="3"/>
            <w:shd w:val="clear" w:color="auto" w:fill="auto"/>
            <w:tcMar>
              <w:top w:w="0" w:type="dxa"/>
              <w:left w:w="20" w:type="dxa"/>
              <w:bottom w:w="0" w:type="dxa"/>
              <w:right w:w="20" w:type="dxa"/>
            </w:tcMar>
            <w:vAlign w:val="bottom"/>
          </w:tcPr>
          <w:p w14:paraId="5A1B1E6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69" w14:textId="77777777" w:rsidR="00960BB8" w:rsidRDefault="00C06650">
            <w:pPr>
              <w:jc w:val="right"/>
              <w:textAlignment w:val="bottom"/>
            </w:pPr>
            <w:r>
              <w:rPr>
                <w:rFonts w:ascii="Arial" w:eastAsia="宋体" w:hAnsi="Arial" w:cs="Arial"/>
                <w:color w:val="0068B5"/>
                <w:sz w:val="18"/>
                <w:szCs w:val="18"/>
              </w:rPr>
              <w:t>(202)</w:t>
            </w:r>
          </w:p>
        </w:tc>
        <w:tc>
          <w:tcPr>
            <w:tcW w:w="0" w:type="auto"/>
            <w:shd w:val="clear" w:color="auto" w:fill="auto"/>
            <w:tcMar>
              <w:top w:w="40" w:type="dxa"/>
              <w:left w:w="0" w:type="dxa"/>
              <w:bottom w:w="40" w:type="dxa"/>
              <w:right w:w="20" w:type="dxa"/>
            </w:tcMar>
            <w:vAlign w:val="bottom"/>
          </w:tcPr>
          <w:p w14:paraId="5A1B1E6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6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E6C" w14:textId="77777777" w:rsidR="00960BB8" w:rsidRDefault="00C06650">
            <w:pPr>
              <w:jc w:val="right"/>
              <w:textAlignment w:val="bottom"/>
            </w:pPr>
            <w:r>
              <w:rPr>
                <w:rFonts w:ascii="Arial" w:eastAsia="宋体" w:hAnsi="Arial" w:cs="Arial"/>
                <w:color w:val="262626"/>
                <w:sz w:val="18"/>
                <w:szCs w:val="18"/>
              </w:rPr>
              <w:t>(2,667)</w:t>
            </w:r>
          </w:p>
        </w:tc>
        <w:tc>
          <w:tcPr>
            <w:tcW w:w="0" w:type="auto"/>
            <w:shd w:val="clear" w:color="auto" w:fill="auto"/>
            <w:tcMar>
              <w:top w:w="40" w:type="dxa"/>
              <w:left w:w="0" w:type="dxa"/>
              <w:bottom w:w="40" w:type="dxa"/>
              <w:right w:w="20" w:type="dxa"/>
            </w:tcMar>
            <w:vAlign w:val="bottom"/>
          </w:tcPr>
          <w:p w14:paraId="5A1B1E6D" w14:textId="77777777" w:rsidR="00960BB8" w:rsidRDefault="00960BB8">
            <w:pPr>
              <w:jc w:val="right"/>
              <w:rPr>
                <w:rFonts w:ascii="宋体"/>
              </w:rPr>
            </w:pPr>
          </w:p>
        </w:tc>
      </w:tr>
      <w:tr w:rsidR="00960BB8" w14:paraId="5A1B1E78" w14:textId="77777777">
        <w:tc>
          <w:tcPr>
            <w:tcW w:w="0" w:type="auto"/>
            <w:gridSpan w:val="3"/>
            <w:shd w:val="clear" w:color="auto" w:fill="auto"/>
            <w:tcMar>
              <w:top w:w="40" w:type="dxa"/>
              <w:left w:w="20" w:type="dxa"/>
              <w:bottom w:w="40" w:type="dxa"/>
              <w:right w:w="20" w:type="dxa"/>
            </w:tcMar>
            <w:vAlign w:val="bottom"/>
          </w:tcPr>
          <w:p w14:paraId="5A1B1E6F" w14:textId="77777777" w:rsidR="00960BB8" w:rsidRDefault="00C06650">
            <w:pPr>
              <w:textAlignment w:val="bottom"/>
            </w:pPr>
            <w:r>
              <w:rPr>
                <w:rFonts w:ascii="Arial" w:eastAsia="宋体" w:hAnsi="Arial" w:cs="Arial"/>
                <w:b/>
                <w:bCs/>
                <w:color w:val="262626"/>
                <w:sz w:val="18"/>
                <w:szCs w:val="18"/>
              </w:rPr>
              <w:t>Net deferred tax assets (liabilities)</w:t>
            </w:r>
          </w:p>
        </w:tc>
        <w:tc>
          <w:tcPr>
            <w:tcW w:w="0" w:type="auto"/>
            <w:gridSpan w:val="3"/>
            <w:shd w:val="clear" w:color="auto" w:fill="auto"/>
            <w:tcMar>
              <w:top w:w="0" w:type="dxa"/>
              <w:left w:w="20" w:type="dxa"/>
              <w:bottom w:w="0" w:type="dxa"/>
              <w:right w:w="20" w:type="dxa"/>
            </w:tcMar>
            <w:vAlign w:val="bottom"/>
          </w:tcPr>
          <w:p w14:paraId="5A1B1E70"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E71"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E72" w14:textId="77777777" w:rsidR="00960BB8" w:rsidRDefault="00C06650">
            <w:pPr>
              <w:jc w:val="right"/>
              <w:textAlignment w:val="bottom"/>
            </w:pPr>
            <w:r>
              <w:rPr>
                <w:rFonts w:ascii="Arial" w:eastAsia="宋体" w:hAnsi="Arial" w:cs="Arial"/>
                <w:b/>
                <w:bCs/>
                <w:color w:val="0068B5"/>
                <w:sz w:val="18"/>
                <w:szCs w:val="18"/>
              </w:rPr>
              <w:t>3,248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E7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74"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E75"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E76" w14:textId="77777777" w:rsidR="00960BB8" w:rsidRDefault="00C06650">
            <w:pPr>
              <w:jc w:val="right"/>
              <w:textAlignment w:val="bottom"/>
            </w:pPr>
            <w:r>
              <w:rPr>
                <w:rFonts w:ascii="Arial" w:eastAsia="宋体" w:hAnsi="Arial" w:cs="Arial"/>
                <w:b/>
                <w:bCs/>
                <w:color w:val="262626"/>
                <w:sz w:val="18"/>
                <w:szCs w:val="18"/>
              </w:rPr>
              <w:t>(1,793)</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E77" w14:textId="77777777" w:rsidR="00960BB8" w:rsidRDefault="00960BB8">
            <w:pPr>
              <w:jc w:val="right"/>
              <w:rPr>
                <w:rFonts w:ascii="宋体"/>
              </w:rPr>
            </w:pPr>
          </w:p>
        </w:tc>
      </w:tr>
    </w:tbl>
    <w:p w14:paraId="5A1B1E79" w14:textId="77777777" w:rsidR="00960BB8" w:rsidRDefault="00C06650">
      <w:pPr>
        <w:spacing w:before="60" w:after="120"/>
      </w:pPr>
      <w:r>
        <w:rPr>
          <w:rFonts w:ascii="Arial" w:eastAsia="宋体" w:hAnsi="Arial" w:cs="Arial"/>
          <w:color w:val="262626"/>
          <w:sz w:val="18"/>
          <w:szCs w:val="18"/>
        </w:rPr>
        <w:t>Changes in the valuation allowance for deferred tax assets were as follows:</w:t>
      </w:r>
    </w:p>
    <w:tbl>
      <w:tblPr>
        <w:tblW w:w="4993" w:type="pct"/>
        <w:tblCellMar>
          <w:top w:w="15" w:type="dxa"/>
          <w:left w:w="15" w:type="dxa"/>
          <w:bottom w:w="15" w:type="dxa"/>
          <w:right w:w="15" w:type="dxa"/>
        </w:tblCellMar>
        <w:tblLook w:val="04A0" w:firstRow="1" w:lastRow="0" w:firstColumn="1" w:lastColumn="0" w:noHBand="0" w:noVBand="1"/>
      </w:tblPr>
      <w:tblGrid>
        <w:gridCol w:w="38"/>
        <w:gridCol w:w="3537"/>
        <w:gridCol w:w="37"/>
        <w:gridCol w:w="36"/>
        <w:gridCol w:w="36"/>
        <w:gridCol w:w="36"/>
        <w:gridCol w:w="122"/>
        <w:gridCol w:w="842"/>
        <w:gridCol w:w="36"/>
        <w:gridCol w:w="36"/>
        <w:gridCol w:w="36"/>
        <w:gridCol w:w="36"/>
        <w:gridCol w:w="122"/>
        <w:gridCol w:w="1055"/>
        <w:gridCol w:w="36"/>
        <w:gridCol w:w="36"/>
        <w:gridCol w:w="36"/>
        <w:gridCol w:w="36"/>
        <w:gridCol w:w="122"/>
        <w:gridCol w:w="1045"/>
        <w:gridCol w:w="36"/>
        <w:gridCol w:w="36"/>
        <w:gridCol w:w="36"/>
        <w:gridCol w:w="36"/>
        <w:gridCol w:w="122"/>
        <w:gridCol w:w="706"/>
        <w:gridCol w:w="36"/>
      </w:tblGrid>
      <w:tr w:rsidR="00960BB8" w14:paraId="5A1B1E95" w14:textId="77777777">
        <w:tc>
          <w:tcPr>
            <w:tcW w:w="50" w:type="pct"/>
            <w:shd w:val="clear" w:color="auto" w:fill="auto"/>
            <w:vAlign w:val="bottom"/>
          </w:tcPr>
          <w:p w14:paraId="5A1B1E7A" w14:textId="77777777" w:rsidR="00960BB8" w:rsidRDefault="00960BB8">
            <w:pPr>
              <w:rPr>
                <w:rFonts w:ascii="宋体"/>
              </w:rPr>
            </w:pPr>
          </w:p>
        </w:tc>
        <w:tc>
          <w:tcPr>
            <w:tcW w:w="2188" w:type="pct"/>
            <w:shd w:val="clear" w:color="auto" w:fill="auto"/>
            <w:vAlign w:val="bottom"/>
          </w:tcPr>
          <w:p w14:paraId="5A1B1E7B" w14:textId="77777777" w:rsidR="00960BB8" w:rsidRDefault="00960BB8">
            <w:pPr>
              <w:rPr>
                <w:rFonts w:ascii="宋体"/>
              </w:rPr>
            </w:pPr>
          </w:p>
        </w:tc>
        <w:tc>
          <w:tcPr>
            <w:tcW w:w="5" w:type="pct"/>
            <w:shd w:val="clear" w:color="auto" w:fill="auto"/>
            <w:vAlign w:val="bottom"/>
          </w:tcPr>
          <w:p w14:paraId="5A1B1E7C" w14:textId="77777777" w:rsidR="00960BB8" w:rsidRDefault="00960BB8">
            <w:pPr>
              <w:rPr>
                <w:rFonts w:ascii="宋体"/>
              </w:rPr>
            </w:pPr>
          </w:p>
        </w:tc>
        <w:tc>
          <w:tcPr>
            <w:tcW w:w="5" w:type="pct"/>
            <w:shd w:val="clear" w:color="auto" w:fill="auto"/>
            <w:vAlign w:val="bottom"/>
          </w:tcPr>
          <w:p w14:paraId="5A1B1E7D" w14:textId="77777777" w:rsidR="00960BB8" w:rsidRDefault="00960BB8">
            <w:pPr>
              <w:rPr>
                <w:rFonts w:ascii="宋体"/>
              </w:rPr>
            </w:pPr>
          </w:p>
        </w:tc>
        <w:tc>
          <w:tcPr>
            <w:tcW w:w="24" w:type="pct"/>
            <w:shd w:val="clear" w:color="auto" w:fill="auto"/>
            <w:vAlign w:val="bottom"/>
          </w:tcPr>
          <w:p w14:paraId="5A1B1E7E" w14:textId="77777777" w:rsidR="00960BB8" w:rsidRDefault="00960BB8">
            <w:pPr>
              <w:rPr>
                <w:rFonts w:ascii="宋体"/>
              </w:rPr>
            </w:pPr>
          </w:p>
        </w:tc>
        <w:tc>
          <w:tcPr>
            <w:tcW w:w="5" w:type="pct"/>
            <w:shd w:val="clear" w:color="auto" w:fill="auto"/>
            <w:vAlign w:val="bottom"/>
          </w:tcPr>
          <w:p w14:paraId="5A1B1E7F" w14:textId="77777777" w:rsidR="00960BB8" w:rsidRDefault="00960BB8">
            <w:pPr>
              <w:rPr>
                <w:rFonts w:ascii="宋体"/>
              </w:rPr>
            </w:pPr>
          </w:p>
        </w:tc>
        <w:tc>
          <w:tcPr>
            <w:tcW w:w="50" w:type="pct"/>
            <w:shd w:val="clear" w:color="auto" w:fill="auto"/>
            <w:vAlign w:val="bottom"/>
          </w:tcPr>
          <w:p w14:paraId="5A1B1E80" w14:textId="77777777" w:rsidR="00960BB8" w:rsidRDefault="00960BB8">
            <w:pPr>
              <w:rPr>
                <w:rFonts w:ascii="宋体"/>
              </w:rPr>
            </w:pPr>
          </w:p>
        </w:tc>
        <w:tc>
          <w:tcPr>
            <w:tcW w:w="594" w:type="pct"/>
            <w:shd w:val="clear" w:color="auto" w:fill="auto"/>
            <w:vAlign w:val="bottom"/>
          </w:tcPr>
          <w:p w14:paraId="5A1B1E81" w14:textId="77777777" w:rsidR="00960BB8" w:rsidRDefault="00960BB8">
            <w:pPr>
              <w:rPr>
                <w:rFonts w:ascii="宋体"/>
              </w:rPr>
            </w:pPr>
          </w:p>
        </w:tc>
        <w:tc>
          <w:tcPr>
            <w:tcW w:w="5" w:type="pct"/>
            <w:shd w:val="clear" w:color="auto" w:fill="auto"/>
            <w:vAlign w:val="bottom"/>
          </w:tcPr>
          <w:p w14:paraId="5A1B1E82" w14:textId="77777777" w:rsidR="00960BB8" w:rsidRDefault="00960BB8">
            <w:pPr>
              <w:rPr>
                <w:rFonts w:ascii="宋体"/>
              </w:rPr>
            </w:pPr>
          </w:p>
        </w:tc>
        <w:tc>
          <w:tcPr>
            <w:tcW w:w="5" w:type="pct"/>
            <w:shd w:val="clear" w:color="auto" w:fill="auto"/>
            <w:vAlign w:val="bottom"/>
          </w:tcPr>
          <w:p w14:paraId="5A1B1E83" w14:textId="77777777" w:rsidR="00960BB8" w:rsidRDefault="00960BB8">
            <w:pPr>
              <w:rPr>
                <w:rFonts w:ascii="宋体"/>
              </w:rPr>
            </w:pPr>
          </w:p>
        </w:tc>
        <w:tc>
          <w:tcPr>
            <w:tcW w:w="24" w:type="pct"/>
            <w:shd w:val="clear" w:color="auto" w:fill="auto"/>
            <w:vAlign w:val="bottom"/>
          </w:tcPr>
          <w:p w14:paraId="5A1B1E84" w14:textId="77777777" w:rsidR="00960BB8" w:rsidRDefault="00960BB8">
            <w:pPr>
              <w:rPr>
                <w:rFonts w:ascii="宋体"/>
              </w:rPr>
            </w:pPr>
          </w:p>
        </w:tc>
        <w:tc>
          <w:tcPr>
            <w:tcW w:w="5" w:type="pct"/>
            <w:shd w:val="clear" w:color="auto" w:fill="auto"/>
            <w:vAlign w:val="bottom"/>
          </w:tcPr>
          <w:p w14:paraId="5A1B1E85" w14:textId="77777777" w:rsidR="00960BB8" w:rsidRDefault="00960BB8">
            <w:pPr>
              <w:rPr>
                <w:rFonts w:ascii="宋体"/>
              </w:rPr>
            </w:pPr>
          </w:p>
        </w:tc>
        <w:tc>
          <w:tcPr>
            <w:tcW w:w="50" w:type="pct"/>
            <w:shd w:val="clear" w:color="auto" w:fill="auto"/>
            <w:vAlign w:val="bottom"/>
          </w:tcPr>
          <w:p w14:paraId="5A1B1E86" w14:textId="77777777" w:rsidR="00960BB8" w:rsidRDefault="00960BB8">
            <w:pPr>
              <w:rPr>
                <w:rFonts w:ascii="宋体"/>
              </w:rPr>
            </w:pPr>
          </w:p>
        </w:tc>
        <w:tc>
          <w:tcPr>
            <w:tcW w:w="601" w:type="pct"/>
            <w:shd w:val="clear" w:color="auto" w:fill="auto"/>
            <w:vAlign w:val="bottom"/>
          </w:tcPr>
          <w:p w14:paraId="5A1B1E87" w14:textId="77777777" w:rsidR="00960BB8" w:rsidRDefault="00960BB8">
            <w:pPr>
              <w:rPr>
                <w:rFonts w:ascii="宋体"/>
              </w:rPr>
            </w:pPr>
          </w:p>
        </w:tc>
        <w:tc>
          <w:tcPr>
            <w:tcW w:w="5" w:type="pct"/>
            <w:shd w:val="clear" w:color="auto" w:fill="auto"/>
            <w:vAlign w:val="bottom"/>
          </w:tcPr>
          <w:p w14:paraId="5A1B1E88" w14:textId="77777777" w:rsidR="00960BB8" w:rsidRDefault="00960BB8">
            <w:pPr>
              <w:rPr>
                <w:rFonts w:ascii="宋体"/>
              </w:rPr>
            </w:pPr>
          </w:p>
        </w:tc>
        <w:tc>
          <w:tcPr>
            <w:tcW w:w="5" w:type="pct"/>
            <w:shd w:val="clear" w:color="auto" w:fill="auto"/>
            <w:vAlign w:val="bottom"/>
          </w:tcPr>
          <w:p w14:paraId="5A1B1E89" w14:textId="77777777" w:rsidR="00960BB8" w:rsidRDefault="00960BB8">
            <w:pPr>
              <w:rPr>
                <w:rFonts w:ascii="宋体"/>
              </w:rPr>
            </w:pPr>
          </w:p>
        </w:tc>
        <w:tc>
          <w:tcPr>
            <w:tcW w:w="24" w:type="pct"/>
            <w:shd w:val="clear" w:color="auto" w:fill="auto"/>
            <w:vAlign w:val="bottom"/>
          </w:tcPr>
          <w:p w14:paraId="5A1B1E8A" w14:textId="77777777" w:rsidR="00960BB8" w:rsidRDefault="00960BB8">
            <w:pPr>
              <w:rPr>
                <w:rFonts w:ascii="宋体"/>
              </w:rPr>
            </w:pPr>
          </w:p>
        </w:tc>
        <w:tc>
          <w:tcPr>
            <w:tcW w:w="5" w:type="pct"/>
            <w:shd w:val="clear" w:color="auto" w:fill="auto"/>
            <w:vAlign w:val="bottom"/>
          </w:tcPr>
          <w:p w14:paraId="5A1B1E8B" w14:textId="77777777" w:rsidR="00960BB8" w:rsidRDefault="00960BB8">
            <w:pPr>
              <w:rPr>
                <w:rFonts w:ascii="宋体"/>
              </w:rPr>
            </w:pPr>
          </w:p>
        </w:tc>
        <w:tc>
          <w:tcPr>
            <w:tcW w:w="50" w:type="pct"/>
            <w:shd w:val="clear" w:color="auto" w:fill="auto"/>
            <w:vAlign w:val="bottom"/>
          </w:tcPr>
          <w:p w14:paraId="5A1B1E8C" w14:textId="77777777" w:rsidR="00960BB8" w:rsidRDefault="00960BB8">
            <w:pPr>
              <w:rPr>
                <w:rFonts w:ascii="宋体"/>
              </w:rPr>
            </w:pPr>
          </w:p>
        </w:tc>
        <w:tc>
          <w:tcPr>
            <w:tcW w:w="601" w:type="pct"/>
            <w:shd w:val="clear" w:color="auto" w:fill="auto"/>
            <w:vAlign w:val="bottom"/>
          </w:tcPr>
          <w:p w14:paraId="5A1B1E8D" w14:textId="77777777" w:rsidR="00960BB8" w:rsidRDefault="00960BB8">
            <w:pPr>
              <w:rPr>
                <w:rFonts w:ascii="宋体"/>
              </w:rPr>
            </w:pPr>
          </w:p>
        </w:tc>
        <w:tc>
          <w:tcPr>
            <w:tcW w:w="5" w:type="pct"/>
            <w:shd w:val="clear" w:color="auto" w:fill="auto"/>
            <w:vAlign w:val="bottom"/>
          </w:tcPr>
          <w:p w14:paraId="5A1B1E8E" w14:textId="77777777" w:rsidR="00960BB8" w:rsidRDefault="00960BB8">
            <w:pPr>
              <w:rPr>
                <w:rFonts w:ascii="宋体"/>
              </w:rPr>
            </w:pPr>
          </w:p>
        </w:tc>
        <w:tc>
          <w:tcPr>
            <w:tcW w:w="5" w:type="pct"/>
            <w:shd w:val="clear" w:color="auto" w:fill="auto"/>
            <w:vAlign w:val="bottom"/>
          </w:tcPr>
          <w:p w14:paraId="5A1B1E8F" w14:textId="77777777" w:rsidR="00960BB8" w:rsidRDefault="00960BB8">
            <w:pPr>
              <w:rPr>
                <w:rFonts w:ascii="宋体"/>
              </w:rPr>
            </w:pPr>
          </w:p>
        </w:tc>
        <w:tc>
          <w:tcPr>
            <w:tcW w:w="24" w:type="pct"/>
            <w:shd w:val="clear" w:color="auto" w:fill="auto"/>
            <w:vAlign w:val="bottom"/>
          </w:tcPr>
          <w:p w14:paraId="5A1B1E90" w14:textId="77777777" w:rsidR="00960BB8" w:rsidRDefault="00960BB8">
            <w:pPr>
              <w:rPr>
                <w:rFonts w:ascii="宋体"/>
              </w:rPr>
            </w:pPr>
          </w:p>
        </w:tc>
        <w:tc>
          <w:tcPr>
            <w:tcW w:w="5" w:type="pct"/>
            <w:shd w:val="clear" w:color="auto" w:fill="auto"/>
            <w:vAlign w:val="bottom"/>
          </w:tcPr>
          <w:p w14:paraId="5A1B1E91" w14:textId="77777777" w:rsidR="00960BB8" w:rsidRDefault="00960BB8">
            <w:pPr>
              <w:rPr>
                <w:rFonts w:ascii="宋体"/>
              </w:rPr>
            </w:pPr>
          </w:p>
        </w:tc>
        <w:tc>
          <w:tcPr>
            <w:tcW w:w="50" w:type="pct"/>
            <w:shd w:val="clear" w:color="auto" w:fill="auto"/>
            <w:vAlign w:val="bottom"/>
          </w:tcPr>
          <w:p w14:paraId="5A1B1E92" w14:textId="77777777" w:rsidR="00960BB8" w:rsidRDefault="00960BB8">
            <w:pPr>
              <w:rPr>
                <w:rFonts w:ascii="宋体"/>
              </w:rPr>
            </w:pPr>
          </w:p>
        </w:tc>
        <w:tc>
          <w:tcPr>
            <w:tcW w:w="601" w:type="pct"/>
            <w:shd w:val="clear" w:color="auto" w:fill="auto"/>
            <w:vAlign w:val="bottom"/>
          </w:tcPr>
          <w:p w14:paraId="5A1B1E93" w14:textId="77777777" w:rsidR="00960BB8" w:rsidRDefault="00960BB8">
            <w:pPr>
              <w:rPr>
                <w:rFonts w:ascii="宋体"/>
              </w:rPr>
            </w:pPr>
          </w:p>
        </w:tc>
        <w:tc>
          <w:tcPr>
            <w:tcW w:w="5" w:type="pct"/>
            <w:shd w:val="clear" w:color="auto" w:fill="auto"/>
            <w:vAlign w:val="bottom"/>
          </w:tcPr>
          <w:p w14:paraId="5A1B1E94" w14:textId="77777777" w:rsidR="00960BB8" w:rsidRDefault="00960BB8">
            <w:pPr>
              <w:rPr>
                <w:rFonts w:ascii="宋体"/>
              </w:rPr>
            </w:pPr>
          </w:p>
        </w:tc>
      </w:tr>
      <w:tr w:rsidR="00960BB8" w14:paraId="5A1B1E9F" w14:textId="77777777">
        <w:tc>
          <w:tcPr>
            <w:tcW w:w="0" w:type="auto"/>
            <w:gridSpan w:val="3"/>
            <w:shd w:val="clear" w:color="auto" w:fill="auto"/>
            <w:tcMar>
              <w:top w:w="40" w:type="dxa"/>
              <w:left w:w="20" w:type="dxa"/>
              <w:bottom w:w="40" w:type="dxa"/>
              <w:right w:w="20" w:type="dxa"/>
            </w:tcMar>
            <w:vAlign w:val="bottom"/>
          </w:tcPr>
          <w:p w14:paraId="5A1B1E96" w14:textId="77777777" w:rsidR="00960BB8" w:rsidRDefault="00C06650">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5A1B1E9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E98" w14:textId="77777777" w:rsidR="00960BB8" w:rsidRDefault="00C06650">
            <w:pPr>
              <w:jc w:val="center"/>
              <w:textAlignment w:val="bottom"/>
            </w:pPr>
            <w:r>
              <w:rPr>
                <w:rFonts w:ascii="Arial" w:eastAsia="宋体" w:hAnsi="Arial" w:cs="Arial"/>
                <w:b/>
                <w:bCs/>
                <w:color w:val="262626"/>
                <w:sz w:val="18"/>
                <w:szCs w:val="18"/>
              </w:rPr>
              <w:t>Balance at Beginning of Year</w:t>
            </w:r>
          </w:p>
        </w:tc>
        <w:tc>
          <w:tcPr>
            <w:tcW w:w="0" w:type="auto"/>
            <w:gridSpan w:val="3"/>
            <w:shd w:val="clear" w:color="auto" w:fill="auto"/>
            <w:tcMar>
              <w:top w:w="0" w:type="dxa"/>
              <w:left w:w="20" w:type="dxa"/>
              <w:bottom w:w="0" w:type="dxa"/>
              <w:right w:w="20" w:type="dxa"/>
            </w:tcMar>
            <w:vAlign w:val="bottom"/>
          </w:tcPr>
          <w:p w14:paraId="5A1B1E9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E9A" w14:textId="77777777" w:rsidR="00960BB8" w:rsidRDefault="00C06650">
            <w:pPr>
              <w:jc w:val="center"/>
              <w:textAlignment w:val="bottom"/>
            </w:pPr>
            <w:r>
              <w:rPr>
                <w:rFonts w:ascii="Arial" w:eastAsia="宋体" w:hAnsi="Arial" w:cs="Arial"/>
                <w:b/>
                <w:bCs/>
                <w:color w:val="262626"/>
                <w:sz w:val="18"/>
                <w:szCs w:val="18"/>
              </w:rPr>
              <w:t>Additions Charged to Expenses/</w:t>
            </w:r>
            <w:r>
              <w:rPr>
                <w:rFonts w:ascii="Arial" w:eastAsia="宋体" w:hAnsi="Arial" w:cs="Arial"/>
                <w:b/>
                <w:bCs/>
                <w:color w:val="262626"/>
                <w:sz w:val="18"/>
                <w:szCs w:val="18"/>
              </w:rPr>
              <w:br/>
              <w:t>Other Accounts</w:t>
            </w:r>
          </w:p>
        </w:tc>
        <w:tc>
          <w:tcPr>
            <w:tcW w:w="0" w:type="auto"/>
            <w:gridSpan w:val="3"/>
            <w:shd w:val="clear" w:color="auto" w:fill="auto"/>
            <w:tcMar>
              <w:top w:w="0" w:type="dxa"/>
              <w:left w:w="20" w:type="dxa"/>
              <w:bottom w:w="0" w:type="dxa"/>
              <w:right w:w="20" w:type="dxa"/>
            </w:tcMar>
            <w:vAlign w:val="bottom"/>
          </w:tcPr>
          <w:p w14:paraId="5A1B1E9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E9C" w14:textId="77777777" w:rsidR="00960BB8" w:rsidRDefault="00C06650">
            <w:pPr>
              <w:jc w:val="center"/>
              <w:textAlignment w:val="bottom"/>
            </w:pPr>
            <w:r>
              <w:rPr>
                <w:rFonts w:ascii="Arial" w:eastAsia="宋体" w:hAnsi="Arial" w:cs="Arial"/>
                <w:b/>
                <w:bCs/>
                <w:color w:val="262626"/>
                <w:sz w:val="18"/>
                <w:szCs w:val="18"/>
              </w:rPr>
              <w:t>Net</w:t>
            </w:r>
            <w:r>
              <w:rPr>
                <w:rFonts w:ascii="Arial" w:eastAsia="宋体" w:hAnsi="Arial" w:cs="Arial"/>
                <w:b/>
                <w:bCs/>
                <w:color w:val="262626"/>
                <w:sz w:val="18"/>
                <w:szCs w:val="18"/>
              </w:rPr>
              <w:br/>
              <w:t>(Deductions)</w:t>
            </w:r>
            <w:r>
              <w:rPr>
                <w:rFonts w:ascii="Arial" w:eastAsia="宋体" w:hAnsi="Arial" w:cs="Arial"/>
                <w:b/>
                <w:bCs/>
                <w:color w:val="262626"/>
                <w:sz w:val="18"/>
                <w:szCs w:val="18"/>
              </w:rPr>
              <w:br/>
              <w:t>Recoveries</w:t>
            </w:r>
          </w:p>
        </w:tc>
        <w:tc>
          <w:tcPr>
            <w:tcW w:w="0" w:type="auto"/>
            <w:gridSpan w:val="3"/>
            <w:shd w:val="clear" w:color="auto" w:fill="auto"/>
            <w:tcMar>
              <w:top w:w="0" w:type="dxa"/>
              <w:left w:w="20" w:type="dxa"/>
              <w:bottom w:w="0" w:type="dxa"/>
              <w:right w:w="20" w:type="dxa"/>
            </w:tcMar>
            <w:vAlign w:val="bottom"/>
          </w:tcPr>
          <w:p w14:paraId="5A1B1E9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E9E" w14:textId="77777777" w:rsidR="00960BB8" w:rsidRDefault="00C06650">
            <w:pPr>
              <w:jc w:val="center"/>
              <w:textAlignment w:val="bottom"/>
            </w:pPr>
            <w:r>
              <w:rPr>
                <w:rFonts w:ascii="Arial" w:eastAsia="宋体" w:hAnsi="Arial" w:cs="Arial"/>
                <w:b/>
                <w:bCs/>
                <w:color w:val="262626"/>
                <w:sz w:val="18"/>
                <w:szCs w:val="18"/>
              </w:rPr>
              <w:t>Balance at</w:t>
            </w:r>
            <w:r>
              <w:rPr>
                <w:rFonts w:ascii="Arial" w:eastAsia="宋体" w:hAnsi="Arial" w:cs="Arial"/>
                <w:b/>
                <w:bCs/>
                <w:color w:val="262626"/>
                <w:sz w:val="18"/>
                <w:szCs w:val="18"/>
              </w:rPr>
              <w:br/>
              <w:t>End of Year</w:t>
            </w:r>
          </w:p>
        </w:tc>
      </w:tr>
      <w:tr w:rsidR="00960BB8" w14:paraId="5A1B1EA9" w14:textId="77777777">
        <w:trPr>
          <w:hidden/>
        </w:trPr>
        <w:tc>
          <w:tcPr>
            <w:tcW w:w="0" w:type="auto"/>
            <w:gridSpan w:val="3"/>
            <w:shd w:val="clear" w:color="auto" w:fill="auto"/>
            <w:vAlign w:val="bottom"/>
          </w:tcPr>
          <w:p w14:paraId="5A1B1EA0" w14:textId="77777777" w:rsidR="00960BB8" w:rsidRDefault="00960BB8">
            <w:pPr>
              <w:rPr>
                <w:rFonts w:ascii="宋体"/>
                <w:vanish/>
              </w:rPr>
            </w:pPr>
          </w:p>
        </w:tc>
        <w:tc>
          <w:tcPr>
            <w:tcW w:w="0" w:type="auto"/>
            <w:gridSpan w:val="3"/>
            <w:shd w:val="clear" w:color="auto" w:fill="auto"/>
            <w:vAlign w:val="bottom"/>
          </w:tcPr>
          <w:p w14:paraId="5A1B1EA1" w14:textId="77777777" w:rsidR="00960BB8" w:rsidRDefault="00960BB8">
            <w:pPr>
              <w:rPr>
                <w:rFonts w:ascii="宋体"/>
                <w:vanish/>
              </w:rPr>
            </w:pPr>
          </w:p>
        </w:tc>
        <w:tc>
          <w:tcPr>
            <w:tcW w:w="0" w:type="auto"/>
            <w:gridSpan w:val="3"/>
            <w:shd w:val="clear" w:color="auto" w:fill="auto"/>
            <w:vAlign w:val="bottom"/>
          </w:tcPr>
          <w:p w14:paraId="5A1B1EA2" w14:textId="77777777" w:rsidR="00960BB8" w:rsidRDefault="00960BB8">
            <w:pPr>
              <w:rPr>
                <w:rFonts w:ascii="宋体"/>
                <w:vanish/>
              </w:rPr>
            </w:pPr>
          </w:p>
        </w:tc>
        <w:tc>
          <w:tcPr>
            <w:tcW w:w="0" w:type="auto"/>
            <w:gridSpan w:val="3"/>
            <w:shd w:val="clear" w:color="auto" w:fill="auto"/>
            <w:vAlign w:val="bottom"/>
          </w:tcPr>
          <w:p w14:paraId="5A1B1EA3" w14:textId="77777777" w:rsidR="00960BB8" w:rsidRDefault="00960BB8">
            <w:pPr>
              <w:rPr>
                <w:rFonts w:ascii="宋体"/>
                <w:vanish/>
              </w:rPr>
            </w:pPr>
          </w:p>
        </w:tc>
        <w:tc>
          <w:tcPr>
            <w:tcW w:w="0" w:type="auto"/>
            <w:gridSpan w:val="3"/>
            <w:shd w:val="clear" w:color="auto" w:fill="auto"/>
            <w:vAlign w:val="bottom"/>
          </w:tcPr>
          <w:p w14:paraId="5A1B1EA4" w14:textId="77777777" w:rsidR="00960BB8" w:rsidRDefault="00960BB8">
            <w:pPr>
              <w:rPr>
                <w:rFonts w:ascii="宋体"/>
                <w:vanish/>
              </w:rPr>
            </w:pPr>
          </w:p>
        </w:tc>
        <w:tc>
          <w:tcPr>
            <w:tcW w:w="0" w:type="auto"/>
            <w:gridSpan w:val="3"/>
            <w:shd w:val="clear" w:color="auto" w:fill="auto"/>
            <w:vAlign w:val="bottom"/>
          </w:tcPr>
          <w:p w14:paraId="5A1B1EA5" w14:textId="77777777" w:rsidR="00960BB8" w:rsidRDefault="00960BB8">
            <w:pPr>
              <w:rPr>
                <w:rFonts w:ascii="宋体"/>
                <w:vanish/>
              </w:rPr>
            </w:pPr>
          </w:p>
        </w:tc>
        <w:tc>
          <w:tcPr>
            <w:tcW w:w="0" w:type="auto"/>
            <w:gridSpan w:val="3"/>
            <w:shd w:val="clear" w:color="auto" w:fill="auto"/>
            <w:vAlign w:val="bottom"/>
          </w:tcPr>
          <w:p w14:paraId="5A1B1EA6" w14:textId="77777777" w:rsidR="00960BB8" w:rsidRDefault="00960BB8">
            <w:pPr>
              <w:rPr>
                <w:rFonts w:ascii="宋体"/>
                <w:vanish/>
              </w:rPr>
            </w:pPr>
          </w:p>
        </w:tc>
        <w:tc>
          <w:tcPr>
            <w:tcW w:w="0" w:type="auto"/>
            <w:gridSpan w:val="3"/>
            <w:shd w:val="clear" w:color="auto" w:fill="auto"/>
            <w:vAlign w:val="bottom"/>
          </w:tcPr>
          <w:p w14:paraId="5A1B1EA7" w14:textId="77777777" w:rsidR="00960BB8" w:rsidRDefault="00960BB8">
            <w:pPr>
              <w:rPr>
                <w:rFonts w:ascii="宋体"/>
                <w:vanish/>
              </w:rPr>
            </w:pPr>
          </w:p>
        </w:tc>
        <w:tc>
          <w:tcPr>
            <w:tcW w:w="0" w:type="auto"/>
            <w:gridSpan w:val="3"/>
            <w:shd w:val="clear" w:color="auto" w:fill="auto"/>
            <w:vAlign w:val="bottom"/>
          </w:tcPr>
          <w:p w14:paraId="5A1B1EA8" w14:textId="77777777" w:rsidR="00960BB8" w:rsidRDefault="00960BB8">
            <w:pPr>
              <w:rPr>
                <w:rFonts w:ascii="宋体"/>
                <w:vanish/>
              </w:rPr>
            </w:pPr>
          </w:p>
        </w:tc>
      </w:tr>
      <w:tr w:rsidR="00960BB8" w14:paraId="5A1B1EB3" w14:textId="77777777">
        <w:trPr>
          <w:hidden/>
        </w:trPr>
        <w:tc>
          <w:tcPr>
            <w:tcW w:w="0" w:type="auto"/>
            <w:gridSpan w:val="3"/>
            <w:shd w:val="clear" w:color="auto" w:fill="auto"/>
            <w:vAlign w:val="bottom"/>
          </w:tcPr>
          <w:p w14:paraId="5A1B1EAA" w14:textId="77777777" w:rsidR="00960BB8" w:rsidRDefault="00960BB8">
            <w:pPr>
              <w:rPr>
                <w:rFonts w:ascii="宋体"/>
                <w:vanish/>
              </w:rPr>
            </w:pPr>
          </w:p>
        </w:tc>
        <w:tc>
          <w:tcPr>
            <w:tcW w:w="0" w:type="auto"/>
            <w:gridSpan w:val="3"/>
            <w:shd w:val="clear" w:color="auto" w:fill="auto"/>
            <w:vAlign w:val="bottom"/>
          </w:tcPr>
          <w:p w14:paraId="5A1B1EAB" w14:textId="77777777" w:rsidR="00960BB8" w:rsidRDefault="00960BB8">
            <w:pPr>
              <w:rPr>
                <w:rFonts w:ascii="宋体"/>
                <w:vanish/>
              </w:rPr>
            </w:pPr>
          </w:p>
        </w:tc>
        <w:tc>
          <w:tcPr>
            <w:tcW w:w="0" w:type="auto"/>
            <w:gridSpan w:val="3"/>
            <w:shd w:val="clear" w:color="auto" w:fill="auto"/>
            <w:vAlign w:val="bottom"/>
          </w:tcPr>
          <w:p w14:paraId="5A1B1EAC" w14:textId="77777777" w:rsidR="00960BB8" w:rsidRDefault="00960BB8">
            <w:pPr>
              <w:rPr>
                <w:rFonts w:ascii="宋体"/>
                <w:vanish/>
              </w:rPr>
            </w:pPr>
          </w:p>
        </w:tc>
        <w:tc>
          <w:tcPr>
            <w:tcW w:w="0" w:type="auto"/>
            <w:gridSpan w:val="3"/>
            <w:shd w:val="clear" w:color="auto" w:fill="auto"/>
            <w:vAlign w:val="bottom"/>
          </w:tcPr>
          <w:p w14:paraId="5A1B1EAD" w14:textId="77777777" w:rsidR="00960BB8" w:rsidRDefault="00960BB8">
            <w:pPr>
              <w:rPr>
                <w:rFonts w:ascii="宋体"/>
                <w:vanish/>
              </w:rPr>
            </w:pPr>
          </w:p>
        </w:tc>
        <w:tc>
          <w:tcPr>
            <w:tcW w:w="0" w:type="auto"/>
            <w:gridSpan w:val="3"/>
            <w:shd w:val="clear" w:color="auto" w:fill="auto"/>
            <w:vAlign w:val="bottom"/>
          </w:tcPr>
          <w:p w14:paraId="5A1B1EAE" w14:textId="77777777" w:rsidR="00960BB8" w:rsidRDefault="00960BB8">
            <w:pPr>
              <w:rPr>
                <w:rFonts w:ascii="宋体"/>
                <w:vanish/>
              </w:rPr>
            </w:pPr>
          </w:p>
        </w:tc>
        <w:tc>
          <w:tcPr>
            <w:tcW w:w="0" w:type="auto"/>
            <w:gridSpan w:val="3"/>
            <w:shd w:val="clear" w:color="auto" w:fill="auto"/>
            <w:vAlign w:val="bottom"/>
          </w:tcPr>
          <w:p w14:paraId="5A1B1EAF" w14:textId="77777777" w:rsidR="00960BB8" w:rsidRDefault="00960BB8">
            <w:pPr>
              <w:rPr>
                <w:rFonts w:ascii="宋体"/>
                <w:vanish/>
              </w:rPr>
            </w:pPr>
          </w:p>
        </w:tc>
        <w:tc>
          <w:tcPr>
            <w:tcW w:w="0" w:type="auto"/>
            <w:gridSpan w:val="3"/>
            <w:shd w:val="clear" w:color="auto" w:fill="auto"/>
            <w:vAlign w:val="bottom"/>
          </w:tcPr>
          <w:p w14:paraId="5A1B1EB0" w14:textId="77777777" w:rsidR="00960BB8" w:rsidRDefault="00960BB8">
            <w:pPr>
              <w:rPr>
                <w:rFonts w:ascii="宋体"/>
                <w:vanish/>
              </w:rPr>
            </w:pPr>
          </w:p>
        </w:tc>
        <w:tc>
          <w:tcPr>
            <w:tcW w:w="0" w:type="auto"/>
            <w:gridSpan w:val="3"/>
            <w:shd w:val="clear" w:color="auto" w:fill="auto"/>
            <w:vAlign w:val="bottom"/>
          </w:tcPr>
          <w:p w14:paraId="5A1B1EB1" w14:textId="77777777" w:rsidR="00960BB8" w:rsidRDefault="00960BB8">
            <w:pPr>
              <w:rPr>
                <w:rFonts w:ascii="宋体"/>
                <w:vanish/>
              </w:rPr>
            </w:pPr>
          </w:p>
        </w:tc>
        <w:tc>
          <w:tcPr>
            <w:tcW w:w="0" w:type="auto"/>
            <w:gridSpan w:val="3"/>
            <w:shd w:val="clear" w:color="auto" w:fill="auto"/>
            <w:vAlign w:val="bottom"/>
          </w:tcPr>
          <w:p w14:paraId="5A1B1EB2" w14:textId="77777777" w:rsidR="00960BB8" w:rsidRDefault="00960BB8">
            <w:pPr>
              <w:rPr>
                <w:rFonts w:ascii="宋体"/>
                <w:vanish/>
              </w:rPr>
            </w:pPr>
          </w:p>
        </w:tc>
      </w:tr>
      <w:tr w:rsidR="00960BB8" w14:paraId="5A1B1EBD" w14:textId="77777777">
        <w:trPr>
          <w:hidden/>
        </w:trPr>
        <w:tc>
          <w:tcPr>
            <w:tcW w:w="0" w:type="auto"/>
            <w:gridSpan w:val="3"/>
            <w:shd w:val="clear" w:color="auto" w:fill="auto"/>
            <w:vAlign w:val="bottom"/>
          </w:tcPr>
          <w:p w14:paraId="5A1B1EB4" w14:textId="77777777" w:rsidR="00960BB8" w:rsidRDefault="00960BB8">
            <w:pPr>
              <w:rPr>
                <w:rFonts w:ascii="宋体"/>
                <w:vanish/>
              </w:rPr>
            </w:pPr>
          </w:p>
        </w:tc>
        <w:tc>
          <w:tcPr>
            <w:tcW w:w="0" w:type="auto"/>
            <w:gridSpan w:val="3"/>
            <w:shd w:val="clear" w:color="auto" w:fill="auto"/>
            <w:vAlign w:val="bottom"/>
          </w:tcPr>
          <w:p w14:paraId="5A1B1EB5" w14:textId="77777777" w:rsidR="00960BB8" w:rsidRDefault="00960BB8">
            <w:pPr>
              <w:rPr>
                <w:rFonts w:ascii="宋体"/>
                <w:vanish/>
              </w:rPr>
            </w:pPr>
          </w:p>
        </w:tc>
        <w:tc>
          <w:tcPr>
            <w:tcW w:w="0" w:type="auto"/>
            <w:gridSpan w:val="3"/>
            <w:shd w:val="clear" w:color="auto" w:fill="auto"/>
            <w:vAlign w:val="bottom"/>
          </w:tcPr>
          <w:p w14:paraId="5A1B1EB6" w14:textId="77777777" w:rsidR="00960BB8" w:rsidRDefault="00960BB8">
            <w:pPr>
              <w:rPr>
                <w:rFonts w:ascii="宋体"/>
                <w:vanish/>
              </w:rPr>
            </w:pPr>
          </w:p>
        </w:tc>
        <w:tc>
          <w:tcPr>
            <w:tcW w:w="0" w:type="auto"/>
            <w:gridSpan w:val="3"/>
            <w:shd w:val="clear" w:color="auto" w:fill="auto"/>
            <w:vAlign w:val="bottom"/>
          </w:tcPr>
          <w:p w14:paraId="5A1B1EB7" w14:textId="77777777" w:rsidR="00960BB8" w:rsidRDefault="00960BB8">
            <w:pPr>
              <w:rPr>
                <w:rFonts w:ascii="宋体"/>
                <w:vanish/>
              </w:rPr>
            </w:pPr>
          </w:p>
        </w:tc>
        <w:tc>
          <w:tcPr>
            <w:tcW w:w="0" w:type="auto"/>
            <w:gridSpan w:val="3"/>
            <w:shd w:val="clear" w:color="auto" w:fill="auto"/>
            <w:vAlign w:val="bottom"/>
          </w:tcPr>
          <w:p w14:paraId="5A1B1EB8" w14:textId="77777777" w:rsidR="00960BB8" w:rsidRDefault="00960BB8">
            <w:pPr>
              <w:rPr>
                <w:rFonts w:ascii="宋体"/>
                <w:vanish/>
              </w:rPr>
            </w:pPr>
          </w:p>
        </w:tc>
        <w:tc>
          <w:tcPr>
            <w:tcW w:w="0" w:type="auto"/>
            <w:gridSpan w:val="3"/>
            <w:shd w:val="clear" w:color="auto" w:fill="auto"/>
            <w:vAlign w:val="bottom"/>
          </w:tcPr>
          <w:p w14:paraId="5A1B1EB9" w14:textId="77777777" w:rsidR="00960BB8" w:rsidRDefault="00960BB8">
            <w:pPr>
              <w:rPr>
                <w:rFonts w:ascii="宋体"/>
                <w:vanish/>
              </w:rPr>
            </w:pPr>
          </w:p>
        </w:tc>
        <w:tc>
          <w:tcPr>
            <w:tcW w:w="0" w:type="auto"/>
            <w:gridSpan w:val="3"/>
            <w:shd w:val="clear" w:color="auto" w:fill="auto"/>
            <w:vAlign w:val="bottom"/>
          </w:tcPr>
          <w:p w14:paraId="5A1B1EBA" w14:textId="77777777" w:rsidR="00960BB8" w:rsidRDefault="00960BB8">
            <w:pPr>
              <w:rPr>
                <w:rFonts w:ascii="宋体"/>
                <w:vanish/>
              </w:rPr>
            </w:pPr>
          </w:p>
        </w:tc>
        <w:tc>
          <w:tcPr>
            <w:tcW w:w="0" w:type="auto"/>
            <w:gridSpan w:val="3"/>
            <w:shd w:val="clear" w:color="auto" w:fill="auto"/>
            <w:vAlign w:val="bottom"/>
          </w:tcPr>
          <w:p w14:paraId="5A1B1EBB" w14:textId="77777777" w:rsidR="00960BB8" w:rsidRDefault="00960BB8">
            <w:pPr>
              <w:rPr>
                <w:rFonts w:ascii="宋体"/>
                <w:vanish/>
              </w:rPr>
            </w:pPr>
          </w:p>
        </w:tc>
        <w:tc>
          <w:tcPr>
            <w:tcW w:w="0" w:type="auto"/>
            <w:gridSpan w:val="3"/>
            <w:shd w:val="clear" w:color="auto" w:fill="auto"/>
            <w:vAlign w:val="bottom"/>
          </w:tcPr>
          <w:p w14:paraId="5A1B1EBC" w14:textId="77777777" w:rsidR="00960BB8" w:rsidRDefault="00960BB8">
            <w:pPr>
              <w:rPr>
                <w:rFonts w:ascii="宋体"/>
                <w:vanish/>
              </w:rPr>
            </w:pPr>
          </w:p>
        </w:tc>
      </w:tr>
      <w:tr w:rsidR="00960BB8" w14:paraId="5A1B1EC7" w14:textId="77777777">
        <w:trPr>
          <w:hidden/>
        </w:trPr>
        <w:tc>
          <w:tcPr>
            <w:tcW w:w="0" w:type="auto"/>
            <w:gridSpan w:val="3"/>
            <w:shd w:val="clear" w:color="auto" w:fill="auto"/>
            <w:vAlign w:val="bottom"/>
          </w:tcPr>
          <w:p w14:paraId="5A1B1EBE" w14:textId="77777777" w:rsidR="00960BB8" w:rsidRDefault="00960BB8">
            <w:pPr>
              <w:rPr>
                <w:rFonts w:ascii="宋体"/>
                <w:vanish/>
              </w:rPr>
            </w:pPr>
          </w:p>
        </w:tc>
        <w:tc>
          <w:tcPr>
            <w:tcW w:w="0" w:type="auto"/>
            <w:gridSpan w:val="3"/>
            <w:shd w:val="clear" w:color="auto" w:fill="auto"/>
            <w:vAlign w:val="bottom"/>
          </w:tcPr>
          <w:p w14:paraId="5A1B1EBF" w14:textId="77777777" w:rsidR="00960BB8" w:rsidRDefault="00960BB8">
            <w:pPr>
              <w:rPr>
                <w:rFonts w:ascii="宋体"/>
                <w:vanish/>
              </w:rPr>
            </w:pPr>
          </w:p>
        </w:tc>
        <w:tc>
          <w:tcPr>
            <w:tcW w:w="0" w:type="auto"/>
            <w:gridSpan w:val="3"/>
            <w:shd w:val="clear" w:color="auto" w:fill="auto"/>
            <w:vAlign w:val="bottom"/>
          </w:tcPr>
          <w:p w14:paraId="5A1B1EC0" w14:textId="77777777" w:rsidR="00960BB8" w:rsidRDefault="00960BB8">
            <w:pPr>
              <w:rPr>
                <w:rFonts w:ascii="宋体"/>
                <w:vanish/>
              </w:rPr>
            </w:pPr>
          </w:p>
        </w:tc>
        <w:tc>
          <w:tcPr>
            <w:tcW w:w="0" w:type="auto"/>
            <w:gridSpan w:val="3"/>
            <w:shd w:val="clear" w:color="auto" w:fill="auto"/>
            <w:vAlign w:val="bottom"/>
          </w:tcPr>
          <w:p w14:paraId="5A1B1EC1" w14:textId="77777777" w:rsidR="00960BB8" w:rsidRDefault="00960BB8">
            <w:pPr>
              <w:rPr>
                <w:rFonts w:ascii="宋体"/>
                <w:vanish/>
              </w:rPr>
            </w:pPr>
          </w:p>
        </w:tc>
        <w:tc>
          <w:tcPr>
            <w:tcW w:w="0" w:type="auto"/>
            <w:gridSpan w:val="3"/>
            <w:shd w:val="clear" w:color="auto" w:fill="auto"/>
            <w:vAlign w:val="bottom"/>
          </w:tcPr>
          <w:p w14:paraId="5A1B1EC2" w14:textId="77777777" w:rsidR="00960BB8" w:rsidRDefault="00960BB8">
            <w:pPr>
              <w:rPr>
                <w:rFonts w:ascii="宋体"/>
                <w:vanish/>
              </w:rPr>
            </w:pPr>
          </w:p>
        </w:tc>
        <w:tc>
          <w:tcPr>
            <w:tcW w:w="0" w:type="auto"/>
            <w:gridSpan w:val="3"/>
            <w:shd w:val="clear" w:color="auto" w:fill="auto"/>
            <w:vAlign w:val="bottom"/>
          </w:tcPr>
          <w:p w14:paraId="5A1B1EC3" w14:textId="77777777" w:rsidR="00960BB8" w:rsidRDefault="00960BB8">
            <w:pPr>
              <w:rPr>
                <w:rFonts w:ascii="宋体"/>
                <w:vanish/>
              </w:rPr>
            </w:pPr>
          </w:p>
        </w:tc>
        <w:tc>
          <w:tcPr>
            <w:tcW w:w="0" w:type="auto"/>
            <w:gridSpan w:val="3"/>
            <w:shd w:val="clear" w:color="auto" w:fill="auto"/>
            <w:vAlign w:val="bottom"/>
          </w:tcPr>
          <w:p w14:paraId="5A1B1EC4" w14:textId="77777777" w:rsidR="00960BB8" w:rsidRDefault="00960BB8">
            <w:pPr>
              <w:rPr>
                <w:rFonts w:ascii="宋体"/>
                <w:vanish/>
              </w:rPr>
            </w:pPr>
          </w:p>
        </w:tc>
        <w:tc>
          <w:tcPr>
            <w:tcW w:w="0" w:type="auto"/>
            <w:gridSpan w:val="3"/>
            <w:shd w:val="clear" w:color="auto" w:fill="auto"/>
            <w:vAlign w:val="bottom"/>
          </w:tcPr>
          <w:p w14:paraId="5A1B1EC5" w14:textId="77777777" w:rsidR="00960BB8" w:rsidRDefault="00960BB8">
            <w:pPr>
              <w:rPr>
                <w:rFonts w:ascii="宋体"/>
                <w:vanish/>
              </w:rPr>
            </w:pPr>
          </w:p>
        </w:tc>
        <w:tc>
          <w:tcPr>
            <w:tcW w:w="0" w:type="auto"/>
            <w:gridSpan w:val="3"/>
            <w:shd w:val="clear" w:color="auto" w:fill="auto"/>
            <w:vAlign w:val="bottom"/>
          </w:tcPr>
          <w:p w14:paraId="5A1B1EC6" w14:textId="77777777" w:rsidR="00960BB8" w:rsidRDefault="00960BB8">
            <w:pPr>
              <w:rPr>
                <w:rFonts w:ascii="宋体"/>
                <w:vanish/>
              </w:rPr>
            </w:pPr>
          </w:p>
        </w:tc>
      </w:tr>
      <w:tr w:rsidR="00960BB8" w14:paraId="5A1B1ED1"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EC8" w14:textId="77777777" w:rsidR="00960BB8" w:rsidRDefault="00C06650">
            <w:pPr>
              <w:textAlignment w:val="bottom"/>
            </w:pPr>
            <w:r>
              <w:rPr>
                <w:rFonts w:ascii="Arial" w:eastAsia="宋体" w:hAnsi="Arial" w:cs="Arial"/>
                <w:color w:val="262626"/>
                <w:sz w:val="18"/>
                <w:szCs w:val="18"/>
              </w:rPr>
              <w:t>Valuation allowance for deferred tax assets</w:t>
            </w:r>
          </w:p>
        </w:tc>
        <w:tc>
          <w:tcPr>
            <w:tcW w:w="0" w:type="auto"/>
            <w:gridSpan w:val="3"/>
            <w:shd w:val="clear" w:color="auto" w:fill="auto"/>
            <w:tcMar>
              <w:top w:w="0" w:type="dxa"/>
              <w:left w:w="20" w:type="dxa"/>
              <w:bottom w:w="0" w:type="dxa"/>
              <w:right w:w="20" w:type="dxa"/>
            </w:tcMar>
            <w:vAlign w:val="bottom"/>
          </w:tcPr>
          <w:p w14:paraId="5A1B1EC9"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EC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ECB"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EC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ECD"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EC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1ECF"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1ED0" w14:textId="77777777" w:rsidR="00960BB8" w:rsidRDefault="00960BB8">
            <w:pPr>
              <w:rPr>
                <w:rFonts w:ascii="宋体"/>
              </w:rPr>
            </w:pPr>
          </w:p>
        </w:tc>
      </w:tr>
      <w:tr w:rsidR="00960BB8" w14:paraId="5A1B1EE3" w14:textId="77777777">
        <w:tc>
          <w:tcPr>
            <w:tcW w:w="0" w:type="auto"/>
            <w:gridSpan w:val="3"/>
            <w:shd w:val="clear" w:color="auto" w:fill="auto"/>
            <w:tcMar>
              <w:top w:w="40" w:type="dxa"/>
              <w:left w:w="20" w:type="dxa"/>
              <w:bottom w:w="40" w:type="dxa"/>
              <w:right w:w="20" w:type="dxa"/>
            </w:tcMar>
            <w:vAlign w:val="bottom"/>
          </w:tcPr>
          <w:p w14:paraId="5A1B1ED2" w14:textId="77777777" w:rsidR="00960BB8" w:rsidRDefault="00C06650">
            <w:pPr>
              <w:textAlignment w:val="bottom"/>
            </w:pPr>
            <w:r>
              <w:rPr>
                <w:rFonts w:ascii="Arial" w:eastAsia="宋体" w:hAnsi="Arial" w:cs="Arial"/>
                <w:color w:val="262626"/>
                <w:sz w:val="18"/>
                <w:szCs w:val="18"/>
              </w:rPr>
              <w:t>December 31, 2022</w:t>
            </w:r>
          </w:p>
        </w:tc>
        <w:tc>
          <w:tcPr>
            <w:tcW w:w="0" w:type="auto"/>
            <w:gridSpan w:val="3"/>
            <w:shd w:val="clear" w:color="auto" w:fill="auto"/>
            <w:tcMar>
              <w:top w:w="0" w:type="dxa"/>
              <w:left w:w="20" w:type="dxa"/>
              <w:bottom w:w="0" w:type="dxa"/>
              <w:right w:w="20" w:type="dxa"/>
            </w:tcMar>
            <w:vAlign w:val="bottom"/>
          </w:tcPr>
          <w:p w14:paraId="5A1B1ED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ED4"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1ED5" w14:textId="77777777" w:rsidR="00960BB8" w:rsidRDefault="00C06650">
            <w:pPr>
              <w:jc w:val="right"/>
              <w:textAlignment w:val="bottom"/>
            </w:pPr>
            <w:r>
              <w:rPr>
                <w:rFonts w:ascii="Arial" w:eastAsia="宋体" w:hAnsi="Arial" w:cs="Arial"/>
                <w:color w:val="0068B5"/>
                <w:sz w:val="18"/>
                <w:szCs w:val="18"/>
              </w:rPr>
              <w:t>2,259 </w:t>
            </w:r>
          </w:p>
        </w:tc>
        <w:tc>
          <w:tcPr>
            <w:tcW w:w="0" w:type="auto"/>
            <w:shd w:val="clear" w:color="auto" w:fill="auto"/>
            <w:tcMar>
              <w:top w:w="40" w:type="dxa"/>
              <w:left w:w="0" w:type="dxa"/>
              <w:bottom w:w="40" w:type="dxa"/>
              <w:right w:w="20" w:type="dxa"/>
            </w:tcMar>
            <w:vAlign w:val="bottom"/>
          </w:tcPr>
          <w:p w14:paraId="5A1B1ED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D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ED8"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1ED9" w14:textId="77777777" w:rsidR="00960BB8" w:rsidRDefault="00C06650">
            <w:pPr>
              <w:jc w:val="right"/>
              <w:textAlignment w:val="bottom"/>
            </w:pPr>
            <w:r>
              <w:rPr>
                <w:rFonts w:ascii="Arial" w:eastAsia="宋体" w:hAnsi="Arial" w:cs="Arial"/>
                <w:color w:val="0068B5"/>
                <w:sz w:val="18"/>
                <w:szCs w:val="18"/>
              </w:rPr>
              <w:t>401 </w:t>
            </w:r>
          </w:p>
        </w:tc>
        <w:tc>
          <w:tcPr>
            <w:tcW w:w="0" w:type="auto"/>
            <w:shd w:val="clear" w:color="auto" w:fill="auto"/>
            <w:tcMar>
              <w:top w:w="40" w:type="dxa"/>
              <w:left w:w="0" w:type="dxa"/>
              <w:bottom w:w="40" w:type="dxa"/>
              <w:right w:w="20" w:type="dxa"/>
            </w:tcMar>
            <w:vAlign w:val="bottom"/>
          </w:tcPr>
          <w:p w14:paraId="5A1B1ED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D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EDC"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1EDD" w14:textId="77777777" w:rsidR="00960BB8" w:rsidRDefault="00C06650">
            <w:pPr>
              <w:jc w:val="right"/>
              <w:textAlignment w:val="bottom"/>
            </w:pPr>
            <w:r>
              <w:rPr>
                <w:rFonts w:ascii="Arial" w:eastAsia="宋体" w:hAnsi="Arial" w:cs="Arial"/>
                <w:color w:val="0068B5"/>
                <w:sz w:val="18"/>
                <w:szCs w:val="18"/>
              </w:rPr>
              <w:t>(74)</w:t>
            </w:r>
          </w:p>
        </w:tc>
        <w:tc>
          <w:tcPr>
            <w:tcW w:w="0" w:type="auto"/>
            <w:shd w:val="clear" w:color="auto" w:fill="auto"/>
            <w:tcMar>
              <w:top w:w="40" w:type="dxa"/>
              <w:left w:w="0" w:type="dxa"/>
              <w:bottom w:w="40" w:type="dxa"/>
              <w:right w:w="20" w:type="dxa"/>
            </w:tcMar>
            <w:vAlign w:val="bottom"/>
          </w:tcPr>
          <w:p w14:paraId="5A1B1ED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D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EE0"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1EE1" w14:textId="77777777" w:rsidR="00960BB8" w:rsidRDefault="00C06650">
            <w:pPr>
              <w:jc w:val="right"/>
              <w:textAlignment w:val="bottom"/>
            </w:pPr>
            <w:r>
              <w:rPr>
                <w:rFonts w:ascii="Arial" w:eastAsia="宋体" w:hAnsi="Arial" w:cs="Arial"/>
                <w:color w:val="0068B5"/>
                <w:sz w:val="18"/>
                <w:szCs w:val="18"/>
              </w:rPr>
              <w:t>2,586 </w:t>
            </w:r>
          </w:p>
        </w:tc>
        <w:tc>
          <w:tcPr>
            <w:tcW w:w="0" w:type="auto"/>
            <w:shd w:val="clear" w:color="auto" w:fill="auto"/>
            <w:tcMar>
              <w:top w:w="40" w:type="dxa"/>
              <w:left w:w="0" w:type="dxa"/>
              <w:bottom w:w="40" w:type="dxa"/>
              <w:right w:w="20" w:type="dxa"/>
            </w:tcMar>
            <w:vAlign w:val="bottom"/>
          </w:tcPr>
          <w:p w14:paraId="5A1B1EE2" w14:textId="77777777" w:rsidR="00960BB8" w:rsidRDefault="00960BB8">
            <w:pPr>
              <w:jc w:val="right"/>
              <w:rPr>
                <w:rFonts w:ascii="宋体"/>
              </w:rPr>
            </w:pPr>
          </w:p>
        </w:tc>
      </w:tr>
      <w:tr w:rsidR="00960BB8" w14:paraId="5A1B1EF5" w14:textId="77777777">
        <w:tc>
          <w:tcPr>
            <w:tcW w:w="0" w:type="auto"/>
            <w:gridSpan w:val="3"/>
            <w:shd w:val="clear" w:color="auto" w:fill="auto"/>
            <w:tcMar>
              <w:top w:w="40" w:type="dxa"/>
              <w:left w:w="20" w:type="dxa"/>
              <w:bottom w:w="40" w:type="dxa"/>
              <w:right w:w="20" w:type="dxa"/>
            </w:tcMar>
            <w:vAlign w:val="bottom"/>
          </w:tcPr>
          <w:p w14:paraId="5A1B1EE4" w14:textId="77777777" w:rsidR="00960BB8" w:rsidRDefault="00C06650">
            <w:pPr>
              <w:textAlignment w:val="bottom"/>
            </w:pPr>
            <w:r>
              <w:rPr>
                <w:rFonts w:ascii="Arial" w:eastAsia="宋体" w:hAnsi="Arial" w:cs="Arial"/>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5A1B1EE5"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EE6"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EE7" w14:textId="77777777" w:rsidR="00960BB8" w:rsidRDefault="00C06650">
            <w:pPr>
              <w:jc w:val="right"/>
              <w:textAlignment w:val="bottom"/>
            </w:pPr>
            <w:r>
              <w:rPr>
                <w:rFonts w:ascii="Arial" w:eastAsia="宋体" w:hAnsi="Arial" w:cs="Arial"/>
                <w:color w:val="262626"/>
                <w:sz w:val="18"/>
                <w:szCs w:val="18"/>
              </w:rPr>
              <w:t>1,963 </w:t>
            </w:r>
          </w:p>
        </w:tc>
        <w:tc>
          <w:tcPr>
            <w:tcW w:w="0" w:type="auto"/>
            <w:shd w:val="clear" w:color="auto" w:fill="auto"/>
            <w:tcMar>
              <w:top w:w="40" w:type="dxa"/>
              <w:left w:w="0" w:type="dxa"/>
              <w:bottom w:w="40" w:type="dxa"/>
              <w:right w:w="20" w:type="dxa"/>
            </w:tcMar>
            <w:vAlign w:val="bottom"/>
          </w:tcPr>
          <w:p w14:paraId="5A1B1EE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E9"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EEA"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EEB" w14:textId="77777777" w:rsidR="00960BB8" w:rsidRDefault="00C06650">
            <w:pPr>
              <w:jc w:val="right"/>
              <w:textAlignment w:val="bottom"/>
            </w:pPr>
            <w:r>
              <w:rPr>
                <w:rFonts w:ascii="Arial" w:eastAsia="宋体" w:hAnsi="Arial" w:cs="Arial"/>
                <w:color w:val="262626"/>
                <w:sz w:val="18"/>
                <w:szCs w:val="18"/>
              </w:rPr>
              <w:t>442 </w:t>
            </w:r>
          </w:p>
        </w:tc>
        <w:tc>
          <w:tcPr>
            <w:tcW w:w="0" w:type="auto"/>
            <w:shd w:val="clear" w:color="auto" w:fill="auto"/>
            <w:tcMar>
              <w:top w:w="40" w:type="dxa"/>
              <w:left w:w="0" w:type="dxa"/>
              <w:bottom w:w="40" w:type="dxa"/>
              <w:right w:w="20" w:type="dxa"/>
            </w:tcMar>
            <w:vAlign w:val="bottom"/>
          </w:tcPr>
          <w:p w14:paraId="5A1B1EE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ED"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EEE"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EEF" w14:textId="77777777" w:rsidR="00960BB8" w:rsidRDefault="00C06650">
            <w:pPr>
              <w:jc w:val="right"/>
              <w:textAlignment w:val="bottom"/>
            </w:pPr>
            <w:r>
              <w:rPr>
                <w:rFonts w:ascii="Arial" w:eastAsia="宋体" w:hAnsi="Arial" w:cs="Arial"/>
                <w:color w:val="262626"/>
                <w:sz w:val="18"/>
                <w:szCs w:val="18"/>
              </w:rPr>
              <w:t>(146)</w:t>
            </w:r>
          </w:p>
        </w:tc>
        <w:tc>
          <w:tcPr>
            <w:tcW w:w="0" w:type="auto"/>
            <w:shd w:val="clear" w:color="auto" w:fill="auto"/>
            <w:tcMar>
              <w:top w:w="40" w:type="dxa"/>
              <w:left w:w="0" w:type="dxa"/>
              <w:bottom w:w="40" w:type="dxa"/>
              <w:right w:w="20" w:type="dxa"/>
            </w:tcMar>
            <w:vAlign w:val="bottom"/>
          </w:tcPr>
          <w:p w14:paraId="5A1B1EF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F1"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EF2"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EF3" w14:textId="77777777" w:rsidR="00960BB8" w:rsidRDefault="00C06650">
            <w:pPr>
              <w:jc w:val="right"/>
              <w:textAlignment w:val="bottom"/>
            </w:pPr>
            <w:r>
              <w:rPr>
                <w:rFonts w:ascii="Arial" w:eastAsia="宋体" w:hAnsi="Arial" w:cs="Arial"/>
                <w:color w:val="262626"/>
                <w:sz w:val="18"/>
                <w:szCs w:val="18"/>
              </w:rPr>
              <w:t>2,259 </w:t>
            </w:r>
          </w:p>
        </w:tc>
        <w:tc>
          <w:tcPr>
            <w:tcW w:w="0" w:type="auto"/>
            <w:shd w:val="clear" w:color="auto" w:fill="auto"/>
            <w:tcMar>
              <w:top w:w="40" w:type="dxa"/>
              <w:left w:w="0" w:type="dxa"/>
              <w:bottom w:w="40" w:type="dxa"/>
              <w:right w:w="20" w:type="dxa"/>
            </w:tcMar>
            <w:vAlign w:val="bottom"/>
          </w:tcPr>
          <w:p w14:paraId="5A1B1EF4" w14:textId="77777777" w:rsidR="00960BB8" w:rsidRDefault="00960BB8">
            <w:pPr>
              <w:jc w:val="right"/>
              <w:rPr>
                <w:rFonts w:ascii="宋体"/>
              </w:rPr>
            </w:pPr>
          </w:p>
        </w:tc>
      </w:tr>
      <w:tr w:rsidR="00960BB8" w14:paraId="5A1B1F07" w14:textId="77777777">
        <w:tc>
          <w:tcPr>
            <w:tcW w:w="0" w:type="auto"/>
            <w:gridSpan w:val="3"/>
            <w:shd w:val="clear" w:color="auto" w:fill="auto"/>
            <w:tcMar>
              <w:top w:w="40" w:type="dxa"/>
              <w:left w:w="20" w:type="dxa"/>
              <w:bottom w:w="40" w:type="dxa"/>
              <w:right w:w="20" w:type="dxa"/>
            </w:tcMar>
            <w:vAlign w:val="bottom"/>
          </w:tcPr>
          <w:p w14:paraId="5A1B1EF6" w14:textId="77777777" w:rsidR="00960BB8" w:rsidRDefault="00C06650">
            <w:pPr>
              <w:textAlignment w:val="bottom"/>
            </w:pPr>
            <w:r>
              <w:rPr>
                <w:rFonts w:ascii="Arial" w:eastAsia="宋体" w:hAnsi="Arial" w:cs="Arial"/>
                <w:color w:val="262626"/>
                <w:sz w:val="18"/>
                <w:szCs w:val="18"/>
              </w:rPr>
              <w:t>December 26, 2020</w:t>
            </w:r>
          </w:p>
        </w:tc>
        <w:tc>
          <w:tcPr>
            <w:tcW w:w="0" w:type="auto"/>
            <w:gridSpan w:val="3"/>
            <w:shd w:val="clear" w:color="auto" w:fill="auto"/>
            <w:tcMar>
              <w:top w:w="0" w:type="dxa"/>
              <w:left w:w="20" w:type="dxa"/>
              <w:bottom w:w="0" w:type="dxa"/>
              <w:right w:w="20" w:type="dxa"/>
            </w:tcMar>
            <w:vAlign w:val="bottom"/>
          </w:tcPr>
          <w:p w14:paraId="5A1B1EF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EF8"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EF9" w14:textId="77777777" w:rsidR="00960BB8" w:rsidRDefault="00C06650">
            <w:pPr>
              <w:jc w:val="right"/>
              <w:textAlignment w:val="bottom"/>
            </w:pPr>
            <w:r>
              <w:rPr>
                <w:rFonts w:ascii="Arial" w:eastAsia="宋体" w:hAnsi="Arial" w:cs="Arial"/>
                <w:color w:val="262626"/>
                <w:sz w:val="18"/>
                <w:szCs w:val="18"/>
              </w:rPr>
              <w:t>1,534 </w:t>
            </w:r>
          </w:p>
        </w:tc>
        <w:tc>
          <w:tcPr>
            <w:tcW w:w="0" w:type="auto"/>
            <w:shd w:val="clear" w:color="auto" w:fill="auto"/>
            <w:tcMar>
              <w:top w:w="40" w:type="dxa"/>
              <w:left w:w="0" w:type="dxa"/>
              <w:bottom w:w="40" w:type="dxa"/>
              <w:right w:w="20" w:type="dxa"/>
            </w:tcMar>
            <w:vAlign w:val="bottom"/>
          </w:tcPr>
          <w:p w14:paraId="5A1B1EF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F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EFC"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EFD" w14:textId="77777777" w:rsidR="00960BB8" w:rsidRDefault="00C06650">
            <w:pPr>
              <w:jc w:val="right"/>
              <w:textAlignment w:val="bottom"/>
            </w:pPr>
            <w:r>
              <w:rPr>
                <w:rFonts w:ascii="Arial" w:eastAsia="宋体" w:hAnsi="Arial" w:cs="Arial"/>
                <w:color w:val="262626"/>
                <w:sz w:val="18"/>
                <w:szCs w:val="18"/>
              </w:rPr>
              <w:t>378 </w:t>
            </w:r>
          </w:p>
        </w:tc>
        <w:tc>
          <w:tcPr>
            <w:tcW w:w="0" w:type="auto"/>
            <w:shd w:val="clear" w:color="auto" w:fill="auto"/>
            <w:tcMar>
              <w:top w:w="40" w:type="dxa"/>
              <w:left w:w="0" w:type="dxa"/>
              <w:bottom w:w="40" w:type="dxa"/>
              <w:right w:w="20" w:type="dxa"/>
            </w:tcMar>
            <w:vAlign w:val="bottom"/>
          </w:tcPr>
          <w:p w14:paraId="5A1B1EF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EF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F00"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F01" w14:textId="77777777" w:rsidR="00960BB8" w:rsidRDefault="00C06650">
            <w:pPr>
              <w:jc w:val="right"/>
              <w:textAlignment w:val="bottom"/>
            </w:pPr>
            <w:r>
              <w:rPr>
                <w:rFonts w:ascii="Arial" w:eastAsia="宋体" w:hAnsi="Arial" w:cs="Arial"/>
                <w:color w:val="262626"/>
                <w:sz w:val="18"/>
                <w:szCs w:val="18"/>
              </w:rPr>
              <w:t>51 </w:t>
            </w:r>
          </w:p>
        </w:tc>
        <w:tc>
          <w:tcPr>
            <w:tcW w:w="0" w:type="auto"/>
            <w:shd w:val="clear" w:color="auto" w:fill="auto"/>
            <w:tcMar>
              <w:top w:w="40" w:type="dxa"/>
              <w:left w:w="0" w:type="dxa"/>
              <w:bottom w:w="40" w:type="dxa"/>
              <w:right w:w="20" w:type="dxa"/>
            </w:tcMar>
            <w:vAlign w:val="bottom"/>
          </w:tcPr>
          <w:p w14:paraId="5A1B1F0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F0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1F04"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1F05" w14:textId="77777777" w:rsidR="00960BB8" w:rsidRDefault="00C06650">
            <w:pPr>
              <w:jc w:val="right"/>
              <w:textAlignment w:val="bottom"/>
            </w:pPr>
            <w:r>
              <w:rPr>
                <w:rFonts w:ascii="Arial" w:eastAsia="宋体" w:hAnsi="Arial" w:cs="Arial"/>
                <w:color w:val="262626"/>
                <w:sz w:val="18"/>
                <w:szCs w:val="18"/>
              </w:rPr>
              <w:t>1,963 </w:t>
            </w:r>
          </w:p>
        </w:tc>
        <w:tc>
          <w:tcPr>
            <w:tcW w:w="0" w:type="auto"/>
            <w:shd w:val="clear" w:color="auto" w:fill="auto"/>
            <w:tcMar>
              <w:top w:w="40" w:type="dxa"/>
              <w:left w:w="0" w:type="dxa"/>
              <w:bottom w:w="40" w:type="dxa"/>
              <w:right w:w="20" w:type="dxa"/>
            </w:tcMar>
            <w:vAlign w:val="bottom"/>
          </w:tcPr>
          <w:p w14:paraId="5A1B1F06" w14:textId="77777777" w:rsidR="00960BB8" w:rsidRDefault="00960BB8">
            <w:pPr>
              <w:jc w:val="right"/>
              <w:rPr>
                <w:rFonts w:ascii="宋体"/>
              </w:rPr>
            </w:pPr>
          </w:p>
        </w:tc>
      </w:tr>
    </w:tbl>
    <w:p w14:paraId="5A1B1F08" w14:textId="77777777" w:rsidR="00960BB8" w:rsidRDefault="00C06650">
      <w:pPr>
        <w:spacing w:before="120" w:after="180"/>
      </w:pPr>
      <w:r>
        <w:rPr>
          <w:rFonts w:ascii="Arial" w:eastAsia="宋体" w:hAnsi="Arial" w:cs="Arial"/>
          <w:color w:val="262626"/>
          <w:sz w:val="18"/>
          <w:szCs w:val="18"/>
        </w:rPr>
        <w:t xml:space="preserve">Deferred tax assets are included within </w:t>
      </w:r>
      <w:r>
        <w:rPr>
          <w:rFonts w:ascii="Arial" w:eastAsia="宋体" w:hAnsi="Arial" w:cs="Arial"/>
          <w:i/>
          <w:iCs/>
          <w:color w:val="262626"/>
          <w:sz w:val="18"/>
          <w:szCs w:val="18"/>
        </w:rPr>
        <w:t>other long-term assets</w:t>
      </w:r>
      <w:r>
        <w:rPr>
          <w:rFonts w:ascii="Arial" w:eastAsia="宋体" w:hAnsi="Arial" w:cs="Arial"/>
          <w:color w:val="262626"/>
          <w:sz w:val="18"/>
          <w:szCs w:val="18"/>
        </w:rPr>
        <w:t xml:space="preserve"> on the Consolidated Balance Sheets.</w:t>
      </w:r>
    </w:p>
    <w:p w14:paraId="5A1B1F09" w14:textId="77777777" w:rsidR="00960BB8" w:rsidRDefault="00C06650">
      <w:pPr>
        <w:spacing w:after="180"/>
      </w:pPr>
      <w:r>
        <w:rPr>
          <w:rFonts w:ascii="Arial" w:eastAsia="宋体" w:hAnsi="Arial" w:cs="Arial"/>
          <w:color w:val="262626"/>
          <w:sz w:val="18"/>
          <w:szCs w:val="18"/>
        </w:rPr>
        <w:t xml:space="preserve">The valuation allowance as of </w:t>
      </w:r>
      <w:r>
        <w:rPr>
          <w:rFonts w:ascii="Arial" w:eastAsia="宋体" w:hAnsi="Arial" w:cs="Arial"/>
          <w:color w:val="262626"/>
          <w:sz w:val="18"/>
          <w:szCs w:val="18"/>
        </w:rPr>
        <w:t>December 31, 2022 included allowances primarily related to unrealized state credit carryforwards of $2.3 billion.</w:t>
      </w:r>
    </w:p>
    <w:p w14:paraId="5A1B1F0A" w14:textId="77777777" w:rsidR="00960BB8" w:rsidRDefault="00C06650">
      <w:pPr>
        <w:spacing w:after="180"/>
      </w:pPr>
      <w:r>
        <w:rPr>
          <w:rFonts w:ascii="Arial" w:eastAsia="宋体" w:hAnsi="Arial" w:cs="Arial"/>
          <w:color w:val="262626"/>
          <w:sz w:val="18"/>
          <w:szCs w:val="18"/>
        </w:rPr>
        <w:t>As of December 31, 2022, our federal and non-US net operating loss carryforwards for income tax purposes were $379 million and $478 million, r</w:t>
      </w:r>
      <w:r>
        <w:rPr>
          <w:rFonts w:ascii="Arial" w:eastAsia="宋体" w:hAnsi="Arial" w:cs="Arial"/>
          <w:color w:val="262626"/>
          <w:sz w:val="18"/>
          <w:szCs w:val="18"/>
        </w:rPr>
        <w:t xml:space="preserve">espectively. </w:t>
      </w:r>
      <w:r>
        <w:rPr>
          <w:rFonts w:ascii="Arial" w:eastAsia="宋体" w:hAnsi="Arial" w:cs="Arial"/>
          <w:color w:val="000000"/>
          <w:sz w:val="18"/>
          <w:szCs w:val="18"/>
        </w:rPr>
        <w:t>The majority</w:t>
      </w:r>
      <w:r>
        <w:rPr>
          <w:rFonts w:ascii="Arial" w:eastAsia="宋体" w:hAnsi="Arial" w:cs="Arial"/>
          <w:color w:val="262626"/>
          <w:sz w:val="18"/>
          <w:szCs w:val="18"/>
        </w:rPr>
        <w:t xml:space="preserve"> of the federal and non-US net operating loss carryforwards have no expiration date. The remaining federal and non-US net operating loss carryforwards expire at various dates through 2040. The federal and non-US net operating loss </w:t>
      </w:r>
      <w:r>
        <w:rPr>
          <w:rFonts w:ascii="Arial" w:eastAsia="宋体" w:hAnsi="Arial" w:cs="Arial"/>
          <w:color w:val="262626"/>
          <w:sz w:val="18"/>
          <w:szCs w:val="18"/>
        </w:rPr>
        <w:t>carryforwards include $141 million and $442 million, respectively, that is not likely to be recovered and has been reduced by a valuation allowance.</w:t>
      </w:r>
    </w:p>
    <w:p w14:paraId="5A1B1F0B" w14:textId="77777777" w:rsidR="00960BB8" w:rsidRDefault="00C06650">
      <w:pPr>
        <w:spacing w:after="180"/>
      </w:pPr>
      <w:r>
        <w:rPr>
          <w:rFonts w:ascii="Arial" w:eastAsia="宋体" w:hAnsi="Arial" w:cs="Arial"/>
          <w:color w:val="262626"/>
          <w:sz w:val="18"/>
          <w:szCs w:val="18"/>
        </w:rPr>
        <w:t>As of December 31, 2022, we have undistributed earnings of certain foreign subsidiaries of approximately $1</w:t>
      </w:r>
      <w:r>
        <w:rPr>
          <w:rFonts w:ascii="Arial" w:eastAsia="宋体" w:hAnsi="Arial" w:cs="Arial"/>
          <w:color w:val="262626"/>
          <w:sz w:val="18"/>
          <w:szCs w:val="18"/>
        </w:rPr>
        <w:t>9.3 billion that we have indefinitely invested, and on which we have not recognized deferred taxes. Estimating the amount of potential tax is not practicable because of the complexity and variety of assumptions necessary to compute the tax.</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F18" w14:textId="77777777">
        <w:tc>
          <w:tcPr>
            <w:tcW w:w="50" w:type="pct"/>
            <w:shd w:val="clear" w:color="auto" w:fill="auto"/>
            <w:vAlign w:val="bottom"/>
          </w:tcPr>
          <w:p w14:paraId="5A1B1F0C" w14:textId="77777777" w:rsidR="00960BB8" w:rsidRDefault="00960BB8">
            <w:pPr>
              <w:rPr>
                <w:rFonts w:ascii="宋体"/>
              </w:rPr>
            </w:pPr>
          </w:p>
        </w:tc>
        <w:tc>
          <w:tcPr>
            <w:tcW w:w="276" w:type="pct"/>
            <w:shd w:val="clear" w:color="auto" w:fill="auto"/>
            <w:vAlign w:val="bottom"/>
          </w:tcPr>
          <w:p w14:paraId="5A1B1F0D" w14:textId="77777777" w:rsidR="00960BB8" w:rsidRDefault="00960BB8">
            <w:pPr>
              <w:rPr>
                <w:rFonts w:ascii="宋体"/>
              </w:rPr>
            </w:pPr>
          </w:p>
        </w:tc>
        <w:tc>
          <w:tcPr>
            <w:tcW w:w="5" w:type="pct"/>
            <w:shd w:val="clear" w:color="auto" w:fill="auto"/>
            <w:vAlign w:val="bottom"/>
          </w:tcPr>
          <w:p w14:paraId="5A1B1F0E" w14:textId="77777777" w:rsidR="00960BB8" w:rsidRDefault="00960BB8">
            <w:pPr>
              <w:rPr>
                <w:rFonts w:ascii="宋体"/>
              </w:rPr>
            </w:pPr>
          </w:p>
        </w:tc>
        <w:tc>
          <w:tcPr>
            <w:tcW w:w="50" w:type="pct"/>
            <w:shd w:val="clear" w:color="auto" w:fill="auto"/>
            <w:vAlign w:val="bottom"/>
          </w:tcPr>
          <w:p w14:paraId="5A1B1F0F" w14:textId="77777777" w:rsidR="00960BB8" w:rsidRDefault="00960BB8">
            <w:pPr>
              <w:rPr>
                <w:rFonts w:ascii="宋体"/>
              </w:rPr>
            </w:pPr>
          </w:p>
        </w:tc>
        <w:tc>
          <w:tcPr>
            <w:tcW w:w="940" w:type="pct"/>
            <w:shd w:val="clear" w:color="auto" w:fill="auto"/>
            <w:vAlign w:val="bottom"/>
          </w:tcPr>
          <w:p w14:paraId="5A1B1F10" w14:textId="77777777" w:rsidR="00960BB8" w:rsidRDefault="00960BB8">
            <w:pPr>
              <w:rPr>
                <w:rFonts w:ascii="宋体"/>
              </w:rPr>
            </w:pPr>
          </w:p>
        </w:tc>
        <w:tc>
          <w:tcPr>
            <w:tcW w:w="5" w:type="pct"/>
            <w:shd w:val="clear" w:color="auto" w:fill="auto"/>
            <w:vAlign w:val="bottom"/>
          </w:tcPr>
          <w:p w14:paraId="5A1B1F11" w14:textId="77777777" w:rsidR="00960BB8" w:rsidRDefault="00960BB8">
            <w:pPr>
              <w:rPr>
                <w:rFonts w:ascii="宋体"/>
              </w:rPr>
            </w:pPr>
          </w:p>
        </w:tc>
        <w:tc>
          <w:tcPr>
            <w:tcW w:w="50" w:type="pct"/>
            <w:shd w:val="clear" w:color="auto" w:fill="auto"/>
            <w:vAlign w:val="bottom"/>
          </w:tcPr>
          <w:p w14:paraId="5A1B1F12" w14:textId="77777777" w:rsidR="00960BB8" w:rsidRDefault="00960BB8">
            <w:pPr>
              <w:rPr>
                <w:rFonts w:ascii="宋体"/>
              </w:rPr>
            </w:pPr>
          </w:p>
        </w:tc>
        <w:tc>
          <w:tcPr>
            <w:tcW w:w="1837" w:type="pct"/>
            <w:shd w:val="clear" w:color="auto" w:fill="auto"/>
            <w:vAlign w:val="bottom"/>
          </w:tcPr>
          <w:p w14:paraId="5A1B1F13" w14:textId="77777777" w:rsidR="00960BB8" w:rsidRDefault="00960BB8">
            <w:pPr>
              <w:rPr>
                <w:rFonts w:ascii="宋体"/>
              </w:rPr>
            </w:pPr>
          </w:p>
        </w:tc>
        <w:tc>
          <w:tcPr>
            <w:tcW w:w="5" w:type="pct"/>
            <w:shd w:val="clear" w:color="auto" w:fill="auto"/>
            <w:vAlign w:val="bottom"/>
          </w:tcPr>
          <w:p w14:paraId="5A1B1F14" w14:textId="77777777" w:rsidR="00960BB8" w:rsidRDefault="00960BB8">
            <w:pPr>
              <w:rPr>
                <w:rFonts w:ascii="宋体"/>
              </w:rPr>
            </w:pPr>
          </w:p>
        </w:tc>
        <w:tc>
          <w:tcPr>
            <w:tcW w:w="50" w:type="pct"/>
            <w:shd w:val="clear" w:color="auto" w:fill="auto"/>
            <w:vAlign w:val="bottom"/>
          </w:tcPr>
          <w:p w14:paraId="5A1B1F15" w14:textId="77777777" w:rsidR="00960BB8" w:rsidRDefault="00960BB8">
            <w:pPr>
              <w:rPr>
                <w:rFonts w:ascii="宋体"/>
              </w:rPr>
            </w:pPr>
          </w:p>
        </w:tc>
        <w:tc>
          <w:tcPr>
            <w:tcW w:w="1724" w:type="pct"/>
            <w:shd w:val="clear" w:color="auto" w:fill="auto"/>
            <w:vAlign w:val="bottom"/>
          </w:tcPr>
          <w:p w14:paraId="5A1B1F16" w14:textId="77777777" w:rsidR="00960BB8" w:rsidRDefault="00960BB8">
            <w:pPr>
              <w:rPr>
                <w:rFonts w:ascii="宋体"/>
              </w:rPr>
            </w:pPr>
          </w:p>
        </w:tc>
        <w:tc>
          <w:tcPr>
            <w:tcW w:w="5" w:type="pct"/>
            <w:shd w:val="clear" w:color="auto" w:fill="auto"/>
            <w:vAlign w:val="bottom"/>
          </w:tcPr>
          <w:p w14:paraId="5A1B1F17" w14:textId="77777777" w:rsidR="00960BB8" w:rsidRDefault="00960BB8">
            <w:pPr>
              <w:rPr>
                <w:rFonts w:ascii="宋体"/>
              </w:rPr>
            </w:pPr>
          </w:p>
        </w:tc>
      </w:tr>
      <w:tr w:rsidR="00960BB8" w14:paraId="5A1B1F1D"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F19"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9F" wp14:editId="5A1B44A0">
                  <wp:extent cx="304800" cy="304800"/>
                  <wp:effectExtent l="0" t="0" r="0" b="0"/>
                  <wp:docPr id="56" name="图片 27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7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F1A"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F1B"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F1C" w14:textId="77777777" w:rsidR="00960BB8" w:rsidRDefault="00C06650">
            <w:pPr>
              <w:jc w:val="right"/>
              <w:textAlignment w:val="center"/>
            </w:pPr>
            <w:r>
              <w:rPr>
                <w:rFonts w:ascii="Arial" w:eastAsia="宋体" w:hAnsi="Arial" w:cs="Arial"/>
                <w:color w:val="262626"/>
                <w:sz w:val="16"/>
                <w:szCs w:val="16"/>
              </w:rPr>
              <w:t>95</w:t>
            </w:r>
          </w:p>
        </w:tc>
      </w:tr>
    </w:tbl>
    <w:p w14:paraId="5A1B1F1E" w14:textId="77777777" w:rsidR="00960BB8" w:rsidRDefault="00C06650">
      <w:r>
        <w:pict w14:anchorId="5A1B44A1">
          <v:rect id="_x0000_i1121" style="width:415.3pt;height:1.5pt" o:hralign="center" o:hrstd="t" o:hr="t" fillcolor="#a0a0a0" stroked="f"/>
        </w:pict>
      </w:r>
    </w:p>
    <w:p w14:paraId="5A1B1F1F" w14:textId="77777777" w:rsidR="00960BB8" w:rsidRDefault="00C06650">
      <w:pPr>
        <w:jc w:val="right"/>
      </w:pPr>
      <w:hyperlink r:id="rId144" w:anchor="i8aaa7b4dbd2e419ca0f5c30af85a11aa_16" w:history="1">
        <w:r>
          <w:rPr>
            <w:rStyle w:val="a5"/>
            <w:rFonts w:ascii="Arial" w:eastAsia="宋体" w:hAnsi="Arial" w:cs="Arial"/>
            <w:b/>
            <w:bCs/>
            <w:sz w:val="16"/>
            <w:szCs w:val="16"/>
          </w:rPr>
          <w:t>Table of Contents</w:t>
        </w:r>
      </w:hyperlink>
    </w:p>
    <w:p w14:paraId="5A1B1F20" w14:textId="77777777" w:rsidR="00960BB8" w:rsidRDefault="00960BB8">
      <w:pPr>
        <w:jc w:val="right"/>
      </w:pPr>
    </w:p>
    <w:p w14:paraId="5A1B1F21" w14:textId="77777777" w:rsidR="00960BB8" w:rsidRDefault="00C06650">
      <w:pPr>
        <w:spacing w:after="180"/>
      </w:pPr>
      <w:r>
        <w:rPr>
          <w:rFonts w:ascii="Arial" w:eastAsia="宋体" w:hAnsi="Arial" w:cs="Arial"/>
          <w:color w:val="262626"/>
          <w:sz w:val="18"/>
          <w:szCs w:val="18"/>
        </w:rPr>
        <w:t xml:space="preserve">Current income taxes receivable of $138 million as of December 31, 2022 ($23 million as of December 25, 2021) are included in </w:t>
      </w:r>
      <w:r>
        <w:rPr>
          <w:rFonts w:ascii="Arial" w:eastAsia="宋体" w:hAnsi="Arial" w:cs="Arial"/>
          <w:i/>
          <w:iCs/>
          <w:color w:val="262626"/>
          <w:sz w:val="18"/>
          <w:szCs w:val="18"/>
        </w:rPr>
        <w:t>other current assets</w:t>
      </w:r>
      <w:r>
        <w:rPr>
          <w:rFonts w:ascii="Arial" w:eastAsia="宋体" w:hAnsi="Arial" w:cs="Arial"/>
          <w:color w:val="262626"/>
          <w:sz w:val="18"/>
          <w:szCs w:val="18"/>
        </w:rPr>
        <w:t>.</w:t>
      </w:r>
    </w:p>
    <w:p w14:paraId="5A1B1F22" w14:textId="77777777" w:rsidR="00960BB8" w:rsidRDefault="00C06650">
      <w:pPr>
        <w:spacing w:after="180"/>
      </w:pPr>
      <w:r>
        <w:rPr>
          <w:rFonts w:ascii="Arial" w:eastAsia="宋体" w:hAnsi="Arial" w:cs="Arial"/>
          <w:color w:val="262626"/>
          <w:sz w:val="18"/>
          <w:szCs w:val="18"/>
        </w:rPr>
        <w:t>Long-term income taxes payable of $3.8 billion as of December 31, 2022 ($4.3 billion as of December 25, 2021</w:t>
      </w:r>
      <w:r>
        <w:rPr>
          <w:rFonts w:ascii="Arial" w:eastAsia="宋体" w:hAnsi="Arial" w:cs="Arial"/>
          <w:color w:val="262626"/>
          <w:sz w:val="18"/>
          <w:szCs w:val="18"/>
        </w:rPr>
        <w:t>) is primarily comprised of the transition tax from Tax Reform, which is payable over eight years beginning in 2018, as well as amounts for uncertain tax positions, reduced by the associated deduction for state taxes and non-US tax credits.</w:t>
      </w:r>
    </w:p>
    <w:p w14:paraId="5A1B1F23" w14:textId="77777777" w:rsidR="00960BB8" w:rsidRDefault="00C06650">
      <w:pPr>
        <w:spacing w:after="180"/>
      </w:pPr>
      <w:r>
        <w:rPr>
          <w:rFonts w:ascii="Arial" w:eastAsia="宋体" w:hAnsi="Arial" w:cs="Arial"/>
          <w:color w:val="0068B5"/>
        </w:rPr>
        <w:t>Uncertain Tax P</w:t>
      </w:r>
      <w:r>
        <w:rPr>
          <w:rFonts w:ascii="Arial" w:eastAsia="宋体" w:hAnsi="Arial" w:cs="Arial"/>
          <w:color w:val="0068B5"/>
        </w:rPr>
        <w:t>ositions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6"/>
        <w:gridCol w:w="36"/>
        <w:gridCol w:w="36"/>
        <w:gridCol w:w="36"/>
        <w:gridCol w:w="121"/>
        <w:gridCol w:w="805"/>
        <w:gridCol w:w="36"/>
        <w:gridCol w:w="36"/>
        <w:gridCol w:w="36"/>
        <w:gridCol w:w="36"/>
        <w:gridCol w:w="121"/>
        <w:gridCol w:w="806"/>
        <w:gridCol w:w="36"/>
        <w:gridCol w:w="36"/>
        <w:gridCol w:w="36"/>
        <w:gridCol w:w="36"/>
        <w:gridCol w:w="121"/>
        <w:gridCol w:w="807"/>
        <w:gridCol w:w="36"/>
      </w:tblGrid>
      <w:tr w:rsidR="00960BB8" w14:paraId="5A1B1F39" w14:textId="77777777">
        <w:tc>
          <w:tcPr>
            <w:tcW w:w="50" w:type="pct"/>
            <w:shd w:val="clear" w:color="auto" w:fill="auto"/>
            <w:vAlign w:val="bottom"/>
          </w:tcPr>
          <w:p w14:paraId="5A1B1F24" w14:textId="77777777" w:rsidR="00960BB8" w:rsidRDefault="00960BB8">
            <w:pPr>
              <w:rPr>
                <w:rFonts w:ascii="宋体"/>
              </w:rPr>
            </w:pPr>
          </w:p>
        </w:tc>
        <w:tc>
          <w:tcPr>
            <w:tcW w:w="3059" w:type="pct"/>
            <w:shd w:val="clear" w:color="auto" w:fill="auto"/>
            <w:vAlign w:val="bottom"/>
          </w:tcPr>
          <w:p w14:paraId="5A1B1F25" w14:textId="77777777" w:rsidR="00960BB8" w:rsidRDefault="00960BB8">
            <w:pPr>
              <w:rPr>
                <w:rFonts w:ascii="宋体"/>
              </w:rPr>
            </w:pPr>
          </w:p>
        </w:tc>
        <w:tc>
          <w:tcPr>
            <w:tcW w:w="5" w:type="pct"/>
            <w:shd w:val="clear" w:color="auto" w:fill="auto"/>
            <w:vAlign w:val="bottom"/>
          </w:tcPr>
          <w:p w14:paraId="5A1B1F26" w14:textId="77777777" w:rsidR="00960BB8" w:rsidRDefault="00960BB8">
            <w:pPr>
              <w:rPr>
                <w:rFonts w:ascii="宋体"/>
              </w:rPr>
            </w:pPr>
          </w:p>
        </w:tc>
        <w:tc>
          <w:tcPr>
            <w:tcW w:w="5" w:type="pct"/>
            <w:shd w:val="clear" w:color="auto" w:fill="auto"/>
            <w:vAlign w:val="bottom"/>
          </w:tcPr>
          <w:p w14:paraId="5A1B1F27" w14:textId="77777777" w:rsidR="00960BB8" w:rsidRDefault="00960BB8">
            <w:pPr>
              <w:rPr>
                <w:rFonts w:ascii="宋体"/>
              </w:rPr>
            </w:pPr>
          </w:p>
        </w:tc>
        <w:tc>
          <w:tcPr>
            <w:tcW w:w="24" w:type="pct"/>
            <w:shd w:val="clear" w:color="auto" w:fill="auto"/>
            <w:vAlign w:val="bottom"/>
          </w:tcPr>
          <w:p w14:paraId="5A1B1F28" w14:textId="77777777" w:rsidR="00960BB8" w:rsidRDefault="00960BB8">
            <w:pPr>
              <w:rPr>
                <w:rFonts w:ascii="宋体"/>
              </w:rPr>
            </w:pPr>
          </w:p>
        </w:tc>
        <w:tc>
          <w:tcPr>
            <w:tcW w:w="5" w:type="pct"/>
            <w:shd w:val="clear" w:color="auto" w:fill="auto"/>
            <w:vAlign w:val="bottom"/>
          </w:tcPr>
          <w:p w14:paraId="5A1B1F29" w14:textId="77777777" w:rsidR="00960BB8" w:rsidRDefault="00960BB8">
            <w:pPr>
              <w:rPr>
                <w:rFonts w:ascii="宋体"/>
              </w:rPr>
            </w:pPr>
          </w:p>
        </w:tc>
        <w:tc>
          <w:tcPr>
            <w:tcW w:w="50" w:type="pct"/>
            <w:shd w:val="clear" w:color="auto" w:fill="auto"/>
            <w:vAlign w:val="bottom"/>
          </w:tcPr>
          <w:p w14:paraId="5A1B1F2A" w14:textId="77777777" w:rsidR="00960BB8" w:rsidRDefault="00960BB8">
            <w:pPr>
              <w:rPr>
                <w:rFonts w:ascii="宋体"/>
              </w:rPr>
            </w:pPr>
          </w:p>
        </w:tc>
        <w:tc>
          <w:tcPr>
            <w:tcW w:w="539" w:type="pct"/>
            <w:shd w:val="clear" w:color="auto" w:fill="auto"/>
            <w:vAlign w:val="bottom"/>
          </w:tcPr>
          <w:p w14:paraId="5A1B1F2B" w14:textId="77777777" w:rsidR="00960BB8" w:rsidRDefault="00960BB8">
            <w:pPr>
              <w:rPr>
                <w:rFonts w:ascii="宋体"/>
              </w:rPr>
            </w:pPr>
          </w:p>
        </w:tc>
        <w:tc>
          <w:tcPr>
            <w:tcW w:w="5" w:type="pct"/>
            <w:shd w:val="clear" w:color="auto" w:fill="auto"/>
            <w:vAlign w:val="bottom"/>
          </w:tcPr>
          <w:p w14:paraId="5A1B1F2C" w14:textId="77777777" w:rsidR="00960BB8" w:rsidRDefault="00960BB8">
            <w:pPr>
              <w:rPr>
                <w:rFonts w:ascii="宋体"/>
              </w:rPr>
            </w:pPr>
          </w:p>
        </w:tc>
        <w:tc>
          <w:tcPr>
            <w:tcW w:w="5" w:type="pct"/>
            <w:shd w:val="clear" w:color="auto" w:fill="auto"/>
            <w:vAlign w:val="bottom"/>
          </w:tcPr>
          <w:p w14:paraId="5A1B1F2D" w14:textId="77777777" w:rsidR="00960BB8" w:rsidRDefault="00960BB8">
            <w:pPr>
              <w:rPr>
                <w:rFonts w:ascii="宋体"/>
              </w:rPr>
            </w:pPr>
          </w:p>
        </w:tc>
        <w:tc>
          <w:tcPr>
            <w:tcW w:w="24" w:type="pct"/>
            <w:shd w:val="clear" w:color="auto" w:fill="auto"/>
            <w:vAlign w:val="bottom"/>
          </w:tcPr>
          <w:p w14:paraId="5A1B1F2E" w14:textId="77777777" w:rsidR="00960BB8" w:rsidRDefault="00960BB8">
            <w:pPr>
              <w:rPr>
                <w:rFonts w:ascii="宋体"/>
              </w:rPr>
            </w:pPr>
          </w:p>
        </w:tc>
        <w:tc>
          <w:tcPr>
            <w:tcW w:w="5" w:type="pct"/>
            <w:shd w:val="clear" w:color="auto" w:fill="auto"/>
            <w:vAlign w:val="bottom"/>
          </w:tcPr>
          <w:p w14:paraId="5A1B1F2F" w14:textId="77777777" w:rsidR="00960BB8" w:rsidRDefault="00960BB8">
            <w:pPr>
              <w:rPr>
                <w:rFonts w:ascii="宋体"/>
              </w:rPr>
            </w:pPr>
          </w:p>
        </w:tc>
        <w:tc>
          <w:tcPr>
            <w:tcW w:w="50" w:type="pct"/>
            <w:shd w:val="clear" w:color="auto" w:fill="auto"/>
            <w:vAlign w:val="bottom"/>
          </w:tcPr>
          <w:p w14:paraId="5A1B1F30" w14:textId="77777777" w:rsidR="00960BB8" w:rsidRDefault="00960BB8">
            <w:pPr>
              <w:rPr>
                <w:rFonts w:ascii="宋体"/>
              </w:rPr>
            </w:pPr>
          </w:p>
        </w:tc>
        <w:tc>
          <w:tcPr>
            <w:tcW w:w="539" w:type="pct"/>
            <w:shd w:val="clear" w:color="auto" w:fill="auto"/>
            <w:vAlign w:val="bottom"/>
          </w:tcPr>
          <w:p w14:paraId="5A1B1F31" w14:textId="77777777" w:rsidR="00960BB8" w:rsidRDefault="00960BB8">
            <w:pPr>
              <w:rPr>
                <w:rFonts w:ascii="宋体"/>
              </w:rPr>
            </w:pPr>
          </w:p>
        </w:tc>
        <w:tc>
          <w:tcPr>
            <w:tcW w:w="5" w:type="pct"/>
            <w:shd w:val="clear" w:color="auto" w:fill="auto"/>
            <w:vAlign w:val="bottom"/>
          </w:tcPr>
          <w:p w14:paraId="5A1B1F32" w14:textId="77777777" w:rsidR="00960BB8" w:rsidRDefault="00960BB8">
            <w:pPr>
              <w:rPr>
                <w:rFonts w:ascii="宋体"/>
              </w:rPr>
            </w:pPr>
          </w:p>
        </w:tc>
        <w:tc>
          <w:tcPr>
            <w:tcW w:w="5" w:type="pct"/>
            <w:shd w:val="clear" w:color="auto" w:fill="auto"/>
            <w:vAlign w:val="bottom"/>
          </w:tcPr>
          <w:p w14:paraId="5A1B1F33" w14:textId="77777777" w:rsidR="00960BB8" w:rsidRDefault="00960BB8">
            <w:pPr>
              <w:rPr>
                <w:rFonts w:ascii="宋体"/>
              </w:rPr>
            </w:pPr>
          </w:p>
        </w:tc>
        <w:tc>
          <w:tcPr>
            <w:tcW w:w="24" w:type="pct"/>
            <w:shd w:val="clear" w:color="auto" w:fill="auto"/>
            <w:vAlign w:val="bottom"/>
          </w:tcPr>
          <w:p w14:paraId="5A1B1F34" w14:textId="77777777" w:rsidR="00960BB8" w:rsidRDefault="00960BB8">
            <w:pPr>
              <w:rPr>
                <w:rFonts w:ascii="宋体"/>
              </w:rPr>
            </w:pPr>
          </w:p>
        </w:tc>
        <w:tc>
          <w:tcPr>
            <w:tcW w:w="5" w:type="pct"/>
            <w:shd w:val="clear" w:color="auto" w:fill="auto"/>
            <w:vAlign w:val="bottom"/>
          </w:tcPr>
          <w:p w14:paraId="5A1B1F35" w14:textId="77777777" w:rsidR="00960BB8" w:rsidRDefault="00960BB8">
            <w:pPr>
              <w:rPr>
                <w:rFonts w:ascii="宋体"/>
              </w:rPr>
            </w:pPr>
          </w:p>
        </w:tc>
        <w:tc>
          <w:tcPr>
            <w:tcW w:w="50" w:type="pct"/>
            <w:shd w:val="clear" w:color="auto" w:fill="auto"/>
            <w:vAlign w:val="bottom"/>
          </w:tcPr>
          <w:p w14:paraId="5A1B1F36" w14:textId="77777777" w:rsidR="00960BB8" w:rsidRDefault="00960BB8">
            <w:pPr>
              <w:rPr>
                <w:rFonts w:ascii="宋体"/>
              </w:rPr>
            </w:pPr>
          </w:p>
        </w:tc>
        <w:tc>
          <w:tcPr>
            <w:tcW w:w="539" w:type="pct"/>
            <w:shd w:val="clear" w:color="auto" w:fill="auto"/>
            <w:vAlign w:val="bottom"/>
          </w:tcPr>
          <w:p w14:paraId="5A1B1F37" w14:textId="77777777" w:rsidR="00960BB8" w:rsidRDefault="00960BB8">
            <w:pPr>
              <w:rPr>
                <w:rFonts w:ascii="宋体"/>
              </w:rPr>
            </w:pPr>
          </w:p>
        </w:tc>
        <w:tc>
          <w:tcPr>
            <w:tcW w:w="5" w:type="pct"/>
            <w:shd w:val="clear" w:color="auto" w:fill="auto"/>
            <w:vAlign w:val="bottom"/>
          </w:tcPr>
          <w:p w14:paraId="5A1B1F38" w14:textId="77777777" w:rsidR="00960BB8" w:rsidRDefault="00960BB8">
            <w:pPr>
              <w:rPr>
                <w:rFonts w:ascii="宋体"/>
              </w:rPr>
            </w:pPr>
          </w:p>
        </w:tc>
      </w:tr>
      <w:tr w:rsidR="00960BB8" w14:paraId="5A1B1F41" w14:textId="77777777">
        <w:tc>
          <w:tcPr>
            <w:tcW w:w="0" w:type="auto"/>
            <w:gridSpan w:val="3"/>
            <w:shd w:val="clear" w:color="auto" w:fill="auto"/>
            <w:tcMar>
              <w:top w:w="40" w:type="dxa"/>
              <w:left w:w="20" w:type="dxa"/>
              <w:bottom w:w="40" w:type="dxa"/>
              <w:right w:w="20" w:type="dxa"/>
            </w:tcMar>
            <w:vAlign w:val="bottom"/>
          </w:tcPr>
          <w:p w14:paraId="5A1B1F3A" w14:textId="77777777" w:rsidR="00960BB8" w:rsidRDefault="00C06650">
            <w:pPr>
              <w:textAlignment w:val="bottom"/>
            </w:pPr>
            <w:r>
              <w:rPr>
                <w:rFonts w:ascii="Arial" w:eastAsia="宋体" w:hAnsi="Arial" w:cs="Arial"/>
                <w:b/>
                <w:bCs/>
                <w:color w:val="262626"/>
                <w:sz w:val="18"/>
                <w:szCs w:val="18"/>
              </w:rPr>
              <w:t>(In Millio</w:t>
            </w:r>
            <w:r>
              <w:rPr>
                <w:rFonts w:ascii="Arial" w:eastAsia="宋体" w:hAnsi="Arial" w:cs="Arial"/>
                <w:b/>
                <w:bCs/>
                <w:color w:val="262626"/>
                <w:sz w:val="18"/>
                <w:szCs w:val="18"/>
              </w:rPr>
              <w:t>ns)</w:t>
            </w:r>
          </w:p>
        </w:tc>
        <w:tc>
          <w:tcPr>
            <w:tcW w:w="0" w:type="auto"/>
            <w:gridSpan w:val="3"/>
            <w:shd w:val="clear" w:color="auto" w:fill="auto"/>
            <w:tcMar>
              <w:top w:w="0" w:type="dxa"/>
              <w:left w:w="20" w:type="dxa"/>
              <w:bottom w:w="0" w:type="dxa"/>
              <w:right w:w="20" w:type="dxa"/>
            </w:tcMar>
            <w:vAlign w:val="bottom"/>
          </w:tcPr>
          <w:p w14:paraId="5A1B1F3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F3C"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F3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F3E"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1F3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F40"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1F4F"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F42" w14:textId="77777777" w:rsidR="00960BB8" w:rsidRDefault="00C06650">
            <w:pPr>
              <w:textAlignment w:val="bottom"/>
            </w:pPr>
            <w:r>
              <w:rPr>
                <w:rFonts w:ascii="Arial" w:eastAsia="宋体" w:hAnsi="Arial" w:cs="Arial"/>
                <w:b/>
                <w:bCs/>
                <w:color w:val="262626"/>
                <w:sz w:val="18"/>
                <w:szCs w:val="18"/>
              </w:rPr>
              <w:t>Beginning gross unrecognized tax benefits</w:t>
            </w:r>
          </w:p>
        </w:tc>
        <w:tc>
          <w:tcPr>
            <w:tcW w:w="0" w:type="auto"/>
            <w:gridSpan w:val="3"/>
            <w:shd w:val="clear" w:color="auto" w:fill="auto"/>
            <w:tcMar>
              <w:top w:w="0" w:type="dxa"/>
              <w:left w:w="20" w:type="dxa"/>
              <w:bottom w:w="0" w:type="dxa"/>
              <w:right w:w="20" w:type="dxa"/>
            </w:tcMar>
            <w:vAlign w:val="bottom"/>
          </w:tcPr>
          <w:p w14:paraId="5A1B1F4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F44"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F45" w14:textId="77777777" w:rsidR="00960BB8" w:rsidRDefault="00C06650">
            <w:pPr>
              <w:jc w:val="right"/>
              <w:textAlignment w:val="bottom"/>
            </w:pPr>
            <w:r>
              <w:rPr>
                <w:rFonts w:ascii="Arial" w:eastAsia="宋体" w:hAnsi="Arial" w:cs="Arial"/>
                <w:b/>
                <w:bCs/>
                <w:color w:val="0068B5"/>
                <w:sz w:val="18"/>
                <w:szCs w:val="18"/>
              </w:rPr>
              <w:t>1,020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F4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F47"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F48"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F49" w14:textId="77777777" w:rsidR="00960BB8" w:rsidRDefault="00C06650">
            <w:pPr>
              <w:jc w:val="right"/>
              <w:textAlignment w:val="bottom"/>
            </w:pPr>
            <w:r>
              <w:rPr>
                <w:rFonts w:ascii="Arial" w:eastAsia="宋体" w:hAnsi="Arial" w:cs="Arial"/>
                <w:b/>
                <w:bCs/>
                <w:color w:val="262626"/>
                <w:sz w:val="18"/>
                <w:szCs w:val="18"/>
              </w:rPr>
              <w:t>828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F4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F4B"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F4C"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F4D" w14:textId="77777777" w:rsidR="00960BB8" w:rsidRDefault="00C06650">
            <w:pPr>
              <w:jc w:val="right"/>
              <w:textAlignment w:val="bottom"/>
            </w:pPr>
            <w:r>
              <w:rPr>
                <w:rFonts w:ascii="Arial" w:eastAsia="宋体" w:hAnsi="Arial" w:cs="Arial"/>
                <w:b/>
                <w:bCs/>
                <w:color w:val="262626"/>
                <w:sz w:val="18"/>
                <w:szCs w:val="18"/>
              </w:rPr>
              <w:t>548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F4E" w14:textId="77777777" w:rsidR="00960BB8" w:rsidRDefault="00960BB8">
            <w:pPr>
              <w:jc w:val="right"/>
              <w:rPr>
                <w:rFonts w:ascii="宋体"/>
              </w:rPr>
            </w:pPr>
          </w:p>
        </w:tc>
      </w:tr>
      <w:tr w:rsidR="00960BB8" w14:paraId="5A1B1F5A" w14:textId="77777777">
        <w:tc>
          <w:tcPr>
            <w:tcW w:w="0" w:type="auto"/>
            <w:gridSpan w:val="3"/>
            <w:shd w:val="clear" w:color="auto" w:fill="auto"/>
            <w:tcMar>
              <w:top w:w="40" w:type="dxa"/>
              <w:left w:w="20" w:type="dxa"/>
              <w:bottom w:w="40" w:type="dxa"/>
              <w:right w:w="20" w:type="dxa"/>
            </w:tcMar>
            <w:vAlign w:val="bottom"/>
          </w:tcPr>
          <w:p w14:paraId="5A1B1F50" w14:textId="77777777" w:rsidR="00960BB8" w:rsidRDefault="00C06650">
            <w:pPr>
              <w:textAlignment w:val="bottom"/>
            </w:pPr>
            <w:r>
              <w:rPr>
                <w:rFonts w:ascii="Arial" w:eastAsia="宋体" w:hAnsi="Arial" w:cs="Arial"/>
                <w:color w:val="262626"/>
                <w:sz w:val="18"/>
                <w:szCs w:val="18"/>
              </w:rPr>
              <w:t xml:space="preserve">Settlements and effective settlements with tax authorities </w:t>
            </w:r>
          </w:p>
        </w:tc>
        <w:tc>
          <w:tcPr>
            <w:tcW w:w="0" w:type="auto"/>
            <w:gridSpan w:val="3"/>
            <w:shd w:val="clear" w:color="auto" w:fill="auto"/>
            <w:tcMar>
              <w:top w:w="0" w:type="dxa"/>
              <w:left w:w="20" w:type="dxa"/>
              <w:bottom w:w="0" w:type="dxa"/>
              <w:right w:w="20" w:type="dxa"/>
            </w:tcMar>
            <w:vAlign w:val="bottom"/>
          </w:tcPr>
          <w:p w14:paraId="5A1B1F5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F52" w14:textId="77777777" w:rsidR="00960BB8" w:rsidRDefault="00C06650">
            <w:pPr>
              <w:jc w:val="right"/>
              <w:textAlignment w:val="bottom"/>
            </w:pPr>
            <w:r>
              <w:rPr>
                <w:rFonts w:ascii="Arial" w:eastAsia="宋体" w:hAnsi="Arial" w:cs="Arial"/>
                <w:color w:val="0068B5"/>
                <w:sz w:val="18"/>
                <w:szCs w:val="18"/>
              </w:rPr>
              <w:t>(18)</w:t>
            </w:r>
          </w:p>
        </w:tc>
        <w:tc>
          <w:tcPr>
            <w:tcW w:w="0" w:type="auto"/>
            <w:shd w:val="clear" w:color="auto" w:fill="auto"/>
            <w:tcMar>
              <w:top w:w="40" w:type="dxa"/>
              <w:left w:w="0" w:type="dxa"/>
              <w:bottom w:w="40" w:type="dxa"/>
              <w:right w:w="20" w:type="dxa"/>
            </w:tcMar>
            <w:vAlign w:val="bottom"/>
          </w:tcPr>
          <w:p w14:paraId="5A1B1F5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F5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F55" w14:textId="77777777" w:rsidR="00960BB8" w:rsidRDefault="00C06650">
            <w:pPr>
              <w:jc w:val="right"/>
              <w:textAlignment w:val="bottom"/>
            </w:pPr>
            <w:r>
              <w:rPr>
                <w:rFonts w:ascii="Arial" w:eastAsia="宋体" w:hAnsi="Arial" w:cs="Arial"/>
                <w:color w:val="262626"/>
                <w:sz w:val="18"/>
                <w:szCs w:val="18"/>
              </w:rPr>
              <w:t>(25)</w:t>
            </w:r>
          </w:p>
        </w:tc>
        <w:tc>
          <w:tcPr>
            <w:tcW w:w="0" w:type="auto"/>
            <w:shd w:val="clear" w:color="auto" w:fill="auto"/>
            <w:tcMar>
              <w:top w:w="40" w:type="dxa"/>
              <w:left w:w="0" w:type="dxa"/>
              <w:bottom w:w="40" w:type="dxa"/>
              <w:right w:w="20" w:type="dxa"/>
            </w:tcMar>
            <w:vAlign w:val="bottom"/>
          </w:tcPr>
          <w:p w14:paraId="5A1B1F5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F5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F58" w14:textId="77777777" w:rsidR="00960BB8" w:rsidRDefault="00C06650">
            <w:pPr>
              <w:jc w:val="right"/>
              <w:textAlignment w:val="bottom"/>
            </w:pPr>
            <w:r>
              <w:rPr>
                <w:rFonts w:ascii="Arial" w:eastAsia="宋体" w:hAnsi="Arial" w:cs="Arial"/>
                <w:color w:val="262626"/>
                <w:sz w:val="18"/>
                <w:szCs w:val="18"/>
              </w:rPr>
              <w:t>(142)</w:t>
            </w:r>
          </w:p>
        </w:tc>
        <w:tc>
          <w:tcPr>
            <w:tcW w:w="0" w:type="auto"/>
            <w:shd w:val="clear" w:color="auto" w:fill="auto"/>
            <w:tcMar>
              <w:top w:w="40" w:type="dxa"/>
              <w:left w:w="0" w:type="dxa"/>
              <w:bottom w:w="40" w:type="dxa"/>
              <w:right w:w="20" w:type="dxa"/>
            </w:tcMar>
            <w:vAlign w:val="bottom"/>
          </w:tcPr>
          <w:p w14:paraId="5A1B1F59" w14:textId="77777777" w:rsidR="00960BB8" w:rsidRDefault="00960BB8">
            <w:pPr>
              <w:jc w:val="right"/>
              <w:rPr>
                <w:rFonts w:ascii="宋体"/>
              </w:rPr>
            </w:pPr>
          </w:p>
        </w:tc>
      </w:tr>
      <w:tr w:rsidR="00960BB8" w14:paraId="5A1B1F62" w14:textId="77777777">
        <w:trPr>
          <w:hidden/>
        </w:trPr>
        <w:tc>
          <w:tcPr>
            <w:tcW w:w="0" w:type="auto"/>
            <w:gridSpan w:val="3"/>
            <w:shd w:val="clear" w:color="auto" w:fill="auto"/>
            <w:vAlign w:val="bottom"/>
          </w:tcPr>
          <w:p w14:paraId="5A1B1F5B" w14:textId="77777777" w:rsidR="00960BB8" w:rsidRDefault="00960BB8">
            <w:pPr>
              <w:rPr>
                <w:rFonts w:ascii="宋体"/>
                <w:vanish/>
              </w:rPr>
            </w:pPr>
          </w:p>
        </w:tc>
        <w:tc>
          <w:tcPr>
            <w:tcW w:w="0" w:type="auto"/>
            <w:gridSpan w:val="3"/>
            <w:shd w:val="clear" w:color="auto" w:fill="auto"/>
            <w:vAlign w:val="bottom"/>
          </w:tcPr>
          <w:p w14:paraId="5A1B1F5C" w14:textId="77777777" w:rsidR="00960BB8" w:rsidRDefault="00960BB8">
            <w:pPr>
              <w:rPr>
                <w:rFonts w:ascii="宋体"/>
                <w:vanish/>
              </w:rPr>
            </w:pPr>
          </w:p>
        </w:tc>
        <w:tc>
          <w:tcPr>
            <w:tcW w:w="0" w:type="auto"/>
            <w:gridSpan w:val="3"/>
            <w:shd w:val="clear" w:color="auto" w:fill="auto"/>
            <w:vAlign w:val="bottom"/>
          </w:tcPr>
          <w:p w14:paraId="5A1B1F5D" w14:textId="77777777" w:rsidR="00960BB8" w:rsidRDefault="00960BB8">
            <w:pPr>
              <w:rPr>
                <w:rFonts w:ascii="宋体"/>
                <w:vanish/>
              </w:rPr>
            </w:pPr>
          </w:p>
        </w:tc>
        <w:tc>
          <w:tcPr>
            <w:tcW w:w="0" w:type="auto"/>
            <w:gridSpan w:val="3"/>
            <w:shd w:val="clear" w:color="auto" w:fill="auto"/>
            <w:vAlign w:val="bottom"/>
          </w:tcPr>
          <w:p w14:paraId="5A1B1F5E" w14:textId="77777777" w:rsidR="00960BB8" w:rsidRDefault="00960BB8">
            <w:pPr>
              <w:rPr>
                <w:rFonts w:ascii="宋体"/>
                <w:vanish/>
              </w:rPr>
            </w:pPr>
          </w:p>
        </w:tc>
        <w:tc>
          <w:tcPr>
            <w:tcW w:w="0" w:type="auto"/>
            <w:gridSpan w:val="3"/>
            <w:shd w:val="clear" w:color="auto" w:fill="auto"/>
            <w:vAlign w:val="bottom"/>
          </w:tcPr>
          <w:p w14:paraId="5A1B1F5F" w14:textId="77777777" w:rsidR="00960BB8" w:rsidRDefault="00960BB8">
            <w:pPr>
              <w:rPr>
                <w:rFonts w:ascii="宋体"/>
                <w:vanish/>
              </w:rPr>
            </w:pPr>
          </w:p>
        </w:tc>
        <w:tc>
          <w:tcPr>
            <w:tcW w:w="0" w:type="auto"/>
            <w:gridSpan w:val="3"/>
            <w:shd w:val="clear" w:color="auto" w:fill="auto"/>
            <w:vAlign w:val="bottom"/>
          </w:tcPr>
          <w:p w14:paraId="5A1B1F60" w14:textId="77777777" w:rsidR="00960BB8" w:rsidRDefault="00960BB8">
            <w:pPr>
              <w:rPr>
                <w:rFonts w:ascii="宋体"/>
                <w:vanish/>
              </w:rPr>
            </w:pPr>
          </w:p>
        </w:tc>
        <w:tc>
          <w:tcPr>
            <w:tcW w:w="0" w:type="auto"/>
            <w:gridSpan w:val="3"/>
            <w:shd w:val="clear" w:color="auto" w:fill="auto"/>
            <w:vAlign w:val="bottom"/>
          </w:tcPr>
          <w:p w14:paraId="5A1B1F61" w14:textId="77777777" w:rsidR="00960BB8" w:rsidRDefault="00960BB8">
            <w:pPr>
              <w:rPr>
                <w:rFonts w:ascii="宋体"/>
                <w:vanish/>
              </w:rPr>
            </w:pPr>
          </w:p>
        </w:tc>
      </w:tr>
      <w:tr w:rsidR="00960BB8" w14:paraId="5A1B1F6D" w14:textId="77777777">
        <w:tc>
          <w:tcPr>
            <w:tcW w:w="0" w:type="auto"/>
            <w:gridSpan w:val="3"/>
            <w:shd w:val="clear" w:color="auto" w:fill="auto"/>
            <w:tcMar>
              <w:top w:w="40" w:type="dxa"/>
              <w:left w:w="20" w:type="dxa"/>
              <w:bottom w:w="40" w:type="dxa"/>
              <w:right w:w="20" w:type="dxa"/>
            </w:tcMar>
            <w:vAlign w:val="bottom"/>
          </w:tcPr>
          <w:p w14:paraId="5A1B1F63" w14:textId="77777777" w:rsidR="00960BB8" w:rsidRDefault="00C06650">
            <w:pPr>
              <w:textAlignment w:val="bottom"/>
            </w:pPr>
            <w:r>
              <w:rPr>
                <w:rFonts w:ascii="Arial" w:eastAsia="宋体" w:hAnsi="Arial" w:cs="Arial"/>
                <w:color w:val="262626"/>
                <w:sz w:val="18"/>
                <w:szCs w:val="18"/>
              </w:rPr>
              <w:t>Changes in balances related to tax position taken during prior periods</w:t>
            </w:r>
          </w:p>
        </w:tc>
        <w:tc>
          <w:tcPr>
            <w:tcW w:w="0" w:type="auto"/>
            <w:gridSpan w:val="3"/>
            <w:shd w:val="clear" w:color="auto" w:fill="auto"/>
            <w:tcMar>
              <w:top w:w="0" w:type="dxa"/>
              <w:left w:w="20" w:type="dxa"/>
              <w:bottom w:w="0" w:type="dxa"/>
              <w:right w:w="20" w:type="dxa"/>
            </w:tcMar>
            <w:vAlign w:val="bottom"/>
          </w:tcPr>
          <w:p w14:paraId="5A1B1F6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F65" w14:textId="77777777" w:rsidR="00960BB8" w:rsidRDefault="00C06650">
            <w:pPr>
              <w:jc w:val="right"/>
              <w:textAlignment w:val="bottom"/>
            </w:pPr>
            <w:r>
              <w:rPr>
                <w:rFonts w:ascii="Arial" w:eastAsia="宋体" w:hAnsi="Arial" w:cs="Arial"/>
                <w:color w:val="0068B5"/>
                <w:sz w:val="18"/>
                <w:szCs w:val="18"/>
              </w:rPr>
              <w:t>(120)</w:t>
            </w:r>
          </w:p>
        </w:tc>
        <w:tc>
          <w:tcPr>
            <w:tcW w:w="0" w:type="auto"/>
            <w:shd w:val="clear" w:color="auto" w:fill="auto"/>
            <w:tcMar>
              <w:top w:w="40" w:type="dxa"/>
              <w:left w:w="0" w:type="dxa"/>
              <w:bottom w:w="40" w:type="dxa"/>
              <w:right w:w="20" w:type="dxa"/>
            </w:tcMar>
            <w:vAlign w:val="bottom"/>
          </w:tcPr>
          <w:p w14:paraId="5A1B1F6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F6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F68" w14:textId="77777777" w:rsidR="00960BB8" w:rsidRDefault="00C06650">
            <w:pPr>
              <w:jc w:val="right"/>
              <w:textAlignment w:val="bottom"/>
            </w:pPr>
            <w:r>
              <w:rPr>
                <w:rFonts w:ascii="Arial" w:eastAsia="宋体" w:hAnsi="Arial" w:cs="Arial"/>
                <w:color w:val="262626"/>
                <w:sz w:val="18"/>
                <w:szCs w:val="18"/>
              </w:rPr>
              <w:t>(26)</w:t>
            </w:r>
          </w:p>
        </w:tc>
        <w:tc>
          <w:tcPr>
            <w:tcW w:w="0" w:type="auto"/>
            <w:shd w:val="clear" w:color="auto" w:fill="auto"/>
            <w:tcMar>
              <w:top w:w="40" w:type="dxa"/>
              <w:left w:w="0" w:type="dxa"/>
              <w:bottom w:w="40" w:type="dxa"/>
              <w:right w:w="20" w:type="dxa"/>
            </w:tcMar>
            <w:vAlign w:val="bottom"/>
          </w:tcPr>
          <w:p w14:paraId="5A1B1F6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F6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F6B" w14:textId="77777777" w:rsidR="00960BB8" w:rsidRDefault="00C06650">
            <w:pPr>
              <w:jc w:val="right"/>
              <w:textAlignment w:val="bottom"/>
            </w:pPr>
            <w:r>
              <w:rPr>
                <w:rFonts w:ascii="Arial" w:eastAsia="宋体" w:hAnsi="Arial" w:cs="Arial"/>
                <w:color w:val="262626"/>
                <w:sz w:val="18"/>
                <w:szCs w:val="18"/>
              </w:rPr>
              <w:t>165 </w:t>
            </w:r>
          </w:p>
        </w:tc>
        <w:tc>
          <w:tcPr>
            <w:tcW w:w="0" w:type="auto"/>
            <w:shd w:val="clear" w:color="auto" w:fill="auto"/>
            <w:tcMar>
              <w:top w:w="40" w:type="dxa"/>
              <w:left w:w="0" w:type="dxa"/>
              <w:bottom w:w="40" w:type="dxa"/>
              <w:right w:w="20" w:type="dxa"/>
            </w:tcMar>
            <w:vAlign w:val="bottom"/>
          </w:tcPr>
          <w:p w14:paraId="5A1B1F6C" w14:textId="77777777" w:rsidR="00960BB8" w:rsidRDefault="00960BB8">
            <w:pPr>
              <w:jc w:val="right"/>
              <w:rPr>
                <w:rFonts w:ascii="宋体"/>
              </w:rPr>
            </w:pPr>
          </w:p>
        </w:tc>
      </w:tr>
      <w:tr w:rsidR="00960BB8" w14:paraId="5A1B1F75" w14:textId="77777777">
        <w:trPr>
          <w:hidden/>
        </w:trPr>
        <w:tc>
          <w:tcPr>
            <w:tcW w:w="0" w:type="auto"/>
            <w:gridSpan w:val="3"/>
            <w:shd w:val="clear" w:color="auto" w:fill="auto"/>
            <w:vAlign w:val="bottom"/>
          </w:tcPr>
          <w:p w14:paraId="5A1B1F6E" w14:textId="77777777" w:rsidR="00960BB8" w:rsidRDefault="00960BB8">
            <w:pPr>
              <w:rPr>
                <w:rFonts w:ascii="宋体"/>
                <w:vanish/>
              </w:rPr>
            </w:pPr>
          </w:p>
        </w:tc>
        <w:tc>
          <w:tcPr>
            <w:tcW w:w="0" w:type="auto"/>
            <w:gridSpan w:val="3"/>
            <w:shd w:val="clear" w:color="auto" w:fill="auto"/>
            <w:vAlign w:val="bottom"/>
          </w:tcPr>
          <w:p w14:paraId="5A1B1F6F" w14:textId="77777777" w:rsidR="00960BB8" w:rsidRDefault="00960BB8">
            <w:pPr>
              <w:rPr>
                <w:rFonts w:ascii="宋体"/>
                <w:vanish/>
              </w:rPr>
            </w:pPr>
          </w:p>
        </w:tc>
        <w:tc>
          <w:tcPr>
            <w:tcW w:w="0" w:type="auto"/>
            <w:gridSpan w:val="3"/>
            <w:shd w:val="clear" w:color="auto" w:fill="auto"/>
            <w:vAlign w:val="bottom"/>
          </w:tcPr>
          <w:p w14:paraId="5A1B1F70" w14:textId="77777777" w:rsidR="00960BB8" w:rsidRDefault="00960BB8">
            <w:pPr>
              <w:rPr>
                <w:rFonts w:ascii="宋体"/>
                <w:vanish/>
              </w:rPr>
            </w:pPr>
          </w:p>
        </w:tc>
        <w:tc>
          <w:tcPr>
            <w:tcW w:w="0" w:type="auto"/>
            <w:gridSpan w:val="3"/>
            <w:shd w:val="clear" w:color="auto" w:fill="auto"/>
            <w:vAlign w:val="bottom"/>
          </w:tcPr>
          <w:p w14:paraId="5A1B1F71" w14:textId="77777777" w:rsidR="00960BB8" w:rsidRDefault="00960BB8">
            <w:pPr>
              <w:rPr>
                <w:rFonts w:ascii="宋体"/>
                <w:vanish/>
              </w:rPr>
            </w:pPr>
          </w:p>
        </w:tc>
        <w:tc>
          <w:tcPr>
            <w:tcW w:w="0" w:type="auto"/>
            <w:gridSpan w:val="3"/>
            <w:shd w:val="clear" w:color="auto" w:fill="auto"/>
            <w:vAlign w:val="bottom"/>
          </w:tcPr>
          <w:p w14:paraId="5A1B1F72" w14:textId="77777777" w:rsidR="00960BB8" w:rsidRDefault="00960BB8">
            <w:pPr>
              <w:rPr>
                <w:rFonts w:ascii="宋体"/>
                <w:vanish/>
              </w:rPr>
            </w:pPr>
          </w:p>
        </w:tc>
        <w:tc>
          <w:tcPr>
            <w:tcW w:w="0" w:type="auto"/>
            <w:gridSpan w:val="3"/>
            <w:shd w:val="clear" w:color="auto" w:fill="auto"/>
            <w:vAlign w:val="bottom"/>
          </w:tcPr>
          <w:p w14:paraId="5A1B1F73" w14:textId="77777777" w:rsidR="00960BB8" w:rsidRDefault="00960BB8">
            <w:pPr>
              <w:rPr>
                <w:rFonts w:ascii="宋体"/>
                <w:vanish/>
              </w:rPr>
            </w:pPr>
          </w:p>
        </w:tc>
        <w:tc>
          <w:tcPr>
            <w:tcW w:w="0" w:type="auto"/>
            <w:gridSpan w:val="3"/>
            <w:shd w:val="clear" w:color="auto" w:fill="auto"/>
            <w:vAlign w:val="bottom"/>
          </w:tcPr>
          <w:p w14:paraId="5A1B1F74" w14:textId="77777777" w:rsidR="00960BB8" w:rsidRDefault="00960BB8">
            <w:pPr>
              <w:rPr>
                <w:rFonts w:ascii="宋体"/>
                <w:vanish/>
              </w:rPr>
            </w:pPr>
          </w:p>
        </w:tc>
      </w:tr>
      <w:tr w:rsidR="00960BB8" w14:paraId="5A1B1F7D" w14:textId="77777777">
        <w:tc>
          <w:tcPr>
            <w:tcW w:w="0" w:type="auto"/>
            <w:gridSpan w:val="3"/>
            <w:shd w:val="clear" w:color="auto" w:fill="auto"/>
            <w:tcMar>
              <w:top w:w="40" w:type="dxa"/>
              <w:left w:w="20" w:type="dxa"/>
              <w:bottom w:w="40" w:type="dxa"/>
              <w:right w:w="20" w:type="dxa"/>
            </w:tcMar>
            <w:vAlign w:val="bottom"/>
          </w:tcPr>
          <w:p w14:paraId="5A1B1F76" w14:textId="77777777" w:rsidR="00960BB8" w:rsidRDefault="00C06650">
            <w:pPr>
              <w:textAlignment w:val="bottom"/>
            </w:pPr>
            <w:r>
              <w:rPr>
                <w:rFonts w:ascii="Arial" w:eastAsia="宋体" w:hAnsi="Arial" w:cs="Arial"/>
                <w:color w:val="262626"/>
                <w:sz w:val="18"/>
                <w:szCs w:val="18"/>
              </w:rPr>
              <w:t>Changes in balances related to tax position taken during current period</w:t>
            </w:r>
          </w:p>
        </w:tc>
        <w:tc>
          <w:tcPr>
            <w:tcW w:w="0" w:type="auto"/>
            <w:gridSpan w:val="3"/>
            <w:shd w:val="clear" w:color="auto" w:fill="auto"/>
            <w:tcMar>
              <w:top w:w="0" w:type="dxa"/>
              <w:left w:w="20" w:type="dxa"/>
              <w:bottom w:w="0" w:type="dxa"/>
              <w:right w:w="20" w:type="dxa"/>
            </w:tcMar>
            <w:vAlign w:val="bottom"/>
          </w:tcPr>
          <w:p w14:paraId="5A1B1F7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F78" w14:textId="77777777" w:rsidR="00960BB8" w:rsidRDefault="00C06650">
            <w:pPr>
              <w:jc w:val="right"/>
              <w:textAlignment w:val="bottom"/>
            </w:pPr>
            <w:r>
              <w:rPr>
                <w:rFonts w:ascii="Arial" w:eastAsia="宋体" w:hAnsi="Arial" w:cs="Arial"/>
                <w:color w:val="0068B5"/>
                <w:sz w:val="18"/>
                <w:szCs w:val="18"/>
              </w:rPr>
              <w:t>347</w:t>
            </w:r>
          </w:p>
        </w:tc>
        <w:tc>
          <w:tcPr>
            <w:tcW w:w="0" w:type="auto"/>
            <w:gridSpan w:val="3"/>
            <w:shd w:val="clear" w:color="auto" w:fill="auto"/>
            <w:tcMar>
              <w:top w:w="0" w:type="dxa"/>
              <w:left w:w="20" w:type="dxa"/>
              <w:bottom w:w="0" w:type="dxa"/>
              <w:right w:w="20" w:type="dxa"/>
            </w:tcMar>
            <w:vAlign w:val="bottom"/>
          </w:tcPr>
          <w:p w14:paraId="5A1B1F7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F7A" w14:textId="77777777" w:rsidR="00960BB8" w:rsidRDefault="00C06650">
            <w:pPr>
              <w:jc w:val="right"/>
              <w:textAlignment w:val="bottom"/>
            </w:pPr>
            <w:r>
              <w:rPr>
                <w:rFonts w:ascii="Arial" w:eastAsia="宋体" w:hAnsi="Arial" w:cs="Arial"/>
                <w:color w:val="262626"/>
                <w:sz w:val="18"/>
                <w:szCs w:val="18"/>
              </w:rPr>
              <w:t>243</w:t>
            </w:r>
          </w:p>
        </w:tc>
        <w:tc>
          <w:tcPr>
            <w:tcW w:w="0" w:type="auto"/>
            <w:gridSpan w:val="3"/>
            <w:shd w:val="clear" w:color="auto" w:fill="auto"/>
            <w:tcMar>
              <w:top w:w="0" w:type="dxa"/>
              <w:left w:w="20" w:type="dxa"/>
              <w:bottom w:w="0" w:type="dxa"/>
              <w:right w:w="20" w:type="dxa"/>
            </w:tcMar>
            <w:vAlign w:val="bottom"/>
          </w:tcPr>
          <w:p w14:paraId="5A1B1F7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F7C" w14:textId="77777777" w:rsidR="00960BB8" w:rsidRDefault="00C06650">
            <w:pPr>
              <w:jc w:val="right"/>
              <w:textAlignment w:val="bottom"/>
            </w:pPr>
            <w:r>
              <w:rPr>
                <w:rFonts w:ascii="Arial" w:eastAsia="宋体" w:hAnsi="Arial" w:cs="Arial"/>
                <w:color w:val="262626"/>
                <w:sz w:val="18"/>
                <w:szCs w:val="18"/>
              </w:rPr>
              <w:t>257</w:t>
            </w:r>
          </w:p>
        </w:tc>
      </w:tr>
      <w:tr w:rsidR="00960BB8" w14:paraId="5A1B1F8B" w14:textId="77777777">
        <w:tc>
          <w:tcPr>
            <w:tcW w:w="0" w:type="auto"/>
            <w:gridSpan w:val="3"/>
            <w:shd w:val="clear" w:color="auto" w:fill="auto"/>
            <w:tcMar>
              <w:top w:w="40" w:type="dxa"/>
              <w:left w:w="20" w:type="dxa"/>
              <w:bottom w:w="40" w:type="dxa"/>
              <w:right w:w="20" w:type="dxa"/>
            </w:tcMar>
            <w:vAlign w:val="bottom"/>
          </w:tcPr>
          <w:p w14:paraId="5A1B1F7E" w14:textId="77777777" w:rsidR="00960BB8" w:rsidRDefault="00C06650">
            <w:pPr>
              <w:textAlignment w:val="bottom"/>
            </w:pPr>
            <w:r>
              <w:rPr>
                <w:rFonts w:ascii="Arial" w:eastAsia="宋体" w:hAnsi="Arial" w:cs="Arial"/>
                <w:b/>
                <w:bCs/>
                <w:color w:val="262626"/>
                <w:sz w:val="18"/>
                <w:szCs w:val="18"/>
              </w:rPr>
              <w:t>Ending gross unrecognized tax benefits</w:t>
            </w:r>
          </w:p>
        </w:tc>
        <w:tc>
          <w:tcPr>
            <w:tcW w:w="0" w:type="auto"/>
            <w:gridSpan w:val="3"/>
            <w:shd w:val="clear" w:color="auto" w:fill="auto"/>
            <w:tcMar>
              <w:top w:w="0" w:type="dxa"/>
              <w:left w:w="20" w:type="dxa"/>
              <w:bottom w:w="0" w:type="dxa"/>
              <w:right w:w="20" w:type="dxa"/>
            </w:tcMar>
            <w:vAlign w:val="bottom"/>
          </w:tcPr>
          <w:p w14:paraId="5A1B1F7F"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F80"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F81" w14:textId="77777777" w:rsidR="00960BB8" w:rsidRDefault="00C06650">
            <w:pPr>
              <w:jc w:val="right"/>
              <w:textAlignment w:val="bottom"/>
            </w:pPr>
            <w:r>
              <w:rPr>
                <w:rFonts w:ascii="Arial" w:eastAsia="宋体" w:hAnsi="Arial" w:cs="Arial"/>
                <w:b/>
                <w:bCs/>
                <w:color w:val="0068B5"/>
                <w:sz w:val="18"/>
                <w:szCs w:val="18"/>
              </w:rPr>
              <w:t>1,229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F8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F83"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F84"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F85" w14:textId="77777777" w:rsidR="00960BB8" w:rsidRDefault="00C06650">
            <w:pPr>
              <w:jc w:val="right"/>
              <w:textAlignment w:val="bottom"/>
            </w:pPr>
            <w:r>
              <w:rPr>
                <w:rFonts w:ascii="Arial" w:eastAsia="宋体" w:hAnsi="Arial" w:cs="Arial"/>
                <w:b/>
                <w:bCs/>
                <w:color w:val="262626"/>
                <w:sz w:val="18"/>
                <w:szCs w:val="18"/>
              </w:rPr>
              <w:t>1,020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F8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F87"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F88"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F89" w14:textId="77777777" w:rsidR="00960BB8" w:rsidRDefault="00C06650">
            <w:pPr>
              <w:jc w:val="right"/>
              <w:textAlignment w:val="bottom"/>
            </w:pPr>
            <w:r>
              <w:rPr>
                <w:rFonts w:ascii="Arial" w:eastAsia="宋体" w:hAnsi="Arial" w:cs="Arial"/>
                <w:b/>
                <w:bCs/>
                <w:color w:val="262626"/>
                <w:sz w:val="18"/>
                <w:szCs w:val="18"/>
              </w:rPr>
              <w:t>828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F8A" w14:textId="77777777" w:rsidR="00960BB8" w:rsidRDefault="00960BB8">
            <w:pPr>
              <w:jc w:val="right"/>
              <w:rPr>
                <w:rFonts w:ascii="宋体"/>
              </w:rPr>
            </w:pPr>
          </w:p>
        </w:tc>
      </w:tr>
    </w:tbl>
    <w:p w14:paraId="5A1B1F8C" w14:textId="77777777" w:rsidR="00960BB8" w:rsidRDefault="00C06650">
      <w:pPr>
        <w:spacing w:after="180"/>
      </w:pPr>
      <w:r>
        <w:rPr>
          <w:rFonts w:ascii="Arial" w:eastAsia="宋体" w:hAnsi="Arial" w:cs="Arial"/>
          <w:color w:val="262626"/>
          <w:sz w:val="18"/>
          <w:szCs w:val="18"/>
        </w:rPr>
        <w:t>If the remaining balance of unrecognized tax benefits were recognized in a future period, it would result in a tax benefit of $914 million as of December 31, 2022 ($721 million as of De</w:t>
      </w:r>
      <w:r>
        <w:rPr>
          <w:rFonts w:ascii="Arial" w:eastAsia="宋体" w:hAnsi="Arial" w:cs="Arial"/>
          <w:color w:val="262626"/>
          <w:sz w:val="18"/>
          <w:szCs w:val="18"/>
        </w:rPr>
        <w:t>cember 25, 2021) and a reduction in the effective tax rate. Interest, penalties, and accrued interest related to unrecognized tax benefits were insignificant in the periods presented.</w:t>
      </w:r>
    </w:p>
    <w:p w14:paraId="5A1B1F8D" w14:textId="77777777" w:rsidR="00960BB8" w:rsidRDefault="00C06650">
      <w:pPr>
        <w:spacing w:after="180"/>
      </w:pPr>
      <w:r>
        <w:rPr>
          <w:rFonts w:ascii="Arial" w:eastAsia="宋体" w:hAnsi="Arial" w:cs="Arial"/>
          <w:color w:val="262626"/>
          <w:sz w:val="18"/>
          <w:szCs w:val="18"/>
        </w:rPr>
        <w:t>We regularly engage in discussions and negotiations with tax authorities</w:t>
      </w:r>
      <w:r>
        <w:rPr>
          <w:rFonts w:ascii="Arial" w:eastAsia="宋体" w:hAnsi="Arial" w:cs="Arial"/>
          <w:color w:val="262626"/>
          <w:sz w:val="18"/>
          <w:szCs w:val="18"/>
        </w:rPr>
        <w:t xml:space="preserve"> regarding tax matters in the various jurisdictions in which we conduct business. Although the timing of the resolutions and/or closures of audits is highly uncertain, it is reasonably possible that certain US federal and non-US tax audits may be concluded</w:t>
      </w:r>
      <w:r>
        <w:rPr>
          <w:rFonts w:ascii="Arial" w:eastAsia="宋体" w:hAnsi="Arial" w:cs="Arial"/>
          <w:color w:val="262626"/>
          <w:sz w:val="18"/>
          <w:szCs w:val="18"/>
        </w:rPr>
        <w:t xml:space="preserve"> within the next 12 months, which could increase or decrease the balance of our gross unrecognized tax benefits. We estimate that the unrecognized tax benefits as of December 31, 2022 could decrease by as much as $366 million in the next 12 months. </w:t>
      </w:r>
    </w:p>
    <w:p w14:paraId="5A1B1F8E" w14:textId="77777777" w:rsidR="00960BB8" w:rsidRDefault="00C06650">
      <w:pPr>
        <w:spacing w:after="180"/>
      </w:pPr>
      <w:r>
        <w:rPr>
          <w:rFonts w:ascii="Arial" w:eastAsia="宋体" w:hAnsi="Arial" w:cs="Arial"/>
          <w:color w:val="262626"/>
          <w:sz w:val="18"/>
          <w:szCs w:val="18"/>
        </w:rPr>
        <w:t>We fil</w:t>
      </w:r>
      <w:r>
        <w:rPr>
          <w:rFonts w:ascii="Arial" w:eastAsia="宋体" w:hAnsi="Arial" w:cs="Arial"/>
          <w:color w:val="262626"/>
          <w:sz w:val="18"/>
          <w:szCs w:val="18"/>
        </w:rPr>
        <w:t>e federal, state, and non-US tax returns. Excluding pre-acquisition Altera tax years, we are no longer subject to US federal and non-US tax examinations for years prior to 2013 and 2012. For US state tax returns, we are no longer subject to tax examination</w:t>
      </w:r>
      <w:r>
        <w:rPr>
          <w:rFonts w:ascii="Arial" w:eastAsia="宋体" w:hAnsi="Arial" w:cs="Arial"/>
          <w:color w:val="262626"/>
          <w:sz w:val="18"/>
          <w:szCs w:val="18"/>
        </w:rPr>
        <w:t xml:space="preserve"> for years prior to 2015.</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960BB8" w14:paraId="5A1B1F95" w14:textId="77777777">
        <w:tc>
          <w:tcPr>
            <w:tcW w:w="50" w:type="pct"/>
            <w:shd w:val="clear" w:color="auto" w:fill="auto"/>
            <w:vAlign w:val="bottom"/>
          </w:tcPr>
          <w:p w14:paraId="5A1B1F8F" w14:textId="77777777" w:rsidR="00960BB8" w:rsidRDefault="00960BB8">
            <w:pPr>
              <w:rPr>
                <w:rFonts w:ascii="宋体"/>
              </w:rPr>
            </w:pPr>
          </w:p>
        </w:tc>
        <w:tc>
          <w:tcPr>
            <w:tcW w:w="539" w:type="pct"/>
            <w:shd w:val="clear" w:color="auto" w:fill="auto"/>
            <w:vAlign w:val="bottom"/>
          </w:tcPr>
          <w:p w14:paraId="5A1B1F90" w14:textId="77777777" w:rsidR="00960BB8" w:rsidRDefault="00960BB8">
            <w:pPr>
              <w:rPr>
                <w:rFonts w:ascii="宋体"/>
              </w:rPr>
            </w:pPr>
          </w:p>
        </w:tc>
        <w:tc>
          <w:tcPr>
            <w:tcW w:w="5" w:type="pct"/>
            <w:shd w:val="clear" w:color="auto" w:fill="auto"/>
            <w:vAlign w:val="bottom"/>
          </w:tcPr>
          <w:p w14:paraId="5A1B1F91" w14:textId="77777777" w:rsidR="00960BB8" w:rsidRDefault="00960BB8">
            <w:pPr>
              <w:rPr>
                <w:rFonts w:ascii="宋体"/>
              </w:rPr>
            </w:pPr>
          </w:p>
        </w:tc>
        <w:tc>
          <w:tcPr>
            <w:tcW w:w="50" w:type="pct"/>
            <w:shd w:val="clear" w:color="auto" w:fill="auto"/>
            <w:vAlign w:val="bottom"/>
          </w:tcPr>
          <w:p w14:paraId="5A1B1F92" w14:textId="77777777" w:rsidR="00960BB8" w:rsidRDefault="00960BB8">
            <w:pPr>
              <w:rPr>
                <w:rFonts w:ascii="宋体"/>
              </w:rPr>
            </w:pPr>
          </w:p>
        </w:tc>
        <w:tc>
          <w:tcPr>
            <w:tcW w:w="4350" w:type="pct"/>
            <w:shd w:val="clear" w:color="auto" w:fill="auto"/>
            <w:vAlign w:val="bottom"/>
          </w:tcPr>
          <w:p w14:paraId="5A1B1F93" w14:textId="77777777" w:rsidR="00960BB8" w:rsidRDefault="00960BB8">
            <w:pPr>
              <w:rPr>
                <w:rFonts w:ascii="宋体"/>
              </w:rPr>
            </w:pPr>
          </w:p>
        </w:tc>
        <w:tc>
          <w:tcPr>
            <w:tcW w:w="5" w:type="pct"/>
            <w:shd w:val="clear" w:color="auto" w:fill="auto"/>
            <w:vAlign w:val="bottom"/>
          </w:tcPr>
          <w:p w14:paraId="5A1B1F94" w14:textId="77777777" w:rsidR="00960BB8" w:rsidRDefault="00960BB8">
            <w:pPr>
              <w:rPr>
                <w:rFonts w:ascii="宋体"/>
              </w:rPr>
            </w:pPr>
          </w:p>
        </w:tc>
      </w:tr>
      <w:tr w:rsidR="00960BB8" w14:paraId="5A1B1F98"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1F96" w14:textId="77777777" w:rsidR="00960BB8" w:rsidRDefault="00C06650">
            <w:pPr>
              <w:textAlignment w:val="bottom"/>
            </w:pPr>
            <w:r>
              <w:rPr>
                <w:rFonts w:ascii="Arial" w:eastAsia="宋体" w:hAnsi="Arial" w:cs="Arial"/>
                <w:color w:val="FFFFFF"/>
                <w:sz w:val="28"/>
                <w:szCs w:val="28"/>
              </w:rPr>
              <w:t xml:space="preserve">Note 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1F97" w14:textId="77777777" w:rsidR="00960BB8" w:rsidRDefault="00C06650">
            <w:pPr>
              <w:textAlignment w:val="bottom"/>
            </w:pPr>
            <w:r>
              <w:rPr>
                <w:rFonts w:ascii="Arial" w:eastAsia="宋体" w:hAnsi="Arial" w:cs="Arial"/>
                <w:color w:val="0068B5"/>
                <w:sz w:val="28"/>
                <w:szCs w:val="28"/>
              </w:rPr>
              <w:t>Investments</w:t>
            </w:r>
          </w:p>
        </w:tc>
      </w:tr>
    </w:tbl>
    <w:p w14:paraId="5A1B1F99" w14:textId="77777777" w:rsidR="00960BB8" w:rsidRDefault="00C06650">
      <w:pPr>
        <w:spacing w:after="180"/>
      </w:pPr>
      <w:r>
        <w:rPr>
          <w:rFonts w:ascii="Arial" w:eastAsia="宋体" w:hAnsi="Arial" w:cs="Arial"/>
          <w:color w:val="0068B5"/>
        </w:rPr>
        <w:t>Short-term Investments</w:t>
      </w:r>
    </w:p>
    <w:p w14:paraId="5A1B1F9A" w14:textId="77777777" w:rsidR="00960BB8" w:rsidRDefault="00C06650">
      <w:pPr>
        <w:spacing w:after="180"/>
      </w:pPr>
      <w:r>
        <w:rPr>
          <w:rFonts w:ascii="Arial" w:eastAsia="宋体" w:hAnsi="Arial" w:cs="Arial"/>
          <w:color w:val="262626"/>
          <w:sz w:val="18"/>
          <w:szCs w:val="18"/>
        </w:rPr>
        <w:t>Short-term investments include marketable debt investments in corporate debt, government debt, and financial institution instruments. Government debt includes instruments such as non-US government bonds and US agency securities. Financial institution instr</w:t>
      </w:r>
      <w:r>
        <w:rPr>
          <w:rFonts w:ascii="Arial" w:eastAsia="宋体" w:hAnsi="Arial" w:cs="Arial"/>
          <w:color w:val="262626"/>
          <w:sz w:val="18"/>
          <w:szCs w:val="18"/>
        </w:rPr>
        <w:t>uments include instruments issued or managed by financial institutions in various forms, such as commercial paper, fixed- and floating-rate bonds, money market fund deposits, and time deposits. As of December 31, 2022 and December 25, 2021, substantially a</w:t>
      </w:r>
      <w:r>
        <w:rPr>
          <w:rFonts w:ascii="Arial" w:eastAsia="宋体" w:hAnsi="Arial" w:cs="Arial"/>
          <w:color w:val="262626"/>
          <w:sz w:val="18"/>
          <w:szCs w:val="18"/>
        </w:rPr>
        <w:t xml:space="preserve">ll time deposits were issued by institutions outside the US. </w:t>
      </w:r>
    </w:p>
    <w:p w14:paraId="5A1B1F9B" w14:textId="77777777" w:rsidR="00960BB8" w:rsidRDefault="00C06650">
      <w:pPr>
        <w:spacing w:after="180"/>
      </w:pPr>
      <w:r>
        <w:rPr>
          <w:rFonts w:ascii="Arial" w:eastAsia="宋体" w:hAnsi="Arial" w:cs="Arial"/>
          <w:color w:val="262626"/>
          <w:sz w:val="18"/>
          <w:szCs w:val="18"/>
        </w:rPr>
        <w:t>For certain of our marketable debt investments, we economically hedge market risks at inception with a related derivative instrument or the marketable debt investment itself is used to economica</w:t>
      </w:r>
      <w:r>
        <w:rPr>
          <w:rFonts w:ascii="Arial" w:eastAsia="宋体" w:hAnsi="Arial" w:cs="Arial"/>
          <w:color w:val="262626"/>
          <w:sz w:val="18"/>
          <w:szCs w:val="18"/>
        </w:rPr>
        <w:t xml:space="preserve">lly hedge currency exchange rate risk from remeasurement. These hedged investments are reported at fair value with gains or losses from the investments and the related derivative instruments recorded in </w:t>
      </w:r>
      <w:r>
        <w:rPr>
          <w:rFonts w:ascii="Arial" w:eastAsia="宋体" w:hAnsi="Arial" w:cs="Arial"/>
          <w:i/>
          <w:iCs/>
          <w:color w:val="262626"/>
          <w:sz w:val="18"/>
          <w:szCs w:val="18"/>
        </w:rPr>
        <w:t>interest and other, net</w:t>
      </w:r>
      <w:r>
        <w:rPr>
          <w:rFonts w:ascii="Arial" w:eastAsia="宋体" w:hAnsi="Arial" w:cs="Arial"/>
          <w:color w:val="262626"/>
          <w:sz w:val="18"/>
          <w:szCs w:val="18"/>
        </w:rPr>
        <w:t>. The fair value of our hedged investments was $16.2 billion as of December 31, 2022 ($21.5 billion as of December 25, 2021). For hedged investments still held at the reporting date, we recorded net losses of $748 million in 2022 (net losses of $606 millio</w:t>
      </w:r>
      <w:r>
        <w:rPr>
          <w:rFonts w:ascii="Arial" w:eastAsia="宋体" w:hAnsi="Arial" w:cs="Arial"/>
          <w:color w:val="262626"/>
          <w:sz w:val="18"/>
          <w:szCs w:val="18"/>
        </w:rPr>
        <w:t xml:space="preserve">n in 2021 and net </w:t>
      </w:r>
      <w:r>
        <w:rPr>
          <w:rFonts w:ascii="Arial" w:eastAsia="宋体" w:hAnsi="Arial" w:cs="Arial"/>
          <w:color w:val="000000"/>
          <w:sz w:val="18"/>
          <w:szCs w:val="18"/>
        </w:rPr>
        <w:t>gains</w:t>
      </w:r>
      <w:r>
        <w:rPr>
          <w:rFonts w:ascii="Arial" w:eastAsia="宋体" w:hAnsi="Arial" w:cs="Arial"/>
          <w:color w:val="262626"/>
          <w:sz w:val="18"/>
          <w:szCs w:val="18"/>
        </w:rPr>
        <w:t xml:space="preserve"> of $694 million in 2020). Net gains on the related derivatives were $752 million in 2022 (net gains of $609 million in 2021 and net losses of $667 million in 2020).</w:t>
      </w:r>
    </w:p>
    <w:p w14:paraId="5A1B1F9C" w14:textId="77777777" w:rsidR="00960BB8" w:rsidRDefault="00C06650">
      <w:pPr>
        <w:spacing w:after="180"/>
      </w:pPr>
      <w:r>
        <w:rPr>
          <w:rFonts w:ascii="Arial" w:eastAsia="宋体" w:hAnsi="Arial" w:cs="Arial"/>
          <w:color w:val="262626"/>
          <w:sz w:val="18"/>
          <w:szCs w:val="18"/>
        </w:rPr>
        <w:t xml:space="preserve">Our remaining unhedged marketable debt investments are reported at fair value, with unrealized gains or losses, net of tax, recorded in accumulated </w:t>
      </w:r>
      <w:r>
        <w:rPr>
          <w:rFonts w:ascii="Arial" w:eastAsia="宋体" w:hAnsi="Arial" w:cs="Arial"/>
          <w:i/>
          <w:iCs/>
          <w:color w:val="262626"/>
          <w:sz w:val="18"/>
          <w:szCs w:val="18"/>
        </w:rPr>
        <w:t>other comprehensive income (loss)</w:t>
      </w:r>
      <w:r>
        <w:rPr>
          <w:rFonts w:ascii="Arial" w:eastAsia="宋体" w:hAnsi="Arial" w:cs="Arial"/>
          <w:color w:val="262626"/>
          <w:sz w:val="18"/>
          <w:szCs w:val="18"/>
        </w:rPr>
        <w:t>. The adjusted cost of our unhedged investments was $10.2 billion as of Dec</w:t>
      </w:r>
      <w:r>
        <w:rPr>
          <w:rFonts w:ascii="Arial" w:eastAsia="宋体" w:hAnsi="Arial" w:cs="Arial"/>
          <w:color w:val="262626"/>
          <w:sz w:val="18"/>
          <w:szCs w:val="18"/>
        </w:rPr>
        <w:t>ember 31, 2022 ($5.0 billion as of December 25, 2021), which approximated the fair value for these periods.</w:t>
      </w:r>
    </w:p>
    <w:p w14:paraId="5A1B1F9D" w14:textId="77777777" w:rsidR="00960BB8" w:rsidRDefault="00C06650">
      <w:pPr>
        <w:spacing w:after="120"/>
      </w:pPr>
      <w:r>
        <w:rPr>
          <w:rFonts w:ascii="Arial" w:eastAsia="宋体" w:hAnsi="Arial" w:cs="Arial"/>
          <w:color w:val="262626"/>
          <w:sz w:val="18"/>
          <w:szCs w:val="18"/>
        </w:rPr>
        <w:t>The fair value of marketable debt investments, by contractual maturity, as of December 31, 2022, was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7159"/>
        <w:gridCol w:w="37"/>
        <w:gridCol w:w="36"/>
        <w:gridCol w:w="36"/>
        <w:gridCol w:w="36"/>
        <w:gridCol w:w="122"/>
        <w:gridCol w:w="829"/>
        <w:gridCol w:w="36"/>
      </w:tblGrid>
      <w:tr w:rsidR="00960BB8" w14:paraId="5A1B1FA7" w14:textId="77777777">
        <w:tc>
          <w:tcPr>
            <w:tcW w:w="50" w:type="pct"/>
            <w:shd w:val="clear" w:color="auto" w:fill="auto"/>
            <w:vAlign w:val="bottom"/>
          </w:tcPr>
          <w:p w14:paraId="5A1B1F9E" w14:textId="77777777" w:rsidR="00960BB8" w:rsidRDefault="00960BB8">
            <w:pPr>
              <w:rPr>
                <w:rFonts w:ascii="宋体"/>
              </w:rPr>
            </w:pPr>
          </w:p>
        </w:tc>
        <w:tc>
          <w:tcPr>
            <w:tcW w:w="4316" w:type="pct"/>
            <w:shd w:val="clear" w:color="auto" w:fill="auto"/>
            <w:vAlign w:val="bottom"/>
          </w:tcPr>
          <w:p w14:paraId="5A1B1F9F" w14:textId="77777777" w:rsidR="00960BB8" w:rsidRDefault="00960BB8">
            <w:pPr>
              <w:rPr>
                <w:rFonts w:ascii="宋体"/>
              </w:rPr>
            </w:pPr>
          </w:p>
        </w:tc>
        <w:tc>
          <w:tcPr>
            <w:tcW w:w="5" w:type="pct"/>
            <w:shd w:val="clear" w:color="auto" w:fill="auto"/>
            <w:vAlign w:val="bottom"/>
          </w:tcPr>
          <w:p w14:paraId="5A1B1FA0" w14:textId="77777777" w:rsidR="00960BB8" w:rsidRDefault="00960BB8">
            <w:pPr>
              <w:rPr>
                <w:rFonts w:ascii="宋体"/>
              </w:rPr>
            </w:pPr>
          </w:p>
        </w:tc>
        <w:tc>
          <w:tcPr>
            <w:tcW w:w="5" w:type="pct"/>
            <w:shd w:val="clear" w:color="auto" w:fill="auto"/>
            <w:vAlign w:val="bottom"/>
          </w:tcPr>
          <w:p w14:paraId="5A1B1FA1" w14:textId="77777777" w:rsidR="00960BB8" w:rsidRDefault="00960BB8">
            <w:pPr>
              <w:rPr>
                <w:rFonts w:ascii="宋体"/>
              </w:rPr>
            </w:pPr>
          </w:p>
        </w:tc>
        <w:tc>
          <w:tcPr>
            <w:tcW w:w="24" w:type="pct"/>
            <w:shd w:val="clear" w:color="auto" w:fill="auto"/>
            <w:vAlign w:val="bottom"/>
          </w:tcPr>
          <w:p w14:paraId="5A1B1FA2" w14:textId="77777777" w:rsidR="00960BB8" w:rsidRDefault="00960BB8">
            <w:pPr>
              <w:rPr>
                <w:rFonts w:ascii="宋体"/>
              </w:rPr>
            </w:pPr>
          </w:p>
        </w:tc>
        <w:tc>
          <w:tcPr>
            <w:tcW w:w="5" w:type="pct"/>
            <w:shd w:val="clear" w:color="auto" w:fill="auto"/>
            <w:vAlign w:val="bottom"/>
          </w:tcPr>
          <w:p w14:paraId="5A1B1FA3" w14:textId="77777777" w:rsidR="00960BB8" w:rsidRDefault="00960BB8">
            <w:pPr>
              <w:rPr>
                <w:rFonts w:ascii="宋体"/>
              </w:rPr>
            </w:pPr>
          </w:p>
        </w:tc>
        <w:tc>
          <w:tcPr>
            <w:tcW w:w="50" w:type="pct"/>
            <w:shd w:val="clear" w:color="auto" w:fill="auto"/>
            <w:vAlign w:val="bottom"/>
          </w:tcPr>
          <w:p w14:paraId="5A1B1FA4" w14:textId="77777777" w:rsidR="00960BB8" w:rsidRDefault="00960BB8">
            <w:pPr>
              <w:rPr>
                <w:rFonts w:ascii="宋体"/>
              </w:rPr>
            </w:pPr>
          </w:p>
        </w:tc>
        <w:tc>
          <w:tcPr>
            <w:tcW w:w="539" w:type="pct"/>
            <w:shd w:val="clear" w:color="auto" w:fill="auto"/>
            <w:vAlign w:val="bottom"/>
          </w:tcPr>
          <w:p w14:paraId="5A1B1FA5" w14:textId="77777777" w:rsidR="00960BB8" w:rsidRDefault="00960BB8">
            <w:pPr>
              <w:rPr>
                <w:rFonts w:ascii="宋体"/>
              </w:rPr>
            </w:pPr>
          </w:p>
        </w:tc>
        <w:tc>
          <w:tcPr>
            <w:tcW w:w="5" w:type="pct"/>
            <w:shd w:val="clear" w:color="auto" w:fill="auto"/>
            <w:vAlign w:val="bottom"/>
          </w:tcPr>
          <w:p w14:paraId="5A1B1FA6" w14:textId="77777777" w:rsidR="00960BB8" w:rsidRDefault="00960BB8">
            <w:pPr>
              <w:rPr>
                <w:rFonts w:ascii="宋体"/>
              </w:rPr>
            </w:pPr>
          </w:p>
        </w:tc>
      </w:tr>
      <w:tr w:rsidR="00960BB8" w14:paraId="5A1B1FAB" w14:textId="77777777">
        <w:tc>
          <w:tcPr>
            <w:tcW w:w="0" w:type="auto"/>
            <w:gridSpan w:val="3"/>
            <w:shd w:val="clear" w:color="auto" w:fill="auto"/>
            <w:tcMar>
              <w:top w:w="40" w:type="dxa"/>
              <w:left w:w="20" w:type="dxa"/>
              <w:bottom w:w="40" w:type="dxa"/>
              <w:right w:w="20" w:type="dxa"/>
            </w:tcMar>
            <w:vAlign w:val="bottom"/>
          </w:tcPr>
          <w:p w14:paraId="5A1B1FA8"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1FA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FAA" w14:textId="77777777" w:rsidR="00960BB8" w:rsidRDefault="00C06650">
            <w:pPr>
              <w:jc w:val="center"/>
              <w:textAlignment w:val="bottom"/>
            </w:pPr>
            <w:r>
              <w:rPr>
                <w:rFonts w:ascii="Arial" w:eastAsia="宋体" w:hAnsi="Arial" w:cs="Arial"/>
                <w:b/>
                <w:bCs/>
                <w:color w:val="262626"/>
                <w:sz w:val="18"/>
                <w:szCs w:val="18"/>
              </w:rPr>
              <w:t>Fair Value</w:t>
            </w:r>
          </w:p>
        </w:tc>
      </w:tr>
      <w:tr w:rsidR="00960BB8" w14:paraId="5A1B1FB1"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FAC" w14:textId="77777777" w:rsidR="00960BB8" w:rsidRDefault="00C06650">
            <w:pPr>
              <w:textAlignment w:val="bottom"/>
            </w:pPr>
            <w:r>
              <w:rPr>
                <w:rFonts w:ascii="Arial" w:eastAsia="宋体" w:hAnsi="Arial" w:cs="Arial"/>
                <w:color w:val="262626"/>
                <w:sz w:val="18"/>
                <w:szCs w:val="18"/>
              </w:rPr>
              <w:t>Due in 1 year or less</w:t>
            </w:r>
          </w:p>
        </w:tc>
        <w:tc>
          <w:tcPr>
            <w:tcW w:w="0" w:type="auto"/>
            <w:gridSpan w:val="3"/>
            <w:shd w:val="clear" w:color="auto" w:fill="auto"/>
            <w:tcMar>
              <w:top w:w="0" w:type="dxa"/>
              <w:left w:w="20" w:type="dxa"/>
              <w:bottom w:w="0" w:type="dxa"/>
              <w:right w:w="20" w:type="dxa"/>
            </w:tcMar>
            <w:vAlign w:val="bottom"/>
          </w:tcPr>
          <w:p w14:paraId="5A1B1FA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FAE"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FAF" w14:textId="77777777" w:rsidR="00960BB8" w:rsidRDefault="00C06650">
            <w:pPr>
              <w:jc w:val="right"/>
              <w:textAlignment w:val="bottom"/>
            </w:pPr>
            <w:r>
              <w:rPr>
                <w:rFonts w:ascii="Arial" w:eastAsia="宋体" w:hAnsi="Arial" w:cs="Arial"/>
                <w:color w:val="0068B5"/>
                <w:sz w:val="18"/>
                <w:szCs w:val="18"/>
              </w:rPr>
              <w:t>12,680 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FB0" w14:textId="77777777" w:rsidR="00960BB8" w:rsidRDefault="00960BB8">
            <w:pPr>
              <w:jc w:val="right"/>
              <w:rPr>
                <w:rFonts w:ascii="宋体"/>
              </w:rPr>
            </w:pPr>
          </w:p>
        </w:tc>
      </w:tr>
      <w:tr w:rsidR="00960BB8" w14:paraId="5A1B1FB6" w14:textId="77777777">
        <w:tc>
          <w:tcPr>
            <w:tcW w:w="0" w:type="auto"/>
            <w:gridSpan w:val="3"/>
            <w:shd w:val="clear" w:color="auto" w:fill="auto"/>
            <w:tcMar>
              <w:top w:w="40" w:type="dxa"/>
              <w:left w:w="20" w:type="dxa"/>
              <w:bottom w:w="40" w:type="dxa"/>
              <w:right w:w="20" w:type="dxa"/>
            </w:tcMar>
            <w:vAlign w:val="bottom"/>
          </w:tcPr>
          <w:p w14:paraId="5A1B1FB2" w14:textId="77777777" w:rsidR="00960BB8" w:rsidRDefault="00C06650">
            <w:pPr>
              <w:textAlignment w:val="bottom"/>
            </w:pPr>
            <w:r>
              <w:rPr>
                <w:rFonts w:ascii="Arial" w:eastAsia="宋体" w:hAnsi="Arial" w:cs="Arial"/>
                <w:color w:val="262626"/>
                <w:sz w:val="18"/>
                <w:szCs w:val="18"/>
              </w:rPr>
              <w:t>Due in 1–2 years</w:t>
            </w:r>
          </w:p>
        </w:tc>
        <w:tc>
          <w:tcPr>
            <w:tcW w:w="0" w:type="auto"/>
            <w:gridSpan w:val="3"/>
            <w:shd w:val="clear" w:color="auto" w:fill="auto"/>
            <w:tcMar>
              <w:top w:w="0" w:type="dxa"/>
              <w:left w:w="20" w:type="dxa"/>
              <w:bottom w:w="0" w:type="dxa"/>
              <w:right w:w="20" w:type="dxa"/>
            </w:tcMar>
            <w:vAlign w:val="bottom"/>
          </w:tcPr>
          <w:p w14:paraId="5A1B1FB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FB4" w14:textId="77777777" w:rsidR="00960BB8" w:rsidRDefault="00C06650">
            <w:pPr>
              <w:jc w:val="right"/>
              <w:textAlignment w:val="bottom"/>
            </w:pPr>
            <w:r>
              <w:rPr>
                <w:rFonts w:ascii="Arial" w:eastAsia="宋体" w:hAnsi="Arial" w:cs="Arial"/>
                <w:color w:val="0068B5"/>
                <w:sz w:val="18"/>
                <w:szCs w:val="18"/>
              </w:rPr>
              <w:t>1,844 </w:t>
            </w:r>
          </w:p>
        </w:tc>
        <w:tc>
          <w:tcPr>
            <w:tcW w:w="0" w:type="auto"/>
            <w:shd w:val="clear" w:color="auto" w:fill="auto"/>
            <w:tcMar>
              <w:top w:w="40" w:type="dxa"/>
              <w:left w:w="0" w:type="dxa"/>
              <w:bottom w:w="40" w:type="dxa"/>
              <w:right w:w="20" w:type="dxa"/>
            </w:tcMar>
            <w:vAlign w:val="bottom"/>
          </w:tcPr>
          <w:p w14:paraId="5A1B1FB5" w14:textId="77777777" w:rsidR="00960BB8" w:rsidRDefault="00960BB8">
            <w:pPr>
              <w:jc w:val="right"/>
              <w:rPr>
                <w:rFonts w:ascii="宋体"/>
              </w:rPr>
            </w:pPr>
          </w:p>
        </w:tc>
      </w:tr>
      <w:tr w:rsidR="00960BB8" w14:paraId="5A1B1FBB" w14:textId="77777777">
        <w:tc>
          <w:tcPr>
            <w:tcW w:w="0" w:type="auto"/>
            <w:gridSpan w:val="3"/>
            <w:shd w:val="clear" w:color="auto" w:fill="auto"/>
            <w:tcMar>
              <w:top w:w="40" w:type="dxa"/>
              <w:left w:w="20" w:type="dxa"/>
              <w:bottom w:w="40" w:type="dxa"/>
              <w:right w:w="20" w:type="dxa"/>
            </w:tcMar>
            <w:vAlign w:val="bottom"/>
          </w:tcPr>
          <w:p w14:paraId="5A1B1FB7" w14:textId="77777777" w:rsidR="00960BB8" w:rsidRDefault="00C06650">
            <w:pPr>
              <w:textAlignment w:val="bottom"/>
            </w:pPr>
            <w:r>
              <w:rPr>
                <w:rFonts w:ascii="Arial" w:eastAsia="宋体" w:hAnsi="Arial" w:cs="Arial"/>
                <w:color w:val="262626"/>
                <w:sz w:val="18"/>
                <w:szCs w:val="18"/>
              </w:rPr>
              <w:t>Due in 2–5 years</w:t>
            </w:r>
          </w:p>
        </w:tc>
        <w:tc>
          <w:tcPr>
            <w:tcW w:w="0" w:type="auto"/>
            <w:gridSpan w:val="3"/>
            <w:shd w:val="clear" w:color="auto" w:fill="auto"/>
            <w:tcMar>
              <w:top w:w="0" w:type="dxa"/>
              <w:left w:w="20" w:type="dxa"/>
              <w:bottom w:w="0" w:type="dxa"/>
              <w:right w:w="20" w:type="dxa"/>
            </w:tcMar>
            <w:vAlign w:val="bottom"/>
          </w:tcPr>
          <w:p w14:paraId="5A1B1FB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FB9" w14:textId="77777777" w:rsidR="00960BB8" w:rsidRDefault="00C06650">
            <w:pPr>
              <w:jc w:val="right"/>
              <w:textAlignment w:val="bottom"/>
            </w:pPr>
            <w:r>
              <w:rPr>
                <w:rFonts w:ascii="Arial" w:eastAsia="宋体" w:hAnsi="Arial" w:cs="Arial"/>
                <w:color w:val="0068B5"/>
                <w:sz w:val="18"/>
                <w:szCs w:val="18"/>
              </w:rPr>
              <w:t>4,139 </w:t>
            </w:r>
          </w:p>
        </w:tc>
        <w:tc>
          <w:tcPr>
            <w:tcW w:w="0" w:type="auto"/>
            <w:shd w:val="clear" w:color="auto" w:fill="auto"/>
            <w:tcMar>
              <w:top w:w="40" w:type="dxa"/>
              <w:left w:w="0" w:type="dxa"/>
              <w:bottom w:w="40" w:type="dxa"/>
              <w:right w:w="20" w:type="dxa"/>
            </w:tcMar>
            <w:vAlign w:val="bottom"/>
          </w:tcPr>
          <w:p w14:paraId="5A1B1FBA" w14:textId="77777777" w:rsidR="00960BB8" w:rsidRDefault="00960BB8">
            <w:pPr>
              <w:jc w:val="right"/>
              <w:rPr>
                <w:rFonts w:ascii="宋体"/>
              </w:rPr>
            </w:pPr>
          </w:p>
        </w:tc>
      </w:tr>
      <w:tr w:rsidR="00960BB8" w14:paraId="5A1B1FC0" w14:textId="77777777">
        <w:tc>
          <w:tcPr>
            <w:tcW w:w="0" w:type="auto"/>
            <w:gridSpan w:val="3"/>
            <w:shd w:val="clear" w:color="auto" w:fill="auto"/>
            <w:tcMar>
              <w:top w:w="40" w:type="dxa"/>
              <w:left w:w="20" w:type="dxa"/>
              <w:bottom w:w="40" w:type="dxa"/>
              <w:right w:w="20" w:type="dxa"/>
            </w:tcMar>
            <w:vAlign w:val="bottom"/>
          </w:tcPr>
          <w:p w14:paraId="5A1B1FBC" w14:textId="77777777" w:rsidR="00960BB8" w:rsidRDefault="00C06650">
            <w:pPr>
              <w:textAlignment w:val="bottom"/>
            </w:pPr>
            <w:r>
              <w:rPr>
                <w:rFonts w:ascii="Arial" w:eastAsia="宋体" w:hAnsi="Arial" w:cs="Arial"/>
                <w:color w:val="262626"/>
                <w:sz w:val="18"/>
                <w:szCs w:val="18"/>
              </w:rPr>
              <w:t>Due after 5 years</w:t>
            </w:r>
          </w:p>
        </w:tc>
        <w:tc>
          <w:tcPr>
            <w:tcW w:w="0" w:type="auto"/>
            <w:gridSpan w:val="3"/>
            <w:shd w:val="clear" w:color="auto" w:fill="auto"/>
            <w:tcMar>
              <w:top w:w="0" w:type="dxa"/>
              <w:left w:w="20" w:type="dxa"/>
              <w:bottom w:w="0" w:type="dxa"/>
              <w:right w:w="20" w:type="dxa"/>
            </w:tcMar>
            <w:vAlign w:val="bottom"/>
          </w:tcPr>
          <w:p w14:paraId="5A1B1FB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FBE" w14:textId="77777777" w:rsidR="00960BB8" w:rsidRDefault="00C06650">
            <w:pPr>
              <w:jc w:val="right"/>
              <w:textAlignment w:val="bottom"/>
            </w:pPr>
            <w:r>
              <w:rPr>
                <w:rFonts w:ascii="Arial" w:eastAsia="宋体" w:hAnsi="Arial" w:cs="Arial"/>
                <w:color w:val="0068B5"/>
                <w:sz w:val="18"/>
                <w:szCs w:val="18"/>
              </w:rPr>
              <w:t>665 </w:t>
            </w:r>
          </w:p>
        </w:tc>
        <w:tc>
          <w:tcPr>
            <w:tcW w:w="0" w:type="auto"/>
            <w:shd w:val="clear" w:color="auto" w:fill="auto"/>
            <w:tcMar>
              <w:top w:w="40" w:type="dxa"/>
              <w:left w:w="0" w:type="dxa"/>
              <w:bottom w:w="40" w:type="dxa"/>
              <w:right w:w="20" w:type="dxa"/>
            </w:tcMar>
            <w:vAlign w:val="bottom"/>
          </w:tcPr>
          <w:p w14:paraId="5A1B1FBF" w14:textId="77777777" w:rsidR="00960BB8" w:rsidRDefault="00960BB8">
            <w:pPr>
              <w:jc w:val="right"/>
              <w:rPr>
                <w:rFonts w:ascii="宋体"/>
              </w:rPr>
            </w:pPr>
          </w:p>
        </w:tc>
      </w:tr>
      <w:tr w:rsidR="00960BB8" w14:paraId="5A1B1FC5" w14:textId="77777777">
        <w:tc>
          <w:tcPr>
            <w:tcW w:w="0" w:type="auto"/>
            <w:gridSpan w:val="3"/>
            <w:shd w:val="clear" w:color="auto" w:fill="auto"/>
            <w:tcMar>
              <w:top w:w="40" w:type="dxa"/>
              <w:left w:w="20" w:type="dxa"/>
              <w:bottom w:w="40" w:type="dxa"/>
              <w:right w:w="20" w:type="dxa"/>
            </w:tcMar>
            <w:vAlign w:val="bottom"/>
          </w:tcPr>
          <w:p w14:paraId="5A1B1FC1" w14:textId="77777777" w:rsidR="00960BB8" w:rsidRDefault="00C06650">
            <w:pPr>
              <w:textAlignment w:val="bottom"/>
            </w:pPr>
            <w:r>
              <w:rPr>
                <w:rFonts w:ascii="Arial" w:eastAsia="宋体" w:hAnsi="Arial" w:cs="Arial"/>
                <w:color w:val="262626"/>
                <w:sz w:val="18"/>
                <w:szCs w:val="18"/>
              </w:rPr>
              <w:t>Instruments not due at a single maturity date</w:t>
            </w:r>
          </w:p>
        </w:tc>
        <w:tc>
          <w:tcPr>
            <w:tcW w:w="0" w:type="auto"/>
            <w:gridSpan w:val="3"/>
            <w:shd w:val="clear" w:color="auto" w:fill="auto"/>
            <w:tcMar>
              <w:top w:w="0" w:type="dxa"/>
              <w:left w:w="20" w:type="dxa"/>
              <w:bottom w:w="0" w:type="dxa"/>
              <w:right w:w="20" w:type="dxa"/>
            </w:tcMar>
            <w:vAlign w:val="bottom"/>
          </w:tcPr>
          <w:p w14:paraId="5A1B1FC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1FC3" w14:textId="77777777" w:rsidR="00960BB8" w:rsidRDefault="00C06650">
            <w:pPr>
              <w:jc w:val="right"/>
              <w:textAlignment w:val="bottom"/>
            </w:pPr>
            <w:r>
              <w:rPr>
                <w:rFonts w:ascii="Arial" w:eastAsia="宋体" w:hAnsi="Arial" w:cs="Arial"/>
                <w:color w:val="0068B5"/>
                <w:sz w:val="18"/>
                <w:szCs w:val="18"/>
              </w:rPr>
              <w:t>7,095 </w:t>
            </w:r>
          </w:p>
        </w:tc>
        <w:tc>
          <w:tcPr>
            <w:tcW w:w="0" w:type="auto"/>
            <w:shd w:val="clear" w:color="auto" w:fill="auto"/>
            <w:tcMar>
              <w:top w:w="40" w:type="dxa"/>
              <w:left w:w="0" w:type="dxa"/>
              <w:bottom w:w="40" w:type="dxa"/>
              <w:right w:w="20" w:type="dxa"/>
            </w:tcMar>
            <w:vAlign w:val="bottom"/>
          </w:tcPr>
          <w:p w14:paraId="5A1B1FC4" w14:textId="77777777" w:rsidR="00960BB8" w:rsidRDefault="00960BB8">
            <w:pPr>
              <w:jc w:val="right"/>
              <w:rPr>
                <w:rFonts w:ascii="宋体"/>
              </w:rPr>
            </w:pPr>
          </w:p>
        </w:tc>
      </w:tr>
      <w:tr w:rsidR="00960BB8" w14:paraId="5A1B1FCB" w14:textId="77777777">
        <w:tc>
          <w:tcPr>
            <w:tcW w:w="0" w:type="auto"/>
            <w:gridSpan w:val="3"/>
            <w:shd w:val="clear" w:color="auto" w:fill="auto"/>
            <w:tcMar>
              <w:top w:w="40" w:type="dxa"/>
              <w:left w:w="20" w:type="dxa"/>
              <w:bottom w:w="40" w:type="dxa"/>
              <w:right w:w="20" w:type="dxa"/>
            </w:tcMar>
            <w:vAlign w:val="bottom"/>
          </w:tcPr>
          <w:p w14:paraId="5A1B1FC6" w14:textId="77777777" w:rsidR="00960BB8" w:rsidRDefault="00C06650">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5A1B1FC7"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1FC8"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1FC9" w14:textId="77777777" w:rsidR="00960BB8" w:rsidRDefault="00C06650">
            <w:pPr>
              <w:jc w:val="right"/>
              <w:textAlignment w:val="bottom"/>
            </w:pPr>
            <w:r>
              <w:rPr>
                <w:rFonts w:ascii="Arial" w:eastAsia="宋体" w:hAnsi="Arial" w:cs="Arial"/>
                <w:b/>
                <w:bCs/>
                <w:color w:val="0068B5"/>
                <w:sz w:val="18"/>
                <w:szCs w:val="18"/>
              </w:rPr>
              <w:t>26,423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1FCA" w14:textId="77777777" w:rsidR="00960BB8" w:rsidRDefault="00960BB8">
            <w:pPr>
              <w:jc w:val="right"/>
              <w:rPr>
                <w:rFonts w:ascii="宋体"/>
              </w:rPr>
            </w:pPr>
          </w:p>
        </w:tc>
      </w:tr>
    </w:tbl>
    <w:p w14:paraId="5A1B1FCC" w14:textId="77777777" w:rsidR="00960BB8" w:rsidRDefault="00960BB8">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1FD9" w14:textId="77777777">
        <w:tc>
          <w:tcPr>
            <w:tcW w:w="50" w:type="pct"/>
            <w:shd w:val="clear" w:color="auto" w:fill="auto"/>
            <w:vAlign w:val="bottom"/>
          </w:tcPr>
          <w:p w14:paraId="5A1B1FCD" w14:textId="77777777" w:rsidR="00960BB8" w:rsidRDefault="00960BB8">
            <w:pPr>
              <w:rPr>
                <w:rFonts w:ascii="宋体"/>
              </w:rPr>
            </w:pPr>
          </w:p>
        </w:tc>
        <w:tc>
          <w:tcPr>
            <w:tcW w:w="276" w:type="pct"/>
            <w:shd w:val="clear" w:color="auto" w:fill="auto"/>
            <w:vAlign w:val="bottom"/>
          </w:tcPr>
          <w:p w14:paraId="5A1B1FCE" w14:textId="77777777" w:rsidR="00960BB8" w:rsidRDefault="00960BB8">
            <w:pPr>
              <w:rPr>
                <w:rFonts w:ascii="宋体"/>
              </w:rPr>
            </w:pPr>
          </w:p>
        </w:tc>
        <w:tc>
          <w:tcPr>
            <w:tcW w:w="5" w:type="pct"/>
            <w:shd w:val="clear" w:color="auto" w:fill="auto"/>
            <w:vAlign w:val="bottom"/>
          </w:tcPr>
          <w:p w14:paraId="5A1B1FCF" w14:textId="77777777" w:rsidR="00960BB8" w:rsidRDefault="00960BB8">
            <w:pPr>
              <w:rPr>
                <w:rFonts w:ascii="宋体"/>
              </w:rPr>
            </w:pPr>
          </w:p>
        </w:tc>
        <w:tc>
          <w:tcPr>
            <w:tcW w:w="50" w:type="pct"/>
            <w:shd w:val="clear" w:color="auto" w:fill="auto"/>
            <w:vAlign w:val="bottom"/>
          </w:tcPr>
          <w:p w14:paraId="5A1B1FD0" w14:textId="77777777" w:rsidR="00960BB8" w:rsidRDefault="00960BB8">
            <w:pPr>
              <w:rPr>
                <w:rFonts w:ascii="宋体"/>
              </w:rPr>
            </w:pPr>
          </w:p>
        </w:tc>
        <w:tc>
          <w:tcPr>
            <w:tcW w:w="940" w:type="pct"/>
            <w:shd w:val="clear" w:color="auto" w:fill="auto"/>
            <w:vAlign w:val="bottom"/>
          </w:tcPr>
          <w:p w14:paraId="5A1B1FD1" w14:textId="77777777" w:rsidR="00960BB8" w:rsidRDefault="00960BB8">
            <w:pPr>
              <w:rPr>
                <w:rFonts w:ascii="宋体"/>
              </w:rPr>
            </w:pPr>
          </w:p>
        </w:tc>
        <w:tc>
          <w:tcPr>
            <w:tcW w:w="5" w:type="pct"/>
            <w:shd w:val="clear" w:color="auto" w:fill="auto"/>
            <w:vAlign w:val="bottom"/>
          </w:tcPr>
          <w:p w14:paraId="5A1B1FD2" w14:textId="77777777" w:rsidR="00960BB8" w:rsidRDefault="00960BB8">
            <w:pPr>
              <w:rPr>
                <w:rFonts w:ascii="宋体"/>
              </w:rPr>
            </w:pPr>
          </w:p>
        </w:tc>
        <w:tc>
          <w:tcPr>
            <w:tcW w:w="50" w:type="pct"/>
            <w:shd w:val="clear" w:color="auto" w:fill="auto"/>
            <w:vAlign w:val="bottom"/>
          </w:tcPr>
          <w:p w14:paraId="5A1B1FD3" w14:textId="77777777" w:rsidR="00960BB8" w:rsidRDefault="00960BB8">
            <w:pPr>
              <w:rPr>
                <w:rFonts w:ascii="宋体"/>
              </w:rPr>
            </w:pPr>
          </w:p>
        </w:tc>
        <w:tc>
          <w:tcPr>
            <w:tcW w:w="1837" w:type="pct"/>
            <w:shd w:val="clear" w:color="auto" w:fill="auto"/>
            <w:vAlign w:val="bottom"/>
          </w:tcPr>
          <w:p w14:paraId="5A1B1FD4" w14:textId="77777777" w:rsidR="00960BB8" w:rsidRDefault="00960BB8">
            <w:pPr>
              <w:rPr>
                <w:rFonts w:ascii="宋体"/>
              </w:rPr>
            </w:pPr>
          </w:p>
        </w:tc>
        <w:tc>
          <w:tcPr>
            <w:tcW w:w="5" w:type="pct"/>
            <w:shd w:val="clear" w:color="auto" w:fill="auto"/>
            <w:vAlign w:val="bottom"/>
          </w:tcPr>
          <w:p w14:paraId="5A1B1FD5" w14:textId="77777777" w:rsidR="00960BB8" w:rsidRDefault="00960BB8">
            <w:pPr>
              <w:rPr>
                <w:rFonts w:ascii="宋体"/>
              </w:rPr>
            </w:pPr>
          </w:p>
        </w:tc>
        <w:tc>
          <w:tcPr>
            <w:tcW w:w="50" w:type="pct"/>
            <w:shd w:val="clear" w:color="auto" w:fill="auto"/>
            <w:vAlign w:val="bottom"/>
          </w:tcPr>
          <w:p w14:paraId="5A1B1FD6" w14:textId="77777777" w:rsidR="00960BB8" w:rsidRDefault="00960BB8">
            <w:pPr>
              <w:rPr>
                <w:rFonts w:ascii="宋体"/>
              </w:rPr>
            </w:pPr>
          </w:p>
        </w:tc>
        <w:tc>
          <w:tcPr>
            <w:tcW w:w="1724" w:type="pct"/>
            <w:shd w:val="clear" w:color="auto" w:fill="auto"/>
            <w:vAlign w:val="bottom"/>
          </w:tcPr>
          <w:p w14:paraId="5A1B1FD7" w14:textId="77777777" w:rsidR="00960BB8" w:rsidRDefault="00960BB8">
            <w:pPr>
              <w:rPr>
                <w:rFonts w:ascii="宋体"/>
              </w:rPr>
            </w:pPr>
          </w:p>
        </w:tc>
        <w:tc>
          <w:tcPr>
            <w:tcW w:w="5" w:type="pct"/>
            <w:shd w:val="clear" w:color="auto" w:fill="auto"/>
            <w:vAlign w:val="bottom"/>
          </w:tcPr>
          <w:p w14:paraId="5A1B1FD8" w14:textId="77777777" w:rsidR="00960BB8" w:rsidRDefault="00960BB8">
            <w:pPr>
              <w:rPr>
                <w:rFonts w:ascii="宋体"/>
              </w:rPr>
            </w:pPr>
          </w:p>
        </w:tc>
      </w:tr>
      <w:tr w:rsidR="00960BB8" w14:paraId="5A1B1FDE"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FDA"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A2" wp14:editId="5A1B44A3">
                  <wp:extent cx="304800" cy="304800"/>
                  <wp:effectExtent l="0" t="0" r="0" b="0"/>
                  <wp:docPr id="46" name="图片 28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FDB"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1FDC"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1FDD" w14:textId="77777777" w:rsidR="00960BB8" w:rsidRDefault="00C06650">
            <w:pPr>
              <w:jc w:val="right"/>
              <w:textAlignment w:val="center"/>
            </w:pPr>
            <w:r>
              <w:rPr>
                <w:rFonts w:ascii="Arial" w:eastAsia="宋体" w:hAnsi="Arial" w:cs="Arial"/>
                <w:color w:val="262626"/>
                <w:sz w:val="16"/>
                <w:szCs w:val="16"/>
              </w:rPr>
              <w:t>96</w:t>
            </w:r>
          </w:p>
        </w:tc>
      </w:tr>
    </w:tbl>
    <w:p w14:paraId="5A1B1FDF" w14:textId="77777777" w:rsidR="00960BB8" w:rsidRDefault="00C06650">
      <w:r>
        <w:pict w14:anchorId="5A1B44A4">
          <v:rect id="_x0000_i1122" style="width:415.3pt;height:1.5pt" o:hralign="center" o:hrstd="t" o:hr="t" fillcolor="#a0a0a0" stroked="f"/>
        </w:pict>
      </w:r>
    </w:p>
    <w:p w14:paraId="5A1B1FE0" w14:textId="77777777" w:rsidR="00960BB8" w:rsidRDefault="00C06650">
      <w:pPr>
        <w:jc w:val="right"/>
      </w:pPr>
      <w:hyperlink r:id="rId145" w:anchor="i8aaa7b4dbd2e419ca0f5c30af85a11aa_16" w:history="1">
        <w:r>
          <w:rPr>
            <w:rStyle w:val="a5"/>
            <w:rFonts w:ascii="Arial" w:eastAsia="宋体" w:hAnsi="Arial" w:cs="Arial"/>
            <w:b/>
            <w:bCs/>
            <w:sz w:val="16"/>
            <w:szCs w:val="16"/>
          </w:rPr>
          <w:t>Table of Contents</w:t>
        </w:r>
      </w:hyperlink>
    </w:p>
    <w:p w14:paraId="5A1B1FE1" w14:textId="77777777" w:rsidR="00960BB8" w:rsidRDefault="00960BB8">
      <w:pPr>
        <w:jc w:val="right"/>
      </w:pPr>
    </w:p>
    <w:p w14:paraId="5A1B1FE2" w14:textId="77777777" w:rsidR="00960BB8" w:rsidRDefault="00C06650">
      <w:pPr>
        <w:spacing w:before="80" w:after="120"/>
      </w:pPr>
      <w:r>
        <w:rPr>
          <w:rFonts w:ascii="Arial" w:eastAsia="宋体" w:hAnsi="Arial" w:cs="Arial"/>
          <w:color w:val="0068B5"/>
        </w:rPr>
        <w:t>Equity Investments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241"/>
        <w:gridCol w:w="38"/>
        <w:gridCol w:w="36"/>
        <w:gridCol w:w="36"/>
        <w:gridCol w:w="36"/>
        <w:gridCol w:w="121"/>
        <w:gridCol w:w="744"/>
        <w:gridCol w:w="36"/>
        <w:gridCol w:w="36"/>
        <w:gridCol w:w="36"/>
        <w:gridCol w:w="36"/>
        <w:gridCol w:w="121"/>
        <w:gridCol w:w="744"/>
        <w:gridCol w:w="36"/>
      </w:tblGrid>
      <w:tr w:rsidR="00960BB8" w14:paraId="5A1B1FF2" w14:textId="77777777">
        <w:trPr>
          <w:jc w:val="center"/>
        </w:trPr>
        <w:tc>
          <w:tcPr>
            <w:tcW w:w="50" w:type="pct"/>
            <w:shd w:val="clear" w:color="auto" w:fill="auto"/>
            <w:vAlign w:val="bottom"/>
          </w:tcPr>
          <w:p w14:paraId="5A1B1FE3" w14:textId="77777777" w:rsidR="00960BB8" w:rsidRDefault="00960BB8">
            <w:pPr>
              <w:rPr>
                <w:rFonts w:ascii="宋体"/>
              </w:rPr>
            </w:pPr>
          </w:p>
        </w:tc>
        <w:tc>
          <w:tcPr>
            <w:tcW w:w="3770" w:type="pct"/>
            <w:shd w:val="clear" w:color="auto" w:fill="auto"/>
            <w:vAlign w:val="bottom"/>
          </w:tcPr>
          <w:p w14:paraId="5A1B1FE4" w14:textId="77777777" w:rsidR="00960BB8" w:rsidRDefault="00960BB8">
            <w:pPr>
              <w:rPr>
                <w:rFonts w:ascii="宋体"/>
              </w:rPr>
            </w:pPr>
          </w:p>
        </w:tc>
        <w:tc>
          <w:tcPr>
            <w:tcW w:w="5" w:type="pct"/>
            <w:shd w:val="clear" w:color="auto" w:fill="auto"/>
            <w:vAlign w:val="bottom"/>
          </w:tcPr>
          <w:p w14:paraId="5A1B1FE5" w14:textId="77777777" w:rsidR="00960BB8" w:rsidRDefault="00960BB8">
            <w:pPr>
              <w:rPr>
                <w:rFonts w:ascii="宋体"/>
              </w:rPr>
            </w:pPr>
          </w:p>
        </w:tc>
        <w:tc>
          <w:tcPr>
            <w:tcW w:w="5" w:type="pct"/>
            <w:shd w:val="clear" w:color="auto" w:fill="auto"/>
            <w:vAlign w:val="bottom"/>
          </w:tcPr>
          <w:p w14:paraId="5A1B1FE6" w14:textId="77777777" w:rsidR="00960BB8" w:rsidRDefault="00960BB8">
            <w:pPr>
              <w:rPr>
                <w:rFonts w:ascii="宋体"/>
              </w:rPr>
            </w:pPr>
          </w:p>
        </w:tc>
        <w:tc>
          <w:tcPr>
            <w:tcW w:w="24" w:type="pct"/>
            <w:shd w:val="clear" w:color="auto" w:fill="auto"/>
            <w:vAlign w:val="bottom"/>
          </w:tcPr>
          <w:p w14:paraId="5A1B1FE7" w14:textId="77777777" w:rsidR="00960BB8" w:rsidRDefault="00960BB8">
            <w:pPr>
              <w:rPr>
                <w:rFonts w:ascii="宋体"/>
              </w:rPr>
            </w:pPr>
          </w:p>
        </w:tc>
        <w:tc>
          <w:tcPr>
            <w:tcW w:w="5" w:type="pct"/>
            <w:shd w:val="clear" w:color="auto" w:fill="auto"/>
            <w:vAlign w:val="bottom"/>
          </w:tcPr>
          <w:p w14:paraId="5A1B1FE8" w14:textId="77777777" w:rsidR="00960BB8" w:rsidRDefault="00960BB8">
            <w:pPr>
              <w:rPr>
                <w:rFonts w:ascii="宋体"/>
              </w:rPr>
            </w:pPr>
          </w:p>
        </w:tc>
        <w:tc>
          <w:tcPr>
            <w:tcW w:w="50" w:type="pct"/>
            <w:shd w:val="clear" w:color="auto" w:fill="auto"/>
            <w:vAlign w:val="bottom"/>
          </w:tcPr>
          <w:p w14:paraId="5A1B1FE9" w14:textId="77777777" w:rsidR="00960BB8" w:rsidRDefault="00960BB8">
            <w:pPr>
              <w:rPr>
                <w:rFonts w:ascii="宋体"/>
              </w:rPr>
            </w:pPr>
          </w:p>
        </w:tc>
        <w:tc>
          <w:tcPr>
            <w:tcW w:w="498" w:type="pct"/>
            <w:shd w:val="clear" w:color="auto" w:fill="auto"/>
            <w:vAlign w:val="bottom"/>
          </w:tcPr>
          <w:p w14:paraId="5A1B1FEA" w14:textId="77777777" w:rsidR="00960BB8" w:rsidRDefault="00960BB8">
            <w:pPr>
              <w:rPr>
                <w:rFonts w:ascii="宋体"/>
              </w:rPr>
            </w:pPr>
          </w:p>
        </w:tc>
        <w:tc>
          <w:tcPr>
            <w:tcW w:w="5" w:type="pct"/>
            <w:shd w:val="clear" w:color="auto" w:fill="auto"/>
            <w:vAlign w:val="bottom"/>
          </w:tcPr>
          <w:p w14:paraId="5A1B1FEB" w14:textId="77777777" w:rsidR="00960BB8" w:rsidRDefault="00960BB8">
            <w:pPr>
              <w:rPr>
                <w:rFonts w:ascii="宋体"/>
              </w:rPr>
            </w:pPr>
          </w:p>
        </w:tc>
        <w:tc>
          <w:tcPr>
            <w:tcW w:w="5" w:type="pct"/>
            <w:shd w:val="clear" w:color="auto" w:fill="auto"/>
            <w:vAlign w:val="bottom"/>
          </w:tcPr>
          <w:p w14:paraId="5A1B1FEC" w14:textId="77777777" w:rsidR="00960BB8" w:rsidRDefault="00960BB8">
            <w:pPr>
              <w:rPr>
                <w:rFonts w:ascii="宋体"/>
              </w:rPr>
            </w:pPr>
          </w:p>
        </w:tc>
        <w:tc>
          <w:tcPr>
            <w:tcW w:w="24" w:type="pct"/>
            <w:shd w:val="clear" w:color="auto" w:fill="auto"/>
            <w:vAlign w:val="bottom"/>
          </w:tcPr>
          <w:p w14:paraId="5A1B1FED" w14:textId="77777777" w:rsidR="00960BB8" w:rsidRDefault="00960BB8">
            <w:pPr>
              <w:rPr>
                <w:rFonts w:ascii="宋体"/>
              </w:rPr>
            </w:pPr>
          </w:p>
        </w:tc>
        <w:tc>
          <w:tcPr>
            <w:tcW w:w="5" w:type="pct"/>
            <w:shd w:val="clear" w:color="auto" w:fill="auto"/>
            <w:vAlign w:val="bottom"/>
          </w:tcPr>
          <w:p w14:paraId="5A1B1FEE" w14:textId="77777777" w:rsidR="00960BB8" w:rsidRDefault="00960BB8">
            <w:pPr>
              <w:rPr>
                <w:rFonts w:ascii="宋体"/>
              </w:rPr>
            </w:pPr>
          </w:p>
        </w:tc>
        <w:tc>
          <w:tcPr>
            <w:tcW w:w="50" w:type="pct"/>
            <w:shd w:val="clear" w:color="auto" w:fill="auto"/>
            <w:vAlign w:val="bottom"/>
          </w:tcPr>
          <w:p w14:paraId="5A1B1FEF" w14:textId="77777777" w:rsidR="00960BB8" w:rsidRDefault="00960BB8">
            <w:pPr>
              <w:rPr>
                <w:rFonts w:ascii="宋体"/>
              </w:rPr>
            </w:pPr>
          </w:p>
        </w:tc>
        <w:tc>
          <w:tcPr>
            <w:tcW w:w="498" w:type="pct"/>
            <w:shd w:val="clear" w:color="auto" w:fill="auto"/>
            <w:vAlign w:val="bottom"/>
          </w:tcPr>
          <w:p w14:paraId="5A1B1FF0" w14:textId="77777777" w:rsidR="00960BB8" w:rsidRDefault="00960BB8">
            <w:pPr>
              <w:rPr>
                <w:rFonts w:ascii="宋体"/>
              </w:rPr>
            </w:pPr>
          </w:p>
        </w:tc>
        <w:tc>
          <w:tcPr>
            <w:tcW w:w="5" w:type="pct"/>
            <w:shd w:val="clear" w:color="auto" w:fill="auto"/>
            <w:vAlign w:val="bottom"/>
          </w:tcPr>
          <w:p w14:paraId="5A1B1FF1" w14:textId="77777777" w:rsidR="00960BB8" w:rsidRDefault="00960BB8">
            <w:pPr>
              <w:rPr>
                <w:rFonts w:ascii="宋体"/>
              </w:rPr>
            </w:pPr>
          </w:p>
        </w:tc>
      </w:tr>
      <w:tr w:rsidR="00960BB8" w14:paraId="5A1B1FF8" w14:textId="77777777">
        <w:trPr>
          <w:jc w:val="center"/>
        </w:trPr>
        <w:tc>
          <w:tcPr>
            <w:tcW w:w="0" w:type="auto"/>
            <w:gridSpan w:val="3"/>
            <w:shd w:val="clear" w:color="auto" w:fill="auto"/>
            <w:tcMar>
              <w:top w:w="40" w:type="dxa"/>
              <w:left w:w="20" w:type="dxa"/>
              <w:bottom w:w="40" w:type="dxa"/>
              <w:right w:w="20" w:type="dxa"/>
            </w:tcMar>
            <w:vAlign w:val="bottom"/>
          </w:tcPr>
          <w:p w14:paraId="5A1B1FF3"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1FF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FF5"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1FF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1FF7"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2002"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1FF9" w14:textId="77777777" w:rsidR="00960BB8" w:rsidRDefault="00C06650">
            <w:pPr>
              <w:textAlignment w:val="bottom"/>
            </w:pPr>
            <w:r>
              <w:rPr>
                <w:rFonts w:ascii="Arial" w:eastAsia="宋体" w:hAnsi="Arial" w:cs="Arial"/>
                <w:color w:val="262626"/>
                <w:sz w:val="18"/>
                <w:szCs w:val="18"/>
              </w:rPr>
              <w:t>Marketable equity securities</w:t>
            </w:r>
            <w:r>
              <w:rPr>
                <w:rFonts w:ascii="Arial" w:eastAsia="宋体" w:hAnsi="Arial" w:cs="Arial"/>
                <w:color w:val="262626"/>
                <w:sz w:val="10"/>
                <w:szCs w:val="10"/>
              </w:rPr>
              <w:t>1</w:t>
            </w:r>
          </w:p>
        </w:tc>
        <w:tc>
          <w:tcPr>
            <w:tcW w:w="0" w:type="auto"/>
            <w:gridSpan w:val="3"/>
            <w:shd w:val="clear" w:color="auto" w:fill="auto"/>
            <w:tcMar>
              <w:top w:w="0" w:type="dxa"/>
              <w:left w:w="20" w:type="dxa"/>
              <w:bottom w:w="0" w:type="dxa"/>
              <w:right w:w="20" w:type="dxa"/>
            </w:tcMar>
            <w:vAlign w:val="bottom"/>
          </w:tcPr>
          <w:p w14:paraId="5A1B1FFA"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FFB"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1FFC" w14:textId="77777777" w:rsidR="00960BB8" w:rsidRDefault="00C06650">
            <w:pPr>
              <w:jc w:val="right"/>
              <w:textAlignment w:val="bottom"/>
            </w:pPr>
            <w:r>
              <w:rPr>
                <w:rFonts w:ascii="Arial" w:eastAsia="宋体" w:hAnsi="Arial" w:cs="Arial"/>
                <w:color w:val="0068B5"/>
                <w:sz w:val="18"/>
                <w:szCs w:val="18"/>
              </w:rPr>
              <w:t>1,341 </w:t>
            </w:r>
          </w:p>
        </w:tc>
        <w:tc>
          <w:tcPr>
            <w:tcW w:w="0" w:type="auto"/>
            <w:tcBorders>
              <w:top w:val="single" w:sz="8" w:space="0" w:color="0068B5"/>
            </w:tcBorders>
            <w:shd w:val="clear" w:color="auto" w:fill="auto"/>
            <w:tcMar>
              <w:top w:w="40" w:type="dxa"/>
              <w:left w:w="0" w:type="dxa"/>
              <w:bottom w:w="40" w:type="dxa"/>
              <w:right w:w="20" w:type="dxa"/>
            </w:tcMar>
            <w:vAlign w:val="bottom"/>
          </w:tcPr>
          <w:p w14:paraId="5A1B1FF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1FFE"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1FFF"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000" w14:textId="77777777" w:rsidR="00960BB8" w:rsidRDefault="00C06650">
            <w:pPr>
              <w:jc w:val="right"/>
              <w:textAlignment w:val="bottom"/>
            </w:pPr>
            <w:r>
              <w:rPr>
                <w:rFonts w:ascii="Arial" w:eastAsia="宋体" w:hAnsi="Arial" w:cs="Arial"/>
                <w:color w:val="262626"/>
                <w:sz w:val="18"/>
                <w:szCs w:val="18"/>
              </w:rPr>
              <w:t>2,171 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001" w14:textId="77777777" w:rsidR="00960BB8" w:rsidRDefault="00960BB8">
            <w:pPr>
              <w:jc w:val="right"/>
              <w:rPr>
                <w:rFonts w:ascii="宋体"/>
              </w:rPr>
            </w:pPr>
          </w:p>
        </w:tc>
      </w:tr>
      <w:tr w:rsidR="00960BB8" w14:paraId="5A1B200A" w14:textId="77777777">
        <w:trPr>
          <w:jc w:val="center"/>
        </w:trPr>
        <w:tc>
          <w:tcPr>
            <w:tcW w:w="0" w:type="auto"/>
            <w:gridSpan w:val="3"/>
            <w:shd w:val="clear" w:color="auto" w:fill="auto"/>
            <w:tcMar>
              <w:top w:w="40" w:type="dxa"/>
              <w:left w:w="20" w:type="dxa"/>
              <w:bottom w:w="40" w:type="dxa"/>
              <w:right w:w="20" w:type="dxa"/>
            </w:tcMar>
            <w:vAlign w:val="bottom"/>
          </w:tcPr>
          <w:p w14:paraId="5A1B2003" w14:textId="77777777" w:rsidR="00960BB8" w:rsidRDefault="00C06650">
            <w:pPr>
              <w:textAlignment w:val="bottom"/>
            </w:pPr>
            <w:r>
              <w:rPr>
                <w:rFonts w:ascii="Arial" w:eastAsia="宋体" w:hAnsi="Arial" w:cs="Arial"/>
                <w:color w:val="262626"/>
                <w:sz w:val="18"/>
                <w:szCs w:val="18"/>
              </w:rPr>
              <w:t>Non-marketable equity securities</w:t>
            </w:r>
          </w:p>
        </w:tc>
        <w:tc>
          <w:tcPr>
            <w:tcW w:w="0" w:type="auto"/>
            <w:gridSpan w:val="3"/>
            <w:shd w:val="clear" w:color="auto" w:fill="auto"/>
            <w:tcMar>
              <w:top w:w="0" w:type="dxa"/>
              <w:left w:w="20" w:type="dxa"/>
              <w:bottom w:w="0" w:type="dxa"/>
              <w:right w:w="20" w:type="dxa"/>
            </w:tcMar>
            <w:vAlign w:val="bottom"/>
          </w:tcPr>
          <w:p w14:paraId="5A1B200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05" w14:textId="77777777" w:rsidR="00960BB8" w:rsidRDefault="00C06650">
            <w:pPr>
              <w:jc w:val="right"/>
              <w:textAlignment w:val="bottom"/>
            </w:pPr>
            <w:r>
              <w:rPr>
                <w:rFonts w:ascii="Arial" w:eastAsia="宋体" w:hAnsi="Arial" w:cs="Arial"/>
                <w:color w:val="0068B5"/>
                <w:sz w:val="18"/>
                <w:szCs w:val="18"/>
              </w:rPr>
              <w:t>4,561 </w:t>
            </w:r>
          </w:p>
        </w:tc>
        <w:tc>
          <w:tcPr>
            <w:tcW w:w="0" w:type="auto"/>
            <w:shd w:val="clear" w:color="auto" w:fill="auto"/>
            <w:tcMar>
              <w:top w:w="40" w:type="dxa"/>
              <w:left w:w="0" w:type="dxa"/>
              <w:bottom w:w="40" w:type="dxa"/>
              <w:right w:w="20" w:type="dxa"/>
            </w:tcMar>
            <w:vAlign w:val="bottom"/>
          </w:tcPr>
          <w:p w14:paraId="5A1B200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0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08" w14:textId="77777777" w:rsidR="00960BB8" w:rsidRDefault="00C06650">
            <w:pPr>
              <w:jc w:val="right"/>
              <w:textAlignment w:val="bottom"/>
            </w:pPr>
            <w:r>
              <w:rPr>
                <w:rFonts w:ascii="Arial" w:eastAsia="宋体" w:hAnsi="Arial" w:cs="Arial"/>
                <w:color w:val="262626"/>
                <w:sz w:val="18"/>
                <w:szCs w:val="18"/>
              </w:rPr>
              <w:t>4,111 </w:t>
            </w:r>
          </w:p>
        </w:tc>
        <w:tc>
          <w:tcPr>
            <w:tcW w:w="0" w:type="auto"/>
            <w:shd w:val="clear" w:color="auto" w:fill="auto"/>
            <w:tcMar>
              <w:top w:w="40" w:type="dxa"/>
              <w:left w:w="0" w:type="dxa"/>
              <w:bottom w:w="40" w:type="dxa"/>
              <w:right w:w="20" w:type="dxa"/>
            </w:tcMar>
            <w:vAlign w:val="bottom"/>
          </w:tcPr>
          <w:p w14:paraId="5A1B2009" w14:textId="77777777" w:rsidR="00960BB8" w:rsidRDefault="00960BB8">
            <w:pPr>
              <w:jc w:val="right"/>
              <w:rPr>
                <w:rFonts w:ascii="宋体"/>
              </w:rPr>
            </w:pPr>
          </w:p>
        </w:tc>
      </w:tr>
      <w:tr w:rsidR="00960BB8" w14:paraId="5A1B2012" w14:textId="77777777">
        <w:trPr>
          <w:jc w:val="center"/>
        </w:trPr>
        <w:tc>
          <w:tcPr>
            <w:tcW w:w="0" w:type="auto"/>
            <w:gridSpan w:val="3"/>
            <w:shd w:val="clear" w:color="auto" w:fill="auto"/>
            <w:tcMar>
              <w:top w:w="40" w:type="dxa"/>
              <w:left w:w="20" w:type="dxa"/>
              <w:bottom w:w="40" w:type="dxa"/>
              <w:right w:w="20" w:type="dxa"/>
            </w:tcMar>
            <w:vAlign w:val="bottom"/>
          </w:tcPr>
          <w:p w14:paraId="5A1B200B" w14:textId="77777777" w:rsidR="00960BB8" w:rsidRDefault="00C06650">
            <w:pPr>
              <w:textAlignment w:val="bottom"/>
            </w:pPr>
            <w:r>
              <w:rPr>
                <w:rFonts w:ascii="Arial" w:eastAsia="宋体" w:hAnsi="Arial" w:cs="Arial"/>
                <w:color w:val="262626"/>
                <w:sz w:val="18"/>
                <w:szCs w:val="18"/>
              </w:rPr>
              <w:t>Equity method investments</w:t>
            </w:r>
          </w:p>
        </w:tc>
        <w:tc>
          <w:tcPr>
            <w:tcW w:w="0" w:type="auto"/>
            <w:gridSpan w:val="3"/>
            <w:shd w:val="clear" w:color="auto" w:fill="auto"/>
            <w:tcMar>
              <w:top w:w="0" w:type="dxa"/>
              <w:left w:w="20" w:type="dxa"/>
              <w:bottom w:w="0" w:type="dxa"/>
              <w:right w:w="20" w:type="dxa"/>
            </w:tcMar>
            <w:vAlign w:val="bottom"/>
          </w:tcPr>
          <w:p w14:paraId="5A1B200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0D" w14:textId="77777777" w:rsidR="00960BB8" w:rsidRDefault="00C06650">
            <w:pPr>
              <w:jc w:val="right"/>
              <w:textAlignment w:val="bottom"/>
            </w:pPr>
            <w:r>
              <w:rPr>
                <w:rFonts w:ascii="Arial" w:eastAsia="宋体" w:hAnsi="Arial" w:cs="Arial"/>
                <w:color w:val="0068B5"/>
                <w:sz w:val="18"/>
                <w:szCs w:val="18"/>
              </w:rPr>
              <w:t>10 </w:t>
            </w:r>
          </w:p>
        </w:tc>
        <w:tc>
          <w:tcPr>
            <w:tcW w:w="0" w:type="auto"/>
            <w:shd w:val="clear" w:color="auto" w:fill="auto"/>
            <w:tcMar>
              <w:top w:w="40" w:type="dxa"/>
              <w:left w:w="0" w:type="dxa"/>
              <w:bottom w:w="40" w:type="dxa"/>
              <w:right w:w="20" w:type="dxa"/>
            </w:tcMar>
            <w:vAlign w:val="bottom"/>
          </w:tcPr>
          <w:p w14:paraId="5A1B200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0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10" w14:textId="77777777" w:rsidR="00960BB8" w:rsidRDefault="00C06650">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5A1B2011" w14:textId="77777777" w:rsidR="00960BB8" w:rsidRDefault="00960BB8">
            <w:pPr>
              <w:jc w:val="right"/>
              <w:rPr>
                <w:rFonts w:ascii="宋体"/>
              </w:rPr>
            </w:pPr>
          </w:p>
        </w:tc>
      </w:tr>
      <w:tr w:rsidR="00960BB8" w14:paraId="5A1B201C" w14:textId="77777777">
        <w:trPr>
          <w:jc w:val="center"/>
        </w:trPr>
        <w:tc>
          <w:tcPr>
            <w:tcW w:w="0" w:type="auto"/>
            <w:gridSpan w:val="3"/>
            <w:shd w:val="clear" w:color="auto" w:fill="auto"/>
            <w:tcMar>
              <w:top w:w="40" w:type="dxa"/>
              <w:left w:w="20" w:type="dxa"/>
              <w:bottom w:w="40" w:type="dxa"/>
              <w:right w:w="20" w:type="dxa"/>
            </w:tcMar>
            <w:vAlign w:val="bottom"/>
          </w:tcPr>
          <w:p w14:paraId="5A1B2013" w14:textId="77777777" w:rsidR="00960BB8" w:rsidRDefault="00C06650">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5A1B2014"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015"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016" w14:textId="77777777" w:rsidR="00960BB8" w:rsidRDefault="00C06650">
            <w:pPr>
              <w:jc w:val="right"/>
              <w:textAlignment w:val="bottom"/>
            </w:pPr>
            <w:r>
              <w:rPr>
                <w:rFonts w:ascii="Arial" w:eastAsia="宋体" w:hAnsi="Arial" w:cs="Arial"/>
                <w:b/>
                <w:bCs/>
                <w:color w:val="0068B5"/>
                <w:sz w:val="18"/>
                <w:szCs w:val="18"/>
              </w:rPr>
              <w:t>5,912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01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18"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01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01A" w14:textId="77777777" w:rsidR="00960BB8" w:rsidRDefault="00C06650">
            <w:pPr>
              <w:jc w:val="right"/>
              <w:textAlignment w:val="bottom"/>
            </w:pPr>
            <w:r>
              <w:rPr>
                <w:rFonts w:ascii="Arial" w:eastAsia="宋体" w:hAnsi="Arial" w:cs="Arial"/>
                <w:b/>
                <w:bCs/>
                <w:color w:val="262626"/>
                <w:sz w:val="18"/>
                <w:szCs w:val="18"/>
              </w:rPr>
              <w:t>6,298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01B" w14:textId="77777777" w:rsidR="00960BB8" w:rsidRDefault="00960BB8">
            <w:pPr>
              <w:jc w:val="right"/>
              <w:rPr>
                <w:rFonts w:ascii="宋体"/>
              </w:rPr>
            </w:pPr>
          </w:p>
        </w:tc>
      </w:tr>
    </w:tbl>
    <w:p w14:paraId="5A1B201D" w14:textId="77777777" w:rsidR="00960BB8" w:rsidRDefault="00C06650">
      <w:pPr>
        <w:spacing w:before="60"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    Over 90% of our marketable equity securities are subject to trading-volume or market-based restrictions, which limit </w:t>
      </w:r>
      <w:r>
        <w:rPr>
          <w:rFonts w:ascii="Arial" w:eastAsia="宋体" w:hAnsi="Arial" w:cs="Arial"/>
          <w:i/>
          <w:iCs/>
          <w:color w:val="262626"/>
          <w:sz w:val="16"/>
          <w:szCs w:val="16"/>
        </w:rPr>
        <w:t>the number of shares we may sell in a specified period of time, impacting our ability to liquidate these investments. The trading volume restrictions generally apply for as long as we own more than 1% of the outstanding shares. Market-based restrictions re</w:t>
      </w:r>
      <w:r>
        <w:rPr>
          <w:rFonts w:ascii="Arial" w:eastAsia="宋体" w:hAnsi="Arial" w:cs="Arial"/>
          <w:i/>
          <w:iCs/>
          <w:color w:val="262626"/>
          <w:sz w:val="16"/>
          <w:szCs w:val="16"/>
        </w:rPr>
        <w:t>sult from the rules of the respective exchange.</w:t>
      </w:r>
    </w:p>
    <w:p w14:paraId="5A1B201E" w14:textId="77777777" w:rsidR="00960BB8" w:rsidRDefault="00C06650">
      <w:pPr>
        <w:spacing w:before="180" w:after="120"/>
      </w:pPr>
      <w:r>
        <w:rPr>
          <w:rFonts w:ascii="Arial" w:eastAsia="宋体" w:hAnsi="Arial" w:cs="Arial"/>
          <w:color w:val="262626"/>
          <w:sz w:val="18"/>
          <w:szCs w:val="18"/>
        </w:rPr>
        <w:t>The components of gains (losses) on equity investments,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7"/>
        <w:gridCol w:w="36"/>
        <w:gridCol w:w="36"/>
        <w:gridCol w:w="36"/>
        <w:gridCol w:w="121"/>
        <w:gridCol w:w="805"/>
        <w:gridCol w:w="36"/>
        <w:gridCol w:w="36"/>
        <w:gridCol w:w="36"/>
        <w:gridCol w:w="36"/>
        <w:gridCol w:w="121"/>
        <w:gridCol w:w="805"/>
        <w:gridCol w:w="36"/>
        <w:gridCol w:w="36"/>
        <w:gridCol w:w="36"/>
        <w:gridCol w:w="36"/>
        <w:gridCol w:w="121"/>
        <w:gridCol w:w="807"/>
        <w:gridCol w:w="36"/>
      </w:tblGrid>
      <w:tr w:rsidR="00960BB8" w14:paraId="5A1B2034" w14:textId="77777777">
        <w:tc>
          <w:tcPr>
            <w:tcW w:w="50" w:type="pct"/>
            <w:shd w:val="clear" w:color="auto" w:fill="auto"/>
            <w:vAlign w:val="bottom"/>
          </w:tcPr>
          <w:p w14:paraId="5A1B201F" w14:textId="77777777" w:rsidR="00960BB8" w:rsidRDefault="00960BB8">
            <w:pPr>
              <w:rPr>
                <w:rFonts w:ascii="宋体"/>
              </w:rPr>
            </w:pPr>
          </w:p>
        </w:tc>
        <w:tc>
          <w:tcPr>
            <w:tcW w:w="3059" w:type="pct"/>
            <w:shd w:val="clear" w:color="auto" w:fill="auto"/>
            <w:vAlign w:val="bottom"/>
          </w:tcPr>
          <w:p w14:paraId="5A1B2020" w14:textId="77777777" w:rsidR="00960BB8" w:rsidRDefault="00960BB8">
            <w:pPr>
              <w:rPr>
                <w:rFonts w:ascii="宋体"/>
              </w:rPr>
            </w:pPr>
          </w:p>
        </w:tc>
        <w:tc>
          <w:tcPr>
            <w:tcW w:w="5" w:type="pct"/>
            <w:shd w:val="clear" w:color="auto" w:fill="auto"/>
            <w:vAlign w:val="bottom"/>
          </w:tcPr>
          <w:p w14:paraId="5A1B2021" w14:textId="77777777" w:rsidR="00960BB8" w:rsidRDefault="00960BB8">
            <w:pPr>
              <w:rPr>
                <w:rFonts w:ascii="宋体"/>
              </w:rPr>
            </w:pPr>
          </w:p>
        </w:tc>
        <w:tc>
          <w:tcPr>
            <w:tcW w:w="5" w:type="pct"/>
            <w:shd w:val="clear" w:color="auto" w:fill="auto"/>
            <w:vAlign w:val="bottom"/>
          </w:tcPr>
          <w:p w14:paraId="5A1B2022" w14:textId="77777777" w:rsidR="00960BB8" w:rsidRDefault="00960BB8">
            <w:pPr>
              <w:rPr>
                <w:rFonts w:ascii="宋体"/>
              </w:rPr>
            </w:pPr>
          </w:p>
        </w:tc>
        <w:tc>
          <w:tcPr>
            <w:tcW w:w="24" w:type="pct"/>
            <w:shd w:val="clear" w:color="auto" w:fill="auto"/>
            <w:vAlign w:val="bottom"/>
          </w:tcPr>
          <w:p w14:paraId="5A1B2023" w14:textId="77777777" w:rsidR="00960BB8" w:rsidRDefault="00960BB8">
            <w:pPr>
              <w:rPr>
                <w:rFonts w:ascii="宋体"/>
              </w:rPr>
            </w:pPr>
          </w:p>
        </w:tc>
        <w:tc>
          <w:tcPr>
            <w:tcW w:w="5" w:type="pct"/>
            <w:shd w:val="clear" w:color="auto" w:fill="auto"/>
            <w:vAlign w:val="bottom"/>
          </w:tcPr>
          <w:p w14:paraId="5A1B2024" w14:textId="77777777" w:rsidR="00960BB8" w:rsidRDefault="00960BB8">
            <w:pPr>
              <w:rPr>
                <w:rFonts w:ascii="宋体"/>
              </w:rPr>
            </w:pPr>
          </w:p>
        </w:tc>
        <w:tc>
          <w:tcPr>
            <w:tcW w:w="50" w:type="pct"/>
            <w:shd w:val="clear" w:color="auto" w:fill="auto"/>
            <w:vAlign w:val="bottom"/>
          </w:tcPr>
          <w:p w14:paraId="5A1B2025" w14:textId="77777777" w:rsidR="00960BB8" w:rsidRDefault="00960BB8">
            <w:pPr>
              <w:rPr>
                <w:rFonts w:ascii="宋体"/>
              </w:rPr>
            </w:pPr>
          </w:p>
        </w:tc>
        <w:tc>
          <w:tcPr>
            <w:tcW w:w="539" w:type="pct"/>
            <w:shd w:val="clear" w:color="auto" w:fill="auto"/>
            <w:vAlign w:val="bottom"/>
          </w:tcPr>
          <w:p w14:paraId="5A1B2026" w14:textId="77777777" w:rsidR="00960BB8" w:rsidRDefault="00960BB8">
            <w:pPr>
              <w:rPr>
                <w:rFonts w:ascii="宋体"/>
              </w:rPr>
            </w:pPr>
          </w:p>
        </w:tc>
        <w:tc>
          <w:tcPr>
            <w:tcW w:w="5" w:type="pct"/>
            <w:shd w:val="clear" w:color="auto" w:fill="auto"/>
            <w:vAlign w:val="bottom"/>
          </w:tcPr>
          <w:p w14:paraId="5A1B2027" w14:textId="77777777" w:rsidR="00960BB8" w:rsidRDefault="00960BB8">
            <w:pPr>
              <w:rPr>
                <w:rFonts w:ascii="宋体"/>
              </w:rPr>
            </w:pPr>
          </w:p>
        </w:tc>
        <w:tc>
          <w:tcPr>
            <w:tcW w:w="5" w:type="pct"/>
            <w:shd w:val="clear" w:color="auto" w:fill="auto"/>
            <w:vAlign w:val="bottom"/>
          </w:tcPr>
          <w:p w14:paraId="5A1B2028" w14:textId="77777777" w:rsidR="00960BB8" w:rsidRDefault="00960BB8">
            <w:pPr>
              <w:rPr>
                <w:rFonts w:ascii="宋体"/>
              </w:rPr>
            </w:pPr>
          </w:p>
        </w:tc>
        <w:tc>
          <w:tcPr>
            <w:tcW w:w="24" w:type="pct"/>
            <w:shd w:val="clear" w:color="auto" w:fill="auto"/>
            <w:vAlign w:val="bottom"/>
          </w:tcPr>
          <w:p w14:paraId="5A1B2029" w14:textId="77777777" w:rsidR="00960BB8" w:rsidRDefault="00960BB8">
            <w:pPr>
              <w:rPr>
                <w:rFonts w:ascii="宋体"/>
              </w:rPr>
            </w:pPr>
          </w:p>
        </w:tc>
        <w:tc>
          <w:tcPr>
            <w:tcW w:w="5" w:type="pct"/>
            <w:shd w:val="clear" w:color="auto" w:fill="auto"/>
            <w:vAlign w:val="bottom"/>
          </w:tcPr>
          <w:p w14:paraId="5A1B202A" w14:textId="77777777" w:rsidR="00960BB8" w:rsidRDefault="00960BB8">
            <w:pPr>
              <w:rPr>
                <w:rFonts w:ascii="宋体"/>
              </w:rPr>
            </w:pPr>
          </w:p>
        </w:tc>
        <w:tc>
          <w:tcPr>
            <w:tcW w:w="50" w:type="pct"/>
            <w:shd w:val="clear" w:color="auto" w:fill="auto"/>
            <w:vAlign w:val="bottom"/>
          </w:tcPr>
          <w:p w14:paraId="5A1B202B" w14:textId="77777777" w:rsidR="00960BB8" w:rsidRDefault="00960BB8">
            <w:pPr>
              <w:rPr>
                <w:rFonts w:ascii="宋体"/>
              </w:rPr>
            </w:pPr>
          </w:p>
        </w:tc>
        <w:tc>
          <w:tcPr>
            <w:tcW w:w="539" w:type="pct"/>
            <w:shd w:val="clear" w:color="auto" w:fill="auto"/>
            <w:vAlign w:val="bottom"/>
          </w:tcPr>
          <w:p w14:paraId="5A1B202C" w14:textId="77777777" w:rsidR="00960BB8" w:rsidRDefault="00960BB8">
            <w:pPr>
              <w:rPr>
                <w:rFonts w:ascii="宋体"/>
              </w:rPr>
            </w:pPr>
          </w:p>
        </w:tc>
        <w:tc>
          <w:tcPr>
            <w:tcW w:w="5" w:type="pct"/>
            <w:shd w:val="clear" w:color="auto" w:fill="auto"/>
            <w:vAlign w:val="bottom"/>
          </w:tcPr>
          <w:p w14:paraId="5A1B202D" w14:textId="77777777" w:rsidR="00960BB8" w:rsidRDefault="00960BB8">
            <w:pPr>
              <w:rPr>
                <w:rFonts w:ascii="宋体"/>
              </w:rPr>
            </w:pPr>
          </w:p>
        </w:tc>
        <w:tc>
          <w:tcPr>
            <w:tcW w:w="5" w:type="pct"/>
            <w:shd w:val="clear" w:color="auto" w:fill="auto"/>
            <w:vAlign w:val="bottom"/>
          </w:tcPr>
          <w:p w14:paraId="5A1B202E" w14:textId="77777777" w:rsidR="00960BB8" w:rsidRDefault="00960BB8">
            <w:pPr>
              <w:rPr>
                <w:rFonts w:ascii="宋体"/>
              </w:rPr>
            </w:pPr>
          </w:p>
        </w:tc>
        <w:tc>
          <w:tcPr>
            <w:tcW w:w="24" w:type="pct"/>
            <w:shd w:val="clear" w:color="auto" w:fill="auto"/>
            <w:vAlign w:val="bottom"/>
          </w:tcPr>
          <w:p w14:paraId="5A1B202F" w14:textId="77777777" w:rsidR="00960BB8" w:rsidRDefault="00960BB8">
            <w:pPr>
              <w:rPr>
                <w:rFonts w:ascii="宋体"/>
              </w:rPr>
            </w:pPr>
          </w:p>
        </w:tc>
        <w:tc>
          <w:tcPr>
            <w:tcW w:w="5" w:type="pct"/>
            <w:shd w:val="clear" w:color="auto" w:fill="auto"/>
            <w:vAlign w:val="bottom"/>
          </w:tcPr>
          <w:p w14:paraId="5A1B2030" w14:textId="77777777" w:rsidR="00960BB8" w:rsidRDefault="00960BB8">
            <w:pPr>
              <w:rPr>
                <w:rFonts w:ascii="宋体"/>
              </w:rPr>
            </w:pPr>
          </w:p>
        </w:tc>
        <w:tc>
          <w:tcPr>
            <w:tcW w:w="50" w:type="pct"/>
            <w:shd w:val="clear" w:color="auto" w:fill="auto"/>
            <w:vAlign w:val="bottom"/>
          </w:tcPr>
          <w:p w14:paraId="5A1B2031" w14:textId="77777777" w:rsidR="00960BB8" w:rsidRDefault="00960BB8">
            <w:pPr>
              <w:rPr>
                <w:rFonts w:ascii="宋体"/>
              </w:rPr>
            </w:pPr>
          </w:p>
        </w:tc>
        <w:tc>
          <w:tcPr>
            <w:tcW w:w="539" w:type="pct"/>
            <w:shd w:val="clear" w:color="auto" w:fill="auto"/>
            <w:vAlign w:val="bottom"/>
          </w:tcPr>
          <w:p w14:paraId="5A1B2032" w14:textId="77777777" w:rsidR="00960BB8" w:rsidRDefault="00960BB8">
            <w:pPr>
              <w:rPr>
                <w:rFonts w:ascii="宋体"/>
              </w:rPr>
            </w:pPr>
          </w:p>
        </w:tc>
        <w:tc>
          <w:tcPr>
            <w:tcW w:w="5" w:type="pct"/>
            <w:shd w:val="clear" w:color="auto" w:fill="auto"/>
            <w:vAlign w:val="bottom"/>
          </w:tcPr>
          <w:p w14:paraId="5A1B2033" w14:textId="77777777" w:rsidR="00960BB8" w:rsidRDefault="00960BB8">
            <w:pPr>
              <w:rPr>
                <w:rFonts w:ascii="宋体"/>
              </w:rPr>
            </w:pPr>
          </w:p>
        </w:tc>
      </w:tr>
      <w:tr w:rsidR="00960BB8" w14:paraId="5A1B203C" w14:textId="77777777">
        <w:tc>
          <w:tcPr>
            <w:tcW w:w="0" w:type="auto"/>
            <w:gridSpan w:val="3"/>
            <w:shd w:val="clear" w:color="auto" w:fill="auto"/>
            <w:tcMar>
              <w:top w:w="40" w:type="dxa"/>
              <w:left w:w="20" w:type="dxa"/>
              <w:bottom w:w="40" w:type="dxa"/>
              <w:right w:w="20" w:type="dxa"/>
            </w:tcMar>
            <w:vAlign w:val="bottom"/>
          </w:tcPr>
          <w:p w14:paraId="5A1B2035" w14:textId="77777777" w:rsidR="00960BB8" w:rsidRDefault="00C06650">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5A1B203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037"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203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039"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203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03B"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204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03D" w14:textId="77777777" w:rsidR="00960BB8" w:rsidRDefault="00C06650">
            <w:pPr>
              <w:textAlignment w:val="bottom"/>
            </w:pPr>
            <w:r>
              <w:rPr>
                <w:rFonts w:ascii="Arial" w:eastAsia="宋体" w:hAnsi="Arial" w:cs="Arial"/>
                <w:color w:val="262626"/>
                <w:sz w:val="18"/>
                <w:szCs w:val="18"/>
              </w:rPr>
              <w:t xml:space="preserve">Ongoing </w:t>
            </w:r>
            <w:r>
              <w:rPr>
                <w:rFonts w:ascii="Arial" w:eastAsia="宋体" w:hAnsi="Arial" w:cs="Arial"/>
                <w:color w:val="262626"/>
                <w:sz w:val="18"/>
                <w:szCs w:val="18"/>
              </w:rPr>
              <w:t>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5A1B203E"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03F"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040" w14:textId="77777777" w:rsidR="00960BB8" w:rsidRDefault="00C06650">
            <w:pPr>
              <w:jc w:val="right"/>
              <w:textAlignment w:val="bottom"/>
            </w:pPr>
            <w:r>
              <w:rPr>
                <w:rFonts w:ascii="Arial" w:eastAsia="宋体" w:hAnsi="Arial" w:cs="Arial"/>
                <w:color w:val="0068B5"/>
                <w:sz w:val="18"/>
                <w:szCs w:val="18"/>
              </w:rPr>
              <w:t>(787)</w:t>
            </w:r>
          </w:p>
        </w:tc>
        <w:tc>
          <w:tcPr>
            <w:tcW w:w="0" w:type="auto"/>
            <w:tcBorders>
              <w:top w:val="single" w:sz="8" w:space="0" w:color="0068B5"/>
            </w:tcBorders>
            <w:shd w:val="clear" w:color="auto" w:fill="auto"/>
            <w:tcMar>
              <w:top w:w="40" w:type="dxa"/>
              <w:left w:w="0" w:type="dxa"/>
              <w:bottom w:w="40" w:type="dxa"/>
              <w:right w:w="20" w:type="dxa"/>
            </w:tcMar>
            <w:vAlign w:val="bottom"/>
          </w:tcPr>
          <w:p w14:paraId="5A1B204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42"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043"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044" w14:textId="77777777" w:rsidR="00960BB8" w:rsidRDefault="00C06650">
            <w:pPr>
              <w:jc w:val="right"/>
              <w:textAlignment w:val="bottom"/>
            </w:pPr>
            <w:r>
              <w:rPr>
                <w:rFonts w:ascii="Arial" w:eastAsia="宋体" w:hAnsi="Arial" w:cs="Arial"/>
                <w:color w:val="262626"/>
                <w:sz w:val="18"/>
                <w:szCs w:val="18"/>
              </w:rPr>
              <w:t>(130)</w:t>
            </w:r>
          </w:p>
        </w:tc>
        <w:tc>
          <w:tcPr>
            <w:tcW w:w="0" w:type="auto"/>
            <w:tcBorders>
              <w:top w:val="single" w:sz="8" w:space="0" w:color="0068B5"/>
            </w:tcBorders>
            <w:shd w:val="clear" w:color="auto" w:fill="auto"/>
            <w:tcMar>
              <w:top w:w="40" w:type="dxa"/>
              <w:left w:w="0" w:type="dxa"/>
              <w:bottom w:w="40" w:type="dxa"/>
              <w:right w:w="20" w:type="dxa"/>
            </w:tcMar>
            <w:vAlign w:val="bottom"/>
          </w:tcPr>
          <w:p w14:paraId="5A1B204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46"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047"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048" w14:textId="77777777" w:rsidR="00960BB8" w:rsidRDefault="00C06650">
            <w:pPr>
              <w:jc w:val="right"/>
              <w:textAlignment w:val="bottom"/>
            </w:pPr>
            <w:r>
              <w:rPr>
                <w:rFonts w:ascii="Arial" w:eastAsia="宋体" w:hAnsi="Arial" w:cs="Arial"/>
                <w:color w:val="262626"/>
                <w:sz w:val="18"/>
                <w:szCs w:val="18"/>
              </w:rPr>
              <w:t>(133)</w:t>
            </w:r>
          </w:p>
        </w:tc>
        <w:tc>
          <w:tcPr>
            <w:tcW w:w="0" w:type="auto"/>
            <w:tcBorders>
              <w:top w:val="single" w:sz="8" w:space="0" w:color="0068B5"/>
            </w:tcBorders>
            <w:shd w:val="clear" w:color="auto" w:fill="auto"/>
            <w:tcMar>
              <w:top w:w="40" w:type="dxa"/>
              <w:left w:w="0" w:type="dxa"/>
              <w:bottom w:w="40" w:type="dxa"/>
              <w:right w:w="20" w:type="dxa"/>
            </w:tcMar>
            <w:vAlign w:val="bottom"/>
          </w:tcPr>
          <w:p w14:paraId="5A1B2049" w14:textId="77777777" w:rsidR="00960BB8" w:rsidRDefault="00960BB8">
            <w:pPr>
              <w:jc w:val="right"/>
              <w:rPr>
                <w:rFonts w:ascii="宋体"/>
              </w:rPr>
            </w:pPr>
          </w:p>
        </w:tc>
      </w:tr>
      <w:tr w:rsidR="00960BB8" w14:paraId="5A1B2055" w14:textId="77777777">
        <w:tc>
          <w:tcPr>
            <w:tcW w:w="0" w:type="auto"/>
            <w:gridSpan w:val="3"/>
            <w:shd w:val="clear" w:color="auto" w:fill="auto"/>
            <w:tcMar>
              <w:top w:w="40" w:type="dxa"/>
              <w:left w:w="20" w:type="dxa"/>
              <w:bottom w:w="40" w:type="dxa"/>
              <w:right w:w="20" w:type="dxa"/>
            </w:tcMar>
            <w:vAlign w:val="bottom"/>
          </w:tcPr>
          <w:p w14:paraId="5A1B204B" w14:textId="77777777" w:rsidR="00960BB8" w:rsidRDefault="00C06650">
            <w:pPr>
              <w:textAlignment w:val="bottom"/>
            </w:pPr>
            <w:r>
              <w:rPr>
                <w:rFonts w:ascii="Arial" w:eastAsia="宋体" w:hAnsi="Arial" w:cs="Arial"/>
                <w:color w:val="262626"/>
                <w:sz w:val="18"/>
                <w:szCs w:val="18"/>
              </w:rPr>
              <w:t>Observable price adjustments on non-marketable equity securities</w:t>
            </w:r>
          </w:p>
        </w:tc>
        <w:tc>
          <w:tcPr>
            <w:tcW w:w="0" w:type="auto"/>
            <w:gridSpan w:val="3"/>
            <w:shd w:val="clear" w:color="auto" w:fill="auto"/>
            <w:tcMar>
              <w:top w:w="0" w:type="dxa"/>
              <w:left w:w="20" w:type="dxa"/>
              <w:bottom w:w="0" w:type="dxa"/>
              <w:right w:w="20" w:type="dxa"/>
            </w:tcMar>
            <w:vAlign w:val="bottom"/>
          </w:tcPr>
          <w:p w14:paraId="5A1B204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4D" w14:textId="77777777" w:rsidR="00960BB8" w:rsidRDefault="00C06650">
            <w:pPr>
              <w:jc w:val="right"/>
              <w:textAlignment w:val="bottom"/>
            </w:pPr>
            <w:r>
              <w:rPr>
                <w:rFonts w:ascii="Arial" w:eastAsia="宋体" w:hAnsi="Arial" w:cs="Arial"/>
                <w:color w:val="0068B5"/>
                <w:sz w:val="18"/>
                <w:szCs w:val="18"/>
              </w:rPr>
              <w:t>299 </w:t>
            </w:r>
          </w:p>
        </w:tc>
        <w:tc>
          <w:tcPr>
            <w:tcW w:w="0" w:type="auto"/>
            <w:shd w:val="clear" w:color="auto" w:fill="auto"/>
            <w:tcMar>
              <w:top w:w="40" w:type="dxa"/>
              <w:left w:w="0" w:type="dxa"/>
              <w:bottom w:w="40" w:type="dxa"/>
              <w:right w:w="20" w:type="dxa"/>
            </w:tcMar>
            <w:vAlign w:val="bottom"/>
          </w:tcPr>
          <w:p w14:paraId="5A1B204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4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50" w14:textId="77777777" w:rsidR="00960BB8" w:rsidRDefault="00C06650">
            <w:pPr>
              <w:jc w:val="right"/>
              <w:textAlignment w:val="bottom"/>
            </w:pPr>
            <w:r>
              <w:rPr>
                <w:rFonts w:ascii="Arial" w:eastAsia="宋体" w:hAnsi="Arial" w:cs="Arial"/>
                <w:color w:val="262626"/>
                <w:sz w:val="18"/>
                <w:szCs w:val="18"/>
              </w:rPr>
              <w:t>750 </w:t>
            </w:r>
          </w:p>
        </w:tc>
        <w:tc>
          <w:tcPr>
            <w:tcW w:w="0" w:type="auto"/>
            <w:shd w:val="clear" w:color="auto" w:fill="auto"/>
            <w:tcMar>
              <w:top w:w="40" w:type="dxa"/>
              <w:left w:w="0" w:type="dxa"/>
              <w:bottom w:w="40" w:type="dxa"/>
              <w:right w:w="20" w:type="dxa"/>
            </w:tcMar>
            <w:vAlign w:val="bottom"/>
          </w:tcPr>
          <w:p w14:paraId="5A1B205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5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53" w14:textId="77777777" w:rsidR="00960BB8" w:rsidRDefault="00C06650">
            <w:pPr>
              <w:jc w:val="right"/>
              <w:textAlignment w:val="bottom"/>
            </w:pPr>
            <w:r>
              <w:rPr>
                <w:rFonts w:ascii="Arial" w:eastAsia="宋体" w:hAnsi="Arial" w:cs="Arial"/>
                <w:color w:val="262626"/>
                <w:sz w:val="18"/>
                <w:szCs w:val="18"/>
              </w:rPr>
              <w:t>176 </w:t>
            </w:r>
          </w:p>
        </w:tc>
        <w:tc>
          <w:tcPr>
            <w:tcW w:w="0" w:type="auto"/>
            <w:shd w:val="clear" w:color="auto" w:fill="auto"/>
            <w:tcMar>
              <w:top w:w="40" w:type="dxa"/>
              <w:left w:w="0" w:type="dxa"/>
              <w:bottom w:w="40" w:type="dxa"/>
              <w:right w:w="20" w:type="dxa"/>
            </w:tcMar>
            <w:vAlign w:val="bottom"/>
          </w:tcPr>
          <w:p w14:paraId="5A1B2054" w14:textId="77777777" w:rsidR="00960BB8" w:rsidRDefault="00960BB8">
            <w:pPr>
              <w:jc w:val="right"/>
              <w:rPr>
                <w:rFonts w:ascii="宋体"/>
              </w:rPr>
            </w:pPr>
          </w:p>
        </w:tc>
      </w:tr>
      <w:tr w:rsidR="00960BB8" w14:paraId="5A1B2060" w14:textId="77777777">
        <w:tc>
          <w:tcPr>
            <w:tcW w:w="0" w:type="auto"/>
            <w:gridSpan w:val="3"/>
            <w:shd w:val="clear" w:color="auto" w:fill="auto"/>
            <w:tcMar>
              <w:top w:w="40" w:type="dxa"/>
              <w:left w:w="20" w:type="dxa"/>
              <w:bottom w:w="40" w:type="dxa"/>
              <w:right w:w="20" w:type="dxa"/>
            </w:tcMar>
            <w:vAlign w:val="bottom"/>
          </w:tcPr>
          <w:p w14:paraId="5A1B2056" w14:textId="77777777" w:rsidR="00960BB8" w:rsidRDefault="00C06650">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5A1B205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58" w14:textId="77777777" w:rsidR="00960BB8" w:rsidRDefault="00C06650">
            <w:pPr>
              <w:jc w:val="right"/>
              <w:textAlignment w:val="bottom"/>
            </w:pPr>
            <w:r>
              <w:rPr>
                <w:rFonts w:ascii="Arial" w:eastAsia="宋体" w:hAnsi="Arial" w:cs="Arial"/>
                <w:color w:val="0068B5"/>
                <w:sz w:val="18"/>
                <w:szCs w:val="18"/>
              </w:rPr>
              <w:t>(190)</w:t>
            </w:r>
          </w:p>
        </w:tc>
        <w:tc>
          <w:tcPr>
            <w:tcW w:w="0" w:type="auto"/>
            <w:shd w:val="clear" w:color="auto" w:fill="auto"/>
            <w:tcMar>
              <w:top w:w="40" w:type="dxa"/>
              <w:left w:w="0" w:type="dxa"/>
              <w:bottom w:w="40" w:type="dxa"/>
              <w:right w:w="20" w:type="dxa"/>
            </w:tcMar>
            <w:vAlign w:val="bottom"/>
          </w:tcPr>
          <w:p w14:paraId="5A1B205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5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5B" w14:textId="77777777" w:rsidR="00960BB8" w:rsidRDefault="00C06650">
            <w:pPr>
              <w:jc w:val="right"/>
              <w:textAlignment w:val="bottom"/>
            </w:pPr>
            <w:r>
              <w:rPr>
                <w:rFonts w:ascii="Arial" w:eastAsia="宋体" w:hAnsi="Arial" w:cs="Arial"/>
                <w:color w:val="262626"/>
                <w:sz w:val="18"/>
                <w:szCs w:val="18"/>
              </w:rPr>
              <w:t>(154)</w:t>
            </w:r>
          </w:p>
        </w:tc>
        <w:tc>
          <w:tcPr>
            <w:tcW w:w="0" w:type="auto"/>
            <w:shd w:val="clear" w:color="auto" w:fill="auto"/>
            <w:tcMar>
              <w:top w:w="40" w:type="dxa"/>
              <w:left w:w="0" w:type="dxa"/>
              <w:bottom w:w="40" w:type="dxa"/>
              <w:right w:w="20" w:type="dxa"/>
            </w:tcMar>
            <w:vAlign w:val="bottom"/>
          </w:tcPr>
          <w:p w14:paraId="5A1B205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5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5E" w14:textId="77777777" w:rsidR="00960BB8" w:rsidRDefault="00C06650">
            <w:pPr>
              <w:jc w:val="right"/>
              <w:textAlignment w:val="bottom"/>
            </w:pPr>
            <w:r>
              <w:rPr>
                <w:rFonts w:ascii="Arial" w:eastAsia="宋体" w:hAnsi="Arial" w:cs="Arial"/>
                <w:color w:val="262626"/>
                <w:sz w:val="18"/>
                <w:szCs w:val="18"/>
              </w:rPr>
              <w:t>(303)</w:t>
            </w:r>
          </w:p>
        </w:tc>
        <w:tc>
          <w:tcPr>
            <w:tcW w:w="0" w:type="auto"/>
            <w:shd w:val="clear" w:color="auto" w:fill="auto"/>
            <w:tcMar>
              <w:top w:w="40" w:type="dxa"/>
              <w:left w:w="0" w:type="dxa"/>
              <w:bottom w:w="40" w:type="dxa"/>
              <w:right w:w="20" w:type="dxa"/>
            </w:tcMar>
            <w:vAlign w:val="bottom"/>
          </w:tcPr>
          <w:p w14:paraId="5A1B205F" w14:textId="77777777" w:rsidR="00960BB8" w:rsidRDefault="00960BB8">
            <w:pPr>
              <w:jc w:val="right"/>
              <w:rPr>
                <w:rFonts w:ascii="宋体"/>
              </w:rPr>
            </w:pPr>
          </w:p>
        </w:tc>
      </w:tr>
      <w:tr w:rsidR="00960BB8" w14:paraId="5A1B206B" w14:textId="77777777">
        <w:tc>
          <w:tcPr>
            <w:tcW w:w="0" w:type="auto"/>
            <w:gridSpan w:val="3"/>
            <w:shd w:val="clear" w:color="auto" w:fill="auto"/>
            <w:tcMar>
              <w:top w:w="40" w:type="dxa"/>
              <w:left w:w="20" w:type="dxa"/>
              <w:bottom w:w="40" w:type="dxa"/>
              <w:right w:w="20" w:type="dxa"/>
            </w:tcMar>
            <w:vAlign w:val="bottom"/>
          </w:tcPr>
          <w:p w14:paraId="5A1B2061" w14:textId="77777777" w:rsidR="00960BB8" w:rsidRDefault="00C06650">
            <w:pP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1</w:t>
            </w:r>
          </w:p>
        </w:tc>
        <w:tc>
          <w:tcPr>
            <w:tcW w:w="0" w:type="auto"/>
            <w:gridSpan w:val="3"/>
            <w:shd w:val="clear" w:color="auto" w:fill="auto"/>
            <w:tcMar>
              <w:top w:w="0" w:type="dxa"/>
              <w:left w:w="20" w:type="dxa"/>
              <w:bottom w:w="0" w:type="dxa"/>
              <w:right w:w="20" w:type="dxa"/>
            </w:tcMar>
            <w:vAlign w:val="bottom"/>
          </w:tcPr>
          <w:p w14:paraId="5A1B206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63" w14:textId="77777777" w:rsidR="00960BB8" w:rsidRDefault="00C06650">
            <w:pPr>
              <w:jc w:val="right"/>
              <w:textAlignment w:val="bottom"/>
            </w:pPr>
            <w:r>
              <w:rPr>
                <w:rFonts w:ascii="Arial" w:eastAsia="宋体" w:hAnsi="Arial" w:cs="Arial"/>
                <w:color w:val="0068B5"/>
                <w:sz w:val="18"/>
                <w:szCs w:val="18"/>
              </w:rPr>
              <w:t>4,946 </w:t>
            </w:r>
          </w:p>
        </w:tc>
        <w:tc>
          <w:tcPr>
            <w:tcW w:w="0" w:type="auto"/>
            <w:shd w:val="clear" w:color="auto" w:fill="auto"/>
            <w:tcMar>
              <w:top w:w="40" w:type="dxa"/>
              <w:left w:w="0" w:type="dxa"/>
              <w:bottom w:w="40" w:type="dxa"/>
              <w:right w:w="20" w:type="dxa"/>
            </w:tcMar>
            <w:vAlign w:val="bottom"/>
          </w:tcPr>
          <w:p w14:paraId="5A1B206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6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66" w14:textId="77777777" w:rsidR="00960BB8" w:rsidRDefault="00C06650">
            <w:pPr>
              <w:jc w:val="right"/>
              <w:textAlignment w:val="bottom"/>
            </w:pPr>
            <w:r>
              <w:rPr>
                <w:rFonts w:ascii="Arial" w:eastAsia="宋体" w:hAnsi="Arial" w:cs="Arial"/>
                <w:color w:val="262626"/>
                <w:sz w:val="18"/>
                <w:szCs w:val="18"/>
              </w:rPr>
              <w:t>2,263 </w:t>
            </w:r>
          </w:p>
        </w:tc>
        <w:tc>
          <w:tcPr>
            <w:tcW w:w="0" w:type="auto"/>
            <w:shd w:val="clear" w:color="auto" w:fill="auto"/>
            <w:tcMar>
              <w:top w:w="40" w:type="dxa"/>
              <w:left w:w="0" w:type="dxa"/>
              <w:bottom w:w="40" w:type="dxa"/>
              <w:right w:w="20" w:type="dxa"/>
            </w:tcMar>
            <w:vAlign w:val="bottom"/>
          </w:tcPr>
          <w:p w14:paraId="5A1B206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6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69" w14:textId="77777777" w:rsidR="00960BB8" w:rsidRDefault="00C06650">
            <w:pPr>
              <w:jc w:val="right"/>
              <w:textAlignment w:val="bottom"/>
            </w:pPr>
            <w:r>
              <w:rPr>
                <w:rFonts w:ascii="Arial" w:eastAsia="宋体" w:hAnsi="Arial" w:cs="Arial"/>
                <w:color w:val="262626"/>
                <w:sz w:val="18"/>
                <w:szCs w:val="18"/>
              </w:rPr>
              <w:t>2,164 </w:t>
            </w:r>
          </w:p>
        </w:tc>
        <w:tc>
          <w:tcPr>
            <w:tcW w:w="0" w:type="auto"/>
            <w:shd w:val="clear" w:color="auto" w:fill="auto"/>
            <w:tcMar>
              <w:top w:w="40" w:type="dxa"/>
              <w:left w:w="0" w:type="dxa"/>
              <w:bottom w:w="40" w:type="dxa"/>
              <w:right w:w="20" w:type="dxa"/>
            </w:tcMar>
            <w:vAlign w:val="bottom"/>
          </w:tcPr>
          <w:p w14:paraId="5A1B206A" w14:textId="77777777" w:rsidR="00960BB8" w:rsidRDefault="00960BB8">
            <w:pPr>
              <w:jc w:val="right"/>
              <w:rPr>
                <w:rFonts w:ascii="宋体"/>
              </w:rPr>
            </w:pPr>
          </w:p>
        </w:tc>
      </w:tr>
      <w:tr w:rsidR="00960BB8" w14:paraId="5A1B2079" w14:textId="77777777">
        <w:tc>
          <w:tcPr>
            <w:tcW w:w="0" w:type="auto"/>
            <w:gridSpan w:val="3"/>
            <w:shd w:val="clear" w:color="auto" w:fill="auto"/>
            <w:tcMar>
              <w:top w:w="40" w:type="dxa"/>
              <w:left w:w="20" w:type="dxa"/>
              <w:bottom w:w="40" w:type="dxa"/>
              <w:right w:w="20" w:type="dxa"/>
            </w:tcMar>
            <w:vAlign w:val="bottom"/>
          </w:tcPr>
          <w:p w14:paraId="5A1B206C" w14:textId="77777777" w:rsidR="00960BB8" w:rsidRDefault="00C06650">
            <w:pPr>
              <w:textAlignment w:val="bottom"/>
            </w:pPr>
            <w:r>
              <w:rPr>
                <w:rFonts w:ascii="Arial" w:eastAsia="宋体" w:hAnsi="Arial" w:cs="Arial"/>
                <w:b/>
                <w:bCs/>
                <w:color w:val="262626"/>
                <w:sz w:val="18"/>
                <w:szCs w:val="18"/>
              </w:rPr>
              <w:t>Total gains (losses) on equity investments, net</w:t>
            </w:r>
          </w:p>
        </w:tc>
        <w:tc>
          <w:tcPr>
            <w:tcW w:w="0" w:type="auto"/>
            <w:gridSpan w:val="3"/>
            <w:shd w:val="clear" w:color="auto" w:fill="auto"/>
            <w:tcMar>
              <w:top w:w="0" w:type="dxa"/>
              <w:left w:w="20" w:type="dxa"/>
              <w:bottom w:w="0" w:type="dxa"/>
              <w:right w:w="20" w:type="dxa"/>
            </w:tcMar>
            <w:vAlign w:val="bottom"/>
          </w:tcPr>
          <w:p w14:paraId="5A1B206D"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06E"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06F" w14:textId="77777777" w:rsidR="00960BB8" w:rsidRDefault="00C06650">
            <w:pPr>
              <w:jc w:val="right"/>
              <w:textAlignment w:val="bottom"/>
            </w:pPr>
            <w:r>
              <w:rPr>
                <w:rFonts w:ascii="Arial" w:eastAsia="宋体" w:hAnsi="Arial" w:cs="Arial"/>
                <w:b/>
                <w:bCs/>
                <w:color w:val="0068B5"/>
                <w:sz w:val="18"/>
                <w:szCs w:val="18"/>
              </w:rPr>
              <w:t>4,268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07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71"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072"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073" w14:textId="77777777" w:rsidR="00960BB8" w:rsidRDefault="00C06650">
            <w:pPr>
              <w:jc w:val="right"/>
              <w:textAlignment w:val="bottom"/>
            </w:pPr>
            <w:r>
              <w:rPr>
                <w:rFonts w:ascii="Arial" w:eastAsia="宋体" w:hAnsi="Arial" w:cs="Arial"/>
                <w:b/>
                <w:bCs/>
                <w:color w:val="262626"/>
                <w:sz w:val="18"/>
                <w:szCs w:val="18"/>
              </w:rPr>
              <w:t>2,729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07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75"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076"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077" w14:textId="77777777" w:rsidR="00960BB8" w:rsidRDefault="00C06650">
            <w:pPr>
              <w:jc w:val="right"/>
              <w:textAlignment w:val="bottom"/>
            </w:pPr>
            <w:r>
              <w:rPr>
                <w:rFonts w:ascii="Arial" w:eastAsia="宋体" w:hAnsi="Arial" w:cs="Arial"/>
                <w:b/>
                <w:bCs/>
                <w:color w:val="262626"/>
                <w:sz w:val="18"/>
                <w:szCs w:val="18"/>
              </w:rPr>
              <w:t>1,904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078" w14:textId="77777777" w:rsidR="00960BB8" w:rsidRDefault="00960BB8">
            <w:pPr>
              <w:jc w:val="right"/>
              <w:rPr>
                <w:rFonts w:ascii="宋体"/>
              </w:rPr>
            </w:pPr>
          </w:p>
        </w:tc>
      </w:tr>
    </w:tbl>
    <w:p w14:paraId="5A1B207A" w14:textId="77777777" w:rsidR="00960BB8" w:rsidRDefault="00C06650">
      <w:pPr>
        <w:spacing w:before="20" w:after="180"/>
        <w:ind w:hanging="180"/>
      </w:pPr>
      <w:r>
        <w:rPr>
          <w:rFonts w:ascii="Arial" w:eastAsia="宋体" w:hAnsi="Arial" w:cs="Arial"/>
          <w:i/>
          <w:iCs/>
          <w:color w:val="262626"/>
          <w:sz w:val="10"/>
          <w:szCs w:val="10"/>
        </w:rPr>
        <w:t>1    </w:t>
      </w:r>
      <w:r>
        <w:rPr>
          <w:rFonts w:ascii="Arial" w:eastAsia="宋体" w:hAnsi="Arial" w:cs="Arial"/>
          <w:i/>
          <w:iCs/>
          <w:color w:val="262626"/>
          <w:sz w:val="16"/>
          <w:szCs w:val="16"/>
        </w:rPr>
        <w:t>Sale of equity investments and other includes initial fair value adjustments recorded upon a security becoming marketable, realized gains (losses) on sales of non-marketable equity</w:t>
      </w:r>
      <w:r>
        <w:rPr>
          <w:rFonts w:ascii="Arial" w:eastAsia="宋体" w:hAnsi="Arial" w:cs="Arial"/>
          <w:i/>
          <w:iCs/>
          <w:color w:val="262626"/>
          <w:sz w:val="16"/>
          <w:szCs w:val="16"/>
        </w:rPr>
        <w:t xml:space="preserve"> investments and equity method investments, and our share of equity method investee gains (losses) and distributions.</w:t>
      </w:r>
    </w:p>
    <w:p w14:paraId="5A1B207B" w14:textId="77777777" w:rsidR="00960BB8" w:rsidRDefault="00C06650">
      <w:pPr>
        <w:spacing w:after="180"/>
      </w:pPr>
      <w:r>
        <w:rPr>
          <w:rFonts w:ascii="Arial" w:eastAsia="宋体" w:hAnsi="Arial" w:cs="Arial"/>
          <w:color w:val="262626"/>
          <w:sz w:val="18"/>
          <w:szCs w:val="18"/>
        </w:rPr>
        <w:t xml:space="preserve">In 2022, we recognized impairments of $190 million on non-marketable equity securities ($154 million in 2021 and $290 million in 2020). </w:t>
      </w:r>
    </w:p>
    <w:p w14:paraId="5A1B207C" w14:textId="77777777" w:rsidR="00960BB8" w:rsidRDefault="00C06650">
      <w:pPr>
        <w:spacing w:after="180"/>
      </w:pPr>
      <w:r>
        <w:rPr>
          <w:rFonts w:ascii="Arial" w:eastAsia="宋体" w:hAnsi="Arial" w:cs="Arial"/>
          <w:color w:val="262626"/>
          <w:sz w:val="18"/>
          <w:szCs w:val="18"/>
        </w:rPr>
        <w:t>A</w:t>
      </w:r>
      <w:r>
        <w:rPr>
          <w:rFonts w:ascii="Arial" w:eastAsia="宋体" w:hAnsi="Arial" w:cs="Arial"/>
          <w:color w:val="262626"/>
          <w:sz w:val="18"/>
          <w:szCs w:val="18"/>
        </w:rPr>
        <w:t>s of December 31, 2022, the cumulative amount of impairments for equity securities without readily determinable fair value was $955 million ($916 million as of December 25, 2021) and upward observable price adjustments were $1.4 billion ($1.1 billion as of</w:t>
      </w:r>
      <w:r>
        <w:rPr>
          <w:rFonts w:ascii="Arial" w:eastAsia="宋体" w:hAnsi="Arial" w:cs="Arial"/>
          <w:color w:val="262626"/>
          <w:sz w:val="18"/>
          <w:szCs w:val="18"/>
        </w:rPr>
        <w:t xml:space="preserve"> December 25, 2021).</w:t>
      </w:r>
    </w:p>
    <w:p w14:paraId="5A1B207D" w14:textId="77777777" w:rsidR="00960BB8" w:rsidRDefault="00C06650">
      <w:pPr>
        <w:spacing w:after="120"/>
      </w:pPr>
      <w:r>
        <w:rPr>
          <w:rFonts w:ascii="Arial" w:eastAsia="宋体" w:hAnsi="Arial" w:cs="Arial"/>
          <w:color w:val="262626"/>
          <w:sz w:val="18"/>
          <w:szCs w:val="18"/>
        </w:rPr>
        <w:t>Net unrealized gains and losses for our marketable and non-marketable equity securities during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11"/>
        <w:gridCol w:w="38"/>
        <w:gridCol w:w="36"/>
        <w:gridCol w:w="36"/>
        <w:gridCol w:w="36"/>
        <w:gridCol w:w="36"/>
        <w:gridCol w:w="121"/>
        <w:gridCol w:w="827"/>
        <w:gridCol w:w="36"/>
        <w:gridCol w:w="36"/>
        <w:gridCol w:w="36"/>
        <w:gridCol w:w="36"/>
        <w:gridCol w:w="121"/>
        <w:gridCol w:w="827"/>
        <w:gridCol w:w="36"/>
        <w:gridCol w:w="36"/>
        <w:gridCol w:w="36"/>
        <w:gridCol w:w="36"/>
        <w:gridCol w:w="121"/>
        <w:gridCol w:w="763"/>
        <w:gridCol w:w="36"/>
      </w:tblGrid>
      <w:tr w:rsidR="00960BB8" w14:paraId="5A1B2094" w14:textId="77777777">
        <w:tc>
          <w:tcPr>
            <w:tcW w:w="50" w:type="pct"/>
            <w:shd w:val="clear" w:color="auto" w:fill="auto"/>
            <w:vAlign w:val="bottom"/>
          </w:tcPr>
          <w:p w14:paraId="5A1B207E" w14:textId="77777777" w:rsidR="00960BB8" w:rsidRDefault="00960BB8">
            <w:pPr>
              <w:rPr>
                <w:rFonts w:ascii="宋体"/>
              </w:rPr>
            </w:pPr>
          </w:p>
        </w:tc>
        <w:tc>
          <w:tcPr>
            <w:tcW w:w="3073" w:type="pct"/>
            <w:shd w:val="clear" w:color="auto" w:fill="auto"/>
            <w:vAlign w:val="bottom"/>
          </w:tcPr>
          <w:p w14:paraId="5A1B207F" w14:textId="77777777" w:rsidR="00960BB8" w:rsidRDefault="00960BB8">
            <w:pPr>
              <w:rPr>
                <w:rFonts w:ascii="宋体"/>
              </w:rPr>
            </w:pPr>
          </w:p>
        </w:tc>
        <w:tc>
          <w:tcPr>
            <w:tcW w:w="5" w:type="pct"/>
            <w:shd w:val="clear" w:color="auto" w:fill="auto"/>
            <w:vAlign w:val="bottom"/>
          </w:tcPr>
          <w:p w14:paraId="5A1B2080" w14:textId="77777777" w:rsidR="00960BB8" w:rsidRDefault="00960BB8">
            <w:pPr>
              <w:rPr>
                <w:rFonts w:ascii="宋体"/>
              </w:rPr>
            </w:pPr>
          </w:p>
        </w:tc>
        <w:tc>
          <w:tcPr>
            <w:tcW w:w="0" w:type="auto"/>
            <w:shd w:val="clear" w:color="auto" w:fill="auto"/>
            <w:vAlign w:val="bottom"/>
          </w:tcPr>
          <w:p w14:paraId="5A1B2081" w14:textId="77777777" w:rsidR="00960BB8" w:rsidRDefault="00960BB8">
            <w:pPr>
              <w:rPr>
                <w:rFonts w:ascii="宋体"/>
                <w:vanish/>
              </w:rPr>
            </w:pPr>
          </w:p>
        </w:tc>
        <w:tc>
          <w:tcPr>
            <w:tcW w:w="5" w:type="pct"/>
            <w:shd w:val="clear" w:color="auto" w:fill="auto"/>
            <w:vAlign w:val="bottom"/>
          </w:tcPr>
          <w:p w14:paraId="5A1B2082" w14:textId="77777777" w:rsidR="00960BB8" w:rsidRDefault="00960BB8">
            <w:pPr>
              <w:rPr>
                <w:rFonts w:ascii="宋体"/>
              </w:rPr>
            </w:pPr>
          </w:p>
        </w:tc>
        <w:tc>
          <w:tcPr>
            <w:tcW w:w="17" w:type="pct"/>
            <w:shd w:val="clear" w:color="auto" w:fill="auto"/>
            <w:vAlign w:val="bottom"/>
          </w:tcPr>
          <w:p w14:paraId="5A1B2083" w14:textId="77777777" w:rsidR="00960BB8" w:rsidRDefault="00960BB8">
            <w:pPr>
              <w:rPr>
                <w:rFonts w:ascii="宋体"/>
              </w:rPr>
            </w:pPr>
          </w:p>
        </w:tc>
        <w:tc>
          <w:tcPr>
            <w:tcW w:w="5" w:type="pct"/>
            <w:shd w:val="clear" w:color="auto" w:fill="auto"/>
            <w:vAlign w:val="bottom"/>
          </w:tcPr>
          <w:p w14:paraId="5A1B2084" w14:textId="77777777" w:rsidR="00960BB8" w:rsidRDefault="00960BB8">
            <w:pPr>
              <w:rPr>
                <w:rFonts w:ascii="宋体"/>
              </w:rPr>
            </w:pPr>
          </w:p>
        </w:tc>
        <w:tc>
          <w:tcPr>
            <w:tcW w:w="50" w:type="pct"/>
            <w:shd w:val="clear" w:color="auto" w:fill="auto"/>
            <w:vAlign w:val="bottom"/>
          </w:tcPr>
          <w:p w14:paraId="5A1B2085" w14:textId="77777777" w:rsidR="00960BB8" w:rsidRDefault="00960BB8">
            <w:pPr>
              <w:rPr>
                <w:rFonts w:ascii="宋体"/>
              </w:rPr>
            </w:pPr>
          </w:p>
        </w:tc>
        <w:tc>
          <w:tcPr>
            <w:tcW w:w="539" w:type="pct"/>
            <w:shd w:val="clear" w:color="auto" w:fill="auto"/>
            <w:vAlign w:val="bottom"/>
          </w:tcPr>
          <w:p w14:paraId="5A1B2086" w14:textId="77777777" w:rsidR="00960BB8" w:rsidRDefault="00960BB8">
            <w:pPr>
              <w:rPr>
                <w:rFonts w:ascii="宋体"/>
              </w:rPr>
            </w:pPr>
          </w:p>
        </w:tc>
        <w:tc>
          <w:tcPr>
            <w:tcW w:w="5" w:type="pct"/>
            <w:shd w:val="clear" w:color="auto" w:fill="auto"/>
            <w:vAlign w:val="bottom"/>
          </w:tcPr>
          <w:p w14:paraId="5A1B2087" w14:textId="77777777" w:rsidR="00960BB8" w:rsidRDefault="00960BB8">
            <w:pPr>
              <w:rPr>
                <w:rFonts w:ascii="宋体"/>
              </w:rPr>
            </w:pPr>
          </w:p>
        </w:tc>
        <w:tc>
          <w:tcPr>
            <w:tcW w:w="5" w:type="pct"/>
            <w:shd w:val="clear" w:color="auto" w:fill="auto"/>
            <w:vAlign w:val="bottom"/>
          </w:tcPr>
          <w:p w14:paraId="5A1B2088" w14:textId="77777777" w:rsidR="00960BB8" w:rsidRDefault="00960BB8">
            <w:pPr>
              <w:rPr>
                <w:rFonts w:ascii="宋体"/>
              </w:rPr>
            </w:pPr>
          </w:p>
        </w:tc>
        <w:tc>
          <w:tcPr>
            <w:tcW w:w="17" w:type="pct"/>
            <w:shd w:val="clear" w:color="auto" w:fill="auto"/>
            <w:vAlign w:val="bottom"/>
          </w:tcPr>
          <w:p w14:paraId="5A1B2089" w14:textId="77777777" w:rsidR="00960BB8" w:rsidRDefault="00960BB8">
            <w:pPr>
              <w:rPr>
                <w:rFonts w:ascii="宋体"/>
              </w:rPr>
            </w:pPr>
          </w:p>
        </w:tc>
        <w:tc>
          <w:tcPr>
            <w:tcW w:w="5" w:type="pct"/>
            <w:shd w:val="clear" w:color="auto" w:fill="auto"/>
            <w:vAlign w:val="bottom"/>
          </w:tcPr>
          <w:p w14:paraId="5A1B208A" w14:textId="77777777" w:rsidR="00960BB8" w:rsidRDefault="00960BB8">
            <w:pPr>
              <w:rPr>
                <w:rFonts w:ascii="宋体"/>
              </w:rPr>
            </w:pPr>
          </w:p>
        </w:tc>
        <w:tc>
          <w:tcPr>
            <w:tcW w:w="50" w:type="pct"/>
            <w:shd w:val="clear" w:color="auto" w:fill="auto"/>
            <w:vAlign w:val="bottom"/>
          </w:tcPr>
          <w:p w14:paraId="5A1B208B" w14:textId="77777777" w:rsidR="00960BB8" w:rsidRDefault="00960BB8">
            <w:pPr>
              <w:rPr>
                <w:rFonts w:ascii="宋体"/>
              </w:rPr>
            </w:pPr>
          </w:p>
        </w:tc>
        <w:tc>
          <w:tcPr>
            <w:tcW w:w="539" w:type="pct"/>
            <w:shd w:val="clear" w:color="auto" w:fill="auto"/>
            <w:vAlign w:val="bottom"/>
          </w:tcPr>
          <w:p w14:paraId="5A1B208C" w14:textId="77777777" w:rsidR="00960BB8" w:rsidRDefault="00960BB8">
            <w:pPr>
              <w:rPr>
                <w:rFonts w:ascii="宋体"/>
              </w:rPr>
            </w:pPr>
          </w:p>
        </w:tc>
        <w:tc>
          <w:tcPr>
            <w:tcW w:w="5" w:type="pct"/>
            <w:shd w:val="clear" w:color="auto" w:fill="auto"/>
            <w:vAlign w:val="bottom"/>
          </w:tcPr>
          <w:p w14:paraId="5A1B208D" w14:textId="77777777" w:rsidR="00960BB8" w:rsidRDefault="00960BB8">
            <w:pPr>
              <w:rPr>
                <w:rFonts w:ascii="宋体"/>
              </w:rPr>
            </w:pPr>
          </w:p>
        </w:tc>
        <w:tc>
          <w:tcPr>
            <w:tcW w:w="5" w:type="pct"/>
            <w:shd w:val="clear" w:color="auto" w:fill="auto"/>
            <w:vAlign w:val="bottom"/>
          </w:tcPr>
          <w:p w14:paraId="5A1B208E" w14:textId="77777777" w:rsidR="00960BB8" w:rsidRDefault="00960BB8">
            <w:pPr>
              <w:rPr>
                <w:rFonts w:ascii="宋体"/>
              </w:rPr>
            </w:pPr>
          </w:p>
        </w:tc>
        <w:tc>
          <w:tcPr>
            <w:tcW w:w="24" w:type="pct"/>
            <w:shd w:val="clear" w:color="auto" w:fill="auto"/>
            <w:vAlign w:val="bottom"/>
          </w:tcPr>
          <w:p w14:paraId="5A1B208F" w14:textId="77777777" w:rsidR="00960BB8" w:rsidRDefault="00960BB8">
            <w:pPr>
              <w:rPr>
                <w:rFonts w:ascii="宋体"/>
              </w:rPr>
            </w:pPr>
          </w:p>
        </w:tc>
        <w:tc>
          <w:tcPr>
            <w:tcW w:w="5" w:type="pct"/>
            <w:shd w:val="clear" w:color="auto" w:fill="auto"/>
            <w:vAlign w:val="bottom"/>
          </w:tcPr>
          <w:p w14:paraId="5A1B2090" w14:textId="77777777" w:rsidR="00960BB8" w:rsidRDefault="00960BB8">
            <w:pPr>
              <w:rPr>
                <w:rFonts w:ascii="宋体"/>
              </w:rPr>
            </w:pPr>
          </w:p>
        </w:tc>
        <w:tc>
          <w:tcPr>
            <w:tcW w:w="50" w:type="pct"/>
            <w:shd w:val="clear" w:color="auto" w:fill="auto"/>
            <w:vAlign w:val="bottom"/>
          </w:tcPr>
          <w:p w14:paraId="5A1B2091" w14:textId="77777777" w:rsidR="00960BB8" w:rsidRDefault="00960BB8">
            <w:pPr>
              <w:rPr>
                <w:rFonts w:ascii="宋体"/>
              </w:rPr>
            </w:pPr>
          </w:p>
        </w:tc>
        <w:tc>
          <w:tcPr>
            <w:tcW w:w="539" w:type="pct"/>
            <w:shd w:val="clear" w:color="auto" w:fill="auto"/>
            <w:vAlign w:val="bottom"/>
          </w:tcPr>
          <w:p w14:paraId="5A1B2092" w14:textId="77777777" w:rsidR="00960BB8" w:rsidRDefault="00960BB8">
            <w:pPr>
              <w:rPr>
                <w:rFonts w:ascii="宋体"/>
              </w:rPr>
            </w:pPr>
          </w:p>
        </w:tc>
        <w:tc>
          <w:tcPr>
            <w:tcW w:w="5" w:type="pct"/>
            <w:shd w:val="clear" w:color="auto" w:fill="auto"/>
            <w:vAlign w:val="bottom"/>
          </w:tcPr>
          <w:p w14:paraId="5A1B2093" w14:textId="77777777" w:rsidR="00960BB8" w:rsidRDefault="00960BB8">
            <w:pPr>
              <w:rPr>
                <w:rFonts w:ascii="宋体"/>
              </w:rPr>
            </w:pPr>
          </w:p>
        </w:tc>
      </w:tr>
      <w:tr w:rsidR="00960BB8" w14:paraId="5A1B209D" w14:textId="77777777">
        <w:trPr>
          <w:hidden/>
        </w:trPr>
        <w:tc>
          <w:tcPr>
            <w:tcW w:w="0" w:type="auto"/>
            <w:gridSpan w:val="3"/>
            <w:shd w:val="clear" w:color="auto" w:fill="auto"/>
            <w:vAlign w:val="bottom"/>
          </w:tcPr>
          <w:p w14:paraId="5A1B2095" w14:textId="77777777" w:rsidR="00960BB8" w:rsidRDefault="00960BB8">
            <w:pPr>
              <w:rPr>
                <w:rFonts w:ascii="宋体"/>
                <w:vanish/>
              </w:rPr>
            </w:pPr>
          </w:p>
        </w:tc>
        <w:tc>
          <w:tcPr>
            <w:tcW w:w="0" w:type="auto"/>
            <w:shd w:val="clear" w:color="auto" w:fill="auto"/>
            <w:vAlign w:val="bottom"/>
          </w:tcPr>
          <w:p w14:paraId="5A1B2096" w14:textId="77777777" w:rsidR="00960BB8" w:rsidRDefault="00960BB8">
            <w:pPr>
              <w:rPr>
                <w:rFonts w:ascii="宋体"/>
                <w:vanish/>
              </w:rPr>
            </w:pPr>
          </w:p>
        </w:tc>
        <w:tc>
          <w:tcPr>
            <w:tcW w:w="0" w:type="auto"/>
            <w:gridSpan w:val="3"/>
            <w:shd w:val="clear" w:color="auto" w:fill="auto"/>
            <w:vAlign w:val="bottom"/>
          </w:tcPr>
          <w:p w14:paraId="5A1B2097" w14:textId="77777777" w:rsidR="00960BB8" w:rsidRDefault="00960BB8">
            <w:pPr>
              <w:rPr>
                <w:rFonts w:ascii="宋体"/>
                <w:vanish/>
              </w:rPr>
            </w:pPr>
          </w:p>
        </w:tc>
        <w:tc>
          <w:tcPr>
            <w:tcW w:w="0" w:type="auto"/>
            <w:gridSpan w:val="3"/>
            <w:shd w:val="clear" w:color="auto" w:fill="auto"/>
            <w:vAlign w:val="bottom"/>
          </w:tcPr>
          <w:p w14:paraId="5A1B2098" w14:textId="77777777" w:rsidR="00960BB8" w:rsidRDefault="00960BB8">
            <w:pPr>
              <w:rPr>
                <w:rFonts w:ascii="宋体"/>
                <w:vanish/>
              </w:rPr>
            </w:pPr>
          </w:p>
        </w:tc>
        <w:tc>
          <w:tcPr>
            <w:tcW w:w="0" w:type="auto"/>
            <w:gridSpan w:val="3"/>
            <w:shd w:val="clear" w:color="auto" w:fill="auto"/>
            <w:vAlign w:val="bottom"/>
          </w:tcPr>
          <w:p w14:paraId="5A1B2099" w14:textId="77777777" w:rsidR="00960BB8" w:rsidRDefault="00960BB8">
            <w:pPr>
              <w:rPr>
                <w:rFonts w:ascii="宋体"/>
                <w:vanish/>
              </w:rPr>
            </w:pPr>
          </w:p>
        </w:tc>
        <w:tc>
          <w:tcPr>
            <w:tcW w:w="0" w:type="auto"/>
            <w:gridSpan w:val="3"/>
            <w:shd w:val="clear" w:color="auto" w:fill="auto"/>
            <w:vAlign w:val="bottom"/>
          </w:tcPr>
          <w:p w14:paraId="5A1B209A" w14:textId="77777777" w:rsidR="00960BB8" w:rsidRDefault="00960BB8">
            <w:pPr>
              <w:rPr>
                <w:rFonts w:ascii="宋体"/>
                <w:vanish/>
              </w:rPr>
            </w:pPr>
          </w:p>
        </w:tc>
        <w:tc>
          <w:tcPr>
            <w:tcW w:w="0" w:type="auto"/>
            <w:gridSpan w:val="3"/>
            <w:shd w:val="clear" w:color="auto" w:fill="auto"/>
            <w:vAlign w:val="bottom"/>
          </w:tcPr>
          <w:p w14:paraId="5A1B209B" w14:textId="77777777" w:rsidR="00960BB8" w:rsidRDefault="00960BB8">
            <w:pPr>
              <w:rPr>
                <w:rFonts w:ascii="宋体"/>
                <w:vanish/>
              </w:rPr>
            </w:pPr>
          </w:p>
        </w:tc>
        <w:tc>
          <w:tcPr>
            <w:tcW w:w="0" w:type="auto"/>
            <w:gridSpan w:val="3"/>
            <w:shd w:val="clear" w:color="auto" w:fill="auto"/>
            <w:vAlign w:val="bottom"/>
          </w:tcPr>
          <w:p w14:paraId="5A1B209C" w14:textId="77777777" w:rsidR="00960BB8" w:rsidRDefault="00960BB8">
            <w:pPr>
              <w:rPr>
                <w:rFonts w:ascii="宋体"/>
                <w:vanish/>
              </w:rPr>
            </w:pPr>
          </w:p>
        </w:tc>
      </w:tr>
      <w:tr w:rsidR="00960BB8" w14:paraId="5A1B20A6" w14:textId="77777777">
        <w:tc>
          <w:tcPr>
            <w:tcW w:w="0" w:type="auto"/>
            <w:gridSpan w:val="3"/>
            <w:shd w:val="clear" w:color="auto" w:fill="auto"/>
            <w:tcMar>
              <w:top w:w="40" w:type="dxa"/>
              <w:left w:w="20" w:type="dxa"/>
              <w:bottom w:w="40" w:type="dxa"/>
              <w:right w:w="20" w:type="dxa"/>
            </w:tcMar>
            <w:vAlign w:val="bottom"/>
          </w:tcPr>
          <w:p w14:paraId="5A1B209E" w14:textId="77777777" w:rsidR="00960BB8" w:rsidRDefault="00C06650">
            <w:pPr>
              <w:textAlignment w:val="bottom"/>
            </w:pPr>
            <w:r>
              <w:rPr>
                <w:rFonts w:ascii="Arial" w:eastAsia="宋体" w:hAnsi="Arial" w:cs="Arial"/>
                <w:b/>
                <w:bCs/>
                <w:color w:val="262626"/>
                <w:sz w:val="18"/>
                <w:szCs w:val="18"/>
              </w:rPr>
              <w:t>(In Millions)</w:t>
            </w:r>
          </w:p>
        </w:tc>
        <w:tc>
          <w:tcPr>
            <w:tcW w:w="0" w:type="auto"/>
            <w:shd w:val="clear" w:color="auto" w:fill="auto"/>
            <w:vAlign w:val="bottom"/>
          </w:tcPr>
          <w:p w14:paraId="5A1B209F" w14:textId="77777777" w:rsidR="00960BB8" w:rsidRDefault="00960BB8">
            <w:pPr>
              <w:rPr>
                <w:rFonts w:ascii="宋体"/>
                <w:vanish/>
              </w:rPr>
            </w:pPr>
          </w:p>
        </w:tc>
        <w:tc>
          <w:tcPr>
            <w:tcW w:w="0" w:type="auto"/>
            <w:gridSpan w:val="3"/>
            <w:shd w:val="clear" w:color="auto" w:fill="auto"/>
            <w:tcMar>
              <w:top w:w="0" w:type="dxa"/>
              <w:left w:w="20" w:type="dxa"/>
              <w:bottom w:w="0" w:type="dxa"/>
              <w:right w:w="20" w:type="dxa"/>
            </w:tcMar>
            <w:vAlign w:val="bottom"/>
          </w:tcPr>
          <w:p w14:paraId="5A1B20A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0A1"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20A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0A3"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20A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0A5"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20B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0A7" w14:textId="77777777" w:rsidR="00960BB8" w:rsidRDefault="00C06650">
            <w:pPr>
              <w:textAlignment w:val="bottom"/>
            </w:pPr>
            <w:r>
              <w:rPr>
                <w:rFonts w:ascii="Arial" w:eastAsia="宋体" w:hAnsi="Arial" w:cs="Arial"/>
                <w:color w:val="262626"/>
                <w:sz w:val="18"/>
                <w:szCs w:val="18"/>
              </w:rPr>
              <w:t>Net unrealized gains (losses) recognized during the period on equity securities</w:t>
            </w:r>
          </w:p>
        </w:tc>
        <w:tc>
          <w:tcPr>
            <w:tcW w:w="0" w:type="auto"/>
            <w:shd w:val="clear" w:color="auto" w:fill="auto"/>
            <w:vAlign w:val="bottom"/>
          </w:tcPr>
          <w:p w14:paraId="5A1B20A8" w14:textId="77777777" w:rsidR="00960BB8" w:rsidRDefault="00960BB8">
            <w:pPr>
              <w:rPr>
                <w:rFonts w:ascii="宋体"/>
                <w:vanish/>
              </w:rPr>
            </w:pPr>
          </w:p>
        </w:tc>
        <w:tc>
          <w:tcPr>
            <w:tcW w:w="0" w:type="auto"/>
            <w:gridSpan w:val="3"/>
            <w:shd w:val="clear" w:color="auto" w:fill="auto"/>
            <w:tcMar>
              <w:top w:w="0" w:type="dxa"/>
              <w:left w:w="20" w:type="dxa"/>
              <w:bottom w:w="0" w:type="dxa"/>
              <w:right w:w="20" w:type="dxa"/>
            </w:tcMar>
            <w:vAlign w:val="bottom"/>
          </w:tcPr>
          <w:p w14:paraId="5A1B20A9"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0AA"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0AB" w14:textId="77777777" w:rsidR="00960BB8" w:rsidRDefault="00C06650">
            <w:pPr>
              <w:jc w:val="right"/>
              <w:textAlignment w:val="bottom"/>
            </w:pPr>
            <w:r>
              <w:rPr>
                <w:rFonts w:ascii="Arial" w:eastAsia="宋体" w:hAnsi="Arial" w:cs="Arial"/>
                <w:color w:val="0068B5"/>
                <w:sz w:val="18"/>
                <w:szCs w:val="18"/>
              </w:rPr>
              <w:t>(314)</w:t>
            </w:r>
          </w:p>
        </w:tc>
        <w:tc>
          <w:tcPr>
            <w:tcW w:w="0" w:type="auto"/>
            <w:tcBorders>
              <w:top w:val="single" w:sz="8" w:space="0" w:color="0068B5"/>
            </w:tcBorders>
            <w:shd w:val="clear" w:color="auto" w:fill="auto"/>
            <w:tcMar>
              <w:top w:w="40" w:type="dxa"/>
              <w:left w:w="0" w:type="dxa"/>
              <w:bottom w:w="40" w:type="dxa"/>
              <w:right w:w="20" w:type="dxa"/>
            </w:tcMar>
            <w:vAlign w:val="bottom"/>
          </w:tcPr>
          <w:p w14:paraId="5A1B20A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A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0AE"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0AF" w14:textId="77777777" w:rsidR="00960BB8" w:rsidRDefault="00C06650">
            <w:pPr>
              <w:jc w:val="right"/>
              <w:textAlignment w:val="bottom"/>
            </w:pPr>
            <w:r>
              <w:rPr>
                <w:rFonts w:ascii="Arial" w:eastAsia="宋体" w:hAnsi="Arial" w:cs="Arial"/>
                <w:color w:val="262626"/>
                <w:sz w:val="18"/>
                <w:szCs w:val="18"/>
              </w:rPr>
              <w:t>1,210 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0B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B1"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0B2"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0B3" w14:textId="77777777" w:rsidR="00960BB8" w:rsidRDefault="00C06650">
            <w:pPr>
              <w:jc w:val="right"/>
              <w:textAlignment w:val="bottom"/>
            </w:pPr>
            <w:r>
              <w:rPr>
                <w:rFonts w:ascii="Arial" w:eastAsia="宋体" w:hAnsi="Arial" w:cs="Arial"/>
                <w:color w:val="262626"/>
                <w:sz w:val="18"/>
                <w:szCs w:val="18"/>
              </w:rPr>
              <w:t>1,679 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0B4" w14:textId="77777777" w:rsidR="00960BB8" w:rsidRDefault="00960BB8">
            <w:pPr>
              <w:jc w:val="right"/>
              <w:rPr>
                <w:rFonts w:ascii="宋体"/>
              </w:rPr>
            </w:pPr>
          </w:p>
        </w:tc>
      </w:tr>
      <w:tr w:rsidR="00960BB8" w14:paraId="5A1B20C1" w14:textId="77777777">
        <w:tc>
          <w:tcPr>
            <w:tcW w:w="0" w:type="auto"/>
            <w:gridSpan w:val="3"/>
            <w:shd w:val="clear" w:color="auto" w:fill="auto"/>
            <w:tcMar>
              <w:top w:w="40" w:type="dxa"/>
              <w:left w:w="20" w:type="dxa"/>
              <w:bottom w:w="40" w:type="dxa"/>
              <w:right w:w="20" w:type="dxa"/>
            </w:tcMar>
            <w:vAlign w:val="bottom"/>
          </w:tcPr>
          <w:p w14:paraId="5A1B20B6" w14:textId="77777777" w:rsidR="00960BB8" w:rsidRDefault="00C06650">
            <w:pPr>
              <w:textAlignment w:val="bottom"/>
            </w:pPr>
            <w:r>
              <w:rPr>
                <w:rFonts w:ascii="Arial" w:eastAsia="宋体" w:hAnsi="Arial" w:cs="Arial"/>
                <w:color w:val="262626"/>
                <w:sz w:val="18"/>
                <w:szCs w:val="18"/>
              </w:rPr>
              <w:t>Less: Net (gains) losses recognized during the period on equity securities sold during the period</w:t>
            </w:r>
          </w:p>
        </w:tc>
        <w:tc>
          <w:tcPr>
            <w:tcW w:w="0" w:type="auto"/>
            <w:shd w:val="clear" w:color="auto" w:fill="auto"/>
            <w:vAlign w:val="bottom"/>
          </w:tcPr>
          <w:p w14:paraId="5A1B20B7" w14:textId="77777777" w:rsidR="00960BB8" w:rsidRDefault="00960BB8">
            <w:pPr>
              <w:rPr>
                <w:rFonts w:ascii="宋体"/>
                <w:vanish/>
              </w:rPr>
            </w:pPr>
          </w:p>
        </w:tc>
        <w:tc>
          <w:tcPr>
            <w:tcW w:w="0" w:type="auto"/>
            <w:gridSpan w:val="3"/>
            <w:shd w:val="clear" w:color="auto" w:fill="auto"/>
            <w:tcMar>
              <w:top w:w="0" w:type="dxa"/>
              <w:left w:w="20" w:type="dxa"/>
              <w:bottom w:w="0" w:type="dxa"/>
              <w:right w:w="20" w:type="dxa"/>
            </w:tcMar>
            <w:vAlign w:val="bottom"/>
          </w:tcPr>
          <w:p w14:paraId="5A1B20B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B9" w14:textId="77777777" w:rsidR="00960BB8" w:rsidRDefault="00C06650">
            <w:pPr>
              <w:jc w:val="right"/>
              <w:textAlignment w:val="bottom"/>
            </w:pPr>
            <w:r>
              <w:rPr>
                <w:rFonts w:ascii="Arial" w:eastAsia="宋体" w:hAnsi="Arial" w:cs="Arial"/>
                <w:color w:val="0068B5"/>
                <w:sz w:val="18"/>
                <w:szCs w:val="18"/>
              </w:rPr>
              <w:t>1 </w:t>
            </w:r>
          </w:p>
        </w:tc>
        <w:tc>
          <w:tcPr>
            <w:tcW w:w="0" w:type="auto"/>
            <w:shd w:val="clear" w:color="auto" w:fill="auto"/>
            <w:tcMar>
              <w:top w:w="40" w:type="dxa"/>
              <w:left w:w="0" w:type="dxa"/>
              <w:bottom w:w="40" w:type="dxa"/>
              <w:right w:w="20" w:type="dxa"/>
            </w:tcMar>
            <w:vAlign w:val="bottom"/>
          </w:tcPr>
          <w:p w14:paraId="5A1B20B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B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BC" w14:textId="77777777" w:rsidR="00960BB8" w:rsidRDefault="00C06650">
            <w:pPr>
              <w:jc w:val="right"/>
              <w:textAlignment w:val="bottom"/>
            </w:pPr>
            <w:r>
              <w:rPr>
                <w:rFonts w:ascii="Arial" w:eastAsia="宋体" w:hAnsi="Arial" w:cs="Arial"/>
                <w:color w:val="262626"/>
                <w:sz w:val="18"/>
                <w:szCs w:val="18"/>
              </w:rPr>
              <w:t>(259)</w:t>
            </w:r>
          </w:p>
        </w:tc>
        <w:tc>
          <w:tcPr>
            <w:tcW w:w="0" w:type="auto"/>
            <w:shd w:val="clear" w:color="auto" w:fill="auto"/>
            <w:tcMar>
              <w:top w:w="40" w:type="dxa"/>
              <w:left w:w="0" w:type="dxa"/>
              <w:bottom w:w="40" w:type="dxa"/>
              <w:right w:w="20" w:type="dxa"/>
            </w:tcMar>
            <w:vAlign w:val="bottom"/>
          </w:tcPr>
          <w:p w14:paraId="5A1B20B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B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0BF" w14:textId="77777777" w:rsidR="00960BB8" w:rsidRDefault="00C06650">
            <w:pPr>
              <w:jc w:val="right"/>
              <w:textAlignment w:val="bottom"/>
            </w:pPr>
            <w:r>
              <w:rPr>
                <w:rFonts w:ascii="Arial" w:eastAsia="宋体" w:hAnsi="Arial" w:cs="Arial"/>
                <w:color w:val="262626"/>
                <w:sz w:val="18"/>
                <w:szCs w:val="18"/>
              </w:rPr>
              <w:t>(254)</w:t>
            </w:r>
          </w:p>
        </w:tc>
        <w:tc>
          <w:tcPr>
            <w:tcW w:w="0" w:type="auto"/>
            <w:shd w:val="clear" w:color="auto" w:fill="auto"/>
            <w:tcMar>
              <w:top w:w="40" w:type="dxa"/>
              <w:left w:w="0" w:type="dxa"/>
              <w:bottom w:w="40" w:type="dxa"/>
              <w:right w:w="20" w:type="dxa"/>
            </w:tcMar>
            <w:vAlign w:val="bottom"/>
          </w:tcPr>
          <w:p w14:paraId="5A1B20C0" w14:textId="77777777" w:rsidR="00960BB8" w:rsidRDefault="00960BB8">
            <w:pPr>
              <w:jc w:val="right"/>
              <w:rPr>
                <w:rFonts w:ascii="宋体"/>
              </w:rPr>
            </w:pPr>
          </w:p>
        </w:tc>
      </w:tr>
      <w:tr w:rsidR="00960BB8" w14:paraId="5A1B20D0" w14:textId="77777777">
        <w:tc>
          <w:tcPr>
            <w:tcW w:w="0" w:type="auto"/>
            <w:gridSpan w:val="3"/>
            <w:shd w:val="clear" w:color="auto" w:fill="auto"/>
            <w:tcMar>
              <w:top w:w="40" w:type="dxa"/>
              <w:left w:w="20" w:type="dxa"/>
              <w:bottom w:w="40" w:type="dxa"/>
              <w:right w:w="20" w:type="dxa"/>
            </w:tcMar>
            <w:vAlign w:val="bottom"/>
          </w:tcPr>
          <w:p w14:paraId="5A1B20C2" w14:textId="77777777" w:rsidR="00960BB8" w:rsidRDefault="00C06650">
            <w:pPr>
              <w:textAlignment w:val="bottom"/>
            </w:pPr>
            <w:r>
              <w:rPr>
                <w:rFonts w:ascii="Arial" w:eastAsia="宋体" w:hAnsi="Arial" w:cs="Arial"/>
                <w:b/>
                <w:bCs/>
                <w:color w:val="262626"/>
                <w:sz w:val="18"/>
                <w:szCs w:val="18"/>
              </w:rPr>
              <w:t xml:space="preserve">Net unrealized gains (losses) recognized during the period on </w:t>
            </w:r>
            <w:r>
              <w:rPr>
                <w:rFonts w:ascii="Arial" w:eastAsia="宋体" w:hAnsi="Arial" w:cs="Arial"/>
                <w:b/>
                <w:bCs/>
                <w:color w:val="262626"/>
                <w:sz w:val="18"/>
                <w:szCs w:val="18"/>
              </w:rPr>
              <w:t>equity securities still held at the reporting date</w:t>
            </w:r>
          </w:p>
        </w:tc>
        <w:tc>
          <w:tcPr>
            <w:tcW w:w="0" w:type="auto"/>
            <w:shd w:val="clear" w:color="auto" w:fill="auto"/>
            <w:vAlign w:val="bottom"/>
          </w:tcPr>
          <w:p w14:paraId="5A1B20C3" w14:textId="77777777" w:rsidR="00960BB8" w:rsidRDefault="00960BB8">
            <w:pPr>
              <w:rPr>
                <w:rFonts w:ascii="宋体"/>
                <w:vanish/>
              </w:rPr>
            </w:pPr>
          </w:p>
        </w:tc>
        <w:tc>
          <w:tcPr>
            <w:tcW w:w="0" w:type="auto"/>
            <w:gridSpan w:val="3"/>
            <w:shd w:val="clear" w:color="auto" w:fill="auto"/>
            <w:tcMar>
              <w:top w:w="0" w:type="dxa"/>
              <w:left w:w="20" w:type="dxa"/>
              <w:bottom w:w="0" w:type="dxa"/>
              <w:right w:w="20" w:type="dxa"/>
            </w:tcMar>
            <w:vAlign w:val="bottom"/>
          </w:tcPr>
          <w:p w14:paraId="5A1B20C4"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0C5"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0C6" w14:textId="77777777" w:rsidR="00960BB8" w:rsidRDefault="00C06650">
            <w:pPr>
              <w:jc w:val="right"/>
              <w:textAlignment w:val="bottom"/>
            </w:pPr>
            <w:r>
              <w:rPr>
                <w:rFonts w:ascii="Arial" w:eastAsia="宋体" w:hAnsi="Arial" w:cs="Arial"/>
                <w:b/>
                <w:bCs/>
                <w:color w:val="0068B5"/>
                <w:sz w:val="18"/>
                <w:szCs w:val="18"/>
              </w:rPr>
              <w:t>(313)</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0C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C8"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0C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0CA" w14:textId="77777777" w:rsidR="00960BB8" w:rsidRDefault="00C06650">
            <w:pPr>
              <w:jc w:val="right"/>
              <w:textAlignment w:val="bottom"/>
            </w:pPr>
            <w:r>
              <w:rPr>
                <w:rFonts w:ascii="Arial" w:eastAsia="宋体" w:hAnsi="Arial" w:cs="Arial"/>
                <w:b/>
                <w:bCs/>
                <w:color w:val="262626"/>
                <w:sz w:val="18"/>
                <w:szCs w:val="18"/>
              </w:rPr>
              <w:t>951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0C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0CC"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0CD"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0CE" w14:textId="77777777" w:rsidR="00960BB8" w:rsidRDefault="00C06650">
            <w:pPr>
              <w:jc w:val="right"/>
              <w:textAlignment w:val="bottom"/>
            </w:pPr>
            <w:r>
              <w:rPr>
                <w:rFonts w:ascii="Arial" w:eastAsia="宋体" w:hAnsi="Arial" w:cs="Arial"/>
                <w:b/>
                <w:bCs/>
                <w:color w:val="262626"/>
                <w:sz w:val="18"/>
                <w:szCs w:val="18"/>
              </w:rPr>
              <w:t>1,425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0CF" w14:textId="77777777" w:rsidR="00960BB8" w:rsidRDefault="00960BB8">
            <w:pPr>
              <w:jc w:val="right"/>
              <w:rPr>
                <w:rFonts w:ascii="宋体"/>
              </w:rPr>
            </w:pPr>
          </w:p>
        </w:tc>
      </w:tr>
    </w:tbl>
    <w:p w14:paraId="5A1B20D1" w14:textId="77777777" w:rsidR="00960BB8" w:rsidRDefault="00C06650">
      <w:pPr>
        <w:spacing w:before="120" w:after="120"/>
      </w:pPr>
      <w:r>
        <w:rPr>
          <w:rFonts w:ascii="Arial" w:eastAsia="宋体" w:hAnsi="Arial" w:cs="Arial"/>
          <w:color w:val="0068B5"/>
          <w:sz w:val="20"/>
          <w:szCs w:val="20"/>
        </w:rPr>
        <w:t>McAfee Corp.</w:t>
      </w:r>
    </w:p>
    <w:p w14:paraId="5A1B20D2" w14:textId="77777777" w:rsidR="00960BB8" w:rsidRDefault="00C06650">
      <w:pPr>
        <w:spacing w:after="180"/>
      </w:pPr>
      <w:r>
        <w:rPr>
          <w:rFonts w:ascii="Arial" w:eastAsia="宋体" w:hAnsi="Arial" w:cs="Arial"/>
          <w:color w:val="262626"/>
          <w:sz w:val="18"/>
          <w:szCs w:val="18"/>
        </w:rPr>
        <w:t>McAfee Corp. (McAfee) completed its IPO offering in October 2020. Due to our 41% o</w:t>
      </w:r>
      <w:r>
        <w:rPr>
          <w:rFonts w:ascii="Arial" w:eastAsia="宋体" w:hAnsi="Arial" w:cs="Arial"/>
          <w:color w:val="262626"/>
          <w:sz w:val="18"/>
          <w:szCs w:val="18"/>
        </w:rPr>
        <w:t>wnership and significant influence as of December 25, 2021, we accounted for our investment in McAfee as an equity method investment. We had no accounting carrying value as of December 25, 2021.</w:t>
      </w:r>
    </w:p>
    <w:p w14:paraId="5A1B20D3" w14:textId="77777777" w:rsidR="00960BB8" w:rsidRDefault="00C06650">
      <w:pPr>
        <w:spacing w:after="180"/>
      </w:pPr>
      <w:r>
        <w:rPr>
          <w:rFonts w:ascii="Arial" w:eastAsia="宋体" w:hAnsi="Arial" w:cs="Arial"/>
          <w:color w:val="262626"/>
          <w:sz w:val="18"/>
          <w:szCs w:val="18"/>
        </w:rPr>
        <w:t xml:space="preserve">During 2022, the sale of McAfee's consumer business was completed and we received $4.6 billion in cash for the sale of our remaining share of McAfee, recognizing a $4.6 billion gain in </w:t>
      </w:r>
      <w:r>
        <w:rPr>
          <w:rFonts w:ascii="Arial" w:eastAsia="宋体" w:hAnsi="Arial" w:cs="Arial"/>
          <w:i/>
          <w:iCs/>
          <w:color w:val="262626"/>
          <w:sz w:val="18"/>
          <w:szCs w:val="18"/>
        </w:rPr>
        <w:t xml:space="preserve">sale of equity investments and other. </w:t>
      </w:r>
      <w:r>
        <w:rPr>
          <w:rFonts w:ascii="Arial" w:eastAsia="宋体" w:hAnsi="Arial" w:cs="Arial"/>
          <w:color w:val="262626"/>
          <w:sz w:val="18"/>
          <w:szCs w:val="18"/>
        </w:rPr>
        <w:t>In 2021, we recognized McAfee div</w:t>
      </w:r>
      <w:r>
        <w:rPr>
          <w:rFonts w:ascii="Arial" w:eastAsia="宋体" w:hAnsi="Arial" w:cs="Arial"/>
          <w:color w:val="262626"/>
          <w:sz w:val="18"/>
          <w:szCs w:val="18"/>
        </w:rPr>
        <w:t xml:space="preserve">idends of $1.3 billion, which included a special dividend of $1.1 billion paid in connection with the sale of McAfee's enterprise business, and recognized $228 million related to the partial sale of our investment in McAfee. We recognized McAfee dividends </w:t>
      </w:r>
      <w:r>
        <w:rPr>
          <w:rFonts w:ascii="Arial" w:eastAsia="宋体" w:hAnsi="Arial" w:cs="Arial"/>
          <w:color w:val="262626"/>
          <w:sz w:val="18"/>
          <w:szCs w:val="18"/>
        </w:rPr>
        <w:t>of $126 million in 2020.</w:t>
      </w:r>
    </w:p>
    <w:p w14:paraId="5A1B20D4" w14:textId="77777777" w:rsidR="00960BB8" w:rsidRDefault="00C06650">
      <w:pPr>
        <w:spacing w:after="120"/>
      </w:pPr>
      <w:r>
        <w:rPr>
          <w:rFonts w:ascii="Arial" w:eastAsia="宋体" w:hAnsi="Arial" w:cs="Arial"/>
          <w:color w:val="0068B5"/>
          <w:sz w:val="20"/>
          <w:szCs w:val="20"/>
        </w:rPr>
        <w:t>Beijing Unisoc Technology Ltd.</w:t>
      </w:r>
    </w:p>
    <w:p w14:paraId="5A1B20D5" w14:textId="77777777" w:rsidR="00960BB8" w:rsidRDefault="00C06650">
      <w:pPr>
        <w:spacing w:after="180"/>
      </w:pPr>
      <w:r>
        <w:rPr>
          <w:rFonts w:ascii="Arial" w:eastAsia="宋体" w:hAnsi="Arial" w:cs="Arial"/>
          <w:color w:val="262626"/>
          <w:sz w:val="18"/>
          <w:szCs w:val="18"/>
        </w:rPr>
        <w:t>We account for our interest in Beijing Unisoc Technology Ltd. (Unisoc) as a non-marketable equity security. During 2021, we recognized $471 million in observable price adjustments in our investment in</w:t>
      </w:r>
      <w:r>
        <w:rPr>
          <w:rFonts w:ascii="Arial" w:eastAsia="宋体" w:hAnsi="Arial" w:cs="Arial"/>
          <w:color w:val="262626"/>
          <w:sz w:val="18"/>
          <w:szCs w:val="18"/>
        </w:rPr>
        <w:t xml:space="preserve"> Unisoc and as of December 31, 2022, the net book value of the investment was $1.1 billion ($1.1 billion as of December 25,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960BB8" w14:paraId="5A1B20DC" w14:textId="77777777">
        <w:tc>
          <w:tcPr>
            <w:tcW w:w="50" w:type="pct"/>
            <w:shd w:val="clear" w:color="auto" w:fill="auto"/>
            <w:vAlign w:val="bottom"/>
          </w:tcPr>
          <w:p w14:paraId="5A1B20D6" w14:textId="77777777" w:rsidR="00960BB8" w:rsidRDefault="00960BB8">
            <w:pPr>
              <w:rPr>
                <w:rFonts w:ascii="宋体"/>
              </w:rPr>
            </w:pPr>
          </w:p>
        </w:tc>
        <w:tc>
          <w:tcPr>
            <w:tcW w:w="539" w:type="pct"/>
            <w:shd w:val="clear" w:color="auto" w:fill="auto"/>
            <w:vAlign w:val="bottom"/>
          </w:tcPr>
          <w:p w14:paraId="5A1B20D7" w14:textId="77777777" w:rsidR="00960BB8" w:rsidRDefault="00960BB8">
            <w:pPr>
              <w:rPr>
                <w:rFonts w:ascii="宋体"/>
              </w:rPr>
            </w:pPr>
          </w:p>
        </w:tc>
        <w:tc>
          <w:tcPr>
            <w:tcW w:w="5" w:type="pct"/>
            <w:shd w:val="clear" w:color="auto" w:fill="auto"/>
            <w:vAlign w:val="bottom"/>
          </w:tcPr>
          <w:p w14:paraId="5A1B20D8" w14:textId="77777777" w:rsidR="00960BB8" w:rsidRDefault="00960BB8">
            <w:pPr>
              <w:rPr>
                <w:rFonts w:ascii="宋体"/>
              </w:rPr>
            </w:pPr>
          </w:p>
        </w:tc>
        <w:tc>
          <w:tcPr>
            <w:tcW w:w="50" w:type="pct"/>
            <w:shd w:val="clear" w:color="auto" w:fill="auto"/>
            <w:vAlign w:val="bottom"/>
          </w:tcPr>
          <w:p w14:paraId="5A1B20D9" w14:textId="77777777" w:rsidR="00960BB8" w:rsidRDefault="00960BB8">
            <w:pPr>
              <w:rPr>
                <w:rFonts w:ascii="宋体"/>
              </w:rPr>
            </w:pPr>
          </w:p>
        </w:tc>
        <w:tc>
          <w:tcPr>
            <w:tcW w:w="4350" w:type="pct"/>
            <w:shd w:val="clear" w:color="auto" w:fill="auto"/>
            <w:vAlign w:val="bottom"/>
          </w:tcPr>
          <w:p w14:paraId="5A1B20DA" w14:textId="77777777" w:rsidR="00960BB8" w:rsidRDefault="00960BB8">
            <w:pPr>
              <w:rPr>
                <w:rFonts w:ascii="宋体"/>
              </w:rPr>
            </w:pPr>
          </w:p>
        </w:tc>
        <w:tc>
          <w:tcPr>
            <w:tcW w:w="5" w:type="pct"/>
            <w:shd w:val="clear" w:color="auto" w:fill="auto"/>
            <w:vAlign w:val="bottom"/>
          </w:tcPr>
          <w:p w14:paraId="5A1B20DB" w14:textId="77777777" w:rsidR="00960BB8" w:rsidRDefault="00960BB8">
            <w:pPr>
              <w:rPr>
                <w:rFonts w:ascii="宋体"/>
              </w:rPr>
            </w:pPr>
          </w:p>
        </w:tc>
      </w:tr>
      <w:tr w:rsidR="00960BB8" w14:paraId="5A1B20D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20DD" w14:textId="77777777" w:rsidR="00960BB8" w:rsidRDefault="00C06650">
            <w:pPr>
              <w:textAlignment w:val="bottom"/>
            </w:pPr>
            <w:r>
              <w:rPr>
                <w:rFonts w:ascii="Arial" w:eastAsia="宋体" w:hAnsi="Arial" w:cs="Arial"/>
                <w:color w:val="FFFFFF"/>
                <w:sz w:val="28"/>
                <w:szCs w:val="28"/>
              </w:rPr>
              <w:t xml:space="preserve">Note 10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20DE" w14:textId="77777777" w:rsidR="00960BB8" w:rsidRDefault="00C06650">
            <w:pPr>
              <w:textAlignment w:val="bottom"/>
            </w:pPr>
            <w:r>
              <w:rPr>
                <w:rFonts w:ascii="Arial" w:eastAsia="宋体" w:hAnsi="Arial" w:cs="Arial"/>
                <w:color w:val="0068B5"/>
                <w:sz w:val="28"/>
                <w:szCs w:val="28"/>
              </w:rPr>
              <w:t>Acquisitions and Divestitures</w:t>
            </w:r>
          </w:p>
        </w:tc>
      </w:tr>
    </w:tbl>
    <w:p w14:paraId="5A1B20E0" w14:textId="77777777" w:rsidR="00960BB8" w:rsidRDefault="00C06650">
      <w:pPr>
        <w:spacing w:after="180"/>
      </w:pPr>
      <w:r>
        <w:rPr>
          <w:rFonts w:ascii="Arial" w:eastAsia="宋体" w:hAnsi="Arial" w:cs="Arial"/>
          <w:color w:val="0068B5"/>
        </w:rPr>
        <w:t>Acquisitions</w:t>
      </w:r>
    </w:p>
    <w:p w14:paraId="5A1B20E1" w14:textId="77777777" w:rsidR="00960BB8" w:rsidRDefault="00C06650">
      <w:pPr>
        <w:spacing w:after="180"/>
      </w:pPr>
      <w:r>
        <w:rPr>
          <w:rFonts w:ascii="Arial" w:eastAsia="宋体" w:hAnsi="Arial" w:cs="Arial"/>
          <w:color w:val="262626"/>
          <w:sz w:val="18"/>
          <w:szCs w:val="18"/>
        </w:rPr>
        <w:t xml:space="preserve">We completed eight acquisitions in 2022 and four </w:t>
      </w:r>
      <w:r>
        <w:rPr>
          <w:rFonts w:ascii="Arial" w:eastAsia="宋体" w:hAnsi="Arial" w:cs="Arial"/>
          <w:color w:val="262626"/>
          <w:sz w:val="18"/>
          <w:szCs w:val="18"/>
        </w:rPr>
        <w:t xml:space="preserve">acquisitions in 2021, all of which qualified as business combinations. The consideration for the acquisitions in 2022 and 2021 primarily consisted of cash and was substantially all allocated to goodwill and identified intangible assets. For information on </w:t>
      </w:r>
      <w:r>
        <w:rPr>
          <w:rFonts w:ascii="Arial" w:eastAsia="宋体" w:hAnsi="Arial" w:cs="Arial"/>
          <w:color w:val="262626"/>
          <w:sz w:val="18"/>
          <w:szCs w:val="18"/>
        </w:rPr>
        <w:t>the assignment of goodwill to our operating segments, see "Note 11: Goodwill," and for information on the classification of intangible assets, see "Note 12: Identified Intangible Assets" within the Notes to Consolidated Financial Statements.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20EE" w14:textId="77777777">
        <w:tc>
          <w:tcPr>
            <w:tcW w:w="50" w:type="pct"/>
            <w:shd w:val="clear" w:color="auto" w:fill="auto"/>
            <w:vAlign w:val="bottom"/>
          </w:tcPr>
          <w:p w14:paraId="5A1B20E2" w14:textId="77777777" w:rsidR="00960BB8" w:rsidRDefault="00960BB8">
            <w:pPr>
              <w:rPr>
                <w:rFonts w:ascii="宋体"/>
              </w:rPr>
            </w:pPr>
          </w:p>
        </w:tc>
        <w:tc>
          <w:tcPr>
            <w:tcW w:w="276" w:type="pct"/>
            <w:shd w:val="clear" w:color="auto" w:fill="auto"/>
            <w:vAlign w:val="bottom"/>
          </w:tcPr>
          <w:p w14:paraId="5A1B20E3" w14:textId="77777777" w:rsidR="00960BB8" w:rsidRDefault="00960BB8">
            <w:pPr>
              <w:rPr>
                <w:rFonts w:ascii="宋体"/>
              </w:rPr>
            </w:pPr>
          </w:p>
        </w:tc>
        <w:tc>
          <w:tcPr>
            <w:tcW w:w="5" w:type="pct"/>
            <w:shd w:val="clear" w:color="auto" w:fill="auto"/>
            <w:vAlign w:val="bottom"/>
          </w:tcPr>
          <w:p w14:paraId="5A1B20E4" w14:textId="77777777" w:rsidR="00960BB8" w:rsidRDefault="00960BB8">
            <w:pPr>
              <w:rPr>
                <w:rFonts w:ascii="宋体"/>
              </w:rPr>
            </w:pPr>
          </w:p>
        </w:tc>
        <w:tc>
          <w:tcPr>
            <w:tcW w:w="50" w:type="pct"/>
            <w:shd w:val="clear" w:color="auto" w:fill="auto"/>
            <w:vAlign w:val="bottom"/>
          </w:tcPr>
          <w:p w14:paraId="5A1B20E5" w14:textId="77777777" w:rsidR="00960BB8" w:rsidRDefault="00960BB8">
            <w:pPr>
              <w:rPr>
                <w:rFonts w:ascii="宋体"/>
              </w:rPr>
            </w:pPr>
          </w:p>
        </w:tc>
        <w:tc>
          <w:tcPr>
            <w:tcW w:w="940" w:type="pct"/>
            <w:shd w:val="clear" w:color="auto" w:fill="auto"/>
            <w:vAlign w:val="bottom"/>
          </w:tcPr>
          <w:p w14:paraId="5A1B20E6" w14:textId="77777777" w:rsidR="00960BB8" w:rsidRDefault="00960BB8">
            <w:pPr>
              <w:rPr>
                <w:rFonts w:ascii="宋体"/>
              </w:rPr>
            </w:pPr>
          </w:p>
        </w:tc>
        <w:tc>
          <w:tcPr>
            <w:tcW w:w="5" w:type="pct"/>
            <w:shd w:val="clear" w:color="auto" w:fill="auto"/>
            <w:vAlign w:val="bottom"/>
          </w:tcPr>
          <w:p w14:paraId="5A1B20E7" w14:textId="77777777" w:rsidR="00960BB8" w:rsidRDefault="00960BB8">
            <w:pPr>
              <w:rPr>
                <w:rFonts w:ascii="宋体"/>
              </w:rPr>
            </w:pPr>
          </w:p>
        </w:tc>
        <w:tc>
          <w:tcPr>
            <w:tcW w:w="50" w:type="pct"/>
            <w:shd w:val="clear" w:color="auto" w:fill="auto"/>
            <w:vAlign w:val="bottom"/>
          </w:tcPr>
          <w:p w14:paraId="5A1B20E8" w14:textId="77777777" w:rsidR="00960BB8" w:rsidRDefault="00960BB8">
            <w:pPr>
              <w:rPr>
                <w:rFonts w:ascii="宋体"/>
              </w:rPr>
            </w:pPr>
          </w:p>
        </w:tc>
        <w:tc>
          <w:tcPr>
            <w:tcW w:w="1837" w:type="pct"/>
            <w:shd w:val="clear" w:color="auto" w:fill="auto"/>
            <w:vAlign w:val="bottom"/>
          </w:tcPr>
          <w:p w14:paraId="5A1B20E9" w14:textId="77777777" w:rsidR="00960BB8" w:rsidRDefault="00960BB8">
            <w:pPr>
              <w:rPr>
                <w:rFonts w:ascii="宋体"/>
              </w:rPr>
            </w:pPr>
          </w:p>
        </w:tc>
        <w:tc>
          <w:tcPr>
            <w:tcW w:w="5" w:type="pct"/>
            <w:shd w:val="clear" w:color="auto" w:fill="auto"/>
            <w:vAlign w:val="bottom"/>
          </w:tcPr>
          <w:p w14:paraId="5A1B20EA" w14:textId="77777777" w:rsidR="00960BB8" w:rsidRDefault="00960BB8">
            <w:pPr>
              <w:rPr>
                <w:rFonts w:ascii="宋体"/>
              </w:rPr>
            </w:pPr>
          </w:p>
        </w:tc>
        <w:tc>
          <w:tcPr>
            <w:tcW w:w="50" w:type="pct"/>
            <w:shd w:val="clear" w:color="auto" w:fill="auto"/>
            <w:vAlign w:val="bottom"/>
          </w:tcPr>
          <w:p w14:paraId="5A1B20EB" w14:textId="77777777" w:rsidR="00960BB8" w:rsidRDefault="00960BB8">
            <w:pPr>
              <w:rPr>
                <w:rFonts w:ascii="宋体"/>
              </w:rPr>
            </w:pPr>
          </w:p>
        </w:tc>
        <w:tc>
          <w:tcPr>
            <w:tcW w:w="1724" w:type="pct"/>
            <w:shd w:val="clear" w:color="auto" w:fill="auto"/>
            <w:vAlign w:val="bottom"/>
          </w:tcPr>
          <w:p w14:paraId="5A1B20EC" w14:textId="77777777" w:rsidR="00960BB8" w:rsidRDefault="00960BB8">
            <w:pPr>
              <w:rPr>
                <w:rFonts w:ascii="宋体"/>
              </w:rPr>
            </w:pPr>
          </w:p>
        </w:tc>
        <w:tc>
          <w:tcPr>
            <w:tcW w:w="5" w:type="pct"/>
            <w:shd w:val="clear" w:color="auto" w:fill="auto"/>
            <w:vAlign w:val="bottom"/>
          </w:tcPr>
          <w:p w14:paraId="5A1B20ED" w14:textId="77777777" w:rsidR="00960BB8" w:rsidRDefault="00960BB8">
            <w:pPr>
              <w:rPr>
                <w:rFonts w:ascii="宋体"/>
              </w:rPr>
            </w:pPr>
          </w:p>
        </w:tc>
      </w:tr>
      <w:tr w:rsidR="00960BB8" w14:paraId="5A1B20F3"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0EF"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A5" wp14:editId="5A1B44A6">
                  <wp:extent cx="304800" cy="304800"/>
                  <wp:effectExtent l="0" t="0" r="0" b="0"/>
                  <wp:docPr id="94" name="图片 28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83"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0F0"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20F1"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0F2" w14:textId="77777777" w:rsidR="00960BB8" w:rsidRDefault="00C06650">
            <w:pPr>
              <w:jc w:val="right"/>
              <w:textAlignment w:val="center"/>
            </w:pPr>
            <w:r>
              <w:rPr>
                <w:rFonts w:ascii="Arial" w:eastAsia="宋体" w:hAnsi="Arial" w:cs="Arial"/>
                <w:color w:val="262626"/>
                <w:sz w:val="16"/>
                <w:szCs w:val="16"/>
              </w:rPr>
              <w:t>97</w:t>
            </w:r>
          </w:p>
        </w:tc>
      </w:tr>
    </w:tbl>
    <w:p w14:paraId="5A1B20F4" w14:textId="77777777" w:rsidR="00960BB8" w:rsidRDefault="00C06650">
      <w:r>
        <w:pict w14:anchorId="5A1B44A7">
          <v:rect id="_x0000_i1123" style="width:415.3pt;height:1.5pt" o:hralign="center" o:hrstd="t" o:hr="t" fillcolor="#a0a0a0" stroked="f"/>
        </w:pict>
      </w:r>
    </w:p>
    <w:p w14:paraId="5A1B20F5" w14:textId="77777777" w:rsidR="00960BB8" w:rsidRDefault="00C06650">
      <w:pPr>
        <w:jc w:val="right"/>
      </w:pPr>
      <w:hyperlink r:id="rId146" w:anchor="i8aaa7b4dbd2e419ca0f5c30af85a11aa_16" w:history="1">
        <w:r>
          <w:rPr>
            <w:rStyle w:val="a5"/>
            <w:rFonts w:ascii="Arial" w:eastAsia="宋体" w:hAnsi="Arial" w:cs="Arial"/>
            <w:b/>
            <w:bCs/>
            <w:sz w:val="16"/>
            <w:szCs w:val="16"/>
          </w:rPr>
          <w:t>Table of Contents</w:t>
        </w:r>
      </w:hyperlink>
    </w:p>
    <w:p w14:paraId="5A1B20F6" w14:textId="77777777" w:rsidR="00960BB8" w:rsidRDefault="00960BB8">
      <w:pPr>
        <w:jc w:val="right"/>
      </w:pPr>
    </w:p>
    <w:p w14:paraId="5A1B20F7" w14:textId="77777777" w:rsidR="00960BB8" w:rsidRDefault="00960BB8"/>
    <w:p w14:paraId="5A1B20F8" w14:textId="77777777" w:rsidR="00960BB8" w:rsidRDefault="00C06650">
      <w:pPr>
        <w:spacing w:after="120"/>
      </w:pPr>
      <w:r>
        <w:rPr>
          <w:rFonts w:ascii="Arial" w:eastAsia="宋体" w:hAnsi="Arial" w:cs="Arial"/>
          <w:color w:val="0068B5"/>
          <w:sz w:val="20"/>
          <w:szCs w:val="20"/>
        </w:rPr>
        <w:t xml:space="preserve">Acquisition of Tower Semiconductor </w:t>
      </w:r>
    </w:p>
    <w:p w14:paraId="5A1B20F9" w14:textId="77777777" w:rsidR="00960BB8" w:rsidRDefault="00C06650">
      <w:r>
        <w:rPr>
          <w:rFonts w:ascii="Arial" w:eastAsia="宋体" w:hAnsi="Arial" w:cs="Arial"/>
          <w:color w:val="333333"/>
          <w:sz w:val="18"/>
          <w:szCs w:val="18"/>
        </w:rPr>
        <w:t xml:space="preserve">During the first quarter of </w:t>
      </w:r>
      <w:r>
        <w:rPr>
          <w:rFonts w:ascii="Arial" w:eastAsia="宋体" w:hAnsi="Arial" w:cs="Arial"/>
          <w:color w:val="262626"/>
          <w:sz w:val="18"/>
          <w:szCs w:val="18"/>
        </w:rPr>
        <w:t>2022</w:t>
      </w:r>
      <w:r>
        <w:rPr>
          <w:rFonts w:ascii="Arial" w:eastAsia="宋体" w:hAnsi="Arial" w:cs="Arial"/>
          <w:color w:val="333333"/>
          <w:sz w:val="18"/>
          <w:szCs w:val="18"/>
        </w:rPr>
        <w:t>, we entered i</w:t>
      </w:r>
      <w:r>
        <w:rPr>
          <w:rFonts w:ascii="Arial" w:eastAsia="宋体" w:hAnsi="Arial" w:cs="Arial"/>
          <w:color w:val="333333"/>
          <w:sz w:val="18"/>
          <w:szCs w:val="18"/>
        </w:rPr>
        <w:t>nto a definitive agreement to acquire Tower Semiconductor Ltd. (Tower) in a cash-for-stock transaction. Tower is a leading foundry for analog semiconductor solutions. The acquisition is expected to advance our IDM 2.0 strategy by accelerating our global en</w:t>
      </w:r>
      <w:r>
        <w:rPr>
          <w:rFonts w:ascii="Arial" w:eastAsia="宋体" w:hAnsi="Arial" w:cs="Arial"/>
          <w:color w:val="333333"/>
          <w:sz w:val="18"/>
          <w:szCs w:val="18"/>
        </w:rPr>
        <w:t>d-to-end systems foundry business. Upon completion of the acquisition, each issued and outstanding ordinary share of Tower will be converted into the right to receive $53 per share in cash, representing a total enterprise value of approximately $5.4 billio</w:t>
      </w:r>
      <w:r>
        <w:rPr>
          <w:rFonts w:ascii="Arial" w:eastAsia="宋体" w:hAnsi="Arial" w:cs="Arial"/>
          <w:color w:val="333333"/>
          <w:sz w:val="18"/>
          <w:szCs w:val="18"/>
        </w:rPr>
        <w:t>n as of the agreement date. While we continue to work to close within the first quarter of 2023, the transaction may close in the first half of 2023, subject to certain regulatory approvals and customary closing conditions. If the agreement is terminated u</w:t>
      </w:r>
      <w:r>
        <w:rPr>
          <w:rFonts w:ascii="Arial" w:eastAsia="宋体" w:hAnsi="Arial" w:cs="Arial"/>
          <w:color w:val="333333"/>
          <w:sz w:val="18"/>
          <w:szCs w:val="18"/>
        </w:rPr>
        <w:t>nder certain circumstances involving the failure to obtain required regulatory approvals, we will be obligated to pay Tower a termination fee of $353 million. Tower will be included in our IFS operating segment.</w:t>
      </w:r>
    </w:p>
    <w:p w14:paraId="5A1B20FA" w14:textId="77777777" w:rsidR="00960BB8" w:rsidRDefault="00960BB8"/>
    <w:p w14:paraId="5A1B20FB" w14:textId="77777777" w:rsidR="00960BB8" w:rsidRDefault="00C06650">
      <w:pPr>
        <w:spacing w:after="180"/>
      </w:pPr>
      <w:r>
        <w:rPr>
          <w:rFonts w:ascii="Arial" w:eastAsia="宋体" w:hAnsi="Arial" w:cs="Arial"/>
          <w:color w:val="0068B5"/>
        </w:rPr>
        <w:t>Divestitures</w:t>
      </w:r>
    </w:p>
    <w:p w14:paraId="5A1B20FC" w14:textId="77777777" w:rsidR="00960BB8" w:rsidRDefault="00C06650">
      <w:pPr>
        <w:spacing w:after="120"/>
      </w:pPr>
      <w:r>
        <w:rPr>
          <w:rFonts w:ascii="Arial" w:eastAsia="宋体" w:hAnsi="Arial" w:cs="Arial"/>
          <w:color w:val="0068B5"/>
          <w:sz w:val="20"/>
          <w:szCs w:val="20"/>
        </w:rPr>
        <w:t>NAND Memory Business</w:t>
      </w:r>
    </w:p>
    <w:p w14:paraId="5A1B20FD" w14:textId="77777777" w:rsidR="00960BB8" w:rsidRDefault="00C06650">
      <w:pPr>
        <w:spacing w:after="180"/>
      </w:pPr>
      <w:r>
        <w:rPr>
          <w:rFonts w:ascii="Arial" w:eastAsia="宋体" w:hAnsi="Arial" w:cs="Arial"/>
          <w:color w:val="262626"/>
          <w:sz w:val="18"/>
          <w:szCs w:val="18"/>
        </w:rPr>
        <w:t>In Octobe</w:t>
      </w:r>
      <w:r>
        <w:rPr>
          <w:rFonts w:ascii="Arial" w:eastAsia="宋体" w:hAnsi="Arial" w:cs="Arial"/>
          <w:color w:val="262626"/>
          <w:sz w:val="18"/>
          <w:szCs w:val="18"/>
        </w:rPr>
        <w:t>r 2020, we signed an agreement with SK hynix Inc. (SK hynix) to divest our NAND memory business for $9.0 billion in cash. The NAND memory business includes our NAND memory fabrication facility in Dalian, China and certain related equipment and tangible ass</w:t>
      </w:r>
      <w:r>
        <w:rPr>
          <w:rFonts w:ascii="Arial" w:eastAsia="宋体" w:hAnsi="Arial" w:cs="Arial"/>
          <w:color w:val="262626"/>
          <w:sz w:val="18"/>
          <w:szCs w:val="18"/>
        </w:rPr>
        <w:t xml:space="preserve">ets (the Fab Assets), our NAND SSD business (the NAND SSD Business), and our NAND memory technology and manufacturing business (the NAND OpCo Business). The transaction will be completed in two closings. </w:t>
      </w:r>
    </w:p>
    <w:p w14:paraId="5A1B20FE" w14:textId="77777777" w:rsidR="00960BB8" w:rsidRDefault="00C06650">
      <w:pPr>
        <w:spacing w:after="180"/>
      </w:pPr>
      <w:r>
        <w:rPr>
          <w:rFonts w:ascii="Arial" w:eastAsia="宋体" w:hAnsi="Arial" w:cs="Arial"/>
          <w:color w:val="262626"/>
          <w:sz w:val="18"/>
          <w:szCs w:val="18"/>
        </w:rPr>
        <w:t>The first closing was completed on December 29, 202</w:t>
      </w:r>
      <w:r>
        <w:rPr>
          <w:rFonts w:ascii="Arial" w:eastAsia="宋体" w:hAnsi="Arial" w:cs="Arial"/>
          <w:color w:val="262626"/>
          <w:sz w:val="18"/>
          <w:szCs w:val="18"/>
        </w:rPr>
        <w:t>1. At first closing, SK hynix paid $7.0 billion of consideration, with the remaining $2.0 billion to be received at the second closing of the transaction, expected to be no earlier than March 2025. In connection with the first closing, we recognized a pre-</w:t>
      </w:r>
      <w:r>
        <w:rPr>
          <w:rFonts w:ascii="Arial" w:eastAsia="宋体" w:hAnsi="Arial" w:cs="Arial"/>
          <w:color w:val="262626"/>
          <w:sz w:val="18"/>
          <w:szCs w:val="18"/>
        </w:rPr>
        <w:t xml:space="preserve">tax gain of $1.0 billion within </w:t>
      </w:r>
      <w:r>
        <w:rPr>
          <w:rFonts w:ascii="Arial" w:eastAsia="宋体" w:hAnsi="Arial" w:cs="Arial"/>
          <w:i/>
          <w:iCs/>
          <w:color w:val="262626"/>
          <w:sz w:val="18"/>
          <w:szCs w:val="18"/>
        </w:rPr>
        <w:t>interest and other, net</w:t>
      </w:r>
      <w:r>
        <w:rPr>
          <w:rFonts w:ascii="Arial" w:eastAsia="宋体" w:hAnsi="Arial" w:cs="Arial"/>
          <w:color w:val="262626"/>
          <w:sz w:val="18"/>
          <w:szCs w:val="18"/>
        </w:rPr>
        <w:t xml:space="preserve">, and tax expense of $495 million. Based on our ongoing obligation under the NAND wafer manufacturing and sale agreement, $583 million of the first closing consideration was deferred and will be recognized between the first and second closing within </w:t>
      </w:r>
      <w:r>
        <w:rPr>
          <w:rFonts w:ascii="Arial" w:eastAsia="宋体" w:hAnsi="Arial" w:cs="Arial"/>
          <w:i/>
          <w:iCs/>
          <w:color w:val="262626"/>
          <w:sz w:val="18"/>
          <w:szCs w:val="18"/>
        </w:rPr>
        <w:t>intere</w:t>
      </w:r>
      <w:r>
        <w:rPr>
          <w:rFonts w:ascii="Arial" w:eastAsia="宋体" w:hAnsi="Arial" w:cs="Arial"/>
          <w:i/>
          <w:iCs/>
          <w:color w:val="262626"/>
          <w:sz w:val="18"/>
          <w:szCs w:val="18"/>
        </w:rPr>
        <w:t>st and other, net</w:t>
      </w:r>
      <w:r>
        <w:rPr>
          <w:rFonts w:ascii="Arial" w:eastAsia="宋体" w:hAnsi="Arial" w:cs="Arial"/>
          <w:color w:val="262626"/>
          <w:sz w:val="18"/>
          <w:szCs w:val="18"/>
        </w:rPr>
        <w:t>.</w:t>
      </w:r>
    </w:p>
    <w:p w14:paraId="5A1B20FF" w14:textId="77777777" w:rsidR="00960BB8" w:rsidRDefault="00C06650">
      <w:pPr>
        <w:spacing w:after="180"/>
      </w:pPr>
      <w:r>
        <w:rPr>
          <w:rFonts w:ascii="Arial" w:eastAsia="宋体" w:hAnsi="Arial" w:cs="Arial"/>
          <w:color w:val="262626"/>
          <w:sz w:val="18"/>
          <w:szCs w:val="18"/>
        </w:rPr>
        <w:t>At the first closing, we sold to SK hynix the Fab Assets and the NAND SSD Business and transferred certain employees, IP, and other assets related to the NAND OpCo Business to separately created wholly owned subsidiaries of Intel. The eq</w:t>
      </w:r>
      <w:r>
        <w:rPr>
          <w:rFonts w:ascii="Arial" w:eastAsia="宋体" w:hAnsi="Arial" w:cs="Arial"/>
          <w:color w:val="262626"/>
          <w:sz w:val="18"/>
          <w:szCs w:val="18"/>
        </w:rPr>
        <w:t xml:space="preserve">uity interest of the NAND OpCo Business will transfer to SK hynix at the second closing. In connection with the first closing, we and certain affiliates of SK hynix also entered into a NAND wafer manufacturing and sale agreement, pursuant to which we will </w:t>
      </w:r>
      <w:r>
        <w:rPr>
          <w:rFonts w:ascii="Arial" w:eastAsia="宋体" w:hAnsi="Arial" w:cs="Arial"/>
          <w:color w:val="262626"/>
          <w:sz w:val="18"/>
          <w:szCs w:val="18"/>
        </w:rPr>
        <w:t xml:space="preserve">manufacture and sell to SK hynix NAND memory wafers to be manufactured using the Fab Assets in Dalian, China until the second closing. We have concluded, based on the terms of the transaction agreements, that the subsidiaries are VIEs for which we are not </w:t>
      </w:r>
      <w:r>
        <w:rPr>
          <w:rFonts w:ascii="Arial" w:eastAsia="宋体" w:hAnsi="Arial" w:cs="Arial"/>
          <w:color w:val="262626"/>
          <w:sz w:val="18"/>
          <w:szCs w:val="18"/>
        </w:rPr>
        <w:t>the primary beneficiary, because the governance structure of these entities does not allow us to direct the activities that would most significantly impact their economic performance. In line with this conclusion, we fully deconsolidated our ongoing intere</w:t>
      </w:r>
      <w:r>
        <w:rPr>
          <w:rFonts w:ascii="Arial" w:eastAsia="宋体" w:hAnsi="Arial" w:cs="Arial"/>
          <w:color w:val="262626"/>
          <w:sz w:val="18"/>
          <w:szCs w:val="18"/>
        </w:rPr>
        <w:t xml:space="preserve">sts in the NAND OpCo Business, and recorded a receivable for the remaining proceeds of $1.9 billion in </w:t>
      </w:r>
      <w:r>
        <w:rPr>
          <w:rFonts w:ascii="Arial" w:eastAsia="宋体" w:hAnsi="Arial" w:cs="Arial"/>
          <w:i/>
          <w:iCs/>
          <w:color w:val="262626"/>
          <w:sz w:val="18"/>
          <w:szCs w:val="18"/>
        </w:rPr>
        <w:t>other long-term assets</w:t>
      </w:r>
      <w:r>
        <w:rPr>
          <w:rFonts w:ascii="Arial" w:eastAsia="宋体" w:hAnsi="Arial" w:cs="Arial"/>
          <w:color w:val="262626"/>
          <w:sz w:val="18"/>
          <w:szCs w:val="18"/>
        </w:rPr>
        <w:t xml:space="preserve">, which remains outstanding as of December 31, 2022. </w:t>
      </w:r>
    </w:p>
    <w:p w14:paraId="5A1B2100" w14:textId="77777777" w:rsidR="00960BB8" w:rsidRDefault="00C06650">
      <w:pPr>
        <w:spacing w:after="180"/>
      </w:pPr>
      <w:r>
        <w:rPr>
          <w:rFonts w:ascii="Arial" w:eastAsia="宋体" w:hAnsi="Arial" w:cs="Arial"/>
          <w:color w:val="262626"/>
          <w:sz w:val="18"/>
          <w:szCs w:val="18"/>
        </w:rPr>
        <w:t>The carrying amounts of the major classes of NAND assets as of the first clos</w:t>
      </w:r>
      <w:r>
        <w:rPr>
          <w:rFonts w:ascii="Arial" w:eastAsia="宋体" w:hAnsi="Arial" w:cs="Arial"/>
          <w:color w:val="262626"/>
          <w:sz w:val="18"/>
          <w:szCs w:val="18"/>
        </w:rPr>
        <w:t>ing date included the following:</w:t>
      </w:r>
    </w:p>
    <w:tbl>
      <w:tblPr>
        <w:tblW w:w="4884" w:type="pct"/>
        <w:tblCellMar>
          <w:top w:w="15" w:type="dxa"/>
          <w:left w:w="15" w:type="dxa"/>
          <w:bottom w:w="15" w:type="dxa"/>
          <w:right w:w="15" w:type="dxa"/>
        </w:tblCellMar>
        <w:tblLook w:val="04A0" w:firstRow="1" w:lastRow="0" w:firstColumn="1" w:lastColumn="0" w:noHBand="0" w:noVBand="1"/>
      </w:tblPr>
      <w:tblGrid>
        <w:gridCol w:w="43"/>
        <w:gridCol w:w="6924"/>
        <w:gridCol w:w="37"/>
        <w:gridCol w:w="36"/>
        <w:gridCol w:w="36"/>
        <w:gridCol w:w="36"/>
        <w:gridCol w:w="121"/>
        <w:gridCol w:w="874"/>
        <w:gridCol w:w="36"/>
      </w:tblGrid>
      <w:tr w:rsidR="00960BB8" w14:paraId="5A1B210A" w14:textId="77777777">
        <w:tc>
          <w:tcPr>
            <w:tcW w:w="50" w:type="pct"/>
            <w:shd w:val="clear" w:color="auto" w:fill="auto"/>
            <w:vAlign w:val="bottom"/>
          </w:tcPr>
          <w:p w14:paraId="5A1B2101" w14:textId="77777777" w:rsidR="00960BB8" w:rsidRDefault="00960BB8">
            <w:pPr>
              <w:rPr>
                <w:rFonts w:ascii="宋体"/>
              </w:rPr>
            </w:pPr>
          </w:p>
        </w:tc>
        <w:tc>
          <w:tcPr>
            <w:tcW w:w="4273" w:type="pct"/>
            <w:shd w:val="clear" w:color="auto" w:fill="auto"/>
            <w:vAlign w:val="bottom"/>
          </w:tcPr>
          <w:p w14:paraId="5A1B2102" w14:textId="77777777" w:rsidR="00960BB8" w:rsidRDefault="00960BB8">
            <w:pPr>
              <w:rPr>
                <w:rFonts w:ascii="宋体"/>
              </w:rPr>
            </w:pPr>
          </w:p>
        </w:tc>
        <w:tc>
          <w:tcPr>
            <w:tcW w:w="5" w:type="pct"/>
            <w:shd w:val="clear" w:color="auto" w:fill="auto"/>
            <w:vAlign w:val="bottom"/>
          </w:tcPr>
          <w:p w14:paraId="5A1B2103" w14:textId="77777777" w:rsidR="00960BB8" w:rsidRDefault="00960BB8">
            <w:pPr>
              <w:rPr>
                <w:rFonts w:ascii="宋体"/>
              </w:rPr>
            </w:pPr>
          </w:p>
        </w:tc>
        <w:tc>
          <w:tcPr>
            <w:tcW w:w="5" w:type="pct"/>
            <w:shd w:val="clear" w:color="auto" w:fill="auto"/>
            <w:vAlign w:val="bottom"/>
          </w:tcPr>
          <w:p w14:paraId="5A1B2104" w14:textId="77777777" w:rsidR="00960BB8" w:rsidRDefault="00960BB8">
            <w:pPr>
              <w:rPr>
                <w:rFonts w:ascii="宋体"/>
              </w:rPr>
            </w:pPr>
          </w:p>
        </w:tc>
        <w:tc>
          <w:tcPr>
            <w:tcW w:w="24" w:type="pct"/>
            <w:shd w:val="clear" w:color="auto" w:fill="auto"/>
            <w:vAlign w:val="bottom"/>
          </w:tcPr>
          <w:p w14:paraId="5A1B2105" w14:textId="77777777" w:rsidR="00960BB8" w:rsidRDefault="00960BB8">
            <w:pPr>
              <w:rPr>
                <w:rFonts w:ascii="宋体"/>
              </w:rPr>
            </w:pPr>
          </w:p>
        </w:tc>
        <w:tc>
          <w:tcPr>
            <w:tcW w:w="5" w:type="pct"/>
            <w:shd w:val="clear" w:color="auto" w:fill="auto"/>
            <w:vAlign w:val="bottom"/>
          </w:tcPr>
          <w:p w14:paraId="5A1B2106" w14:textId="77777777" w:rsidR="00960BB8" w:rsidRDefault="00960BB8">
            <w:pPr>
              <w:rPr>
                <w:rFonts w:ascii="宋体"/>
              </w:rPr>
            </w:pPr>
          </w:p>
        </w:tc>
        <w:tc>
          <w:tcPr>
            <w:tcW w:w="50" w:type="pct"/>
            <w:shd w:val="clear" w:color="auto" w:fill="auto"/>
            <w:vAlign w:val="bottom"/>
          </w:tcPr>
          <w:p w14:paraId="5A1B2107" w14:textId="77777777" w:rsidR="00960BB8" w:rsidRDefault="00960BB8">
            <w:pPr>
              <w:rPr>
                <w:rFonts w:ascii="宋体"/>
              </w:rPr>
            </w:pPr>
          </w:p>
        </w:tc>
        <w:tc>
          <w:tcPr>
            <w:tcW w:w="581" w:type="pct"/>
            <w:shd w:val="clear" w:color="auto" w:fill="auto"/>
            <w:vAlign w:val="bottom"/>
          </w:tcPr>
          <w:p w14:paraId="5A1B2108" w14:textId="77777777" w:rsidR="00960BB8" w:rsidRDefault="00960BB8">
            <w:pPr>
              <w:rPr>
                <w:rFonts w:ascii="宋体"/>
              </w:rPr>
            </w:pPr>
          </w:p>
        </w:tc>
        <w:tc>
          <w:tcPr>
            <w:tcW w:w="5" w:type="pct"/>
            <w:shd w:val="clear" w:color="auto" w:fill="auto"/>
            <w:vAlign w:val="bottom"/>
          </w:tcPr>
          <w:p w14:paraId="5A1B2109" w14:textId="77777777" w:rsidR="00960BB8" w:rsidRDefault="00960BB8">
            <w:pPr>
              <w:rPr>
                <w:rFonts w:ascii="宋体"/>
              </w:rPr>
            </w:pPr>
          </w:p>
        </w:tc>
      </w:tr>
      <w:tr w:rsidR="00960BB8" w14:paraId="5A1B210E" w14:textId="77777777">
        <w:tc>
          <w:tcPr>
            <w:tcW w:w="0" w:type="auto"/>
            <w:gridSpan w:val="3"/>
            <w:shd w:val="clear" w:color="auto" w:fill="auto"/>
            <w:tcMar>
              <w:top w:w="40" w:type="dxa"/>
              <w:left w:w="20" w:type="dxa"/>
              <w:bottom w:w="40" w:type="dxa"/>
              <w:right w:w="20" w:type="dxa"/>
            </w:tcMar>
            <w:vAlign w:val="bottom"/>
          </w:tcPr>
          <w:p w14:paraId="5A1B210B"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210C"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bottom"/>
          </w:tcPr>
          <w:p w14:paraId="5A1B210D" w14:textId="77777777" w:rsidR="00960BB8" w:rsidRDefault="00C06650">
            <w:pPr>
              <w:jc w:val="right"/>
              <w:textAlignment w:val="bottom"/>
            </w:pPr>
            <w:r>
              <w:rPr>
                <w:rFonts w:ascii="Arial" w:eastAsia="宋体" w:hAnsi="Arial" w:cs="Arial"/>
                <w:b/>
                <w:bCs/>
                <w:color w:val="000000"/>
                <w:sz w:val="18"/>
                <w:szCs w:val="18"/>
              </w:rPr>
              <w:t>Dec 29, 2021</w:t>
            </w:r>
          </w:p>
        </w:tc>
      </w:tr>
      <w:tr w:rsidR="00960BB8" w14:paraId="5A1B211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10F" w14:textId="77777777" w:rsidR="00960BB8" w:rsidRDefault="00C06650">
            <w:pPr>
              <w:textAlignment w:val="bottom"/>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5A1B2110" w14:textId="77777777" w:rsidR="00960BB8" w:rsidRDefault="00960BB8">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A1B2111" w14:textId="77777777" w:rsidR="00960BB8" w:rsidRDefault="00C0665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A1B2112" w14:textId="77777777" w:rsidR="00960BB8" w:rsidRDefault="00C06650">
            <w:pPr>
              <w:jc w:val="right"/>
              <w:textAlignment w:val="bottom"/>
            </w:pPr>
            <w:r>
              <w:rPr>
                <w:rFonts w:ascii="Arial" w:eastAsia="宋体" w:hAnsi="Arial" w:cs="Arial"/>
                <w:color w:val="000000"/>
                <w:sz w:val="18"/>
                <w:szCs w:val="18"/>
              </w:rPr>
              <w:t>941 </w:t>
            </w:r>
          </w:p>
        </w:tc>
        <w:tc>
          <w:tcPr>
            <w:tcW w:w="0" w:type="auto"/>
            <w:tcBorders>
              <w:top w:val="single" w:sz="8" w:space="0" w:color="000000"/>
            </w:tcBorders>
            <w:shd w:val="clear" w:color="auto" w:fill="auto"/>
            <w:tcMar>
              <w:top w:w="40" w:type="dxa"/>
              <w:left w:w="0" w:type="dxa"/>
              <w:bottom w:w="40" w:type="dxa"/>
              <w:right w:w="20" w:type="dxa"/>
            </w:tcMar>
            <w:vAlign w:val="bottom"/>
          </w:tcPr>
          <w:p w14:paraId="5A1B2113" w14:textId="77777777" w:rsidR="00960BB8" w:rsidRDefault="00960BB8">
            <w:pPr>
              <w:jc w:val="right"/>
              <w:rPr>
                <w:rFonts w:ascii="宋体"/>
              </w:rPr>
            </w:pPr>
          </w:p>
        </w:tc>
      </w:tr>
      <w:tr w:rsidR="00960BB8" w14:paraId="5A1B2119" w14:textId="77777777">
        <w:tc>
          <w:tcPr>
            <w:tcW w:w="0" w:type="auto"/>
            <w:gridSpan w:val="3"/>
            <w:shd w:val="clear" w:color="auto" w:fill="auto"/>
            <w:tcMar>
              <w:top w:w="40" w:type="dxa"/>
              <w:left w:w="20" w:type="dxa"/>
              <w:bottom w:w="40" w:type="dxa"/>
              <w:right w:w="20" w:type="dxa"/>
            </w:tcMar>
            <w:vAlign w:val="bottom"/>
          </w:tcPr>
          <w:p w14:paraId="5A1B2115" w14:textId="77777777" w:rsidR="00960BB8" w:rsidRDefault="00C06650">
            <w:pPr>
              <w:textAlignment w:val="bottom"/>
            </w:pPr>
            <w:r>
              <w:rPr>
                <w:rFonts w:ascii="Arial" w:eastAsia="宋体" w:hAnsi="Arial" w:cs="Arial"/>
                <w:color w:val="262626"/>
                <w:sz w:val="18"/>
                <w:szCs w:val="18"/>
              </w:rPr>
              <w:t>Property, plant and equipment, net</w:t>
            </w:r>
          </w:p>
        </w:tc>
        <w:tc>
          <w:tcPr>
            <w:tcW w:w="0" w:type="auto"/>
            <w:gridSpan w:val="3"/>
            <w:shd w:val="clear" w:color="auto" w:fill="auto"/>
            <w:tcMar>
              <w:top w:w="0" w:type="dxa"/>
              <w:left w:w="20" w:type="dxa"/>
              <w:bottom w:w="0" w:type="dxa"/>
              <w:right w:w="20" w:type="dxa"/>
            </w:tcMar>
            <w:vAlign w:val="bottom"/>
          </w:tcPr>
          <w:p w14:paraId="5A1B211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117" w14:textId="77777777" w:rsidR="00960BB8" w:rsidRDefault="00C06650">
            <w:pPr>
              <w:jc w:val="right"/>
              <w:textAlignment w:val="bottom"/>
            </w:pPr>
            <w:r>
              <w:rPr>
                <w:rFonts w:ascii="Arial" w:eastAsia="宋体" w:hAnsi="Arial" w:cs="Arial"/>
                <w:color w:val="000000"/>
                <w:sz w:val="18"/>
                <w:szCs w:val="18"/>
              </w:rPr>
              <w:t>6,018 </w:t>
            </w:r>
          </w:p>
        </w:tc>
        <w:tc>
          <w:tcPr>
            <w:tcW w:w="0" w:type="auto"/>
            <w:shd w:val="clear" w:color="auto" w:fill="auto"/>
            <w:tcMar>
              <w:top w:w="40" w:type="dxa"/>
              <w:left w:w="0" w:type="dxa"/>
              <w:bottom w:w="40" w:type="dxa"/>
              <w:right w:w="20" w:type="dxa"/>
            </w:tcMar>
            <w:vAlign w:val="bottom"/>
          </w:tcPr>
          <w:p w14:paraId="5A1B2118" w14:textId="77777777" w:rsidR="00960BB8" w:rsidRDefault="00960BB8">
            <w:pPr>
              <w:jc w:val="right"/>
              <w:rPr>
                <w:rFonts w:ascii="宋体"/>
              </w:rPr>
            </w:pPr>
          </w:p>
        </w:tc>
      </w:tr>
      <w:tr w:rsidR="00960BB8" w14:paraId="5A1B211F" w14:textId="77777777">
        <w:tc>
          <w:tcPr>
            <w:tcW w:w="0" w:type="auto"/>
            <w:gridSpan w:val="3"/>
            <w:shd w:val="clear" w:color="auto" w:fill="auto"/>
            <w:tcMar>
              <w:top w:w="40" w:type="dxa"/>
              <w:left w:w="20" w:type="dxa"/>
              <w:bottom w:w="40" w:type="dxa"/>
              <w:right w:w="20" w:type="dxa"/>
            </w:tcMar>
            <w:vAlign w:val="bottom"/>
          </w:tcPr>
          <w:p w14:paraId="5A1B211A" w14:textId="77777777" w:rsidR="00960BB8" w:rsidRDefault="00C06650">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5A1B211B"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11C" w14:textId="77777777" w:rsidR="00960BB8" w:rsidRDefault="00C06650">
            <w:pPr>
              <w:textAlignment w:val="bottom"/>
            </w:pPr>
            <w:r>
              <w:rPr>
                <w:rFonts w:ascii="Arial" w:eastAsia="宋体" w:hAnsi="Arial" w:cs="Arial"/>
                <w:b/>
                <w:bCs/>
                <w:color w:val="000000"/>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11D" w14:textId="77777777" w:rsidR="00960BB8" w:rsidRDefault="00C06650">
            <w:pPr>
              <w:jc w:val="right"/>
              <w:textAlignment w:val="bottom"/>
            </w:pPr>
            <w:r>
              <w:rPr>
                <w:rFonts w:ascii="Arial" w:eastAsia="宋体" w:hAnsi="Arial" w:cs="Arial"/>
                <w:b/>
                <w:bCs/>
                <w:color w:val="000000"/>
                <w:sz w:val="18"/>
                <w:szCs w:val="18"/>
              </w:rPr>
              <w:t>6,959</w:t>
            </w:r>
            <w:r>
              <w:rPr>
                <w:rFonts w:ascii="Arial" w:eastAsia="宋体" w:hAnsi="Arial" w:cs="Arial"/>
                <w:color w:val="000000"/>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11E" w14:textId="77777777" w:rsidR="00960BB8" w:rsidRDefault="00960BB8">
            <w:pPr>
              <w:jc w:val="right"/>
              <w:rPr>
                <w:rFonts w:ascii="宋体"/>
              </w:rPr>
            </w:pPr>
          </w:p>
        </w:tc>
      </w:tr>
    </w:tbl>
    <w:p w14:paraId="5A1B2120" w14:textId="77777777" w:rsidR="00960BB8" w:rsidRDefault="00C06650">
      <w:pPr>
        <w:spacing w:after="180"/>
      </w:pPr>
      <w:r>
        <w:rPr>
          <w:rFonts w:ascii="Arial" w:eastAsia="宋体" w:hAnsi="Arial" w:cs="Arial"/>
          <w:color w:val="262626"/>
          <w:sz w:val="18"/>
          <w:szCs w:val="18"/>
        </w:rPr>
        <w:t>The wafer manufacturing and sale agreement includes incentives and penalties that are contingent on the cost of operation and output of the NAND OpCo Business. These incentives and penalties present a maximum exposure of up to $500 million annually, and $1</w:t>
      </w:r>
      <w:r>
        <w:rPr>
          <w:rFonts w:ascii="Arial" w:eastAsia="宋体" w:hAnsi="Arial" w:cs="Arial"/>
          <w:color w:val="262626"/>
          <w:sz w:val="18"/>
          <w:szCs w:val="18"/>
        </w:rPr>
        <w:t>.5 billion in the aggregate. We are currently in negotiations with SK hynix to update the operating plan of the NAND OpCo Business in light of the current business environment and projections, which may impact the metrics associated with the incentives and</w:t>
      </w:r>
      <w:r>
        <w:rPr>
          <w:rFonts w:ascii="Arial" w:eastAsia="宋体" w:hAnsi="Arial" w:cs="Arial"/>
          <w:color w:val="262626"/>
          <w:sz w:val="18"/>
          <w:szCs w:val="18"/>
        </w:rPr>
        <w:t xml:space="preserve"> penalties and our expectations of the performance of the NAND OpCo Business against those metrics. </w:t>
      </w:r>
    </w:p>
    <w:p w14:paraId="5A1B2121" w14:textId="77777777" w:rsidR="00960BB8" w:rsidRDefault="00C06650">
      <w:pPr>
        <w:spacing w:after="180"/>
      </w:pPr>
      <w:r>
        <w:rPr>
          <w:rFonts w:ascii="Arial" w:eastAsia="宋体" w:hAnsi="Arial" w:cs="Arial"/>
          <w:color w:val="262626"/>
          <w:sz w:val="18"/>
          <w:szCs w:val="18"/>
        </w:rPr>
        <w:t>Our transactions with the NAND OpCo Business between the first and second closings are considered related party transactions due to our equity interest and</w:t>
      </w:r>
      <w:r>
        <w:rPr>
          <w:rFonts w:ascii="Arial" w:eastAsia="宋体" w:hAnsi="Arial" w:cs="Arial"/>
          <w:color w:val="262626"/>
          <w:sz w:val="18"/>
          <w:szCs w:val="18"/>
        </w:rPr>
        <w:t xml:space="preserve"> the wafer manufacturing and sales agreement. Related party transactions include certain assets that transferred at first closing between Intel and the NAND OpCo Business, or costs that we incurred on behalf of the NAND OpCo Business, for which we are enti</w:t>
      </w:r>
      <w:r>
        <w:rPr>
          <w:rFonts w:ascii="Arial" w:eastAsia="宋体" w:hAnsi="Arial" w:cs="Arial"/>
          <w:color w:val="262626"/>
          <w:sz w:val="18"/>
          <w:szCs w:val="18"/>
        </w:rPr>
        <w:t>tled to be reimbursed, including approximately $35 million per quarter in 2022 for corporate function services, such as human resources, information technology, finance, supply chain, and other compliance requirements associated with being wholly owned sub</w:t>
      </w:r>
      <w:r>
        <w:rPr>
          <w:rFonts w:ascii="Arial" w:eastAsia="宋体" w:hAnsi="Arial" w:cs="Arial"/>
          <w:color w:val="262626"/>
          <w:sz w:val="18"/>
          <w:szCs w:val="18"/>
        </w:rPr>
        <w:t xml:space="preserve">sidiaries. As of December 31, 2022, we have a receivable due to Intel of $133 million recorded within </w:t>
      </w:r>
      <w:r>
        <w:rPr>
          <w:rFonts w:ascii="Arial" w:eastAsia="宋体" w:hAnsi="Arial" w:cs="Arial"/>
          <w:i/>
          <w:iCs/>
          <w:color w:val="262626"/>
          <w:sz w:val="18"/>
          <w:szCs w:val="18"/>
        </w:rPr>
        <w:t xml:space="preserve">other current assets </w:t>
      </w:r>
      <w:r>
        <w:rPr>
          <w:rFonts w:ascii="Arial" w:eastAsia="宋体" w:hAnsi="Arial" w:cs="Arial"/>
          <w:color w:val="262626"/>
          <w:sz w:val="18"/>
          <w:szCs w:val="18"/>
        </w:rPr>
        <w:t xml:space="preserve">on our Consolidated Balance Sheets. </w:t>
      </w:r>
    </w:p>
    <w:p w14:paraId="5A1B2122" w14:textId="77777777" w:rsidR="00960BB8" w:rsidRDefault="00C06650">
      <w:pPr>
        <w:spacing w:after="120"/>
      </w:pPr>
      <w:r>
        <w:rPr>
          <w:rFonts w:ascii="Arial" w:eastAsia="宋体" w:hAnsi="Arial" w:cs="Arial"/>
          <w:color w:val="0068B5"/>
          <w:sz w:val="20"/>
          <w:szCs w:val="20"/>
        </w:rPr>
        <w:t>Home Gateway Platform Division</w:t>
      </w:r>
    </w:p>
    <w:p w14:paraId="5A1B2123" w14:textId="77777777" w:rsidR="00960BB8" w:rsidRDefault="00C06650">
      <w:pPr>
        <w:spacing w:after="180"/>
      </w:pPr>
      <w:r>
        <w:rPr>
          <w:rFonts w:ascii="Arial" w:eastAsia="宋体" w:hAnsi="Arial" w:cs="Arial"/>
          <w:color w:val="262626"/>
          <w:sz w:val="18"/>
          <w:szCs w:val="18"/>
        </w:rPr>
        <w:t>On July 31, 2020, we completed the divestiture of the majority of</w:t>
      </w:r>
      <w:r>
        <w:rPr>
          <w:rFonts w:ascii="Arial" w:eastAsia="宋体" w:hAnsi="Arial" w:cs="Arial"/>
          <w:color w:val="262626"/>
          <w:sz w:val="18"/>
          <w:szCs w:val="18"/>
        </w:rPr>
        <w:t xml:space="preserve"> Home Gateway Platform, a division of CCG, for proceeds of $150 million. The divestiture included the transfer of certain employees, equipment, and an ongoing supply agreement for future units.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2130" w14:textId="77777777">
        <w:tc>
          <w:tcPr>
            <w:tcW w:w="50" w:type="pct"/>
            <w:shd w:val="clear" w:color="auto" w:fill="auto"/>
            <w:vAlign w:val="bottom"/>
          </w:tcPr>
          <w:p w14:paraId="5A1B2124" w14:textId="77777777" w:rsidR="00960BB8" w:rsidRDefault="00960BB8">
            <w:pPr>
              <w:rPr>
                <w:rFonts w:ascii="宋体"/>
              </w:rPr>
            </w:pPr>
          </w:p>
        </w:tc>
        <w:tc>
          <w:tcPr>
            <w:tcW w:w="276" w:type="pct"/>
            <w:shd w:val="clear" w:color="auto" w:fill="auto"/>
            <w:vAlign w:val="bottom"/>
          </w:tcPr>
          <w:p w14:paraId="5A1B2125" w14:textId="77777777" w:rsidR="00960BB8" w:rsidRDefault="00960BB8">
            <w:pPr>
              <w:rPr>
                <w:rFonts w:ascii="宋体"/>
              </w:rPr>
            </w:pPr>
          </w:p>
        </w:tc>
        <w:tc>
          <w:tcPr>
            <w:tcW w:w="5" w:type="pct"/>
            <w:shd w:val="clear" w:color="auto" w:fill="auto"/>
            <w:vAlign w:val="bottom"/>
          </w:tcPr>
          <w:p w14:paraId="5A1B2126" w14:textId="77777777" w:rsidR="00960BB8" w:rsidRDefault="00960BB8">
            <w:pPr>
              <w:rPr>
                <w:rFonts w:ascii="宋体"/>
              </w:rPr>
            </w:pPr>
          </w:p>
        </w:tc>
        <w:tc>
          <w:tcPr>
            <w:tcW w:w="50" w:type="pct"/>
            <w:shd w:val="clear" w:color="auto" w:fill="auto"/>
            <w:vAlign w:val="bottom"/>
          </w:tcPr>
          <w:p w14:paraId="5A1B2127" w14:textId="77777777" w:rsidR="00960BB8" w:rsidRDefault="00960BB8">
            <w:pPr>
              <w:rPr>
                <w:rFonts w:ascii="宋体"/>
              </w:rPr>
            </w:pPr>
          </w:p>
        </w:tc>
        <w:tc>
          <w:tcPr>
            <w:tcW w:w="940" w:type="pct"/>
            <w:shd w:val="clear" w:color="auto" w:fill="auto"/>
            <w:vAlign w:val="bottom"/>
          </w:tcPr>
          <w:p w14:paraId="5A1B2128" w14:textId="77777777" w:rsidR="00960BB8" w:rsidRDefault="00960BB8">
            <w:pPr>
              <w:rPr>
                <w:rFonts w:ascii="宋体"/>
              </w:rPr>
            </w:pPr>
          </w:p>
        </w:tc>
        <w:tc>
          <w:tcPr>
            <w:tcW w:w="5" w:type="pct"/>
            <w:shd w:val="clear" w:color="auto" w:fill="auto"/>
            <w:vAlign w:val="bottom"/>
          </w:tcPr>
          <w:p w14:paraId="5A1B2129" w14:textId="77777777" w:rsidR="00960BB8" w:rsidRDefault="00960BB8">
            <w:pPr>
              <w:rPr>
                <w:rFonts w:ascii="宋体"/>
              </w:rPr>
            </w:pPr>
          </w:p>
        </w:tc>
        <w:tc>
          <w:tcPr>
            <w:tcW w:w="50" w:type="pct"/>
            <w:shd w:val="clear" w:color="auto" w:fill="auto"/>
            <w:vAlign w:val="bottom"/>
          </w:tcPr>
          <w:p w14:paraId="5A1B212A" w14:textId="77777777" w:rsidR="00960BB8" w:rsidRDefault="00960BB8">
            <w:pPr>
              <w:rPr>
                <w:rFonts w:ascii="宋体"/>
              </w:rPr>
            </w:pPr>
          </w:p>
        </w:tc>
        <w:tc>
          <w:tcPr>
            <w:tcW w:w="1837" w:type="pct"/>
            <w:shd w:val="clear" w:color="auto" w:fill="auto"/>
            <w:vAlign w:val="bottom"/>
          </w:tcPr>
          <w:p w14:paraId="5A1B212B" w14:textId="77777777" w:rsidR="00960BB8" w:rsidRDefault="00960BB8">
            <w:pPr>
              <w:rPr>
                <w:rFonts w:ascii="宋体"/>
              </w:rPr>
            </w:pPr>
          </w:p>
        </w:tc>
        <w:tc>
          <w:tcPr>
            <w:tcW w:w="5" w:type="pct"/>
            <w:shd w:val="clear" w:color="auto" w:fill="auto"/>
            <w:vAlign w:val="bottom"/>
          </w:tcPr>
          <w:p w14:paraId="5A1B212C" w14:textId="77777777" w:rsidR="00960BB8" w:rsidRDefault="00960BB8">
            <w:pPr>
              <w:rPr>
                <w:rFonts w:ascii="宋体"/>
              </w:rPr>
            </w:pPr>
          </w:p>
        </w:tc>
        <w:tc>
          <w:tcPr>
            <w:tcW w:w="50" w:type="pct"/>
            <w:shd w:val="clear" w:color="auto" w:fill="auto"/>
            <w:vAlign w:val="bottom"/>
          </w:tcPr>
          <w:p w14:paraId="5A1B212D" w14:textId="77777777" w:rsidR="00960BB8" w:rsidRDefault="00960BB8">
            <w:pPr>
              <w:rPr>
                <w:rFonts w:ascii="宋体"/>
              </w:rPr>
            </w:pPr>
          </w:p>
        </w:tc>
        <w:tc>
          <w:tcPr>
            <w:tcW w:w="1724" w:type="pct"/>
            <w:shd w:val="clear" w:color="auto" w:fill="auto"/>
            <w:vAlign w:val="bottom"/>
          </w:tcPr>
          <w:p w14:paraId="5A1B212E" w14:textId="77777777" w:rsidR="00960BB8" w:rsidRDefault="00960BB8">
            <w:pPr>
              <w:rPr>
                <w:rFonts w:ascii="宋体"/>
              </w:rPr>
            </w:pPr>
          </w:p>
        </w:tc>
        <w:tc>
          <w:tcPr>
            <w:tcW w:w="5" w:type="pct"/>
            <w:shd w:val="clear" w:color="auto" w:fill="auto"/>
            <w:vAlign w:val="bottom"/>
          </w:tcPr>
          <w:p w14:paraId="5A1B212F" w14:textId="77777777" w:rsidR="00960BB8" w:rsidRDefault="00960BB8">
            <w:pPr>
              <w:rPr>
                <w:rFonts w:ascii="宋体"/>
              </w:rPr>
            </w:pPr>
          </w:p>
        </w:tc>
      </w:tr>
      <w:tr w:rsidR="00960BB8" w14:paraId="5A1B2135"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131"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A8" wp14:editId="5A1B44A9">
                  <wp:extent cx="304800" cy="304800"/>
                  <wp:effectExtent l="0" t="0" r="0" b="0"/>
                  <wp:docPr id="173" name="图片 28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8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132"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2133"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134" w14:textId="77777777" w:rsidR="00960BB8" w:rsidRDefault="00C06650">
            <w:pPr>
              <w:jc w:val="right"/>
              <w:textAlignment w:val="center"/>
            </w:pPr>
            <w:r>
              <w:rPr>
                <w:rFonts w:ascii="Arial" w:eastAsia="宋体" w:hAnsi="Arial" w:cs="Arial"/>
                <w:color w:val="262626"/>
                <w:sz w:val="16"/>
                <w:szCs w:val="16"/>
              </w:rPr>
              <w:t>98</w:t>
            </w:r>
          </w:p>
        </w:tc>
      </w:tr>
    </w:tbl>
    <w:p w14:paraId="5A1B2136" w14:textId="77777777" w:rsidR="00960BB8" w:rsidRDefault="00C06650">
      <w:r>
        <w:pict w14:anchorId="5A1B44AA">
          <v:rect id="_x0000_i1124" style="width:415.3pt;height:1.5pt" o:hralign="center" o:hrstd="t" o:hr="t" fillcolor="#a0a0a0" stroked="f"/>
        </w:pict>
      </w:r>
    </w:p>
    <w:p w14:paraId="5A1B2137" w14:textId="77777777" w:rsidR="00960BB8" w:rsidRDefault="00C06650">
      <w:pPr>
        <w:jc w:val="right"/>
      </w:pPr>
      <w:hyperlink r:id="rId147" w:anchor="i8aaa7b4dbd2e419ca0f5c30af85a11aa_16" w:history="1">
        <w:r>
          <w:rPr>
            <w:rStyle w:val="a5"/>
            <w:rFonts w:ascii="Arial" w:eastAsia="宋体" w:hAnsi="Arial" w:cs="Arial"/>
            <w:b/>
            <w:bCs/>
            <w:sz w:val="16"/>
            <w:szCs w:val="16"/>
          </w:rPr>
          <w:t>Table of Contents</w:t>
        </w:r>
      </w:hyperlink>
    </w:p>
    <w:p w14:paraId="5A1B2138"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960BB8" w14:paraId="5A1B213F" w14:textId="77777777">
        <w:tc>
          <w:tcPr>
            <w:tcW w:w="50" w:type="pct"/>
            <w:shd w:val="clear" w:color="auto" w:fill="auto"/>
            <w:vAlign w:val="bottom"/>
          </w:tcPr>
          <w:p w14:paraId="5A1B2139" w14:textId="77777777" w:rsidR="00960BB8" w:rsidRDefault="00960BB8">
            <w:pPr>
              <w:rPr>
                <w:rFonts w:ascii="宋体"/>
              </w:rPr>
            </w:pPr>
          </w:p>
        </w:tc>
        <w:tc>
          <w:tcPr>
            <w:tcW w:w="539" w:type="pct"/>
            <w:shd w:val="clear" w:color="auto" w:fill="auto"/>
            <w:vAlign w:val="bottom"/>
          </w:tcPr>
          <w:p w14:paraId="5A1B213A" w14:textId="77777777" w:rsidR="00960BB8" w:rsidRDefault="00960BB8">
            <w:pPr>
              <w:rPr>
                <w:rFonts w:ascii="宋体"/>
              </w:rPr>
            </w:pPr>
          </w:p>
        </w:tc>
        <w:tc>
          <w:tcPr>
            <w:tcW w:w="5" w:type="pct"/>
            <w:shd w:val="clear" w:color="auto" w:fill="auto"/>
            <w:vAlign w:val="bottom"/>
          </w:tcPr>
          <w:p w14:paraId="5A1B213B" w14:textId="77777777" w:rsidR="00960BB8" w:rsidRDefault="00960BB8">
            <w:pPr>
              <w:rPr>
                <w:rFonts w:ascii="宋体"/>
              </w:rPr>
            </w:pPr>
          </w:p>
        </w:tc>
        <w:tc>
          <w:tcPr>
            <w:tcW w:w="50" w:type="pct"/>
            <w:shd w:val="clear" w:color="auto" w:fill="auto"/>
            <w:vAlign w:val="bottom"/>
          </w:tcPr>
          <w:p w14:paraId="5A1B213C" w14:textId="77777777" w:rsidR="00960BB8" w:rsidRDefault="00960BB8">
            <w:pPr>
              <w:rPr>
                <w:rFonts w:ascii="宋体"/>
              </w:rPr>
            </w:pPr>
          </w:p>
        </w:tc>
        <w:tc>
          <w:tcPr>
            <w:tcW w:w="4350" w:type="pct"/>
            <w:shd w:val="clear" w:color="auto" w:fill="auto"/>
            <w:vAlign w:val="bottom"/>
          </w:tcPr>
          <w:p w14:paraId="5A1B213D" w14:textId="77777777" w:rsidR="00960BB8" w:rsidRDefault="00960BB8">
            <w:pPr>
              <w:rPr>
                <w:rFonts w:ascii="宋体"/>
              </w:rPr>
            </w:pPr>
          </w:p>
        </w:tc>
        <w:tc>
          <w:tcPr>
            <w:tcW w:w="5" w:type="pct"/>
            <w:shd w:val="clear" w:color="auto" w:fill="auto"/>
            <w:vAlign w:val="bottom"/>
          </w:tcPr>
          <w:p w14:paraId="5A1B213E" w14:textId="77777777" w:rsidR="00960BB8" w:rsidRDefault="00960BB8">
            <w:pPr>
              <w:rPr>
                <w:rFonts w:ascii="宋体"/>
              </w:rPr>
            </w:pPr>
          </w:p>
        </w:tc>
      </w:tr>
      <w:tr w:rsidR="00960BB8" w14:paraId="5A1B2142"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2140" w14:textId="77777777" w:rsidR="00960BB8" w:rsidRDefault="00C06650">
            <w:pPr>
              <w:textAlignment w:val="bottom"/>
            </w:pPr>
            <w:r>
              <w:rPr>
                <w:rFonts w:ascii="Arial" w:eastAsia="宋体" w:hAnsi="Arial" w:cs="Arial"/>
                <w:color w:val="FFFFFF"/>
                <w:sz w:val="28"/>
                <w:szCs w:val="28"/>
              </w:rPr>
              <w:t xml:space="preserve">Note 11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2141" w14:textId="77777777" w:rsidR="00960BB8" w:rsidRDefault="00C06650">
            <w:pPr>
              <w:textAlignment w:val="bottom"/>
            </w:pPr>
            <w:r>
              <w:rPr>
                <w:rFonts w:ascii="Arial" w:eastAsia="宋体" w:hAnsi="Arial" w:cs="Arial"/>
                <w:color w:val="0068B5"/>
                <w:sz w:val="28"/>
                <w:szCs w:val="28"/>
              </w:rPr>
              <w:t>Goodwill</w:t>
            </w:r>
          </w:p>
        </w:tc>
      </w:tr>
    </w:tbl>
    <w:p w14:paraId="5A1B2143"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920"/>
        <w:gridCol w:w="38"/>
        <w:gridCol w:w="36"/>
        <w:gridCol w:w="36"/>
        <w:gridCol w:w="36"/>
        <w:gridCol w:w="121"/>
        <w:gridCol w:w="752"/>
        <w:gridCol w:w="36"/>
        <w:gridCol w:w="36"/>
        <w:gridCol w:w="36"/>
        <w:gridCol w:w="36"/>
        <w:gridCol w:w="122"/>
        <w:gridCol w:w="1017"/>
        <w:gridCol w:w="36"/>
        <w:gridCol w:w="36"/>
        <w:gridCol w:w="36"/>
        <w:gridCol w:w="36"/>
        <w:gridCol w:w="36"/>
        <w:gridCol w:w="36"/>
        <w:gridCol w:w="122"/>
        <w:gridCol w:w="684"/>
        <w:gridCol w:w="36"/>
        <w:gridCol w:w="36"/>
        <w:gridCol w:w="36"/>
        <w:gridCol w:w="36"/>
        <w:gridCol w:w="121"/>
        <w:gridCol w:w="752"/>
        <w:gridCol w:w="36"/>
      </w:tblGrid>
      <w:tr w:rsidR="00960BB8" w14:paraId="5A1B2161" w14:textId="77777777">
        <w:tc>
          <w:tcPr>
            <w:tcW w:w="50" w:type="pct"/>
            <w:shd w:val="clear" w:color="auto" w:fill="auto"/>
            <w:vAlign w:val="bottom"/>
          </w:tcPr>
          <w:p w14:paraId="5A1B2144" w14:textId="77777777" w:rsidR="00960BB8" w:rsidRDefault="00960BB8">
            <w:pPr>
              <w:rPr>
                <w:rFonts w:ascii="宋体"/>
              </w:rPr>
            </w:pPr>
          </w:p>
        </w:tc>
        <w:tc>
          <w:tcPr>
            <w:tcW w:w="2431" w:type="pct"/>
            <w:shd w:val="clear" w:color="auto" w:fill="auto"/>
            <w:vAlign w:val="bottom"/>
          </w:tcPr>
          <w:p w14:paraId="5A1B2145" w14:textId="77777777" w:rsidR="00960BB8" w:rsidRDefault="00960BB8">
            <w:pPr>
              <w:rPr>
                <w:rFonts w:ascii="宋体"/>
              </w:rPr>
            </w:pPr>
          </w:p>
        </w:tc>
        <w:tc>
          <w:tcPr>
            <w:tcW w:w="5" w:type="pct"/>
            <w:shd w:val="clear" w:color="auto" w:fill="auto"/>
            <w:vAlign w:val="bottom"/>
          </w:tcPr>
          <w:p w14:paraId="5A1B2146" w14:textId="77777777" w:rsidR="00960BB8" w:rsidRDefault="00960BB8">
            <w:pPr>
              <w:rPr>
                <w:rFonts w:ascii="宋体"/>
              </w:rPr>
            </w:pPr>
          </w:p>
        </w:tc>
        <w:tc>
          <w:tcPr>
            <w:tcW w:w="5" w:type="pct"/>
            <w:shd w:val="clear" w:color="auto" w:fill="auto"/>
            <w:vAlign w:val="bottom"/>
          </w:tcPr>
          <w:p w14:paraId="5A1B2147" w14:textId="77777777" w:rsidR="00960BB8" w:rsidRDefault="00960BB8">
            <w:pPr>
              <w:rPr>
                <w:rFonts w:ascii="宋体"/>
              </w:rPr>
            </w:pPr>
          </w:p>
        </w:tc>
        <w:tc>
          <w:tcPr>
            <w:tcW w:w="24" w:type="pct"/>
            <w:shd w:val="clear" w:color="auto" w:fill="auto"/>
            <w:vAlign w:val="bottom"/>
          </w:tcPr>
          <w:p w14:paraId="5A1B2148" w14:textId="77777777" w:rsidR="00960BB8" w:rsidRDefault="00960BB8">
            <w:pPr>
              <w:rPr>
                <w:rFonts w:ascii="宋体"/>
              </w:rPr>
            </w:pPr>
          </w:p>
        </w:tc>
        <w:tc>
          <w:tcPr>
            <w:tcW w:w="5" w:type="pct"/>
            <w:shd w:val="clear" w:color="auto" w:fill="auto"/>
            <w:vAlign w:val="bottom"/>
          </w:tcPr>
          <w:p w14:paraId="5A1B2149" w14:textId="77777777" w:rsidR="00960BB8" w:rsidRDefault="00960BB8">
            <w:pPr>
              <w:rPr>
                <w:rFonts w:ascii="宋体"/>
              </w:rPr>
            </w:pPr>
          </w:p>
        </w:tc>
        <w:tc>
          <w:tcPr>
            <w:tcW w:w="50" w:type="pct"/>
            <w:shd w:val="clear" w:color="auto" w:fill="auto"/>
            <w:vAlign w:val="bottom"/>
          </w:tcPr>
          <w:p w14:paraId="5A1B214A" w14:textId="77777777" w:rsidR="00960BB8" w:rsidRDefault="00960BB8">
            <w:pPr>
              <w:rPr>
                <w:rFonts w:ascii="宋体"/>
              </w:rPr>
            </w:pPr>
          </w:p>
        </w:tc>
        <w:tc>
          <w:tcPr>
            <w:tcW w:w="539" w:type="pct"/>
            <w:shd w:val="clear" w:color="auto" w:fill="auto"/>
            <w:vAlign w:val="bottom"/>
          </w:tcPr>
          <w:p w14:paraId="5A1B214B" w14:textId="77777777" w:rsidR="00960BB8" w:rsidRDefault="00960BB8">
            <w:pPr>
              <w:rPr>
                <w:rFonts w:ascii="宋体"/>
              </w:rPr>
            </w:pPr>
          </w:p>
        </w:tc>
        <w:tc>
          <w:tcPr>
            <w:tcW w:w="5" w:type="pct"/>
            <w:shd w:val="clear" w:color="auto" w:fill="auto"/>
            <w:vAlign w:val="bottom"/>
          </w:tcPr>
          <w:p w14:paraId="5A1B214C" w14:textId="77777777" w:rsidR="00960BB8" w:rsidRDefault="00960BB8">
            <w:pPr>
              <w:rPr>
                <w:rFonts w:ascii="宋体"/>
              </w:rPr>
            </w:pPr>
          </w:p>
        </w:tc>
        <w:tc>
          <w:tcPr>
            <w:tcW w:w="5" w:type="pct"/>
            <w:shd w:val="clear" w:color="auto" w:fill="auto"/>
            <w:vAlign w:val="bottom"/>
          </w:tcPr>
          <w:p w14:paraId="5A1B214D" w14:textId="77777777" w:rsidR="00960BB8" w:rsidRDefault="00960BB8">
            <w:pPr>
              <w:rPr>
                <w:rFonts w:ascii="宋体"/>
              </w:rPr>
            </w:pPr>
          </w:p>
        </w:tc>
        <w:tc>
          <w:tcPr>
            <w:tcW w:w="24" w:type="pct"/>
            <w:shd w:val="clear" w:color="auto" w:fill="auto"/>
            <w:vAlign w:val="bottom"/>
          </w:tcPr>
          <w:p w14:paraId="5A1B214E" w14:textId="77777777" w:rsidR="00960BB8" w:rsidRDefault="00960BB8">
            <w:pPr>
              <w:rPr>
                <w:rFonts w:ascii="宋体"/>
              </w:rPr>
            </w:pPr>
          </w:p>
        </w:tc>
        <w:tc>
          <w:tcPr>
            <w:tcW w:w="5" w:type="pct"/>
            <w:shd w:val="clear" w:color="auto" w:fill="auto"/>
            <w:vAlign w:val="bottom"/>
          </w:tcPr>
          <w:p w14:paraId="5A1B214F" w14:textId="77777777" w:rsidR="00960BB8" w:rsidRDefault="00960BB8">
            <w:pPr>
              <w:rPr>
                <w:rFonts w:ascii="宋体"/>
              </w:rPr>
            </w:pPr>
          </w:p>
        </w:tc>
        <w:tc>
          <w:tcPr>
            <w:tcW w:w="50" w:type="pct"/>
            <w:shd w:val="clear" w:color="auto" w:fill="auto"/>
            <w:vAlign w:val="bottom"/>
          </w:tcPr>
          <w:p w14:paraId="5A1B2150" w14:textId="77777777" w:rsidR="00960BB8" w:rsidRDefault="00960BB8">
            <w:pPr>
              <w:rPr>
                <w:rFonts w:ascii="宋体"/>
              </w:rPr>
            </w:pPr>
          </w:p>
        </w:tc>
        <w:tc>
          <w:tcPr>
            <w:tcW w:w="539" w:type="pct"/>
            <w:shd w:val="clear" w:color="auto" w:fill="auto"/>
            <w:vAlign w:val="bottom"/>
          </w:tcPr>
          <w:p w14:paraId="5A1B2151" w14:textId="77777777" w:rsidR="00960BB8" w:rsidRDefault="00960BB8">
            <w:pPr>
              <w:rPr>
                <w:rFonts w:ascii="宋体"/>
              </w:rPr>
            </w:pPr>
          </w:p>
        </w:tc>
        <w:tc>
          <w:tcPr>
            <w:tcW w:w="5" w:type="pct"/>
            <w:shd w:val="clear" w:color="auto" w:fill="auto"/>
            <w:vAlign w:val="bottom"/>
          </w:tcPr>
          <w:p w14:paraId="5A1B2152" w14:textId="77777777" w:rsidR="00960BB8" w:rsidRDefault="00960BB8">
            <w:pPr>
              <w:rPr>
                <w:rFonts w:ascii="宋体"/>
              </w:rPr>
            </w:pPr>
          </w:p>
        </w:tc>
        <w:tc>
          <w:tcPr>
            <w:tcW w:w="5" w:type="pct"/>
            <w:shd w:val="clear" w:color="auto" w:fill="auto"/>
            <w:vAlign w:val="bottom"/>
          </w:tcPr>
          <w:p w14:paraId="5A1B2153" w14:textId="77777777" w:rsidR="00960BB8" w:rsidRDefault="00960BB8">
            <w:pPr>
              <w:rPr>
                <w:rFonts w:ascii="宋体"/>
              </w:rPr>
            </w:pPr>
          </w:p>
        </w:tc>
        <w:tc>
          <w:tcPr>
            <w:tcW w:w="24" w:type="pct"/>
            <w:shd w:val="clear" w:color="auto" w:fill="auto"/>
            <w:vAlign w:val="bottom"/>
          </w:tcPr>
          <w:p w14:paraId="5A1B2154" w14:textId="77777777" w:rsidR="00960BB8" w:rsidRDefault="00960BB8">
            <w:pPr>
              <w:rPr>
                <w:rFonts w:ascii="宋体"/>
              </w:rPr>
            </w:pPr>
          </w:p>
        </w:tc>
        <w:tc>
          <w:tcPr>
            <w:tcW w:w="5" w:type="pct"/>
            <w:shd w:val="clear" w:color="auto" w:fill="auto"/>
            <w:vAlign w:val="bottom"/>
          </w:tcPr>
          <w:p w14:paraId="5A1B2155" w14:textId="77777777" w:rsidR="00960BB8" w:rsidRDefault="00960BB8">
            <w:pPr>
              <w:rPr>
                <w:rFonts w:ascii="宋体"/>
              </w:rPr>
            </w:pPr>
          </w:p>
        </w:tc>
        <w:tc>
          <w:tcPr>
            <w:tcW w:w="0" w:type="auto"/>
            <w:shd w:val="clear" w:color="auto" w:fill="auto"/>
            <w:vAlign w:val="bottom"/>
          </w:tcPr>
          <w:p w14:paraId="5A1B2156" w14:textId="77777777" w:rsidR="00960BB8" w:rsidRDefault="00960BB8">
            <w:pPr>
              <w:rPr>
                <w:rFonts w:ascii="宋体"/>
                <w:vanish/>
              </w:rPr>
            </w:pPr>
          </w:p>
        </w:tc>
        <w:tc>
          <w:tcPr>
            <w:tcW w:w="0" w:type="auto"/>
            <w:shd w:val="clear" w:color="auto" w:fill="auto"/>
            <w:vAlign w:val="bottom"/>
          </w:tcPr>
          <w:p w14:paraId="5A1B2157" w14:textId="77777777" w:rsidR="00960BB8" w:rsidRDefault="00960BB8">
            <w:pPr>
              <w:rPr>
                <w:rFonts w:ascii="宋体"/>
                <w:vanish/>
              </w:rPr>
            </w:pPr>
          </w:p>
        </w:tc>
        <w:tc>
          <w:tcPr>
            <w:tcW w:w="50" w:type="pct"/>
            <w:shd w:val="clear" w:color="auto" w:fill="auto"/>
            <w:vAlign w:val="bottom"/>
          </w:tcPr>
          <w:p w14:paraId="5A1B2158" w14:textId="77777777" w:rsidR="00960BB8" w:rsidRDefault="00960BB8">
            <w:pPr>
              <w:rPr>
                <w:rFonts w:ascii="宋体"/>
              </w:rPr>
            </w:pPr>
          </w:p>
        </w:tc>
        <w:tc>
          <w:tcPr>
            <w:tcW w:w="539" w:type="pct"/>
            <w:shd w:val="clear" w:color="auto" w:fill="auto"/>
            <w:vAlign w:val="bottom"/>
          </w:tcPr>
          <w:p w14:paraId="5A1B2159" w14:textId="77777777" w:rsidR="00960BB8" w:rsidRDefault="00960BB8">
            <w:pPr>
              <w:rPr>
                <w:rFonts w:ascii="宋体"/>
              </w:rPr>
            </w:pPr>
          </w:p>
        </w:tc>
        <w:tc>
          <w:tcPr>
            <w:tcW w:w="5" w:type="pct"/>
            <w:shd w:val="clear" w:color="auto" w:fill="auto"/>
            <w:vAlign w:val="bottom"/>
          </w:tcPr>
          <w:p w14:paraId="5A1B215A" w14:textId="77777777" w:rsidR="00960BB8" w:rsidRDefault="00960BB8">
            <w:pPr>
              <w:rPr>
                <w:rFonts w:ascii="宋体"/>
              </w:rPr>
            </w:pPr>
          </w:p>
        </w:tc>
        <w:tc>
          <w:tcPr>
            <w:tcW w:w="5" w:type="pct"/>
            <w:shd w:val="clear" w:color="auto" w:fill="auto"/>
            <w:vAlign w:val="bottom"/>
          </w:tcPr>
          <w:p w14:paraId="5A1B215B" w14:textId="77777777" w:rsidR="00960BB8" w:rsidRDefault="00960BB8">
            <w:pPr>
              <w:rPr>
                <w:rFonts w:ascii="宋体"/>
              </w:rPr>
            </w:pPr>
          </w:p>
        </w:tc>
        <w:tc>
          <w:tcPr>
            <w:tcW w:w="24" w:type="pct"/>
            <w:shd w:val="clear" w:color="auto" w:fill="auto"/>
            <w:vAlign w:val="bottom"/>
          </w:tcPr>
          <w:p w14:paraId="5A1B215C" w14:textId="77777777" w:rsidR="00960BB8" w:rsidRDefault="00960BB8">
            <w:pPr>
              <w:rPr>
                <w:rFonts w:ascii="宋体"/>
              </w:rPr>
            </w:pPr>
          </w:p>
        </w:tc>
        <w:tc>
          <w:tcPr>
            <w:tcW w:w="5" w:type="pct"/>
            <w:shd w:val="clear" w:color="auto" w:fill="auto"/>
            <w:vAlign w:val="bottom"/>
          </w:tcPr>
          <w:p w14:paraId="5A1B215D" w14:textId="77777777" w:rsidR="00960BB8" w:rsidRDefault="00960BB8">
            <w:pPr>
              <w:rPr>
                <w:rFonts w:ascii="宋体"/>
              </w:rPr>
            </w:pPr>
          </w:p>
        </w:tc>
        <w:tc>
          <w:tcPr>
            <w:tcW w:w="50" w:type="pct"/>
            <w:shd w:val="clear" w:color="auto" w:fill="auto"/>
            <w:vAlign w:val="bottom"/>
          </w:tcPr>
          <w:p w14:paraId="5A1B215E" w14:textId="77777777" w:rsidR="00960BB8" w:rsidRDefault="00960BB8">
            <w:pPr>
              <w:rPr>
                <w:rFonts w:ascii="宋体"/>
              </w:rPr>
            </w:pPr>
          </w:p>
        </w:tc>
        <w:tc>
          <w:tcPr>
            <w:tcW w:w="539" w:type="pct"/>
            <w:shd w:val="clear" w:color="auto" w:fill="auto"/>
            <w:vAlign w:val="bottom"/>
          </w:tcPr>
          <w:p w14:paraId="5A1B215F" w14:textId="77777777" w:rsidR="00960BB8" w:rsidRDefault="00960BB8">
            <w:pPr>
              <w:rPr>
                <w:rFonts w:ascii="宋体"/>
              </w:rPr>
            </w:pPr>
          </w:p>
        </w:tc>
        <w:tc>
          <w:tcPr>
            <w:tcW w:w="5" w:type="pct"/>
            <w:shd w:val="clear" w:color="auto" w:fill="auto"/>
            <w:vAlign w:val="bottom"/>
          </w:tcPr>
          <w:p w14:paraId="5A1B2160" w14:textId="77777777" w:rsidR="00960BB8" w:rsidRDefault="00960BB8">
            <w:pPr>
              <w:rPr>
                <w:rFonts w:ascii="宋体"/>
              </w:rPr>
            </w:pPr>
          </w:p>
        </w:tc>
      </w:tr>
      <w:tr w:rsidR="00960BB8" w14:paraId="5A1B216D" w14:textId="77777777">
        <w:tc>
          <w:tcPr>
            <w:tcW w:w="0" w:type="auto"/>
            <w:gridSpan w:val="3"/>
            <w:shd w:val="clear" w:color="auto" w:fill="FFFFFF"/>
            <w:tcMar>
              <w:top w:w="40" w:type="dxa"/>
              <w:left w:w="20" w:type="dxa"/>
              <w:bottom w:w="40" w:type="dxa"/>
              <w:right w:w="20" w:type="dxa"/>
            </w:tcMar>
            <w:vAlign w:val="bottom"/>
          </w:tcPr>
          <w:p w14:paraId="5A1B2162" w14:textId="77777777" w:rsidR="00960BB8" w:rsidRDefault="00C06650">
            <w:pPr>
              <w:textAlignment w:val="bottom"/>
            </w:pPr>
            <w:r>
              <w:rPr>
                <w:rFonts w:ascii="Arial" w:eastAsia="宋体" w:hAnsi="Arial" w:cs="Arial"/>
                <w:b/>
                <w:bCs/>
                <w:sz w:val="18"/>
                <w:szCs w:val="18"/>
              </w:rPr>
              <w:br/>
            </w:r>
            <w:r>
              <w:rPr>
                <w:rFonts w:ascii="Arial" w:eastAsia="宋体" w:hAnsi="Arial" w:cs="Arial"/>
                <w:b/>
                <w:bCs/>
                <w:color w:val="262626"/>
                <w:sz w:val="18"/>
                <w:szCs w:val="18"/>
              </w:rPr>
              <w:t>(In Millions)</w:t>
            </w:r>
          </w:p>
        </w:tc>
        <w:tc>
          <w:tcPr>
            <w:tcW w:w="0" w:type="auto"/>
            <w:gridSpan w:val="3"/>
            <w:shd w:val="clear" w:color="auto" w:fill="FFFFFF"/>
            <w:tcMar>
              <w:top w:w="0" w:type="dxa"/>
              <w:left w:w="20" w:type="dxa"/>
              <w:bottom w:w="0" w:type="dxa"/>
              <w:right w:w="20" w:type="dxa"/>
            </w:tcMar>
            <w:vAlign w:val="bottom"/>
          </w:tcPr>
          <w:p w14:paraId="5A1B2163"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bottom"/>
          </w:tcPr>
          <w:p w14:paraId="5A1B2164"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FFFFFF"/>
            <w:tcMar>
              <w:top w:w="0" w:type="dxa"/>
              <w:left w:w="20" w:type="dxa"/>
              <w:bottom w:w="0" w:type="dxa"/>
              <w:right w:w="20" w:type="dxa"/>
            </w:tcMar>
            <w:vAlign w:val="bottom"/>
          </w:tcPr>
          <w:p w14:paraId="5A1B2165"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bottom"/>
          </w:tcPr>
          <w:p w14:paraId="5A1B2166" w14:textId="77777777" w:rsidR="00960BB8" w:rsidRDefault="00C06650">
            <w:pPr>
              <w:jc w:val="center"/>
              <w:textAlignment w:val="bottom"/>
            </w:pPr>
            <w:r>
              <w:rPr>
                <w:rFonts w:ascii="Arial" w:eastAsia="宋体" w:hAnsi="Arial" w:cs="Arial"/>
                <w:b/>
                <w:bCs/>
                <w:color w:val="262626"/>
                <w:sz w:val="18"/>
                <w:szCs w:val="18"/>
              </w:rPr>
              <w:t>Acquisitions</w:t>
            </w:r>
          </w:p>
        </w:tc>
        <w:tc>
          <w:tcPr>
            <w:tcW w:w="0" w:type="auto"/>
            <w:gridSpan w:val="3"/>
            <w:shd w:val="clear" w:color="auto" w:fill="FFFFFF"/>
            <w:tcMar>
              <w:top w:w="0" w:type="dxa"/>
              <w:left w:w="20" w:type="dxa"/>
              <w:bottom w:w="0" w:type="dxa"/>
              <w:right w:w="20" w:type="dxa"/>
            </w:tcMar>
            <w:vAlign w:val="bottom"/>
          </w:tcPr>
          <w:p w14:paraId="5A1B2167" w14:textId="77777777" w:rsidR="00960BB8" w:rsidRDefault="00960BB8">
            <w:pPr>
              <w:rPr>
                <w:rFonts w:ascii="宋体"/>
              </w:rPr>
            </w:pPr>
          </w:p>
        </w:tc>
        <w:tc>
          <w:tcPr>
            <w:tcW w:w="0" w:type="auto"/>
            <w:shd w:val="clear" w:color="auto" w:fill="auto"/>
            <w:vAlign w:val="bottom"/>
          </w:tcPr>
          <w:p w14:paraId="5A1B2168" w14:textId="77777777" w:rsidR="00960BB8" w:rsidRDefault="00960BB8">
            <w:pPr>
              <w:rPr>
                <w:rFonts w:ascii="宋体"/>
                <w:vanish/>
              </w:rPr>
            </w:pPr>
          </w:p>
        </w:tc>
        <w:tc>
          <w:tcPr>
            <w:tcW w:w="0" w:type="auto"/>
            <w:shd w:val="clear" w:color="auto" w:fill="auto"/>
            <w:vAlign w:val="bottom"/>
          </w:tcPr>
          <w:p w14:paraId="5A1B2169" w14:textId="77777777" w:rsidR="00960BB8" w:rsidRDefault="00960BB8">
            <w:pPr>
              <w:rPr>
                <w:rFonts w:ascii="宋体"/>
                <w:vanish/>
              </w:rPr>
            </w:pPr>
          </w:p>
        </w:tc>
        <w:tc>
          <w:tcPr>
            <w:tcW w:w="0" w:type="auto"/>
            <w:gridSpan w:val="3"/>
            <w:shd w:val="clear" w:color="auto" w:fill="FFFFFF"/>
            <w:tcMar>
              <w:top w:w="40" w:type="dxa"/>
              <w:left w:w="20" w:type="dxa"/>
              <w:bottom w:w="40" w:type="dxa"/>
              <w:right w:w="20" w:type="dxa"/>
            </w:tcMar>
            <w:vAlign w:val="bottom"/>
          </w:tcPr>
          <w:p w14:paraId="5A1B216A" w14:textId="77777777" w:rsidR="00960BB8" w:rsidRDefault="00C06650">
            <w:pPr>
              <w:jc w:val="center"/>
              <w:textAlignment w:val="bottom"/>
            </w:pPr>
            <w:r>
              <w:rPr>
                <w:rFonts w:ascii="Arial" w:eastAsia="宋体" w:hAnsi="Arial" w:cs="Arial"/>
                <w:b/>
                <w:bCs/>
                <w:color w:val="262626"/>
                <w:sz w:val="18"/>
                <w:szCs w:val="18"/>
              </w:rPr>
              <w:t>Other</w:t>
            </w:r>
          </w:p>
        </w:tc>
        <w:tc>
          <w:tcPr>
            <w:tcW w:w="0" w:type="auto"/>
            <w:gridSpan w:val="3"/>
            <w:shd w:val="clear" w:color="auto" w:fill="FFFFFF"/>
            <w:tcMar>
              <w:top w:w="0" w:type="dxa"/>
              <w:left w:w="20" w:type="dxa"/>
              <w:bottom w:w="0" w:type="dxa"/>
              <w:right w:w="20" w:type="dxa"/>
            </w:tcMar>
            <w:vAlign w:val="bottom"/>
          </w:tcPr>
          <w:p w14:paraId="5A1B216B"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bottom"/>
          </w:tcPr>
          <w:p w14:paraId="5A1B216C" w14:textId="77777777" w:rsidR="00960BB8" w:rsidRDefault="00C06650">
            <w:pPr>
              <w:jc w:val="center"/>
              <w:textAlignment w:val="bottom"/>
            </w:pPr>
            <w:r>
              <w:rPr>
                <w:rFonts w:ascii="Arial" w:eastAsia="宋体" w:hAnsi="Arial" w:cs="Arial"/>
                <w:b/>
                <w:bCs/>
                <w:color w:val="262626"/>
                <w:sz w:val="18"/>
                <w:szCs w:val="18"/>
              </w:rPr>
              <w:t>Dec 31, 2022</w:t>
            </w:r>
          </w:p>
        </w:tc>
      </w:tr>
      <w:tr w:rsidR="00960BB8" w14:paraId="5A1B2181"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16E" w14:textId="77777777" w:rsidR="00960BB8" w:rsidRDefault="00C06650">
            <w:pPr>
              <w:textAlignment w:val="bottom"/>
            </w:pPr>
            <w:r>
              <w:rPr>
                <w:rFonts w:ascii="Arial" w:eastAsia="宋体" w:hAnsi="Arial" w:cs="Arial"/>
                <w:color w:val="000000"/>
                <w:sz w:val="18"/>
                <w:szCs w:val="18"/>
              </w:rPr>
              <w:t>Client Computing</w:t>
            </w:r>
          </w:p>
        </w:tc>
        <w:tc>
          <w:tcPr>
            <w:tcW w:w="0" w:type="auto"/>
            <w:gridSpan w:val="3"/>
            <w:shd w:val="clear" w:color="auto" w:fill="auto"/>
            <w:tcMar>
              <w:top w:w="0" w:type="dxa"/>
              <w:left w:w="20" w:type="dxa"/>
              <w:bottom w:w="0" w:type="dxa"/>
              <w:right w:w="20" w:type="dxa"/>
            </w:tcMar>
            <w:vAlign w:val="bottom"/>
          </w:tcPr>
          <w:p w14:paraId="5A1B216F"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170"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171" w14:textId="77777777" w:rsidR="00960BB8" w:rsidRDefault="00C06650">
            <w:pPr>
              <w:jc w:val="right"/>
              <w:textAlignment w:val="bottom"/>
            </w:pPr>
            <w:r>
              <w:rPr>
                <w:rFonts w:ascii="Arial" w:eastAsia="宋体" w:hAnsi="Arial" w:cs="Arial"/>
                <w:color w:val="262626"/>
                <w:sz w:val="18"/>
                <w:szCs w:val="18"/>
              </w:rPr>
              <w:t>4,237 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17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173" w14:textId="77777777" w:rsidR="00960BB8" w:rsidRDefault="00960BB8">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bottom"/>
          </w:tcPr>
          <w:p w14:paraId="5A1B2174"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bottom"/>
          </w:tcPr>
          <w:p w14:paraId="5A1B2175" w14:textId="77777777" w:rsidR="00960BB8" w:rsidRDefault="00C06650">
            <w:pPr>
              <w:jc w:val="right"/>
              <w:textAlignment w:val="bottom"/>
            </w:pPr>
            <w:r>
              <w:rPr>
                <w:rFonts w:ascii="Arial" w:eastAsia="宋体" w:hAnsi="Arial" w:cs="Arial"/>
                <w:color w:val="0068B5"/>
                <w:sz w:val="18"/>
                <w:szCs w:val="18"/>
              </w:rPr>
              <w:t>17 </w:t>
            </w:r>
          </w:p>
        </w:tc>
        <w:tc>
          <w:tcPr>
            <w:tcW w:w="0" w:type="auto"/>
            <w:tcBorders>
              <w:top w:val="single" w:sz="8" w:space="0" w:color="0068B5"/>
            </w:tcBorders>
            <w:shd w:val="clear" w:color="auto" w:fill="FFFFFF"/>
            <w:tcMar>
              <w:top w:w="40" w:type="dxa"/>
              <w:left w:w="0" w:type="dxa"/>
              <w:bottom w:w="40" w:type="dxa"/>
              <w:right w:w="20" w:type="dxa"/>
            </w:tcMar>
            <w:vAlign w:val="bottom"/>
          </w:tcPr>
          <w:p w14:paraId="5A1B217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177" w14:textId="77777777" w:rsidR="00960BB8" w:rsidRDefault="00960BB8">
            <w:pPr>
              <w:rPr>
                <w:rFonts w:ascii="宋体"/>
              </w:rPr>
            </w:pPr>
          </w:p>
        </w:tc>
        <w:tc>
          <w:tcPr>
            <w:tcW w:w="0" w:type="auto"/>
            <w:shd w:val="clear" w:color="auto" w:fill="auto"/>
            <w:vAlign w:val="bottom"/>
          </w:tcPr>
          <w:p w14:paraId="5A1B2178" w14:textId="77777777" w:rsidR="00960BB8" w:rsidRDefault="00960BB8">
            <w:pPr>
              <w:rPr>
                <w:rFonts w:ascii="宋体"/>
                <w:vanish/>
              </w:rPr>
            </w:pPr>
          </w:p>
        </w:tc>
        <w:tc>
          <w:tcPr>
            <w:tcW w:w="0" w:type="auto"/>
            <w:shd w:val="clear" w:color="auto" w:fill="auto"/>
            <w:vAlign w:val="bottom"/>
          </w:tcPr>
          <w:p w14:paraId="5A1B2179" w14:textId="77777777" w:rsidR="00960BB8" w:rsidRDefault="00960BB8">
            <w:pPr>
              <w:rPr>
                <w:rFonts w:ascii="宋体"/>
                <w:vanish/>
              </w:rPr>
            </w:pPr>
          </w:p>
        </w:tc>
        <w:tc>
          <w:tcPr>
            <w:tcW w:w="0" w:type="auto"/>
            <w:tcBorders>
              <w:top w:val="single" w:sz="8" w:space="0" w:color="0068B5"/>
            </w:tcBorders>
            <w:shd w:val="clear" w:color="auto" w:fill="FFFFFF"/>
            <w:tcMar>
              <w:top w:w="40" w:type="dxa"/>
              <w:left w:w="20" w:type="dxa"/>
              <w:bottom w:w="40" w:type="dxa"/>
              <w:right w:w="0" w:type="dxa"/>
            </w:tcMar>
            <w:vAlign w:val="bottom"/>
          </w:tcPr>
          <w:p w14:paraId="5A1B217A"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bottom"/>
          </w:tcPr>
          <w:p w14:paraId="5A1B217B" w14:textId="77777777" w:rsidR="00960BB8" w:rsidRDefault="00C06650">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FFFFFF"/>
            <w:tcMar>
              <w:top w:w="40" w:type="dxa"/>
              <w:left w:w="0" w:type="dxa"/>
              <w:bottom w:w="40" w:type="dxa"/>
              <w:right w:w="20" w:type="dxa"/>
            </w:tcMar>
            <w:vAlign w:val="bottom"/>
          </w:tcPr>
          <w:p w14:paraId="5A1B217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17D" w14:textId="77777777" w:rsidR="00960BB8" w:rsidRDefault="00960BB8">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bottom"/>
          </w:tcPr>
          <w:p w14:paraId="5A1B217E"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bottom"/>
          </w:tcPr>
          <w:p w14:paraId="5A1B217F" w14:textId="77777777" w:rsidR="00960BB8" w:rsidRDefault="00C06650">
            <w:pPr>
              <w:jc w:val="right"/>
              <w:textAlignment w:val="bottom"/>
            </w:pPr>
            <w:r>
              <w:rPr>
                <w:rFonts w:ascii="Arial" w:eastAsia="宋体" w:hAnsi="Arial" w:cs="Arial"/>
                <w:color w:val="0068B5"/>
                <w:sz w:val="18"/>
                <w:szCs w:val="18"/>
              </w:rPr>
              <w:t>4,254 </w:t>
            </w:r>
          </w:p>
        </w:tc>
        <w:tc>
          <w:tcPr>
            <w:tcW w:w="0" w:type="auto"/>
            <w:tcBorders>
              <w:top w:val="single" w:sz="8" w:space="0" w:color="0068B5"/>
            </w:tcBorders>
            <w:shd w:val="clear" w:color="auto" w:fill="FFFFFF"/>
            <w:tcMar>
              <w:top w:w="40" w:type="dxa"/>
              <w:left w:w="0" w:type="dxa"/>
              <w:bottom w:w="40" w:type="dxa"/>
              <w:right w:w="20" w:type="dxa"/>
            </w:tcMar>
            <w:vAlign w:val="bottom"/>
          </w:tcPr>
          <w:p w14:paraId="5A1B2180" w14:textId="77777777" w:rsidR="00960BB8" w:rsidRDefault="00960BB8">
            <w:pPr>
              <w:jc w:val="right"/>
              <w:rPr>
                <w:rFonts w:ascii="宋体"/>
              </w:rPr>
            </w:pPr>
          </w:p>
        </w:tc>
      </w:tr>
      <w:tr w:rsidR="00960BB8" w14:paraId="5A1B2191" w14:textId="77777777">
        <w:tc>
          <w:tcPr>
            <w:tcW w:w="0" w:type="auto"/>
            <w:gridSpan w:val="3"/>
            <w:shd w:val="clear" w:color="auto" w:fill="auto"/>
            <w:tcMar>
              <w:top w:w="40" w:type="dxa"/>
              <w:left w:w="20" w:type="dxa"/>
              <w:bottom w:w="40" w:type="dxa"/>
              <w:right w:w="20" w:type="dxa"/>
            </w:tcMar>
            <w:vAlign w:val="bottom"/>
          </w:tcPr>
          <w:p w14:paraId="5A1B2182" w14:textId="77777777" w:rsidR="00960BB8" w:rsidRDefault="00C06650">
            <w:pPr>
              <w:textAlignment w:val="bottom"/>
            </w:pPr>
            <w:r>
              <w:rPr>
                <w:rFonts w:ascii="Arial" w:eastAsia="宋体" w:hAnsi="Arial" w:cs="Arial"/>
                <w:color w:val="262626"/>
                <w:sz w:val="18"/>
                <w:szCs w:val="18"/>
              </w:rPr>
              <w:t>Data Center and AI</w:t>
            </w:r>
          </w:p>
        </w:tc>
        <w:tc>
          <w:tcPr>
            <w:tcW w:w="0" w:type="auto"/>
            <w:gridSpan w:val="3"/>
            <w:shd w:val="clear" w:color="auto" w:fill="auto"/>
            <w:tcMar>
              <w:top w:w="0" w:type="dxa"/>
              <w:left w:w="20" w:type="dxa"/>
              <w:bottom w:w="0" w:type="dxa"/>
              <w:right w:w="20" w:type="dxa"/>
            </w:tcMar>
            <w:vAlign w:val="bottom"/>
          </w:tcPr>
          <w:p w14:paraId="5A1B218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184" w14:textId="77777777" w:rsidR="00960BB8" w:rsidRDefault="00C06650">
            <w:pPr>
              <w:jc w:val="right"/>
              <w:textAlignment w:val="bottom"/>
            </w:pPr>
            <w:r>
              <w:rPr>
                <w:rFonts w:ascii="Arial" w:eastAsia="宋体" w:hAnsi="Arial" w:cs="Arial"/>
                <w:color w:val="262626"/>
                <w:sz w:val="18"/>
                <w:szCs w:val="18"/>
              </w:rPr>
              <w:t>8,595 </w:t>
            </w:r>
          </w:p>
        </w:tc>
        <w:tc>
          <w:tcPr>
            <w:tcW w:w="0" w:type="auto"/>
            <w:shd w:val="clear" w:color="auto" w:fill="auto"/>
            <w:tcMar>
              <w:top w:w="40" w:type="dxa"/>
              <w:left w:w="0" w:type="dxa"/>
              <w:bottom w:w="40" w:type="dxa"/>
              <w:right w:w="20" w:type="dxa"/>
            </w:tcMar>
            <w:vAlign w:val="bottom"/>
          </w:tcPr>
          <w:p w14:paraId="5A1B218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186"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187" w14:textId="77777777" w:rsidR="00960BB8" w:rsidRDefault="00C06650">
            <w:pPr>
              <w:jc w:val="right"/>
              <w:textAlignment w:val="bottom"/>
            </w:pPr>
            <w:r>
              <w:rPr>
                <w:rFonts w:ascii="Arial" w:eastAsia="宋体" w:hAnsi="Arial" w:cs="Arial"/>
                <w:color w:val="0068B5"/>
                <w:sz w:val="18"/>
                <w:szCs w:val="18"/>
              </w:rPr>
              <w:t>418 </w:t>
            </w:r>
          </w:p>
        </w:tc>
        <w:tc>
          <w:tcPr>
            <w:tcW w:w="0" w:type="auto"/>
            <w:shd w:val="clear" w:color="auto" w:fill="FFFFFF"/>
            <w:tcMar>
              <w:top w:w="40" w:type="dxa"/>
              <w:left w:w="0" w:type="dxa"/>
              <w:bottom w:w="40" w:type="dxa"/>
              <w:right w:w="20" w:type="dxa"/>
            </w:tcMar>
            <w:vAlign w:val="bottom"/>
          </w:tcPr>
          <w:p w14:paraId="5A1B2188"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189" w14:textId="77777777" w:rsidR="00960BB8" w:rsidRDefault="00960BB8">
            <w:pPr>
              <w:rPr>
                <w:rFonts w:ascii="宋体"/>
              </w:rPr>
            </w:pPr>
          </w:p>
        </w:tc>
        <w:tc>
          <w:tcPr>
            <w:tcW w:w="0" w:type="auto"/>
            <w:shd w:val="clear" w:color="auto" w:fill="auto"/>
            <w:vAlign w:val="bottom"/>
          </w:tcPr>
          <w:p w14:paraId="5A1B218A" w14:textId="77777777" w:rsidR="00960BB8" w:rsidRDefault="00960BB8">
            <w:pPr>
              <w:rPr>
                <w:rFonts w:ascii="宋体"/>
                <w:vanish/>
              </w:rPr>
            </w:pPr>
          </w:p>
        </w:tc>
        <w:tc>
          <w:tcPr>
            <w:tcW w:w="0" w:type="auto"/>
            <w:shd w:val="clear" w:color="auto" w:fill="auto"/>
            <w:vAlign w:val="bottom"/>
          </w:tcPr>
          <w:p w14:paraId="5A1B218B"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18C"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FFFFFF"/>
            <w:tcMar>
              <w:top w:w="40" w:type="dxa"/>
              <w:left w:w="0" w:type="dxa"/>
              <w:bottom w:w="40" w:type="dxa"/>
              <w:right w:w="20" w:type="dxa"/>
            </w:tcMar>
            <w:vAlign w:val="bottom"/>
          </w:tcPr>
          <w:p w14:paraId="5A1B218D"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18E"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18F" w14:textId="77777777" w:rsidR="00960BB8" w:rsidRDefault="00C06650">
            <w:pPr>
              <w:jc w:val="right"/>
              <w:textAlignment w:val="bottom"/>
            </w:pPr>
            <w:r>
              <w:rPr>
                <w:rFonts w:ascii="Arial" w:eastAsia="宋体" w:hAnsi="Arial" w:cs="Arial"/>
                <w:color w:val="0068B5"/>
                <w:sz w:val="18"/>
                <w:szCs w:val="18"/>
              </w:rPr>
              <w:t>9,013 </w:t>
            </w:r>
          </w:p>
        </w:tc>
        <w:tc>
          <w:tcPr>
            <w:tcW w:w="0" w:type="auto"/>
            <w:shd w:val="clear" w:color="auto" w:fill="FFFFFF"/>
            <w:tcMar>
              <w:top w:w="40" w:type="dxa"/>
              <w:left w:w="0" w:type="dxa"/>
              <w:bottom w:w="40" w:type="dxa"/>
              <w:right w:w="20" w:type="dxa"/>
            </w:tcMar>
            <w:vAlign w:val="bottom"/>
          </w:tcPr>
          <w:p w14:paraId="5A1B2190" w14:textId="77777777" w:rsidR="00960BB8" w:rsidRDefault="00960BB8">
            <w:pPr>
              <w:jc w:val="right"/>
              <w:rPr>
                <w:rFonts w:ascii="宋体"/>
              </w:rPr>
            </w:pPr>
          </w:p>
        </w:tc>
      </w:tr>
      <w:tr w:rsidR="00960BB8" w14:paraId="5A1B21A1" w14:textId="77777777">
        <w:tc>
          <w:tcPr>
            <w:tcW w:w="0" w:type="auto"/>
            <w:gridSpan w:val="3"/>
            <w:shd w:val="clear" w:color="auto" w:fill="auto"/>
            <w:tcMar>
              <w:top w:w="40" w:type="dxa"/>
              <w:left w:w="20" w:type="dxa"/>
              <w:bottom w:w="40" w:type="dxa"/>
              <w:right w:w="20" w:type="dxa"/>
            </w:tcMar>
            <w:vAlign w:val="bottom"/>
          </w:tcPr>
          <w:p w14:paraId="5A1B2192" w14:textId="77777777" w:rsidR="00960BB8" w:rsidRDefault="00C06650">
            <w:pPr>
              <w:textAlignment w:val="bottom"/>
            </w:pPr>
            <w:r>
              <w:rPr>
                <w:rFonts w:ascii="Arial" w:eastAsia="宋体" w:hAnsi="Arial" w:cs="Arial"/>
                <w:color w:val="262626"/>
                <w:sz w:val="18"/>
                <w:szCs w:val="18"/>
              </w:rPr>
              <w:t>Network and Edge</w:t>
            </w:r>
          </w:p>
        </w:tc>
        <w:tc>
          <w:tcPr>
            <w:tcW w:w="0" w:type="auto"/>
            <w:gridSpan w:val="3"/>
            <w:shd w:val="clear" w:color="auto" w:fill="auto"/>
            <w:tcMar>
              <w:top w:w="0" w:type="dxa"/>
              <w:left w:w="20" w:type="dxa"/>
              <w:bottom w:w="0" w:type="dxa"/>
              <w:right w:w="20" w:type="dxa"/>
            </w:tcMar>
            <w:vAlign w:val="bottom"/>
          </w:tcPr>
          <w:p w14:paraId="5A1B219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194" w14:textId="77777777" w:rsidR="00960BB8" w:rsidRDefault="00C06650">
            <w:pPr>
              <w:jc w:val="right"/>
              <w:textAlignment w:val="bottom"/>
            </w:pPr>
            <w:r>
              <w:rPr>
                <w:rFonts w:ascii="Arial" w:eastAsia="宋体" w:hAnsi="Arial" w:cs="Arial"/>
                <w:color w:val="262626"/>
                <w:sz w:val="18"/>
                <w:szCs w:val="18"/>
              </w:rPr>
              <w:t>2,774 </w:t>
            </w:r>
          </w:p>
        </w:tc>
        <w:tc>
          <w:tcPr>
            <w:tcW w:w="0" w:type="auto"/>
            <w:shd w:val="clear" w:color="auto" w:fill="auto"/>
            <w:tcMar>
              <w:top w:w="40" w:type="dxa"/>
              <w:left w:w="0" w:type="dxa"/>
              <w:bottom w:w="40" w:type="dxa"/>
              <w:right w:w="20" w:type="dxa"/>
            </w:tcMar>
            <w:vAlign w:val="bottom"/>
          </w:tcPr>
          <w:p w14:paraId="5A1B219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196"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197" w14:textId="77777777" w:rsidR="00960BB8" w:rsidRDefault="00C06650">
            <w:pPr>
              <w:jc w:val="right"/>
              <w:textAlignment w:val="bottom"/>
            </w:pPr>
            <w:r>
              <w:rPr>
                <w:rFonts w:ascii="Arial" w:eastAsia="宋体" w:hAnsi="Arial" w:cs="Arial"/>
                <w:color w:val="0068B5"/>
                <w:sz w:val="18"/>
                <w:szCs w:val="18"/>
              </w:rPr>
              <w:t>35 </w:t>
            </w:r>
          </w:p>
        </w:tc>
        <w:tc>
          <w:tcPr>
            <w:tcW w:w="0" w:type="auto"/>
            <w:shd w:val="clear" w:color="auto" w:fill="FFFFFF"/>
            <w:tcMar>
              <w:top w:w="40" w:type="dxa"/>
              <w:left w:w="0" w:type="dxa"/>
              <w:bottom w:w="40" w:type="dxa"/>
              <w:right w:w="20" w:type="dxa"/>
            </w:tcMar>
            <w:vAlign w:val="bottom"/>
          </w:tcPr>
          <w:p w14:paraId="5A1B2198"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199" w14:textId="77777777" w:rsidR="00960BB8" w:rsidRDefault="00960BB8">
            <w:pPr>
              <w:rPr>
                <w:rFonts w:ascii="宋体"/>
              </w:rPr>
            </w:pPr>
          </w:p>
        </w:tc>
        <w:tc>
          <w:tcPr>
            <w:tcW w:w="0" w:type="auto"/>
            <w:shd w:val="clear" w:color="auto" w:fill="auto"/>
            <w:vAlign w:val="bottom"/>
          </w:tcPr>
          <w:p w14:paraId="5A1B219A" w14:textId="77777777" w:rsidR="00960BB8" w:rsidRDefault="00960BB8">
            <w:pPr>
              <w:rPr>
                <w:rFonts w:ascii="宋体"/>
                <w:vanish/>
              </w:rPr>
            </w:pPr>
          </w:p>
        </w:tc>
        <w:tc>
          <w:tcPr>
            <w:tcW w:w="0" w:type="auto"/>
            <w:shd w:val="clear" w:color="auto" w:fill="auto"/>
            <w:vAlign w:val="bottom"/>
          </w:tcPr>
          <w:p w14:paraId="5A1B219B"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19C"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FFFFFF"/>
            <w:tcMar>
              <w:top w:w="40" w:type="dxa"/>
              <w:left w:w="0" w:type="dxa"/>
              <w:bottom w:w="40" w:type="dxa"/>
              <w:right w:w="20" w:type="dxa"/>
            </w:tcMar>
            <w:vAlign w:val="bottom"/>
          </w:tcPr>
          <w:p w14:paraId="5A1B219D"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19E"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19F" w14:textId="77777777" w:rsidR="00960BB8" w:rsidRDefault="00C06650">
            <w:pPr>
              <w:jc w:val="right"/>
              <w:textAlignment w:val="bottom"/>
            </w:pPr>
            <w:r>
              <w:rPr>
                <w:rFonts w:ascii="Arial" w:eastAsia="宋体" w:hAnsi="Arial" w:cs="Arial"/>
                <w:color w:val="0068B5"/>
                <w:sz w:val="18"/>
                <w:szCs w:val="18"/>
              </w:rPr>
              <w:t>2,809 </w:t>
            </w:r>
          </w:p>
        </w:tc>
        <w:tc>
          <w:tcPr>
            <w:tcW w:w="0" w:type="auto"/>
            <w:shd w:val="clear" w:color="auto" w:fill="FFFFFF"/>
            <w:tcMar>
              <w:top w:w="40" w:type="dxa"/>
              <w:left w:w="0" w:type="dxa"/>
              <w:bottom w:w="40" w:type="dxa"/>
              <w:right w:w="20" w:type="dxa"/>
            </w:tcMar>
            <w:vAlign w:val="bottom"/>
          </w:tcPr>
          <w:p w14:paraId="5A1B21A0" w14:textId="77777777" w:rsidR="00960BB8" w:rsidRDefault="00960BB8">
            <w:pPr>
              <w:jc w:val="right"/>
              <w:rPr>
                <w:rFonts w:ascii="宋体"/>
              </w:rPr>
            </w:pPr>
          </w:p>
        </w:tc>
      </w:tr>
      <w:tr w:rsidR="00960BB8" w14:paraId="5A1B21AD" w14:textId="77777777">
        <w:trPr>
          <w:hidden/>
        </w:trPr>
        <w:tc>
          <w:tcPr>
            <w:tcW w:w="0" w:type="auto"/>
            <w:gridSpan w:val="3"/>
            <w:shd w:val="clear" w:color="auto" w:fill="auto"/>
            <w:vAlign w:val="bottom"/>
          </w:tcPr>
          <w:p w14:paraId="5A1B21A2" w14:textId="77777777" w:rsidR="00960BB8" w:rsidRDefault="00960BB8">
            <w:pPr>
              <w:rPr>
                <w:rFonts w:ascii="宋体"/>
                <w:vanish/>
              </w:rPr>
            </w:pPr>
          </w:p>
        </w:tc>
        <w:tc>
          <w:tcPr>
            <w:tcW w:w="0" w:type="auto"/>
            <w:gridSpan w:val="3"/>
            <w:shd w:val="clear" w:color="auto" w:fill="auto"/>
            <w:vAlign w:val="bottom"/>
          </w:tcPr>
          <w:p w14:paraId="5A1B21A3" w14:textId="77777777" w:rsidR="00960BB8" w:rsidRDefault="00960BB8">
            <w:pPr>
              <w:rPr>
                <w:rFonts w:ascii="宋体"/>
                <w:vanish/>
              </w:rPr>
            </w:pPr>
          </w:p>
        </w:tc>
        <w:tc>
          <w:tcPr>
            <w:tcW w:w="0" w:type="auto"/>
            <w:gridSpan w:val="3"/>
            <w:shd w:val="clear" w:color="auto" w:fill="auto"/>
            <w:vAlign w:val="bottom"/>
          </w:tcPr>
          <w:p w14:paraId="5A1B21A4" w14:textId="77777777" w:rsidR="00960BB8" w:rsidRDefault="00960BB8">
            <w:pPr>
              <w:rPr>
                <w:rFonts w:ascii="宋体"/>
                <w:vanish/>
              </w:rPr>
            </w:pPr>
          </w:p>
        </w:tc>
        <w:tc>
          <w:tcPr>
            <w:tcW w:w="0" w:type="auto"/>
            <w:gridSpan w:val="3"/>
            <w:shd w:val="clear" w:color="auto" w:fill="auto"/>
            <w:vAlign w:val="bottom"/>
          </w:tcPr>
          <w:p w14:paraId="5A1B21A5" w14:textId="77777777" w:rsidR="00960BB8" w:rsidRDefault="00960BB8">
            <w:pPr>
              <w:rPr>
                <w:rFonts w:ascii="宋体"/>
                <w:vanish/>
              </w:rPr>
            </w:pPr>
          </w:p>
        </w:tc>
        <w:tc>
          <w:tcPr>
            <w:tcW w:w="0" w:type="auto"/>
            <w:gridSpan w:val="3"/>
            <w:shd w:val="clear" w:color="auto" w:fill="auto"/>
            <w:vAlign w:val="bottom"/>
          </w:tcPr>
          <w:p w14:paraId="5A1B21A6" w14:textId="77777777" w:rsidR="00960BB8" w:rsidRDefault="00960BB8">
            <w:pPr>
              <w:rPr>
                <w:rFonts w:ascii="宋体"/>
                <w:vanish/>
              </w:rPr>
            </w:pPr>
          </w:p>
        </w:tc>
        <w:tc>
          <w:tcPr>
            <w:tcW w:w="0" w:type="auto"/>
            <w:gridSpan w:val="3"/>
            <w:shd w:val="clear" w:color="auto" w:fill="auto"/>
            <w:vAlign w:val="bottom"/>
          </w:tcPr>
          <w:p w14:paraId="5A1B21A7" w14:textId="77777777" w:rsidR="00960BB8" w:rsidRDefault="00960BB8">
            <w:pPr>
              <w:rPr>
                <w:rFonts w:ascii="宋体"/>
                <w:vanish/>
              </w:rPr>
            </w:pPr>
          </w:p>
        </w:tc>
        <w:tc>
          <w:tcPr>
            <w:tcW w:w="0" w:type="auto"/>
            <w:shd w:val="clear" w:color="auto" w:fill="auto"/>
            <w:vAlign w:val="bottom"/>
          </w:tcPr>
          <w:p w14:paraId="5A1B21A8" w14:textId="77777777" w:rsidR="00960BB8" w:rsidRDefault="00960BB8">
            <w:pPr>
              <w:rPr>
                <w:rFonts w:ascii="宋体"/>
                <w:vanish/>
              </w:rPr>
            </w:pPr>
          </w:p>
        </w:tc>
        <w:tc>
          <w:tcPr>
            <w:tcW w:w="0" w:type="auto"/>
            <w:shd w:val="clear" w:color="auto" w:fill="auto"/>
            <w:vAlign w:val="bottom"/>
          </w:tcPr>
          <w:p w14:paraId="5A1B21A9" w14:textId="77777777" w:rsidR="00960BB8" w:rsidRDefault="00960BB8">
            <w:pPr>
              <w:rPr>
                <w:rFonts w:ascii="宋体"/>
                <w:vanish/>
              </w:rPr>
            </w:pPr>
          </w:p>
        </w:tc>
        <w:tc>
          <w:tcPr>
            <w:tcW w:w="0" w:type="auto"/>
            <w:gridSpan w:val="3"/>
            <w:shd w:val="clear" w:color="auto" w:fill="auto"/>
            <w:vAlign w:val="bottom"/>
          </w:tcPr>
          <w:p w14:paraId="5A1B21AA" w14:textId="77777777" w:rsidR="00960BB8" w:rsidRDefault="00960BB8">
            <w:pPr>
              <w:rPr>
                <w:rFonts w:ascii="宋体"/>
                <w:vanish/>
              </w:rPr>
            </w:pPr>
          </w:p>
        </w:tc>
        <w:tc>
          <w:tcPr>
            <w:tcW w:w="0" w:type="auto"/>
            <w:gridSpan w:val="3"/>
            <w:shd w:val="clear" w:color="auto" w:fill="auto"/>
            <w:vAlign w:val="bottom"/>
          </w:tcPr>
          <w:p w14:paraId="5A1B21AB" w14:textId="77777777" w:rsidR="00960BB8" w:rsidRDefault="00960BB8">
            <w:pPr>
              <w:rPr>
                <w:rFonts w:ascii="宋体"/>
                <w:vanish/>
              </w:rPr>
            </w:pPr>
          </w:p>
        </w:tc>
        <w:tc>
          <w:tcPr>
            <w:tcW w:w="0" w:type="auto"/>
            <w:gridSpan w:val="3"/>
            <w:shd w:val="clear" w:color="auto" w:fill="auto"/>
            <w:vAlign w:val="bottom"/>
          </w:tcPr>
          <w:p w14:paraId="5A1B21AC" w14:textId="77777777" w:rsidR="00960BB8" w:rsidRDefault="00960BB8">
            <w:pPr>
              <w:rPr>
                <w:rFonts w:ascii="宋体"/>
                <w:vanish/>
              </w:rPr>
            </w:pPr>
          </w:p>
        </w:tc>
      </w:tr>
      <w:tr w:rsidR="00960BB8" w14:paraId="5A1B21BD" w14:textId="77777777">
        <w:tc>
          <w:tcPr>
            <w:tcW w:w="0" w:type="auto"/>
            <w:gridSpan w:val="3"/>
            <w:shd w:val="clear" w:color="auto" w:fill="auto"/>
            <w:tcMar>
              <w:top w:w="40" w:type="dxa"/>
              <w:left w:w="20" w:type="dxa"/>
              <w:bottom w:w="40" w:type="dxa"/>
              <w:right w:w="20" w:type="dxa"/>
            </w:tcMar>
            <w:vAlign w:val="bottom"/>
          </w:tcPr>
          <w:p w14:paraId="5A1B21AE" w14:textId="77777777" w:rsidR="00960BB8" w:rsidRDefault="00C06650">
            <w:pPr>
              <w:textAlignment w:val="bottom"/>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5A1B21A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1B0" w14:textId="77777777" w:rsidR="00960BB8" w:rsidRDefault="00C06650">
            <w:pPr>
              <w:jc w:val="right"/>
              <w:textAlignment w:val="bottom"/>
            </w:pPr>
            <w:r>
              <w:rPr>
                <w:rFonts w:ascii="Arial" w:eastAsia="宋体" w:hAnsi="Arial" w:cs="Arial"/>
                <w:color w:val="262626"/>
                <w:sz w:val="18"/>
                <w:szCs w:val="18"/>
              </w:rPr>
              <w:t>10,928 </w:t>
            </w:r>
          </w:p>
        </w:tc>
        <w:tc>
          <w:tcPr>
            <w:tcW w:w="0" w:type="auto"/>
            <w:shd w:val="clear" w:color="auto" w:fill="auto"/>
            <w:tcMar>
              <w:top w:w="40" w:type="dxa"/>
              <w:left w:w="0" w:type="dxa"/>
              <w:bottom w:w="40" w:type="dxa"/>
              <w:right w:w="20" w:type="dxa"/>
            </w:tcMar>
            <w:vAlign w:val="bottom"/>
          </w:tcPr>
          <w:p w14:paraId="5A1B21B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1B2"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1B3"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FFFFFF"/>
            <w:tcMar>
              <w:top w:w="40" w:type="dxa"/>
              <w:left w:w="0" w:type="dxa"/>
              <w:bottom w:w="40" w:type="dxa"/>
              <w:right w:w="20" w:type="dxa"/>
            </w:tcMar>
            <w:vAlign w:val="bottom"/>
          </w:tcPr>
          <w:p w14:paraId="5A1B21B4"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1B5" w14:textId="77777777" w:rsidR="00960BB8" w:rsidRDefault="00960BB8">
            <w:pPr>
              <w:rPr>
                <w:rFonts w:ascii="宋体"/>
              </w:rPr>
            </w:pPr>
          </w:p>
        </w:tc>
        <w:tc>
          <w:tcPr>
            <w:tcW w:w="0" w:type="auto"/>
            <w:shd w:val="clear" w:color="auto" w:fill="auto"/>
            <w:vAlign w:val="bottom"/>
          </w:tcPr>
          <w:p w14:paraId="5A1B21B6" w14:textId="77777777" w:rsidR="00960BB8" w:rsidRDefault="00960BB8">
            <w:pPr>
              <w:rPr>
                <w:rFonts w:ascii="宋体"/>
                <w:vanish/>
              </w:rPr>
            </w:pPr>
          </w:p>
        </w:tc>
        <w:tc>
          <w:tcPr>
            <w:tcW w:w="0" w:type="auto"/>
            <w:shd w:val="clear" w:color="auto" w:fill="auto"/>
            <w:vAlign w:val="bottom"/>
          </w:tcPr>
          <w:p w14:paraId="5A1B21B7"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1B8" w14:textId="77777777" w:rsidR="00960BB8" w:rsidRDefault="00C06650">
            <w:pPr>
              <w:jc w:val="right"/>
              <w:textAlignment w:val="bottom"/>
            </w:pPr>
            <w:r>
              <w:rPr>
                <w:rFonts w:ascii="Arial" w:eastAsia="宋体" w:hAnsi="Arial" w:cs="Arial"/>
                <w:color w:val="0068B5"/>
                <w:sz w:val="18"/>
                <w:szCs w:val="18"/>
              </w:rPr>
              <w:t>(9)</w:t>
            </w:r>
          </w:p>
        </w:tc>
        <w:tc>
          <w:tcPr>
            <w:tcW w:w="0" w:type="auto"/>
            <w:shd w:val="clear" w:color="auto" w:fill="FFFFFF"/>
            <w:tcMar>
              <w:top w:w="40" w:type="dxa"/>
              <w:left w:w="0" w:type="dxa"/>
              <w:bottom w:w="40" w:type="dxa"/>
              <w:right w:w="20" w:type="dxa"/>
            </w:tcMar>
            <w:vAlign w:val="bottom"/>
          </w:tcPr>
          <w:p w14:paraId="5A1B21B9"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1BA"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1BB" w14:textId="77777777" w:rsidR="00960BB8" w:rsidRDefault="00C06650">
            <w:pPr>
              <w:jc w:val="right"/>
              <w:textAlignment w:val="bottom"/>
            </w:pPr>
            <w:r>
              <w:rPr>
                <w:rFonts w:ascii="Arial" w:eastAsia="宋体" w:hAnsi="Arial" w:cs="Arial"/>
                <w:color w:val="0068B5"/>
                <w:sz w:val="18"/>
                <w:szCs w:val="18"/>
              </w:rPr>
              <w:t>10,919 </w:t>
            </w:r>
          </w:p>
        </w:tc>
        <w:tc>
          <w:tcPr>
            <w:tcW w:w="0" w:type="auto"/>
            <w:shd w:val="clear" w:color="auto" w:fill="FFFFFF"/>
            <w:tcMar>
              <w:top w:w="40" w:type="dxa"/>
              <w:left w:w="0" w:type="dxa"/>
              <w:bottom w:w="40" w:type="dxa"/>
              <w:right w:w="20" w:type="dxa"/>
            </w:tcMar>
            <w:vAlign w:val="bottom"/>
          </w:tcPr>
          <w:p w14:paraId="5A1B21BC" w14:textId="77777777" w:rsidR="00960BB8" w:rsidRDefault="00960BB8">
            <w:pPr>
              <w:jc w:val="right"/>
              <w:rPr>
                <w:rFonts w:ascii="宋体"/>
              </w:rPr>
            </w:pPr>
          </w:p>
        </w:tc>
      </w:tr>
      <w:tr w:rsidR="00960BB8" w14:paraId="5A1B21CD" w14:textId="77777777">
        <w:tc>
          <w:tcPr>
            <w:tcW w:w="0" w:type="auto"/>
            <w:gridSpan w:val="3"/>
            <w:shd w:val="clear" w:color="auto" w:fill="auto"/>
            <w:tcMar>
              <w:top w:w="40" w:type="dxa"/>
              <w:left w:w="20" w:type="dxa"/>
              <w:bottom w:w="40" w:type="dxa"/>
              <w:right w:w="20" w:type="dxa"/>
            </w:tcMar>
            <w:vAlign w:val="bottom"/>
          </w:tcPr>
          <w:p w14:paraId="5A1B21BE" w14:textId="77777777" w:rsidR="00960BB8" w:rsidRDefault="00C06650">
            <w:pPr>
              <w:textAlignment w:val="bottom"/>
            </w:pPr>
            <w:r>
              <w:rPr>
                <w:rFonts w:ascii="Arial" w:eastAsia="宋体" w:hAnsi="Arial" w:cs="Arial"/>
                <w:color w:val="262626"/>
                <w:sz w:val="18"/>
                <w:szCs w:val="18"/>
              </w:rPr>
              <w:t>Accelerated Computing Systems and Graphics</w:t>
            </w:r>
          </w:p>
        </w:tc>
        <w:tc>
          <w:tcPr>
            <w:tcW w:w="0" w:type="auto"/>
            <w:gridSpan w:val="3"/>
            <w:shd w:val="clear" w:color="auto" w:fill="auto"/>
            <w:tcMar>
              <w:top w:w="0" w:type="dxa"/>
              <w:left w:w="20" w:type="dxa"/>
              <w:bottom w:w="0" w:type="dxa"/>
              <w:right w:w="20" w:type="dxa"/>
            </w:tcMar>
            <w:vAlign w:val="bottom"/>
          </w:tcPr>
          <w:p w14:paraId="5A1B21B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1C0" w14:textId="77777777" w:rsidR="00960BB8" w:rsidRDefault="00C06650">
            <w:pPr>
              <w:jc w:val="right"/>
              <w:textAlignment w:val="bottom"/>
            </w:pPr>
            <w:r>
              <w:rPr>
                <w:rFonts w:ascii="Arial" w:eastAsia="宋体" w:hAnsi="Arial" w:cs="Arial"/>
                <w:color w:val="262626"/>
                <w:sz w:val="18"/>
                <w:szCs w:val="18"/>
              </w:rPr>
              <w:t>429 </w:t>
            </w:r>
          </w:p>
        </w:tc>
        <w:tc>
          <w:tcPr>
            <w:tcW w:w="0" w:type="auto"/>
            <w:shd w:val="clear" w:color="auto" w:fill="auto"/>
            <w:tcMar>
              <w:top w:w="40" w:type="dxa"/>
              <w:left w:w="0" w:type="dxa"/>
              <w:bottom w:w="40" w:type="dxa"/>
              <w:right w:w="20" w:type="dxa"/>
            </w:tcMar>
            <w:vAlign w:val="bottom"/>
          </w:tcPr>
          <w:p w14:paraId="5A1B21C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1C2"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1C3" w14:textId="77777777" w:rsidR="00960BB8" w:rsidRDefault="00C06650">
            <w:pPr>
              <w:jc w:val="right"/>
              <w:textAlignment w:val="bottom"/>
            </w:pPr>
            <w:r>
              <w:rPr>
                <w:rFonts w:ascii="Arial" w:eastAsia="宋体" w:hAnsi="Arial" w:cs="Arial"/>
                <w:color w:val="0068B5"/>
                <w:sz w:val="18"/>
                <w:szCs w:val="18"/>
              </w:rPr>
              <w:t>167 </w:t>
            </w:r>
          </w:p>
        </w:tc>
        <w:tc>
          <w:tcPr>
            <w:tcW w:w="0" w:type="auto"/>
            <w:shd w:val="clear" w:color="auto" w:fill="FFFFFF"/>
            <w:tcMar>
              <w:top w:w="40" w:type="dxa"/>
              <w:left w:w="0" w:type="dxa"/>
              <w:bottom w:w="40" w:type="dxa"/>
              <w:right w:w="20" w:type="dxa"/>
            </w:tcMar>
            <w:vAlign w:val="bottom"/>
          </w:tcPr>
          <w:p w14:paraId="5A1B21C4"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1C5" w14:textId="77777777" w:rsidR="00960BB8" w:rsidRDefault="00960BB8">
            <w:pPr>
              <w:rPr>
                <w:rFonts w:ascii="宋体"/>
              </w:rPr>
            </w:pPr>
          </w:p>
        </w:tc>
        <w:tc>
          <w:tcPr>
            <w:tcW w:w="0" w:type="auto"/>
            <w:shd w:val="clear" w:color="auto" w:fill="auto"/>
            <w:vAlign w:val="bottom"/>
          </w:tcPr>
          <w:p w14:paraId="5A1B21C6" w14:textId="77777777" w:rsidR="00960BB8" w:rsidRDefault="00960BB8">
            <w:pPr>
              <w:rPr>
                <w:rFonts w:ascii="宋体"/>
                <w:vanish/>
              </w:rPr>
            </w:pPr>
          </w:p>
        </w:tc>
        <w:tc>
          <w:tcPr>
            <w:tcW w:w="0" w:type="auto"/>
            <w:shd w:val="clear" w:color="auto" w:fill="auto"/>
            <w:vAlign w:val="bottom"/>
          </w:tcPr>
          <w:p w14:paraId="5A1B21C7"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1C8"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FFFFFF"/>
            <w:tcMar>
              <w:top w:w="40" w:type="dxa"/>
              <w:left w:w="0" w:type="dxa"/>
              <w:bottom w:w="40" w:type="dxa"/>
              <w:right w:w="20" w:type="dxa"/>
            </w:tcMar>
            <w:vAlign w:val="bottom"/>
          </w:tcPr>
          <w:p w14:paraId="5A1B21C9"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1CA"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1CB" w14:textId="77777777" w:rsidR="00960BB8" w:rsidRDefault="00C06650">
            <w:pPr>
              <w:jc w:val="right"/>
              <w:textAlignment w:val="bottom"/>
            </w:pPr>
            <w:r>
              <w:rPr>
                <w:rFonts w:ascii="Arial" w:eastAsia="宋体" w:hAnsi="Arial" w:cs="Arial"/>
                <w:color w:val="0068B5"/>
                <w:sz w:val="18"/>
                <w:szCs w:val="18"/>
              </w:rPr>
              <w:t>596 </w:t>
            </w:r>
          </w:p>
        </w:tc>
        <w:tc>
          <w:tcPr>
            <w:tcW w:w="0" w:type="auto"/>
            <w:shd w:val="clear" w:color="auto" w:fill="FFFFFF"/>
            <w:tcMar>
              <w:top w:w="40" w:type="dxa"/>
              <w:left w:w="0" w:type="dxa"/>
              <w:bottom w:w="40" w:type="dxa"/>
              <w:right w:w="20" w:type="dxa"/>
            </w:tcMar>
            <w:vAlign w:val="bottom"/>
          </w:tcPr>
          <w:p w14:paraId="5A1B21CC" w14:textId="77777777" w:rsidR="00960BB8" w:rsidRDefault="00960BB8">
            <w:pPr>
              <w:jc w:val="right"/>
              <w:rPr>
                <w:rFonts w:ascii="宋体"/>
              </w:rPr>
            </w:pPr>
          </w:p>
        </w:tc>
      </w:tr>
      <w:tr w:rsidR="00960BB8" w14:paraId="5A1B21DD" w14:textId="77777777">
        <w:tc>
          <w:tcPr>
            <w:tcW w:w="0" w:type="auto"/>
            <w:gridSpan w:val="3"/>
            <w:shd w:val="clear" w:color="auto" w:fill="auto"/>
            <w:tcMar>
              <w:top w:w="40" w:type="dxa"/>
              <w:left w:w="20" w:type="dxa"/>
              <w:bottom w:w="40" w:type="dxa"/>
              <w:right w:w="20" w:type="dxa"/>
            </w:tcMar>
            <w:vAlign w:val="bottom"/>
          </w:tcPr>
          <w:p w14:paraId="5A1B21CE" w14:textId="77777777" w:rsidR="00960BB8" w:rsidRDefault="00C06650">
            <w:pPr>
              <w:textAlignment w:val="bottom"/>
            </w:pPr>
            <w:r>
              <w:rPr>
                <w:rFonts w:ascii="Arial" w:eastAsia="宋体" w:hAnsi="Arial" w:cs="Arial"/>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5A1B21C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1D0"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21D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1D2"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1D3"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FFFFFF"/>
            <w:tcMar>
              <w:top w:w="40" w:type="dxa"/>
              <w:left w:w="0" w:type="dxa"/>
              <w:bottom w:w="40" w:type="dxa"/>
              <w:right w:w="20" w:type="dxa"/>
            </w:tcMar>
            <w:vAlign w:val="bottom"/>
          </w:tcPr>
          <w:p w14:paraId="5A1B21D4"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1D5" w14:textId="77777777" w:rsidR="00960BB8" w:rsidRDefault="00960BB8">
            <w:pPr>
              <w:rPr>
                <w:rFonts w:ascii="宋体"/>
              </w:rPr>
            </w:pPr>
          </w:p>
        </w:tc>
        <w:tc>
          <w:tcPr>
            <w:tcW w:w="0" w:type="auto"/>
            <w:shd w:val="clear" w:color="auto" w:fill="auto"/>
            <w:vAlign w:val="bottom"/>
          </w:tcPr>
          <w:p w14:paraId="5A1B21D6" w14:textId="77777777" w:rsidR="00960BB8" w:rsidRDefault="00960BB8">
            <w:pPr>
              <w:rPr>
                <w:rFonts w:ascii="宋体"/>
                <w:vanish/>
              </w:rPr>
            </w:pPr>
          </w:p>
        </w:tc>
        <w:tc>
          <w:tcPr>
            <w:tcW w:w="0" w:type="auto"/>
            <w:shd w:val="clear" w:color="auto" w:fill="auto"/>
            <w:vAlign w:val="bottom"/>
          </w:tcPr>
          <w:p w14:paraId="5A1B21D7"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1D8"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FFFFFF"/>
            <w:tcMar>
              <w:top w:w="40" w:type="dxa"/>
              <w:left w:w="0" w:type="dxa"/>
              <w:bottom w:w="40" w:type="dxa"/>
              <w:right w:w="20" w:type="dxa"/>
            </w:tcMar>
            <w:vAlign w:val="bottom"/>
          </w:tcPr>
          <w:p w14:paraId="5A1B21D9"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1DA"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1DB"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FFFFFF"/>
            <w:tcMar>
              <w:top w:w="40" w:type="dxa"/>
              <w:left w:w="0" w:type="dxa"/>
              <w:bottom w:w="40" w:type="dxa"/>
              <w:right w:w="20" w:type="dxa"/>
            </w:tcMar>
            <w:vAlign w:val="bottom"/>
          </w:tcPr>
          <w:p w14:paraId="5A1B21DC" w14:textId="77777777" w:rsidR="00960BB8" w:rsidRDefault="00960BB8">
            <w:pPr>
              <w:jc w:val="right"/>
              <w:rPr>
                <w:rFonts w:ascii="宋体"/>
              </w:rPr>
            </w:pPr>
          </w:p>
        </w:tc>
      </w:tr>
      <w:tr w:rsidR="00960BB8" w14:paraId="5A1B21F1" w14:textId="77777777">
        <w:tc>
          <w:tcPr>
            <w:tcW w:w="0" w:type="auto"/>
            <w:gridSpan w:val="3"/>
            <w:shd w:val="clear" w:color="auto" w:fill="auto"/>
            <w:tcMar>
              <w:top w:w="40" w:type="dxa"/>
              <w:left w:w="20" w:type="dxa"/>
              <w:bottom w:w="40" w:type="dxa"/>
              <w:right w:w="20" w:type="dxa"/>
            </w:tcMar>
            <w:vAlign w:val="bottom"/>
          </w:tcPr>
          <w:p w14:paraId="5A1B21DE" w14:textId="77777777" w:rsidR="00960BB8" w:rsidRDefault="00C06650">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5A1B21DF"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1E0"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1E1" w14:textId="77777777" w:rsidR="00960BB8" w:rsidRDefault="00C06650">
            <w:pPr>
              <w:jc w:val="right"/>
              <w:textAlignment w:val="bottom"/>
            </w:pPr>
            <w:r>
              <w:rPr>
                <w:rFonts w:ascii="Arial" w:eastAsia="宋体" w:hAnsi="Arial" w:cs="Arial"/>
                <w:b/>
                <w:bCs/>
                <w:color w:val="262626"/>
                <w:sz w:val="18"/>
                <w:szCs w:val="18"/>
              </w:rPr>
              <w:t>26,963</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1E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1E3"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1E4"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1E5" w14:textId="77777777" w:rsidR="00960BB8" w:rsidRDefault="00C06650">
            <w:pPr>
              <w:jc w:val="right"/>
              <w:textAlignment w:val="bottom"/>
            </w:pPr>
            <w:r>
              <w:rPr>
                <w:rFonts w:ascii="Arial" w:eastAsia="宋体" w:hAnsi="Arial" w:cs="Arial"/>
                <w:b/>
                <w:bCs/>
                <w:color w:val="0068B5"/>
                <w:sz w:val="18"/>
                <w:szCs w:val="18"/>
              </w:rPr>
              <w:t>637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1E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1E7" w14:textId="77777777" w:rsidR="00960BB8" w:rsidRDefault="00960BB8">
            <w:pPr>
              <w:rPr>
                <w:rFonts w:ascii="宋体"/>
              </w:rPr>
            </w:pPr>
          </w:p>
        </w:tc>
        <w:tc>
          <w:tcPr>
            <w:tcW w:w="0" w:type="auto"/>
            <w:shd w:val="clear" w:color="auto" w:fill="auto"/>
            <w:vAlign w:val="bottom"/>
          </w:tcPr>
          <w:p w14:paraId="5A1B21E8" w14:textId="77777777" w:rsidR="00960BB8" w:rsidRDefault="00960BB8">
            <w:pPr>
              <w:rPr>
                <w:rFonts w:ascii="宋体"/>
                <w:vanish/>
              </w:rPr>
            </w:pPr>
          </w:p>
        </w:tc>
        <w:tc>
          <w:tcPr>
            <w:tcW w:w="0" w:type="auto"/>
            <w:shd w:val="clear" w:color="auto" w:fill="auto"/>
            <w:vAlign w:val="bottom"/>
          </w:tcPr>
          <w:p w14:paraId="5A1B21E9" w14:textId="77777777" w:rsidR="00960BB8" w:rsidRDefault="00960BB8">
            <w:pPr>
              <w:rPr>
                <w:rFonts w:ascii="宋体"/>
                <w:vanish/>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1EA"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1EB" w14:textId="77777777" w:rsidR="00960BB8" w:rsidRDefault="00C06650">
            <w:pPr>
              <w:jc w:val="right"/>
              <w:textAlignment w:val="bottom"/>
            </w:pPr>
            <w:r>
              <w:rPr>
                <w:rFonts w:ascii="Arial" w:eastAsia="宋体" w:hAnsi="Arial" w:cs="Arial"/>
                <w:b/>
                <w:bCs/>
                <w:color w:val="0068B5"/>
                <w:sz w:val="18"/>
                <w:szCs w:val="18"/>
              </w:rPr>
              <w:t>(9)</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1E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1ED"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1EE"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1EF" w14:textId="77777777" w:rsidR="00960BB8" w:rsidRDefault="00C06650">
            <w:pPr>
              <w:jc w:val="right"/>
              <w:textAlignment w:val="bottom"/>
            </w:pPr>
            <w:r>
              <w:rPr>
                <w:rFonts w:ascii="Arial" w:eastAsia="宋体" w:hAnsi="Arial" w:cs="Arial"/>
                <w:b/>
                <w:bCs/>
                <w:color w:val="0068B5"/>
                <w:sz w:val="18"/>
                <w:szCs w:val="18"/>
              </w:rPr>
              <w:t>27,591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1F0" w14:textId="77777777" w:rsidR="00960BB8" w:rsidRDefault="00960BB8">
            <w:pPr>
              <w:jc w:val="right"/>
              <w:rPr>
                <w:rFonts w:ascii="宋体"/>
              </w:rPr>
            </w:pPr>
          </w:p>
        </w:tc>
      </w:tr>
    </w:tbl>
    <w:p w14:paraId="5A1B21F2"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920"/>
        <w:gridCol w:w="38"/>
        <w:gridCol w:w="36"/>
        <w:gridCol w:w="36"/>
        <w:gridCol w:w="36"/>
        <w:gridCol w:w="121"/>
        <w:gridCol w:w="752"/>
        <w:gridCol w:w="36"/>
        <w:gridCol w:w="36"/>
        <w:gridCol w:w="36"/>
        <w:gridCol w:w="36"/>
        <w:gridCol w:w="122"/>
        <w:gridCol w:w="1017"/>
        <w:gridCol w:w="36"/>
        <w:gridCol w:w="36"/>
        <w:gridCol w:w="36"/>
        <w:gridCol w:w="36"/>
        <w:gridCol w:w="36"/>
        <w:gridCol w:w="36"/>
        <w:gridCol w:w="121"/>
        <w:gridCol w:w="684"/>
        <w:gridCol w:w="36"/>
        <w:gridCol w:w="36"/>
        <w:gridCol w:w="36"/>
        <w:gridCol w:w="36"/>
        <w:gridCol w:w="121"/>
        <w:gridCol w:w="753"/>
        <w:gridCol w:w="36"/>
      </w:tblGrid>
      <w:tr w:rsidR="00960BB8" w14:paraId="5A1B2210" w14:textId="77777777">
        <w:tc>
          <w:tcPr>
            <w:tcW w:w="50" w:type="pct"/>
            <w:shd w:val="clear" w:color="auto" w:fill="auto"/>
            <w:vAlign w:val="bottom"/>
          </w:tcPr>
          <w:p w14:paraId="5A1B21F3" w14:textId="77777777" w:rsidR="00960BB8" w:rsidRDefault="00960BB8">
            <w:pPr>
              <w:rPr>
                <w:rFonts w:ascii="宋体"/>
              </w:rPr>
            </w:pPr>
          </w:p>
        </w:tc>
        <w:tc>
          <w:tcPr>
            <w:tcW w:w="2431" w:type="pct"/>
            <w:shd w:val="clear" w:color="auto" w:fill="auto"/>
            <w:vAlign w:val="bottom"/>
          </w:tcPr>
          <w:p w14:paraId="5A1B21F4" w14:textId="77777777" w:rsidR="00960BB8" w:rsidRDefault="00960BB8">
            <w:pPr>
              <w:rPr>
                <w:rFonts w:ascii="宋体"/>
              </w:rPr>
            </w:pPr>
          </w:p>
        </w:tc>
        <w:tc>
          <w:tcPr>
            <w:tcW w:w="5" w:type="pct"/>
            <w:shd w:val="clear" w:color="auto" w:fill="auto"/>
            <w:vAlign w:val="bottom"/>
          </w:tcPr>
          <w:p w14:paraId="5A1B21F5" w14:textId="77777777" w:rsidR="00960BB8" w:rsidRDefault="00960BB8">
            <w:pPr>
              <w:rPr>
                <w:rFonts w:ascii="宋体"/>
              </w:rPr>
            </w:pPr>
          </w:p>
        </w:tc>
        <w:tc>
          <w:tcPr>
            <w:tcW w:w="5" w:type="pct"/>
            <w:shd w:val="clear" w:color="auto" w:fill="auto"/>
            <w:vAlign w:val="bottom"/>
          </w:tcPr>
          <w:p w14:paraId="5A1B21F6" w14:textId="77777777" w:rsidR="00960BB8" w:rsidRDefault="00960BB8">
            <w:pPr>
              <w:rPr>
                <w:rFonts w:ascii="宋体"/>
              </w:rPr>
            </w:pPr>
          </w:p>
        </w:tc>
        <w:tc>
          <w:tcPr>
            <w:tcW w:w="24" w:type="pct"/>
            <w:shd w:val="clear" w:color="auto" w:fill="auto"/>
            <w:vAlign w:val="bottom"/>
          </w:tcPr>
          <w:p w14:paraId="5A1B21F7" w14:textId="77777777" w:rsidR="00960BB8" w:rsidRDefault="00960BB8">
            <w:pPr>
              <w:rPr>
                <w:rFonts w:ascii="宋体"/>
              </w:rPr>
            </w:pPr>
          </w:p>
        </w:tc>
        <w:tc>
          <w:tcPr>
            <w:tcW w:w="5" w:type="pct"/>
            <w:shd w:val="clear" w:color="auto" w:fill="auto"/>
            <w:vAlign w:val="bottom"/>
          </w:tcPr>
          <w:p w14:paraId="5A1B21F8" w14:textId="77777777" w:rsidR="00960BB8" w:rsidRDefault="00960BB8">
            <w:pPr>
              <w:rPr>
                <w:rFonts w:ascii="宋体"/>
              </w:rPr>
            </w:pPr>
          </w:p>
        </w:tc>
        <w:tc>
          <w:tcPr>
            <w:tcW w:w="50" w:type="pct"/>
            <w:shd w:val="clear" w:color="auto" w:fill="auto"/>
            <w:vAlign w:val="bottom"/>
          </w:tcPr>
          <w:p w14:paraId="5A1B21F9" w14:textId="77777777" w:rsidR="00960BB8" w:rsidRDefault="00960BB8">
            <w:pPr>
              <w:rPr>
                <w:rFonts w:ascii="宋体"/>
              </w:rPr>
            </w:pPr>
          </w:p>
        </w:tc>
        <w:tc>
          <w:tcPr>
            <w:tcW w:w="539" w:type="pct"/>
            <w:shd w:val="clear" w:color="auto" w:fill="auto"/>
            <w:vAlign w:val="bottom"/>
          </w:tcPr>
          <w:p w14:paraId="5A1B21FA" w14:textId="77777777" w:rsidR="00960BB8" w:rsidRDefault="00960BB8">
            <w:pPr>
              <w:rPr>
                <w:rFonts w:ascii="宋体"/>
              </w:rPr>
            </w:pPr>
          </w:p>
        </w:tc>
        <w:tc>
          <w:tcPr>
            <w:tcW w:w="5" w:type="pct"/>
            <w:shd w:val="clear" w:color="auto" w:fill="auto"/>
            <w:vAlign w:val="bottom"/>
          </w:tcPr>
          <w:p w14:paraId="5A1B21FB" w14:textId="77777777" w:rsidR="00960BB8" w:rsidRDefault="00960BB8">
            <w:pPr>
              <w:rPr>
                <w:rFonts w:ascii="宋体"/>
              </w:rPr>
            </w:pPr>
          </w:p>
        </w:tc>
        <w:tc>
          <w:tcPr>
            <w:tcW w:w="5" w:type="pct"/>
            <w:shd w:val="clear" w:color="auto" w:fill="auto"/>
            <w:vAlign w:val="bottom"/>
          </w:tcPr>
          <w:p w14:paraId="5A1B21FC" w14:textId="77777777" w:rsidR="00960BB8" w:rsidRDefault="00960BB8">
            <w:pPr>
              <w:rPr>
                <w:rFonts w:ascii="宋体"/>
              </w:rPr>
            </w:pPr>
          </w:p>
        </w:tc>
        <w:tc>
          <w:tcPr>
            <w:tcW w:w="24" w:type="pct"/>
            <w:shd w:val="clear" w:color="auto" w:fill="auto"/>
            <w:vAlign w:val="bottom"/>
          </w:tcPr>
          <w:p w14:paraId="5A1B21FD" w14:textId="77777777" w:rsidR="00960BB8" w:rsidRDefault="00960BB8">
            <w:pPr>
              <w:rPr>
                <w:rFonts w:ascii="宋体"/>
              </w:rPr>
            </w:pPr>
          </w:p>
        </w:tc>
        <w:tc>
          <w:tcPr>
            <w:tcW w:w="5" w:type="pct"/>
            <w:shd w:val="clear" w:color="auto" w:fill="auto"/>
            <w:vAlign w:val="bottom"/>
          </w:tcPr>
          <w:p w14:paraId="5A1B21FE" w14:textId="77777777" w:rsidR="00960BB8" w:rsidRDefault="00960BB8">
            <w:pPr>
              <w:rPr>
                <w:rFonts w:ascii="宋体"/>
              </w:rPr>
            </w:pPr>
          </w:p>
        </w:tc>
        <w:tc>
          <w:tcPr>
            <w:tcW w:w="50" w:type="pct"/>
            <w:shd w:val="clear" w:color="auto" w:fill="auto"/>
            <w:vAlign w:val="bottom"/>
          </w:tcPr>
          <w:p w14:paraId="5A1B21FF" w14:textId="77777777" w:rsidR="00960BB8" w:rsidRDefault="00960BB8">
            <w:pPr>
              <w:rPr>
                <w:rFonts w:ascii="宋体"/>
              </w:rPr>
            </w:pPr>
          </w:p>
        </w:tc>
        <w:tc>
          <w:tcPr>
            <w:tcW w:w="539" w:type="pct"/>
            <w:shd w:val="clear" w:color="auto" w:fill="auto"/>
            <w:vAlign w:val="bottom"/>
          </w:tcPr>
          <w:p w14:paraId="5A1B2200" w14:textId="77777777" w:rsidR="00960BB8" w:rsidRDefault="00960BB8">
            <w:pPr>
              <w:rPr>
                <w:rFonts w:ascii="宋体"/>
              </w:rPr>
            </w:pPr>
          </w:p>
        </w:tc>
        <w:tc>
          <w:tcPr>
            <w:tcW w:w="5" w:type="pct"/>
            <w:shd w:val="clear" w:color="auto" w:fill="auto"/>
            <w:vAlign w:val="bottom"/>
          </w:tcPr>
          <w:p w14:paraId="5A1B2201" w14:textId="77777777" w:rsidR="00960BB8" w:rsidRDefault="00960BB8">
            <w:pPr>
              <w:rPr>
                <w:rFonts w:ascii="宋体"/>
              </w:rPr>
            </w:pPr>
          </w:p>
        </w:tc>
        <w:tc>
          <w:tcPr>
            <w:tcW w:w="5" w:type="pct"/>
            <w:shd w:val="clear" w:color="auto" w:fill="auto"/>
            <w:vAlign w:val="bottom"/>
          </w:tcPr>
          <w:p w14:paraId="5A1B2202" w14:textId="77777777" w:rsidR="00960BB8" w:rsidRDefault="00960BB8">
            <w:pPr>
              <w:rPr>
                <w:rFonts w:ascii="宋体"/>
              </w:rPr>
            </w:pPr>
          </w:p>
        </w:tc>
        <w:tc>
          <w:tcPr>
            <w:tcW w:w="24" w:type="pct"/>
            <w:shd w:val="clear" w:color="auto" w:fill="auto"/>
            <w:vAlign w:val="bottom"/>
          </w:tcPr>
          <w:p w14:paraId="5A1B2203" w14:textId="77777777" w:rsidR="00960BB8" w:rsidRDefault="00960BB8">
            <w:pPr>
              <w:rPr>
                <w:rFonts w:ascii="宋体"/>
              </w:rPr>
            </w:pPr>
          </w:p>
        </w:tc>
        <w:tc>
          <w:tcPr>
            <w:tcW w:w="5" w:type="pct"/>
            <w:shd w:val="clear" w:color="auto" w:fill="auto"/>
            <w:vAlign w:val="bottom"/>
          </w:tcPr>
          <w:p w14:paraId="5A1B2204" w14:textId="77777777" w:rsidR="00960BB8" w:rsidRDefault="00960BB8">
            <w:pPr>
              <w:rPr>
                <w:rFonts w:ascii="宋体"/>
              </w:rPr>
            </w:pPr>
          </w:p>
        </w:tc>
        <w:tc>
          <w:tcPr>
            <w:tcW w:w="0" w:type="auto"/>
            <w:shd w:val="clear" w:color="auto" w:fill="auto"/>
            <w:vAlign w:val="bottom"/>
          </w:tcPr>
          <w:p w14:paraId="5A1B2205" w14:textId="77777777" w:rsidR="00960BB8" w:rsidRDefault="00960BB8">
            <w:pPr>
              <w:rPr>
                <w:rFonts w:ascii="宋体"/>
                <w:vanish/>
              </w:rPr>
            </w:pPr>
          </w:p>
        </w:tc>
        <w:tc>
          <w:tcPr>
            <w:tcW w:w="0" w:type="auto"/>
            <w:shd w:val="clear" w:color="auto" w:fill="auto"/>
            <w:vAlign w:val="bottom"/>
          </w:tcPr>
          <w:p w14:paraId="5A1B2206" w14:textId="77777777" w:rsidR="00960BB8" w:rsidRDefault="00960BB8">
            <w:pPr>
              <w:rPr>
                <w:rFonts w:ascii="宋体"/>
                <w:vanish/>
              </w:rPr>
            </w:pPr>
          </w:p>
        </w:tc>
        <w:tc>
          <w:tcPr>
            <w:tcW w:w="50" w:type="pct"/>
            <w:shd w:val="clear" w:color="auto" w:fill="auto"/>
            <w:vAlign w:val="bottom"/>
          </w:tcPr>
          <w:p w14:paraId="5A1B2207" w14:textId="77777777" w:rsidR="00960BB8" w:rsidRDefault="00960BB8">
            <w:pPr>
              <w:rPr>
                <w:rFonts w:ascii="宋体"/>
              </w:rPr>
            </w:pPr>
          </w:p>
        </w:tc>
        <w:tc>
          <w:tcPr>
            <w:tcW w:w="539" w:type="pct"/>
            <w:shd w:val="clear" w:color="auto" w:fill="auto"/>
            <w:vAlign w:val="bottom"/>
          </w:tcPr>
          <w:p w14:paraId="5A1B2208" w14:textId="77777777" w:rsidR="00960BB8" w:rsidRDefault="00960BB8">
            <w:pPr>
              <w:rPr>
                <w:rFonts w:ascii="宋体"/>
              </w:rPr>
            </w:pPr>
          </w:p>
        </w:tc>
        <w:tc>
          <w:tcPr>
            <w:tcW w:w="5" w:type="pct"/>
            <w:shd w:val="clear" w:color="auto" w:fill="auto"/>
            <w:vAlign w:val="bottom"/>
          </w:tcPr>
          <w:p w14:paraId="5A1B2209" w14:textId="77777777" w:rsidR="00960BB8" w:rsidRDefault="00960BB8">
            <w:pPr>
              <w:rPr>
                <w:rFonts w:ascii="宋体"/>
              </w:rPr>
            </w:pPr>
          </w:p>
        </w:tc>
        <w:tc>
          <w:tcPr>
            <w:tcW w:w="5" w:type="pct"/>
            <w:shd w:val="clear" w:color="auto" w:fill="auto"/>
            <w:vAlign w:val="bottom"/>
          </w:tcPr>
          <w:p w14:paraId="5A1B220A" w14:textId="77777777" w:rsidR="00960BB8" w:rsidRDefault="00960BB8">
            <w:pPr>
              <w:rPr>
                <w:rFonts w:ascii="宋体"/>
              </w:rPr>
            </w:pPr>
          </w:p>
        </w:tc>
        <w:tc>
          <w:tcPr>
            <w:tcW w:w="24" w:type="pct"/>
            <w:shd w:val="clear" w:color="auto" w:fill="auto"/>
            <w:vAlign w:val="bottom"/>
          </w:tcPr>
          <w:p w14:paraId="5A1B220B" w14:textId="77777777" w:rsidR="00960BB8" w:rsidRDefault="00960BB8">
            <w:pPr>
              <w:rPr>
                <w:rFonts w:ascii="宋体"/>
              </w:rPr>
            </w:pPr>
          </w:p>
        </w:tc>
        <w:tc>
          <w:tcPr>
            <w:tcW w:w="5" w:type="pct"/>
            <w:shd w:val="clear" w:color="auto" w:fill="auto"/>
            <w:vAlign w:val="bottom"/>
          </w:tcPr>
          <w:p w14:paraId="5A1B220C" w14:textId="77777777" w:rsidR="00960BB8" w:rsidRDefault="00960BB8">
            <w:pPr>
              <w:rPr>
                <w:rFonts w:ascii="宋体"/>
              </w:rPr>
            </w:pPr>
          </w:p>
        </w:tc>
        <w:tc>
          <w:tcPr>
            <w:tcW w:w="50" w:type="pct"/>
            <w:shd w:val="clear" w:color="auto" w:fill="auto"/>
            <w:vAlign w:val="bottom"/>
          </w:tcPr>
          <w:p w14:paraId="5A1B220D" w14:textId="77777777" w:rsidR="00960BB8" w:rsidRDefault="00960BB8">
            <w:pPr>
              <w:rPr>
                <w:rFonts w:ascii="宋体"/>
              </w:rPr>
            </w:pPr>
          </w:p>
        </w:tc>
        <w:tc>
          <w:tcPr>
            <w:tcW w:w="539" w:type="pct"/>
            <w:shd w:val="clear" w:color="auto" w:fill="auto"/>
            <w:vAlign w:val="bottom"/>
          </w:tcPr>
          <w:p w14:paraId="5A1B220E" w14:textId="77777777" w:rsidR="00960BB8" w:rsidRDefault="00960BB8">
            <w:pPr>
              <w:rPr>
                <w:rFonts w:ascii="宋体"/>
              </w:rPr>
            </w:pPr>
          </w:p>
        </w:tc>
        <w:tc>
          <w:tcPr>
            <w:tcW w:w="5" w:type="pct"/>
            <w:shd w:val="clear" w:color="auto" w:fill="auto"/>
            <w:vAlign w:val="bottom"/>
          </w:tcPr>
          <w:p w14:paraId="5A1B220F" w14:textId="77777777" w:rsidR="00960BB8" w:rsidRDefault="00960BB8">
            <w:pPr>
              <w:rPr>
                <w:rFonts w:ascii="宋体"/>
              </w:rPr>
            </w:pPr>
          </w:p>
        </w:tc>
      </w:tr>
      <w:tr w:rsidR="00960BB8" w14:paraId="5A1B221C" w14:textId="77777777">
        <w:tc>
          <w:tcPr>
            <w:tcW w:w="0" w:type="auto"/>
            <w:gridSpan w:val="3"/>
            <w:shd w:val="clear" w:color="auto" w:fill="FFFFFF"/>
            <w:tcMar>
              <w:top w:w="40" w:type="dxa"/>
              <w:left w:w="20" w:type="dxa"/>
              <w:bottom w:w="40" w:type="dxa"/>
              <w:right w:w="20" w:type="dxa"/>
            </w:tcMar>
            <w:vAlign w:val="bottom"/>
          </w:tcPr>
          <w:p w14:paraId="5A1B2211"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FFFFFF"/>
            <w:tcMar>
              <w:top w:w="0" w:type="dxa"/>
              <w:left w:w="20" w:type="dxa"/>
              <w:bottom w:w="0" w:type="dxa"/>
              <w:right w:w="20" w:type="dxa"/>
            </w:tcMar>
            <w:vAlign w:val="bottom"/>
          </w:tcPr>
          <w:p w14:paraId="5A1B2212"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bottom"/>
          </w:tcPr>
          <w:p w14:paraId="5A1B2213" w14:textId="77777777" w:rsidR="00960BB8" w:rsidRDefault="00C06650">
            <w:pPr>
              <w:jc w:val="center"/>
              <w:textAlignment w:val="bottom"/>
            </w:pPr>
            <w:r>
              <w:rPr>
                <w:rFonts w:ascii="Arial" w:eastAsia="宋体" w:hAnsi="Arial" w:cs="Arial"/>
                <w:b/>
                <w:bCs/>
                <w:color w:val="262626"/>
                <w:sz w:val="18"/>
                <w:szCs w:val="18"/>
              </w:rPr>
              <w:t>Dec 26, 2020</w:t>
            </w:r>
          </w:p>
        </w:tc>
        <w:tc>
          <w:tcPr>
            <w:tcW w:w="0" w:type="auto"/>
            <w:gridSpan w:val="3"/>
            <w:shd w:val="clear" w:color="auto" w:fill="FFFFFF"/>
            <w:tcMar>
              <w:top w:w="0" w:type="dxa"/>
              <w:left w:w="20" w:type="dxa"/>
              <w:bottom w:w="0" w:type="dxa"/>
              <w:right w:w="20" w:type="dxa"/>
            </w:tcMar>
            <w:vAlign w:val="bottom"/>
          </w:tcPr>
          <w:p w14:paraId="5A1B2214"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bottom"/>
          </w:tcPr>
          <w:p w14:paraId="5A1B2215" w14:textId="77777777" w:rsidR="00960BB8" w:rsidRDefault="00C06650">
            <w:pPr>
              <w:jc w:val="center"/>
              <w:textAlignment w:val="bottom"/>
            </w:pPr>
            <w:r>
              <w:rPr>
                <w:rFonts w:ascii="Arial" w:eastAsia="宋体" w:hAnsi="Arial" w:cs="Arial"/>
                <w:b/>
                <w:bCs/>
                <w:color w:val="262626"/>
                <w:sz w:val="18"/>
                <w:szCs w:val="18"/>
              </w:rPr>
              <w:t>Acquisitions</w:t>
            </w:r>
          </w:p>
        </w:tc>
        <w:tc>
          <w:tcPr>
            <w:tcW w:w="0" w:type="auto"/>
            <w:gridSpan w:val="3"/>
            <w:shd w:val="clear" w:color="auto" w:fill="FFFFFF"/>
            <w:tcMar>
              <w:top w:w="0" w:type="dxa"/>
              <w:left w:w="20" w:type="dxa"/>
              <w:bottom w:w="0" w:type="dxa"/>
              <w:right w:w="20" w:type="dxa"/>
            </w:tcMar>
            <w:vAlign w:val="bottom"/>
          </w:tcPr>
          <w:p w14:paraId="5A1B2216" w14:textId="77777777" w:rsidR="00960BB8" w:rsidRDefault="00960BB8">
            <w:pPr>
              <w:rPr>
                <w:rFonts w:ascii="宋体"/>
              </w:rPr>
            </w:pPr>
          </w:p>
        </w:tc>
        <w:tc>
          <w:tcPr>
            <w:tcW w:w="0" w:type="auto"/>
            <w:shd w:val="clear" w:color="auto" w:fill="auto"/>
            <w:vAlign w:val="bottom"/>
          </w:tcPr>
          <w:p w14:paraId="5A1B2217" w14:textId="77777777" w:rsidR="00960BB8" w:rsidRDefault="00960BB8">
            <w:pPr>
              <w:rPr>
                <w:rFonts w:ascii="宋体"/>
                <w:vanish/>
              </w:rPr>
            </w:pPr>
          </w:p>
        </w:tc>
        <w:tc>
          <w:tcPr>
            <w:tcW w:w="0" w:type="auto"/>
            <w:shd w:val="clear" w:color="auto" w:fill="auto"/>
            <w:vAlign w:val="bottom"/>
          </w:tcPr>
          <w:p w14:paraId="5A1B2218" w14:textId="77777777" w:rsidR="00960BB8" w:rsidRDefault="00960BB8">
            <w:pPr>
              <w:rPr>
                <w:rFonts w:ascii="宋体"/>
                <w:vanish/>
              </w:rPr>
            </w:pPr>
          </w:p>
        </w:tc>
        <w:tc>
          <w:tcPr>
            <w:tcW w:w="0" w:type="auto"/>
            <w:gridSpan w:val="3"/>
            <w:shd w:val="clear" w:color="auto" w:fill="FFFFFF"/>
            <w:tcMar>
              <w:top w:w="40" w:type="dxa"/>
              <w:left w:w="20" w:type="dxa"/>
              <w:bottom w:w="40" w:type="dxa"/>
              <w:right w:w="20" w:type="dxa"/>
            </w:tcMar>
            <w:vAlign w:val="bottom"/>
          </w:tcPr>
          <w:p w14:paraId="5A1B2219" w14:textId="77777777" w:rsidR="00960BB8" w:rsidRDefault="00C06650">
            <w:pPr>
              <w:jc w:val="center"/>
              <w:textAlignment w:val="bottom"/>
            </w:pPr>
            <w:r>
              <w:rPr>
                <w:rFonts w:ascii="Arial" w:eastAsia="宋体" w:hAnsi="Arial" w:cs="Arial"/>
                <w:b/>
                <w:bCs/>
                <w:color w:val="262626"/>
                <w:sz w:val="18"/>
                <w:szCs w:val="18"/>
              </w:rPr>
              <w:t>Other</w:t>
            </w:r>
          </w:p>
        </w:tc>
        <w:tc>
          <w:tcPr>
            <w:tcW w:w="0" w:type="auto"/>
            <w:gridSpan w:val="3"/>
            <w:shd w:val="clear" w:color="auto" w:fill="FFFFFF"/>
            <w:tcMar>
              <w:top w:w="0" w:type="dxa"/>
              <w:left w:w="20" w:type="dxa"/>
              <w:bottom w:w="0" w:type="dxa"/>
              <w:right w:w="20" w:type="dxa"/>
            </w:tcMar>
            <w:vAlign w:val="bottom"/>
          </w:tcPr>
          <w:p w14:paraId="5A1B221A"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bottom"/>
          </w:tcPr>
          <w:p w14:paraId="5A1B221B"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223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21D" w14:textId="77777777" w:rsidR="00960BB8" w:rsidRDefault="00C06650">
            <w:pPr>
              <w:textAlignment w:val="bottom"/>
            </w:pPr>
            <w:r>
              <w:rPr>
                <w:rFonts w:ascii="Arial" w:eastAsia="宋体" w:hAnsi="Arial" w:cs="Arial"/>
                <w:color w:val="262626"/>
                <w:sz w:val="18"/>
                <w:szCs w:val="18"/>
              </w:rPr>
              <w:t>Client Computing</w:t>
            </w:r>
          </w:p>
        </w:tc>
        <w:tc>
          <w:tcPr>
            <w:tcW w:w="0" w:type="auto"/>
            <w:gridSpan w:val="3"/>
            <w:shd w:val="clear" w:color="auto" w:fill="auto"/>
            <w:tcMar>
              <w:top w:w="0" w:type="dxa"/>
              <w:left w:w="20" w:type="dxa"/>
              <w:bottom w:w="0" w:type="dxa"/>
              <w:right w:w="20" w:type="dxa"/>
            </w:tcMar>
            <w:vAlign w:val="bottom"/>
          </w:tcPr>
          <w:p w14:paraId="5A1B221E"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21F"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220" w14:textId="77777777" w:rsidR="00960BB8" w:rsidRDefault="00C06650">
            <w:pPr>
              <w:jc w:val="right"/>
              <w:textAlignment w:val="bottom"/>
            </w:pPr>
            <w:r>
              <w:rPr>
                <w:rFonts w:ascii="Arial" w:eastAsia="宋体" w:hAnsi="Arial" w:cs="Arial"/>
                <w:color w:val="262626"/>
                <w:sz w:val="18"/>
                <w:szCs w:val="18"/>
              </w:rPr>
              <w:t>4,164 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22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22"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223"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224" w14:textId="77777777" w:rsidR="00960BB8" w:rsidRDefault="00C06650">
            <w:pPr>
              <w:jc w:val="right"/>
              <w:textAlignment w:val="bottom"/>
            </w:pPr>
            <w:r>
              <w:rPr>
                <w:rFonts w:ascii="Arial" w:eastAsia="宋体" w:hAnsi="Arial" w:cs="Arial"/>
                <w:color w:val="262626"/>
                <w:sz w:val="18"/>
                <w:szCs w:val="18"/>
              </w:rPr>
              <w:t>73 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22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26" w14:textId="77777777" w:rsidR="00960BB8" w:rsidRDefault="00960BB8">
            <w:pPr>
              <w:rPr>
                <w:rFonts w:ascii="宋体"/>
              </w:rPr>
            </w:pPr>
          </w:p>
        </w:tc>
        <w:tc>
          <w:tcPr>
            <w:tcW w:w="0" w:type="auto"/>
            <w:shd w:val="clear" w:color="auto" w:fill="auto"/>
            <w:vAlign w:val="bottom"/>
          </w:tcPr>
          <w:p w14:paraId="5A1B2227" w14:textId="77777777" w:rsidR="00960BB8" w:rsidRDefault="00960BB8">
            <w:pPr>
              <w:rPr>
                <w:rFonts w:ascii="宋体"/>
                <w:vanish/>
              </w:rPr>
            </w:pPr>
          </w:p>
        </w:tc>
        <w:tc>
          <w:tcPr>
            <w:tcW w:w="0" w:type="auto"/>
            <w:shd w:val="clear" w:color="auto" w:fill="auto"/>
            <w:vAlign w:val="bottom"/>
          </w:tcPr>
          <w:p w14:paraId="5A1B2228" w14:textId="77777777" w:rsidR="00960BB8" w:rsidRDefault="00960BB8">
            <w:pPr>
              <w:rPr>
                <w:rFonts w:ascii="宋体"/>
                <w:vanish/>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229"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22A" w14:textId="77777777" w:rsidR="00960BB8" w:rsidRDefault="00C06650">
            <w:pPr>
              <w:jc w:val="right"/>
              <w:textAlignment w:val="bottom"/>
            </w:pP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22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2C"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22D"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22E" w14:textId="77777777" w:rsidR="00960BB8" w:rsidRDefault="00C06650">
            <w:pPr>
              <w:jc w:val="right"/>
              <w:textAlignment w:val="bottom"/>
            </w:pPr>
            <w:r>
              <w:rPr>
                <w:rFonts w:ascii="Arial" w:eastAsia="宋体" w:hAnsi="Arial" w:cs="Arial"/>
                <w:color w:val="262626"/>
                <w:sz w:val="18"/>
                <w:szCs w:val="18"/>
              </w:rPr>
              <w:t>4,237 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22F" w14:textId="77777777" w:rsidR="00960BB8" w:rsidRDefault="00960BB8">
            <w:pPr>
              <w:jc w:val="right"/>
              <w:rPr>
                <w:rFonts w:ascii="宋体"/>
              </w:rPr>
            </w:pPr>
          </w:p>
        </w:tc>
      </w:tr>
      <w:tr w:rsidR="00960BB8" w14:paraId="5A1B2240" w14:textId="77777777">
        <w:tc>
          <w:tcPr>
            <w:tcW w:w="0" w:type="auto"/>
            <w:gridSpan w:val="3"/>
            <w:shd w:val="clear" w:color="auto" w:fill="auto"/>
            <w:tcMar>
              <w:top w:w="40" w:type="dxa"/>
              <w:left w:w="20" w:type="dxa"/>
              <w:bottom w:w="40" w:type="dxa"/>
              <w:right w:w="20" w:type="dxa"/>
            </w:tcMar>
            <w:vAlign w:val="bottom"/>
          </w:tcPr>
          <w:p w14:paraId="5A1B2231" w14:textId="77777777" w:rsidR="00960BB8" w:rsidRDefault="00C06650">
            <w:pPr>
              <w:textAlignment w:val="bottom"/>
            </w:pPr>
            <w:r>
              <w:rPr>
                <w:rFonts w:ascii="Arial" w:eastAsia="宋体" w:hAnsi="Arial" w:cs="Arial"/>
                <w:color w:val="262626"/>
                <w:sz w:val="18"/>
                <w:szCs w:val="18"/>
              </w:rPr>
              <w:t>Data Center and AI</w:t>
            </w:r>
          </w:p>
        </w:tc>
        <w:tc>
          <w:tcPr>
            <w:tcW w:w="0" w:type="auto"/>
            <w:gridSpan w:val="3"/>
            <w:shd w:val="clear" w:color="auto" w:fill="auto"/>
            <w:tcMar>
              <w:top w:w="0" w:type="dxa"/>
              <w:left w:w="20" w:type="dxa"/>
              <w:bottom w:w="0" w:type="dxa"/>
              <w:right w:w="20" w:type="dxa"/>
            </w:tcMar>
            <w:vAlign w:val="bottom"/>
          </w:tcPr>
          <w:p w14:paraId="5A1B223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33" w14:textId="77777777" w:rsidR="00960BB8" w:rsidRDefault="00C06650">
            <w:pPr>
              <w:jc w:val="right"/>
              <w:textAlignment w:val="bottom"/>
            </w:pPr>
            <w:r>
              <w:rPr>
                <w:rFonts w:ascii="Arial" w:eastAsia="宋体" w:hAnsi="Arial" w:cs="Arial"/>
                <w:color w:val="262626"/>
                <w:sz w:val="18"/>
                <w:szCs w:val="18"/>
              </w:rPr>
              <w:t>8,476 </w:t>
            </w:r>
          </w:p>
        </w:tc>
        <w:tc>
          <w:tcPr>
            <w:tcW w:w="0" w:type="auto"/>
            <w:shd w:val="clear" w:color="auto" w:fill="auto"/>
            <w:tcMar>
              <w:top w:w="40" w:type="dxa"/>
              <w:left w:w="0" w:type="dxa"/>
              <w:bottom w:w="40" w:type="dxa"/>
              <w:right w:w="20" w:type="dxa"/>
            </w:tcMar>
            <w:vAlign w:val="bottom"/>
          </w:tcPr>
          <w:p w14:paraId="5A1B223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3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36" w14:textId="77777777" w:rsidR="00960BB8" w:rsidRDefault="00C06650">
            <w:pPr>
              <w:jc w:val="right"/>
              <w:textAlignment w:val="bottom"/>
            </w:pPr>
            <w:r>
              <w:rPr>
                <w:rFonts w:ascii="Arial" w:eastAsia="宋体" w:hAnsi="Arial" w:cs="Arial"/>
                <w:color w:val="000000"/>
                <w:sz w:val="18"/>
                <w:szCs w:val="18"/>
              </w:rPr>
              <w:t>85 </w:t>
            </w:r>
          </w:p>
        </w:tc>
        <w:tc>
          <w:tcPr>
            <w:tcW w:w="0" w:type="auto"/>
            <w:shd w:val="clear" w:color="auto" w:fill="auto"/>
            <w:tcMar>
              <w:top w:w="40" w:type="dxa"/>
              <w:left w:w="0" w:type="dxa"/>
              <w:bottom w:w="40" w:type="dxa"/>
              <w:right w:w="20" w:type="dxa"/>
            </w:tcMar>
            <w:vAlign w:val="bottom"/>
          </w:tcPr>
          <w:p w14:paraId="5A1B223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38" w14:textId="77777777" w:rsidR="00960BB8" w:rsidRDefault="00960BB8">
            <w:pPr>
              <w:rPr>
                <w:rFonts w:ascii="宋体"/>
              </w:rPr>
            </w:pPr>
          </w:p>
        </w:tc>
        <w:tc>
          <w:tcPr>
            <w:tcW w:w="0" w:type="auto"/>
            <w:shd w:val="clear" w:color="auto" w:fill="auto"/>
            <w:vAlign w:val="bottom"/>
          </w:tcPr>
          <w:p w14:paraId="5A1B2239" w14:textId="77777777" w:rsidR="00960BB8" w:rsidRDefault="00960BB8">
            <w:pPr>
              <w:rPr>
                <w:rFonts w:ascii="宋体"/>
                <w:vanish/>
              </w:rPr>
            </w:pPr>
          </w:p>
        </w:tc>
        <w:tc>
          <w:tcPr>
            <w:tcW w:w="0" w:type="auto"/>
            <w:shd w:val="clear" w:color="auto" w:fill="auto"/>
            <w:vAlign w:val="bottom"/>
          </w:tcPr>
          <w:p w14:paraId="5A1B223A"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23B" w14:textId="77777777" w:rsidR="00960BB8" w:rsidRDefault="00C06650">
            <w:pPr>
              <w:jc w:val="right"/>
              <w:textAlignment w:val="bottom"/>
            </w:pPr>
            <w:r>
              <w:rPr>
                <w:rFonts w:ascii="Arial" w:eastAsia="宋体" w:hAnsi="Arial" w:cs="Arial"/>
                <w:color w:val="000000"/>
                <w:sz w:val="18"/>
                <w:szCs w:val="18"/>
              </w:rPr>
              <w:t>34 </w:t>
            </w:r>
          </w:p>
        </w:tc>
        <w:tc>
          <w:tcPr>
            <w:tcW w:w="0" w:type="auto"/>
            <w:shd w:val="clear" w:color="auto" w:fill="auto"/>
            <w:tcMar>
              <w:top w:w="40" w:type="dxa"/>
              <w:left w:w="0" w:type="dxa"/>
              <w:bottom w:w="40" w:type="dxa"/>
              <w:right w:w="20" w:type="dxa"/>
            </w:tcMar>
            <w:vAlign w:val="bottom"/>
          </w:tcPr>
          <w:p w14:paraId="5A1B223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3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3E" w14:textId="77777777" w:rsidR="00960BB8" w:rsidRDefault="00C06650">
            <w:pPr>
              <w:jc w:val="right"/>
              <w:textAlignment w:val="bottom"/>
            </w:pPr>
            <w:r>
              <w:rPr>
                <w:rFonts w:ascii="Arial" w:eastAsia="宋体" w:hAnsi="Arial" w:cs="Arial"/>
                <w:color w:val="000000"/>
                <w:sz w:val="18"/>
                <w:szCs w:val="18"/>
              </w:rPr>
              <w:t>8,595 </w:t>
            </w:r>
          </w:p>
        </w:tc>
        <w:tc>
          <w:tcPr>
            <w:tcW w:w="0" w:type="auto"/>
            <w:shd w:val="clear" w:color="auto" w:fill="auto"/>
            <w:tcMar>
              <w:top w:w="40" w:type="dxa"/>
              <w:left w:w="0" w:type="dxa"/>
              <w:bottom w:w="40" w:type="dxa"/>
              <w:right w:w="20" w:type="dxa"/>
            </w:tcMar>
            <w:vAlign w:val="bottom"/>
          </w:tcPr>
          <w:p w14:paraId="5A1B223F" w14:textId="77777777" w:rsidR="00960BB8" w:rsidRDefault="00960BB8">
            <w:pPr>
              <w:jc w:val="right"/>
              <w:rPr>
                <w:rFonts w:ascii="宋体"/>
              </w:rPr>
            </w:pPr>
          </w:p>
        </w:tc>
      </w:tr>
      <w:tr w:rsidR="00960BB8" w14:paraId="5A1B2250" w14:textId="77777777">
        <w:tc>
          <w:tcPr>
            <w:tcW w:w="0" w:type="auto"/>
            <w:gridSpan w:val="3"/>
            <w:shd w:val="clear" w:color="auto" w:fill="auto"/>
            <w:tcMar>
              <w:top w:w="40" w:type="dxa"/>
              <w:left w:w="20" w:type="dxa"/>
              <w:bottom w:w="40" w:type="dxa"/>
              <w:right w:w="20" w:type="dxa"/>
            </w:tcMar>
            <w:vAlign w:val="bottom"/>
          </w:tcPr>
          <w:p w14:paraId="5A1B2241" w14:textId="77777777" w:rsidR="00960BB8" w:rsidRDefault="00C06650">
            <w:pPr>
              <w:textAlignment w:val="bottom"/>
            </w:pPr>
            <w:r>
              <w:rPr>
                <w:rFonts w:ascii="Arial" w:eastAsia="宋体" w:hAnsi="Arial" w:cs="Arial"/>
                <w:color w:val="262626"/>
                <w:sz w:val="18"/>
                <w:szCs w:val="18"/>
              </w:rPr>
              <w:t>Network and Edge</w:t>
            </w:r>
          </w:p>
        </w:tc>
        <w:tc>
          <w:tcPr>
            <w:tcW w:w="0" w:type="auto"/>
            <w:gridSpan w:val="3"/>
            <w:shd w:val="clear" w:color="auto" w:fill="auto"/>
            <w:tcMar>
              <w:top w:w="0" w:type="dxa"/>
              <w:left w:w="20" w:type="dxa"/>
              <w:bottom w:w="0" w:type="dxa"/>
              <w:right w:w="20" w:type="dxa"/>
            </w:tcMar>
            <w:vAlign w:val="bottom"/>
          </w:tcPr>
          <w:p w14:paraId="5A1B224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43" w14:textId="77777777" w:rsidR="00960BB8" w:rsidRDefault="00C06650">
            <w:pPr>
              <w:jc w:val="right"/>
              <w:textAlignment w:val="bottom"/>
            </w:pPr>
            <w:r>
              <w:rPr>
                <w:rFonts w:ascii="Arial" w:eastAsia="宋体" w:hAnsi="Arial" w:cs="Arial"/>
                <w:color w:val="262626"/>
                <w:sz w:val="18"/>
                <w:szCs w:val="18"/>
              </w:rPr>
              <w:t>2,774 </w:t>
            </w:r>
          </w:p>
        </w:tc>
        <w:tc>
          <w:tcPr>
            <w:tcW w:w="0" w:type="auto"/>
            <w:shd w:val="clear" w:color="auto" w:fill="auto"/>
            <w:tcMar>
              <w:top w:w="40" w:type="dxa"/>
              <w:left w:w="0" w:type="dxa"/>
              <w:bottom w:w="40" w:type="dxa"/>
              <w:right w:w="20" w:type="dxa"/>
            </w:tcMar>
            <w:vAlign w:val="bottom"/>
          </w:tcPr>
          <w:p w14:paraId="5A1B224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4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46"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5A1B224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48" w14:textId="77777777" w:rsidR="00960BB8" w:rsidRDefault="00960BB8">
            <w:pPr>
              <w:rPr>
                <w:rFonts w:ascii="宋体"/>
              </w:rPr>
            </w:pPr>
          </w:p>
        </w:tc>
        <w:tc>
          <w:tcPr>
            <w:tcW w:w="0" w:type="auto"/>
            <w:shd w:val="clear" w:color="auto" w:fill="auto"/>
            <w:vAlign w:val="bottom"/>
          </w:tcPr>
          <w:p w14:paraId="5A1B2249" w14:textId="77777777" w:rsidR="00960BB8" w:rsidRDefault="00960BB8">
            <w:pPr>
              <w:rPr>
                <w:rFonts w:ascii="宋体"/>
                <w:vanish/>
              </w:rPr>
            </w:pPr>
          </w:p>
        </w:tc>
        <w:tc>
          <w:tcPr>
            <w:tcW w:w="0" w:type="auto"/>
            <w:shd w:val="clear" w:color="auto" w:fill="auto"/>
            <w:vAlign w:val="bottom"/>
          </w:tcPr>
          <w:p w14:paraId="5A1B224A"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24B"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5A1B224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4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4E" w14:textId="77777777" w:rsidR="00960BB8" w:rsidRDefault="00C06650">
            <w:pPr>
              <w:jc w:val="right"/>
              <w:textAlignment w:val="bottom"/>
            </w:pPr>
            <w:r>
              <w:rPr>
                <w:rFonts w:ascii="Arial" w:eastAsia="宋体" w:hAnsi="Arial" w:cs="Arial"/>
                <w:color w:val="000000"/>
                <w:sz w:val="18"/>
                <w:szCs w:val="18"/>
              </w:rPr>
              <w:t>2,774 </w:t>
            </w:r>
          </w:p>
        </w:tc>
        <w:tc>
          <w:tcPr>
            <w:tcW w:w="0" w:type="auto"/>
            <w:shd w:val="clear" w:color="auto" w:fill="auto"/>
            <w:tcMar>
              <w:top w:w="40" w:type="dxa"/>
              <w:left w:w="0" w:type="dxa"/>
              <w:bottom w:w="40" w:type="dxa"/>
              <w:right w:w="20" w:type="dxa"/>
            </w:tcMar>
            <w:vAlign w:val="bottom"/>
          </w:tcPr>
          <w:p w14:paraId="5A1B224F" w14:textId="77777777" w:rsidR="00960BB8" w:rsidRDefault="00960BB8">
            <w:pPr>
              <w:jc w:val="right"/>
              <w:rPr>
                <w:rFonts w:ascii="宋体"/>
              </w:rPr>
            </w:pPr>
          </w:p>
        </w:tc>
      </w:tr>
      <w:tr w:rsidR="00960BB8" w14:paraId="5A1B225C" w14:textId="77777777">
        <w:trPr>
          <w:hidden/>
        </w:trPr>
        <w:tc>
          <w:tcPr>
            <w:tcW w:w="0" w:type="auto"/>
            <w:gridSpan w:val="3"/>
            <w:shd w:val="clear" w:color="auto" w:fill="auto"/>
            <w:vAlign w:val="bottom"/>
          </w:tcPr>
          <w:p w14:paraId="5A1B2251" w14:textId="77777777" w:rsidR="00960BB8" w:rsidRDefault="00960BB8">
            <w:pPr>
              <w:rPr>
                <w:rFonts w:ascii="宋体"/>
                <w:vanish/>
              </w:rPr>
            </w:pPr>
          </w:p>
        </w:tc>
        <w:tc>
          <w:tcPr>
            <w:tcW w:w="0" w:type="auto"/>
            <w:gridSpan w:val="3"/>
            <w:shd w:val="clear" w:color="auto" w:fill="auto"/>
            <w:vAlign w:val="bottom"/>
          </w:tcPr>
          <w:p w14:paraId="5A1B2252" w14:textId="77777777" w:rsidR="00960BB8" w:rsidRDefault="00960BB8">
            <w:pPr>
              <w:rPr>
                <w:rFonts w:ascii="宋体"/>
                <w:vanish/>
              </w:rPr>
            </w:pPr>
          </w:p>
        </w:tc>
        <w:tc>
          <w:tcPr>
            <w:tcW w:w="0" w:type="auto"/>
            <w:gridSpan w:val="3"/>
            <w:shd w:val="clear" w:color="auto" w:fill="auto"/>
            <w:vAlign w:val="bottom"/>
          </w:tcPr>
          <w:p w14:paraId="5A1B2253" w14:textId="77777777" w:rsidR="00960BB8" w:rsidRDefault="00960BB8">
            <w:pPr>
              <w:rPr>
                <w:rFonts w:ascii="宋体"/>
                <w:vanish/>
              </w:rPr>
            </w:pPr>
          </w:p>
        </w:tc>
        <w:tc>
          <w:tcPr>
            <w:tcW w:w="0" w:type="auto"/>
            <w:gridSpan w:val="3"/>
            <w:shd w:val="clear" w:color="auto" w:fill="auto"/>
            <w:vAlign w:val="bottom"/>
          </w:tcPr>
          <w:p w14:paraId="5A1B2254" w14:textId="77777777" w:rsidR="00960BB8" w:rsidRDefault="00960BB8">
            <w:pPr>
              <w:rPr>
                <w:rFonts w:ascii="宋体"/>
                <w:vanish/>
              </w:rPr>
            </w:pPr>
          </w:p>
        </w:tc>
        <w:tc>
          <w:tcPr>
            <w:tcW w:w="0" w:type="auto"/>
            <w:gridSpan w:val="3"/>
            <w:shd w:val="clear" w:color="auto" w:fill="auto"/>
            <w:vAlign w:val="bottom"/>
          </w:tcPr>
          <w:p w14:paraId="5A1B2255" w14:textId="77777777" w:rsidR="00960BB8" w:rsidRDefault="00960BB8">
            <w:pPr>
              <w:rPr>
                <w:rFonts w:ascii="宋体"/>
                <w:vanish/>
              </w:rPr>
            </w:pPr>
          </w:p>
        </w:tc>
        <w:tc>
          <w:tcPr>
            <w:tcW w:w="0" w:type="auto"/>
            <w:gridSpan w:val="3"/>
            <w:shd w:val="clear" w:color="auto" w:fill="auto"/>
            <w:vAlign w:val="bottom"/>
          </w:tcPr>
          <w:p w14:paraId="5A1B2256" w14:textId="77777777" w:rsidR="00960BB8" w:rsidRDefault="00960BB8">
            <w:pPr>
              <w:rPr>
                <w:rFonts w:ascii="宋体"/>
                <w:vanish/>
              </w:rPr>
            </w:pPr>
          </w:p>
        </w:tc>
        <w:tc>
          <w:tcPr>
            <w:tcW w:w="0" w:type="auto"/>
            <w:shd w:val="clear" w:color="auto" w:fill="auto"/>
            <w:vAlign w:val="bottom"/>
          </w:tcPr>
          <w:p w14:paraId="5A1B2257" w14:textId="77777777" w:rsidR="00960BB8" w:rsidRDefault="00960BB8">
            <w:pPr>
              <w:rPr>
                <w:rFonts w:ascii="宋体"/>
                <w:vanish/>
              </w:rPr>
            </w:pPr>
          </w:p>
        </w:tc>
        <w:tc>
          <w:tcPr>
            <w:tcW w:w="0" w:type="auto"/>
            <w:shd w:val="clear" w:color="auto" w:fill="auto"/>
            <w:vAlign w:val="bottom"/>
          </w:tcPr>
          <w:p w14:paraId="5A1B2258" w14:textId="77777777" w:rsidR="00960BB8" w:rsidRDefault="00960BB8">
            <w:pPr>
              <w:rPr>
                <w:rFonts w:ascii="宋体"/>
                <w:vanish/>
              </w:rPr>
            </w:pPr>
          </w:p>
        </w:tc>
        <w:tc>
          <w:tcPr>
            <w:tcW w:w="0" w:type="auto"/>
            <w:gridSpan w:val="3"/>
            <w:shd w:val="clear" w:color="auto" w:fill="auto"/>
            <w:vAlign w:val="bottom"/>
          </w:tcPr>
          <w:p w14:paraId="5A1B2259" w14:textId="77777777" w:rsidR="00960BB8" w:rsidRDefault="00960BB8">
            <w:pPr>
              <w:rPr>
                <w:rFonts w:ascii="宋体"/>
                <w:vanish/>
              </w:rPr>
            </w:pPr>
          </w:p>
        </w:tc>
        <w:tc>
          <w:tcPr>
            <w:tcW w:w="0" w:type="auto"/>
            <w:gridSpan w:val="3"/>
            <w:shd w:val="clear" w:color="auto" w:fill="auto"/>
            <w:vAlign w:val="bottom"/>
          </w:tcPr>
          <w:p w14:paraId="5A1B225A" w14:textId="77777777" w:rsidR="00960BB8" w:rsidRDefault="00960BB8">
            <w:pPr>
              <w:rPr>
                <w:rFonts w:ascii="宋体"/>
                <w:vanish/>
              </w:rPr>
            </w:pPr>
          </w:p>
        </w:tc>
        <w:tc>
          <w:tcPr>
            <w:tcW w:w="0" w:type="auto"/>
            <w:gridSpan w:val="3"/>
            <w:shd w:val="clear" w:color="auto" w:fill="auto"/>
            <w:vAlign w:val="bottom"/>
          </w:tcPr>
          <w:p w14:paraId="5A1B225B" w14:textId="77777777" w:rsidR="00960BB8" w:rsidRDefault="00960BB8">
            <w:pPr>
              <w:rPr>
                <w:rFonts w:ascii="宋体"/>
                <w:vanish/>
              </w:rPr>
            </w:pPr>
          </w:p>
        </w:tc>
      </w:tr>
      <w:tr w:rsidR="00960BB8" w14:paraId="5A1B226B" w14:textId="77777777">
        <w:tc>
          <w:tcPr>
            <w:tcW w:w="0" w:type="auto"/>
            <w:gridSpan w:val="3"/>
            <w:shd w:val="clear" w:color="auto" w:fill="auto"/>
            <w:tcMar>
              <w:top w:w="40" w:type="dxa"/>
              <w:left w:w="20" w:type="dxa"/>
              <w:bottom w:w="40" w:type="dxa"/>
              <w:right w:w="20" w:type="dxa"/>
            </w:tcMar>
            <w:vAlign w:val="bottom"/>
          </w:tcPr>
          <w:p w14:paraId="5A1B225D" w14:textId="77777777" w:rsidR="00960BB8" w:rsidRDefault="00C06650">
            <w:pPr>
              <w:textAlignment w:val="bottom"/>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5A1B225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5F" w14:textId="77777777" w:rsidR="00960BB8" w:rsidRDefault="00C06650">
            <w:pPr>
              <w:jc w:val="right"/>
              <w:textAlignment w:val="bottom"/>
            </w:pPr>
            <w:r>
              <w:rPr>
                <w:rFonts w:ascii="Arial" w:eastAsia="宋体" w:hAnsi="Arial" w:cs="Arial"/>
                <w:color w:val="262626"/>
                <w:sz w:val="18"/>
                <w:szCs w:val="18"/>
              </w:rPr>
              <w:t>10,928 </w:t>
            </w:r>
          </w:p>
        </w:tc>
        <w:tc>
          <w:tcPr>
            <w:tcW w:w="0" w:type="auto"/>
            <w:shd w:val="clear" w:color="auto" w:fill="auto"/>
            <w:tcMar>
              <w:top w:w="40" w:type="dxa"/>
              <w:left w:w="0" w:type="dxa"/>
              <w:bottom w:w="40" w:type="dxa"/>
              <w:right w:w="20" w:type="dxa"/>
            </w:tcMar>
            <w:vAlign w:val="bottom"/>
          </w:tcPr>
          <w:p w14:paraId="5A1B226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6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262"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263" w14:textId="77777777" w:rsidR="00960BB8" w:rsidRDefault="00960BB8">
            <w:pPr>
              <w:rPr>
                <w:rFonts w:ascii="宋体"/>
              </w:rPr>
            </w:pPr>
          </w:p>
        </w:tc>
        <w:tc>
          <w:tcPr>
            <w:tcW w:w="0" w:type="auto"/>
            <w:shd w:val="clear" w:color="auto" w:fill="auto"/>
            <w:vAlign w:val="bottom"/>
          </w:tcPr>
          <w:p w14:paraId="5A1B2264" w14:textId="77777777" w:rsidR="00960BB8" w:rsidRDefault="00960BB8">
            <w:pPr>
              <w:rPr>
                <w:rFonts w:ascii="宋体"/>
                <w:vanish/>
              </w:rPr>
            </w:pPr>
          </w:p>
        </w:tc>
        <w:tc>
          <w:tcPr>
            <w:tcW w:w="0" w:type="auto"/>
            <w:shd w:val="clear" w:color="auto" w:fill="auto"/>
            <w:vAlign w:val="bottom"/>
          </w:tcPr>
          <w:p w14:paraId="5A1B2265"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266"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226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6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69" w14:textId="77777777" w:rsidR="00960BB8" w:rsidRDefault="00C06650">
            <w:pPr>
              <w:jc w:val="right"/>
              <w:textAlignment w:val="bottom"/>
            </w:pPr>
            <w:r>
              <w:rPr>
                <w:rFonts w:ascii="Arial" w:eastAsia="宋体" w:hAnsi="Arial" w:cs="Arial"/>
                <w:color w:val="262626"/>
                <w:sz w:val="18"/>
                <w:szCs w:val="18"/>
              </w:rPr>
              <w:t>10,928 </w:t>
            </w:r>
          </w:p>
        </w:tc>
        <w:tc>
          <w:tcPr>
            <w:tcW w:w="0" w:type="auto"/>
            <w:shd w:val="clear" w:color="auto" w:fill="auto"/>
            <w:tcMar>
              <w:top w:w="40" w:type="dxa"/>
              <w:left w:w="0" w:type="dxa"/>
              <w:bottom w:w="40" w:type="dxa"/>
              <w:right w:w="20" w:type="dxa"/>
            </w:tcMar>
            <w:vAlign w:val="bottom"/>
          </w:tcPr>
          <w:p w14:paraId="5A1B226A" w14:textId="77777777" w:rsidR="00960BB8" w:rsidRDefault="00960BB8">
            <w:pPr>
              <w:jc w:val="right"/>
              <w:rPr>
                <w:rFonts w:ascii="宋体"/>
              </w:rPr>
            </w:pPr>
          </w:p>
        </w:tc>
      </w:tr>
      <w:tr w:rsidR="00960BB8" w14:paraId="5A1B227A" w14:textId="77777777">
        <w:tc>
          <w:tcPr>
            <w:tcW w:w="0" w:type="auto"/>
            <w:gridSpan w:val="3"/>
            <w:shd w:val="clear" w:color="auto" w:fill="auto"/>
            <w:tcMar>
              <w:top w:w="40" w:type="dxa"/>
              <w:left w:w="20" w:type="dxa"/>
              <w:bottom w:w="40" w:type="dxa"/>
              <w:right w:w="20" w:type="dxa"/>
            </w:tcMar>
            <w:vAlign w:val="bottom"/>
          </w:tcPr>
          <w:p w14:paraId="5A1B226C" w14:textId="77777777" w:rsidR="00960BB8" w:rsidRDefault="00C06650">
            <w:pPr>
              <w:textAlignment w:val="bottom"/>
            </w:pPr>
            <w:r>
              <w:rPr>
                <w:rFonts w:ascii="Arial" w:eastAsia="宋体" w:hAnsi="Arial" w:cs="Arial"/>
                <w:color w:val="262626"/>
                <w:sz w:val="18"/>
                <w:szCs w:val="18"/>
              </w:rPr>
              <w:t>Accelerated Computing Systems and Graphics</w:t>
            </w:r>
          </w:p>
        </w:tc>
        <w:tc>
          <w:tcPr>
            <w:tcW w:w="0" w:type="auto"/>
            <w:gridSpan w:val="3"/>
            <w:shd w:val="clear" w:color="auto" w:fill="auto"/>
            <w:tcMar>
              <w:top w:w="0" w:type="dxa"/>
              <w:left w:w="20" w:type="dxa"/>
              <w:bottom w:w="0" w:type="dxa"/>
              <w:right w:w="20" w:type="dxa"/>
            </w:tcMar>
            <w:vAlign w:val="bottom"/>
          </w:tcPr>
          <w:p w14:paraId="5A1B226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6E" w14:textId="77777777" w:rsidR="00960BB8" w:rsidRDefault="00C06650">
            <w:pPr>
              <w:jc w:val="right"/>
              <w:textAlignment w:val="bottom"/>
            </w:pPr>
            <w:r>
              <w:rPr>
                <w:rFonts w:ascii="Arial" w:eastAsia="宋体" w:hAnsi="Arial" w:cs="Arial"/>
                <w:color w:val="262626"/>
                <w:sz w:val="18"/>
                <w:szCs w:val="18"/>
              </w:rPr>
              <w:t>391 </w:t>
            </w:r>
          </w:p>
        </w:tc>
        <w:tc>
          <w:tcPr>
            <w:tcW w:w="0" w:type="auto"/>
            <w:shd w:val="clear" w:color="auto" w:fill="auto"/>
            <w:tcMar>
              <w:top w:w="40" w:type="dxa"/>
              <w:left w:w="0" w:type="dxa"/>
              <w:bottom w:w="40" w:type="dxa"/>
              <w:right w:w="20" w:type="dxa"/>
            </w:tcMar>
            <w:vAlign w:val="bottom"/>
          </w:tcPr>
          <w:p w14:paraId="5A1B226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7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271" w14:textId="77777777" w:rsidR="00960BB8" w:rsidRDefault="00C06650">
            <w:pPr>
              <w:jc w:val="right"/>
              <w:textAlignment w:val="bottom"/>
            </w:pPr>
            <w:r>
              <w:rPr>
                <w:rFonts w:ascii="Arial" w:eastAsia="宋体" w:hAnsi="Arial" w:cs="Arial"/>
                <w:color w:val="262626"/>
                <w:sz w:val="18"/>
                <w:szCs w:val="18"/>
              </w:rPr>
              <w:t>38</w:t>
            </w:r>
          </w:p>
        </w:tc>
        <w:tc>
          <w:tcPr>
            <w:tcW w:w="0" w:type="auto"/>
            <w:gridSpan w:val="3"/>
            <w:shd w:val="clear" w:color="auto" w:fill="auto"/>
            <w:tcMar>
              <w:top w:w="0" w:type="dxa"/>
              <w:left w:w="20" w:type="dxa"/>
              <w:bottom w:w="0" w:type="dxa"/>
              <w:right w:w="20" w:type="dxa"/>
            </w:tcMar>
            <w:vAlign w:val="bottom"/>
          </w:tcPr>
          <w:p w14:paraId="5A1B2272" w14:textId="77777777" w:rsidR="00960BB8" w:rsidRDefault="00960BB8">
            <w:pPr>
              <w:rPr>
                <w:rFonts w:ascii="宋体"/>
              </w:rPr>
            </w:pPr>
          </w:p>
        </w:tc>
        <w:tc>
          <w:tcPr>
            <w:tcW w:w="0" w:type="auto"/>
            <w:shd w:val="clear" w:color="auto" w:fill="auto"/>
            <w:vAlign w:val="bottom"/>
          </w:tcPr>
          <w:p w14:paraId="5A1B2273" w14:textId="77777777" w:rsidR="00960BB8" w:rsidRDefault="00960BB8">
            <w:pPr>
              <w:rPr>
                <w:rFonts w:ascii="宋体"/>
                <w:vanish/>
              </w:rPr>
            </w:pPr>
          </w:p>
        </w:tc>
        <w:tc>
          <w:tcPr>
            <w:tcW w:w="0" w:type="auto"/>
            <w:shd w:val="clear" w:color="auto" w:fill="auto"/>
            <w:vAlign w:val="bottom"/>
          </w:tcPr>
          <w:p w14:paraId="5A1B2274"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275"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227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7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78" w14:textId="77777777" w:rsidR="00960BB8" w:rsidRDefault="00C06650">
            <w:pPr>
              <w:jc w:val="right"/>
              <w:textAlignment w:val="bottom"/>
            </w:pPr>
            <w:r>
              <w:rPr>
                <w:rFonts w:ascii="Arial" w:eastAsia="宋体" w:hAnsi="Arial" w:cs="Arial"/>
                <w:color w:val="262626"/>
                <w:sz w:val="18"/>
                <w:szCs w:val="18"/>
              </w:rPr>
              <w:t>429 </w:t>
            </w:r>
          </w:p>
        </w:tc>
        <w:tc>
          <w:tcPr>
            <w:tcW w:w="0" w:type="auto"/>
            <w:shd w:val="clear" w:color="auto" w:fill="auto"/>
            <w:tcMar>
              <w:top w:w="40" w:type="dxa"/>
              <w:left w:w="0" w:type="dxa"/>
              <w:bottom w:w="40" w:type="dxa"/>
              <w:right w:w="20" w:type="dxa"/>
            </w:tcMar>
            <w:vAlign w:val="bottom"/>
          </w:tcPr>
          <w:p w14:paraId="5A1B2279" w14:textId="77777777" w:rsidR="00960BB8" w:rsidRDefault="00960BB8">
            <w:pPr>
              <w:jc w:val="right"/>
              <w:rPr>
                <w:rFonts w:ascii="宋体"/>
              </w:rPr>
            </w:pPr>
          </w:p>
        </w:tc>
      </w:tr>
      <w:tr w:rsidR="00960BB8" w14:paraId="5A1B228A" w14:textId="77777777">
        <w:tc>
          <w:tcPr>
            <w:tcW w:w="0" w:type="auto"/>
            <w:gridSpan w:val="3"/>
            <w:shd w:val="clear" w:color="auto" w:fill="auto"/>
            <w:tcMar>
              <w:top w:w="40" w:type="dxa"/>
              <w:left w:w="20" w:type="dxa"/>
              <w:bottom w:w="40" w:type="dxa"/>
              <w:right w:w="20" w:type="dxa"/>
            </w:tcMar>
            <w:vAlign w:val="bottom"/>
          </w:tcPr>
          <w:p w14:paraId="5A1B227B" w14:textId="77777777" w:rsidR="00960BB8" w:rsidRDefault="00C06650">
            <w:pPr>
              <w:textAlignment w:val="bottom"/>
            </w:pPr>
            <w:r>
              <w:rPr>
                <w:rFonts w:ascii="Arial" w:eastAsia="宋体" w:hAnsi="Arial" w:cs="Arial"/>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5A1B227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7D" w14:textId="77777777" w:rsidR="00960BB8" w:rsidRDefault="00C06650">
            <w:pPr>
              <w:jc w:val="right"/>
              <w:textAlignment w:val="bottom"/>
            </w:pPr>
            <w:r>
              <w:rPr>
                <w:rFonts w:ascii="Arial" w:eastAsia="宋体" w:hAnsi="Arial" w:cs="Arial"/>
                <w:color w:val="262626"/>
                <w:sz w:val="18"/>
                <w:szCs w:val="18"/>
              </w:rPr>
              <w:t>238 </w:t>
            </w:r>
          </w:p>
        </w:tc>
        <w:tc>
          <w:tcPr>
            <w:tcW w:w="0" w:type="auto"/>
            <w:shd w:val="clear" w:color="auto" w:fill="auto"/>
            <w:tcMar>
              <w:top w:w="40" w:type="dxa"/>
              <w:left w:w="0" w:type="dxa"/>
              <w:bottom w:w="40" w:type="dxa"/>
              <w:right w:w="20" w:type="dxa"/>
            </w:tcMar>
            <w:vAlign w:val="bottom"/>
          </w:tcPr>
          <w:p w14:paraId="5A1B227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7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80"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228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82" w14:textId="77777777" w:rsidR="00960BB8" w:rsidRDefault="00960BB8">
            <w:pPr>
              <w:rPr>
                <w:rFonts w:ascii="宋体"/>
              </w:rPr>
            </w:pPr>
          </w:p>
        </w:tc>
        <w:tc>
          <w:tcPr>
            <w:tcW w:w="0" w:type="auto"/>
            <w:shd w:val="clear" w:color="auto" w:fill="auto"/>
            <w:vAlign w:val="bottom"/>
          </w:tcPr>
          <w:p w14:paraId="5A1B2283" w14:textId="77777777" w:rsidR="00960BB8" w:rsidRDefault="00960BB8">
            <w:pPr>
              <w:rPr>
                <w:rFonts w:ascii="宋体"/>
                <w:vanish/>
              </w:rPr>
            </w:pPr>
          </w:p>
        </w:tc>
        <w:tc>
          <w:tcPr>
            <w:tcW w:w="0" w:type="auto"/>
            <w:shd w:val="clear" w:color="auto" w:fill="auto"/>
            <w:vAlign w:val="bottom"/>
          </w:tcPr>
          <w:p w14:paraId="5A1B2284"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285" w14:textId="77777777" w:rsidR="00960BB8" w:rsidRDefault="00C06650">
            <w:pPr>
              <w:jc w:val="right"/>
              <w:textAlignment w:val="bottom"/>
            </w:pPr>
            <w:r>
              <w:rPr>
                <w:rFonts w:ascii="Arial" w:eastAsia="宋体" w:hAnsi="Arial" w:cs="Arial"/>
                <w:color w:val="262626"/>
                <w:sz w:val="18"/>
                <w:szCs w:val="18"/>
              </w:rPr>
              <w:t>(238)</w:t>
            </w:r>
          </w:p>
        </w:tc>
        <w:tc>
          <w:tcPr>
            <w:tcW w:w="0" w:type="auto"/>
            <w:shd w:val="clear" w:color="auto" w:fill="auto"/>
            <w:tcMar>
              <w:top w:w="40" w:type="dxa"/>
              <w:left w:w="0" w:type="dxa"/>
              <w:bottom w:w="40" w:type="dxa"/>
              <w:right w:w="20" w:type="dxa"/>
            </w:tcMar>
            <w:vAlign w:val="bottom"/>
          </w:tcPr>
          <w:p w14:paraId="5A1B228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8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288"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2289" w14:textId="77777777" w:rsidR="00960BB8" w:rsidRDefault="00960BB8">
            <w:pPr>
              <w:jc w:val="right"/>
              <w:rPr>
                <w:rFonts w:ascii="宋体"/>
              </w:rPr>
            </w:pPr>
          </w:p>
        </w:tc>
      </w:tr>
      <w:tr w:rsidR="00960BB8" w14:paraId="5A1B229E" w14:textId="77777777">
        <w:tc>
          <w:tcPr>
            <w:tcW w:w="0" w:type="auto"/>
            <w:gridSpan w:val="3"/>
            <w:shd w:val="clear" w:color="auto" w:fill="auto"/>
            <w:tcMar>
              <w:top w:w="40" w:type="dxa"/>
              <w:left w:w="20" w:type="dxa"/>
              <w:bottom w:w="40" w:type="dxa"/>
              <w:right w:w="20" w:type="dxa"/>
            </w:tcMar>
            <w:vAlign w:val="bottom"/>
          </w:tcPr>
          <w:p w14:paraId="5A1B228B" w14:textId="77777777" w:rsidR="00960BB8" w:rsidRDefault="00C06650">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5A1B228C"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28D"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28E" w14:textId="77777777" w:rsidR="00960BB8" w:rsidRDefault="00C06650">
            <w:pPr>
              <w:jc w:val="right"/>
              <w:textAlignment w:val="bottom"/>
            </w:pPr>
            <w:r>
              <w:rPr>
                <w:rFonts w:ascii="Arial" w:eastAsia="宋体" w:hAnsi="Arial" w:cs="Arial"/>
                <w:b/>
                <w:bCs/>
                <w:color w:val="262626"/>
                <w:sz w:val="18"/>
                <w:szCs w:val="18"/>
              </w:rPr>
              <w:t>26,971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28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90"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291"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292" w14:textId="77777777" w:rsidR="00960BB8" w:rsidRDefault="00C06650">
            <w:pPr>
              <w:jc w:val="right"/>
              <w:textAlignment w:val="bottom"/>
            </w:pPr>
            <w:r>
              <w:rPr>
                <w:rFonts w:ascii="Arial" w:eastAsia="宋体" w:hAnsi="Arial" w:cs="Arial"/>
                <w:b/>
                <w:bCs/>
                <w:color w:val="262626"/>
                <w:sz w:val="18"/>
                <w:szCs w:val="18"/>
              </w:rPr>
              <w:t>196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29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94" w14:textId="77777777" w:rsidR="00960BB8" w:rsidRDefault="00960BB8">
            <w:pPr>
              <w:rPr>
                <w:rFonts w:ascii="宋体"/>
              </w:rPr>
            </w:pPr>
          </w:p>
        </w:tc>
        <w:tc>
          <w:tcPr>
            <w:tcW w:w="0" w:type="auto"/>
            <w:shd w:val="clear" w:color="auto" w:fill="auto"/>
            <w:vAlign w:val="bottom"/>
          </w:tcPr>
          <w:p w14:paraId="5A1B2295" w14:textId="77777777" w:rsidR="00960BB8" w:rsidRDefault="00960BB8">
            <w:pPr>
              <w:rPr>
                <w:rFonts w:ascii="宋体"/>
                <w:vanish/>
              </w:rPr>
            </w:pPr>
          </w:p>
        </w:tc>
        <w:tc>
          <w:tcPr>
            <w:tcW w:w="0" w:type="auto"/>
            <w:shd w:val="clear" w:color="auto" w:fill="auto"/>
            <w:vAlign w:val="bottom"/>
          </w:tcPr>
          <w:p w14:paraId="5A1B2296" w14:textId="77777777" w:rsidR="00960BB8" w:rsidRDefault="00960BB8">
            <w:pPr>
              <w:rPr>
                <w:rFonts w:ascii="宋体"/>
                <w:vanish/>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297"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298" w14:textId="77777777" w:rsidR="00960BB8" w:rsidRDefault="00C06650">
            <w:pPr>
              <w:jc w:val="right"/>
              <w:textAlignment w:val="bottom"/>
            </w:pPr>
            <w:r>
              <w:rPr>
                <w:rFonts w:ascii="Arial" w:eastAsia="宋体" w:hAnsi="Arial" w:cs="Arial"/>
                <w:b/>
                <w:bCs/>
                <w:color w:val="262626"/>
                <w:sz w:val="18"/>
                <w:szCs w:val="18"/>
              </w:rPr>
              <w:t>(204)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29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29A"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29B"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29C" w14:textId="77777777" w:rsidR="00960BB8" w:rsidRDefault="00C06650">
            <w:pPr>
              <w:jc w:val="right"/>
              <w:textAlignment w:val="bottom"/>
            </w:pPr>
            <w:r>
              <w:rPr>
                <w:rFonts w:ascii="Arial" w:eastAsia="宋体" w:hAnsi="Arial" w:cs="Arial"/>
                <w:b/>
                <w:bCs/>
                <w:color w:val="262626"/>
                <w:sz w:val="18"/>
                <w:szCs w:val="18"/>
              </w:rPr>
              <w:t>26,963</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29D" w14:textId="77777777" w:rsidR="00960BB8" w:rsidRDefault="00960BB8">
            <w:pPr>
              <w:jc w:val="right"/>
              <w:rPr>
                <w:rFonts w:ascii="宋体"/>
              </w:rPr>
            </w:pPr>
          </w:p>
        </w:tc>
      </w:tr>
    </w:tbl>
    <w:p w14:paraId="5A1B229F" w14:textId="77777777" w:rsidR="00960BB8" w:rsidRDefault="00C06650">
      <w:pPr>
        <w:spacing w:after="180"/>
      </w:pPr>
      <w:r>
        <w:rPr>
          <w:rFonts w:ascii="Arial" w:eastAsia="宋体" w:hAnsi="Arial" w:cs="Arial"/>
          <w:color w:val="262626"/>
          <w:sz w:val="18"/>
          <w:szCs w:val="18"/>
        </w:rPr>
        <w:t>As described in "</w:t>
      </w:r>
      <w:r>
        <w:rPr>
          <w:rFonts w:ascii="Arial" w:eastAsia="宋体" w:hAnsi="Arial" w:cs="Arial"/>
          <w:color w:val="000000"/>
          <w:sz w:val="18"/>
          <w:szCs w:val="18"/>
        </w:rPr>
        <w:t>Note 3: Operating Segments"</w:t>
      </w:r>
      <w:r>
        <w:rPr>
          <w:rFonts w:ascii="Arial" w:eastAsia="宋体" w:hAnsi="Arial" w:cs="Arial"/>
          <w:color w:val="262626"/>
          <w:sz w:val="18"/>
          <w:szCs w:val="18"/>
        </w:rPr>
        <w:t xml:space="preserve"> within the Notes to Consolidated Financial Statements, we modified our segment reporting in the first quarter of 2022 to align to our previously announced business reorganization, and have retrospectively adjusted all prior-period amounts in our goodwill </w:t>
      </w:r>
      <w:r>
        <w:rPr>
          <w:rFonts w:ascii="Arial" w:eastAsia="宋体" w:hAnsi="Arial" w:cs="Arial"/>
          <w:color w:val="262626"/>
          <w:sz w:val="18"/>
          <w:szCs w:val="18"/>
        </w:rPr>
        <w:t xml:space="preserve">footnote to reflect the changes in our operating segments. We reallocated goodwill among our affected reporting units based on the relative fair value of our new operating segments. </w:t>
      </w:r>
      <w:r>
        <w:rPr>
          <w:rFonts w:ascii="Arial" w:eastAsia="宋体" w:hAnsi="Arial" w:cs="Arial"/>
          <w:color w:val="333333"/>
          <w:sz w:val="18"/>
          <w:szCs w:val="18"/>
        </w:rPr>
        <w:t>We performed a quantitative impairment assessment for each of our reportin</w:t>
      </w:r>
      <w:r>
        <w:rPr>
          <w:rFonts w:ascii="Arial" w:eastAsia="宋体" w:hAnsi="Arial" w:cs="Arial"/>
          <w:color w:val="333333"/>
          <w:sz w:val="18"/>
          <w:szCs w:val="18"/>
        </w:rPr>
        <w:t>g units immediately before and after our business reorganization, concluding that goodwill was not impaired.</w:t>
      </w:r>
      <w:r>
        <w:rPr>
          <w:rFonts w:ascii="Arial" w:eastAsia="宋体" w:hAnsi="Arial" w:cs="Arial"/>
          <w:color w:val="262626"/>
          <w:sz w:val="18"/>
          <w:szCs w:val="18"/>
        </w:rPr>
        <w:t xml:space="preserve"> Goodwill reallocated was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957"/>
        <w:gridCol w:w="39"/>
        <w:gridCol w:w="36"/>
        <w:gridCol w:w="36"/>
        <w:gridCol w:w="36"/>
        <w:gridCol w:w="121"/>
        <w:gridCol w:w="790"/>
        <w:gridCol w:w="36"/>
        <w:gridCol w:w="36"/>
        <w:gridCol w:w="36"/>
        <w:gridCol w:w="36"/>
        <w:gridCol w:w="122"/>
        <w:gridCol w:w="792"/>
        <w:gridCol w:w="36"/>
        <w:gridCol w:w="36"/>
        <w:gridCol w:w="36"/>
        <w:gridCol w:w="36"/>
        <w:gridCol w:w="36"/>
        <w:gridCol w:w="36"/>
        <w:gridCol w:w="122"/>
        <w:gridCol w:w="792"/>
        <w:gridCol w:w="36"/>
        <w:gridCol w:w="36"/>
        <w:gridCol w:w="36"/>
        <w:gridCol w:w="36"/>
        <w:gridCol w:w="121"/>
        <w:gridCol w:w="792"/>
        <w:gridCol w:w="36"/>
      </w:tblGrid>
      <w:tr w:rsidR="00960BB8" w14:paraId="5A1B22BD" w14:textId="77777777">
        <w:tc>
          <w:tcPr>
            <w:tcW w:w="50" w:type="pct"/>
            <w:shd w:val="clear" w:color="auto" w:fill="auto"/>
            <w:vAlign w:val="bottom"/>
          </w:tcPr>
          <w:p w14:paraId="5A1B22A0" w14:textId="77777777" w:rsidR="00960BB8" w:rsidRDefault="00960BB8">
            <w:pPr>
              <w:rPr>
                <w:rFonts w:ascii="宋体"/>
              </w:rPr>
            </w:pPr>
          </w:p>
        </w:tc>
        <w:tc>
          <w:tcPr>
            <w:tcW w:w="2431" w:type="pct"/>
            <w:shd w:val="clear" w:color="auto" w:fill="auto"/>
            <w:vAlign w:val="bottom"/>
          </w:tcPr>
          <w:p w14:paraId="5A1B22A1" w14:textId="77777777" w:rsidR="00960BB8" w:rsidRDefault="00960BB8">
            <w:pPr>
              <w:rPr>
                <w:rFonts w:ascii="宋体"/>
              </w:rPr>
            </w:pPr>
          </w:p>
        </w:tc>
        <w:tc>
          <w:tcPr>
            <w:tcW w:w="5" w:type="pct"/>
            <w:shd w:val="clear" w:color="auto" w:fill="auto"/>
            <w:vAlign w:val="bottom"/>
          </w:tcPr>
          <w:p w14:paraId="5A1B22A2" w14:textId="77777777" w:rsidR="00960BB8" w:rsidRDefault="00960BB8">
            <w:pPr>
              <w:rPr>
                <w:rFonts w:ascii="宋体"/>
              </w:rPr>
            </w:pPr>
          </w:p>
        </w:tc>
        <w:tc>
          <w:tcPr>
            <w:tcW w:w="5" w:type="pct"/>
            <w:shd w:val="clear" w:color="auto" w:fill="auto"/>
            <w:vAlign w:val="bottom"/>
          </w:tcPr>
          <w:p w14:paraId="5A1B22A3" w14:textId="77777777" w:rsidR="00960BB8" w:rsidRDefault="00960BB8">
            <w:pPr>
              <w:rPr>
                <w:rFonts w:ascii="宋体"/>
              </w:rPr>
            </w:pPr>
          </w:p>
        </w:tc>
        <w:tc>
          <w:tcPr>
            <w:tcW w:w="24" w:type="pct"/>
            <w:shd w:val="clear" w:color="auto" w:fill="auto"/>
            <w:vAlign w:val="bottom"/>
          </w:tcPr>
          <w:p w14:paraId="5A1B22A4" w14:textId="77777777" w:rsidR="00960BB8" w:rsidRDefault="00960BB8">
            <w:pPr>
              <w:rPr>
                <w:rFonts w:ascii="宋体"/>
              </w:rPr>
            </w:pPr>
          </w:p>
        </w:tc>
        <w:tc>
          <w:tcPr>
            <w:tcW w:w="5" w:type="pct"/>
            <w:shd w:val="clear" w:color="auto" w:fill="auto"/>
            <w:vAlign w:val="bottom"/>
          </w:tcPr>
          <w:p w14:paraId="5A1B22A5" w14:textId="77777777" w:rsidR="00960BB8" w:rsidRDefault="00960BB8">
            <w:pPr>
              <w:rPr>
                <w:rFonts w:ascii="宋体"/>
              </w:rPr>
            </w:pPr>
          </w:p>
        </w:tc>
        <w:tc>
          <w:tcPr>
            <w:tcW w:w="50" w:type="pct"/>
            <w:shd w:val="clear" w:color="auto" w:fill="auto"/>
            <w:vAlign w:val="bottom"/>
          </w:tcPr>
          <w:p w14:paraId="5A1B22A6" w14:textId="77777777" w:rsidR="00960BB8" w:rsidRDefault="00960BB8">
            <w:pPr>
              <w:rPr>
                <w:rFonts w:ascii="宋体"/>
              </w:rPr>
            </w:pPr>
          </w:p>
        </w:tc>
        <w:tc>
          <w:tcPr>
            <w:tcW w:w="539" w:type="pct"/>
            <w:shd w:val="clear" w:color="auto" w:fill="auto"/>
            <w:vAlign w:val="bottom"/>
          </w:tcPr>
          <w:p w14:paraId="5A1B22A7" w14:textId="77777777" w:rsidR="00960BB8" w:rsidRDefault="00960BB8">
            <w:pPr>
              <w:rPr>
                <w:rFonts w:ascii="宋体"/>
              </w:rPr>
            </w:pPr>
          </w:p>
        </w:tc>
        <w:tc>
          <w:tcPr>
            <w:tcW w:w="5" w:type="pct"/>
            <w:shd w:val="clear" w:color="auto" w:fill="auto"/>
            <w:vAlign w:val="bottom"/>
          </w:tcPr>
          <w:p w14:paraId="5A1B22A8" w14:textId="77777777" w:rsidR="00960BB8" w:rsidRDefault="00960BB8">
            <w:pPr>
              <w:rPr>
                <w:rFonts w:ascii="宋体"/>
              </w:rPr>
            </w:pPr>
          </w:p>
        </w:tc>
        <w:tc>
          <w:tcPr>
            <w:tcW w:w="5" w:type="pct"/>
            <w:shd w:val="clear" w:color="auto" w:fill="auto"/>
            <w:vAlign w:val="bottom"/>
          </w:tcPr>
          <w:p w14:paraId="5A1B22A9" w14:textId="77777777" w:rsidR="00960BB8" w:rsidRDefault="00960BB8">
            <w:pPr>
              <w:rPr>
                <w:rFonts w:ascii="宋体"/>
              </w:rPr>
            </w:pPr>
          </w:p>
        </w:tc>
        <w:tc>
          <w:tcPr>
            <w:tcW w:w="24" w:type="pct"/>
            <w:shd w:val="clear" w:color="auto" w:fill="auto"/>
            <w:vAlign w:val="bottom"/>
          </w:tcPr>
          <w:p w14:paraId="5A1B22AA" w14:textId="77777777" w:rsidR="00960BB8" w:rsidRDefault="00960BB8">
            <w:pPr>
              <w:rPr>
                <w:rFonts w:ascii="宋体"/>
              </w:rPr>
            </w:pPr>
          </w:p>
        </w:tc>
        <w:tc>
          <w:tcPr>
            <w:tcW w:w="5" w:type="pct"/>
            <w:shd w:val="clear" w:color="auto" w:fill="auto"/>
            <w:vAlign w:val="bottom"/>
          </w:tcPr>
          <w:p w14:paraId="5A1B22AB" w14:textId="77777777" w:rsidR="00960BB8" w:rsidRDefault="00960BB8">
            <w:pPr>
              <w:rPr>
                <w:rFonts w:ascii="宋体"/>
              </w:rPr>
            </w:pPr>
          </w:p>
        </w:tc>
        <w:tc>
          <w:tcPr>
            <w:tcW w:w="50" w:type="pct"/>
            <w:shd w:val="clear" w:color="auto" w:fill="auto"/>
            <w:vAlign w:val="bottom"/>
          </w:tcPr>
          <w:p w14:paraId="5A1B22AC" w14:textId="77777777" w:rsidR="00960BB8" w:rsidRDefault="00960BB8">
            <w:pPr>
              <w:rPr>
                <w:rFonts w:ascii="宋体"/>
              </w:rPr>
            </w:pPr>
          </w:p>
        </w:tc>
        <w:tc>
          <w:tcPr>
            <w:tcW w:w="539" w:type="pct"/>
            <w:shd w:val="clear" w:color="auto" w:fill="auto"/>
            <w:vAlign w:val="bottom"/>
          </w:tcPr>
          <w:p w14:paraId="5A1B22AD" w14:textId="77777777" w:rsidR="00960BB8" w:rsidRDefault="00960BB8">
            <w:pPr>
              <w:rPr>
                <w:rFonts w:ascii="宋体"/>
              </w:rPr>
            </w:pPr>
          </w:p>
        </w:tc>
        <w:tc>
          <w:tcPr>
            <w:tcW w:w="5" w:type="pct"/>
            <w:shd w:val="clear" w:color="auto" w:fill="auto"/>
            <w:vAlign w:val="bottom"/>
          </w:tcPr>
          <w:p w14:paraId="5A1B22AE" w14:textId="77777777" w:rsidR="00960BB8" w:rsidRDefault="00960BB8">
            <w:pPr>
              <w:rPr>
                <w:rFonts w:ascii="宋体"/>
              </w:rPr>
            </w:pPr>
          </w:p>
        </w:tc>
        <w:tc>
          <w:tcPr>
            <w:tcW w:w="5" w:type="pct"/>
            <w:shd w:val="clear" w:color="auto" w:fill="auto"/>
            <w:vAlign w:val="bottom"/>
          </w:tcPr>
          <w:p w14:paraId="5A1B22AF" w14:textId="77777777" w:rsidR="00960BB8" w:rsidRDefault="00960BB8">
            <w:pPr>
              <w:rPr>
                <w:rFonts w:ascii="宋体"/>
              </w:rPr>
            </w:pPr>
          </w:p>
        </w:tc>
        <w:tc>
          <w:tcPr>
            <w:tcW w:w="24" w:type="pct"/>
            <w:shd w:val="clear" w:color="auto" w:fill="auto"/>
            <w:vAlign w:val="bottom"/>
          </w:tcPr>
          <w:p w14:paraId="5A1B22B0" w14:textId="77777777" w:rsidR="00960BB8" w:rsidRDefault="00960BB8">
            <w:pPr>
              <w:rPr>
                <w:rFonts w:ascii="宋体"/>
              </w:rPr>
            </w:pPr>
          </w:p>
        </w:tc>
        <w:tc>
          <w:tcPr>
            <w:tcW w:w="5" w:type="pct"/>
            <w:shd w:val="clear" w:color="auto" w:fill="auto"/>
            <w:vAlign w:val="bottom"/>
          </w:tcPr>
          <w:p w14:paraId="5A1B22B1" w14:textId="77777777" w:rsidR="00960BB8" w:rsidRDefault="00960BB8">
            <w:pPr>
              <w:rPr>
                <w:rFonts w:ascii="宋体"/>
              </w:rPr>
            </w:pPr>
          </w:p>
        </w:tc>
        <w:tc>
          <w:tcPr>
            <w:tcW w:w="0" w:type="auto"/>
            <w:shd w:val="clear" w:color="auto" w:fill="auto"/>
            <w:vAlign w:val="bottom"/>
          </w:tcPr>
          <w:p w14:paraId="5A1B22B2" w14:textId="77777777" w:rsidR="00960BB8" w:rsidRDefault="00960BB8">
            <w:pPr>
              <w:rPr>
                <w:rFonts w:ascii="宋体"/>
                <w:vanish/>
              </w:rPr>
            </w:pPr>
          </w:p>
        </w:tc>
        <w:tc>
          <w:tcPr>
            <w:tcW w:w="0" w:type="auto"/>
            <w:shd w:val="clear" w:color="auto" w:fill="auto"/>
            <w:vAlign w:val="bottom"/>
          </w:tcPr>
          <w:p w14:paraId="5A1B22B3" w14:textId="77777777" w:rsidR="00960BB8" w:rsidRDefault="00960BB8">
            <w:pPr>
              <w:rPr>
                <w:rFonts w:ascii="宋体"/>
                <w:vanish/>
              </w:rPr>
            </w:pPr>
          </w:p>
        </w:tc>
        <w:tc>
          <w:tcPr>
            <w:tcW w:w="50" w:type="pct"/>
            <w:shd w:val="clear" w:color="auto" w:fill="auto"/>
            <w:vAlign w:val="bottom"/>
          </w:tcPr>
          <w:p w14:paraId="5A1B22B4" w14:textId="77777777" w:rsidR="00960BB8" w:rsidRDefault="00960BB8">
            <w:pPr>
              <w:rPr>
                <w:rFonts w:ascii="宋体"/>
              </w:rPr>
            </w:pPr>
          </w:p>
        </w:tc>
        <w:tc>
          <w:tcPr>
            <w:tcW w:w="539" w:type="pct"/>
            <w:shd w:val="clear" w:color="auto" w:fill="auto"/>
            <w:vAlign w:val="bottom"/>
          </w:tcPr>
          <w:p w14:paraId="5A1B22B5" w14:textId="77777777" w:rsidR="00960BB8" w:rsidRDefault="00960BB8">
            <w:pPr>
              <w:rPr>
                <w:rFonts w:ascii="宋体"/>
              </w:rPr>
            </w:pPr>
          </w:p>
        </w:tc>
        <w:tc>
          <w:tcPr>
            <w:tcW w:w="5" w:type="pct"/>
            <w:shd w:val="clear" w:color="auto" w:fill="auto"/>
            <w:vAlign w:val="bottom"/>
          </w:tcPr>
          <w:p w14:paraId="5A1B22B6" w14:textId="77777777" w:rsidR="00960BB8" w:rsidRDefault="00960BB8">
            <w:pPr>
              <w:rPr>
                <w:rFonts w:ascii="宋体"/>
              </w:rPr>
            </w:pPr>
          </w:p>
        </w:tc>
        <w:tc>
          <w:tcPr>
            <w:tcW w:w="5" w:type="pct"/>
            <w:shd w:val="clear" w:color="auto" w:fill="auto"/>
            <w:vAlign w:val="bottom"/>
          </w:tcPr>
          <w:p w14:paraId="5A1B22B7" w14:textId="77777777" w:rsidR="00960BB8" w:rsidRDefault="00960BB8">
            <w:pPr>
              <w:rPr>
                <w:rFonts w:ascii="宋体"/>
              </w:rPr>
            </w:pPr>
          </w:p>
        </w:tc>
        <w:tc>
          <w:tcPr>
            <w:tcW w:w="24" w:type="pct"/>
            <w:shd w:val="clear" w:color="auto" w:fill="auto"/>
            <w:vAlign w:val="bottom"/>
          </w:tcPr>
          <w:p w14:paraId="5A1B22B8" w14:textId="77777777" w:rsidR="00960BB8" w:rsidRDefault="00960BB8">
            <w:pPr>
              <w:rPr>
                <w:rFonts w:ascii="宋体"/>
              </w:rPr>
            </w:pPr>
          </w:p>
        </w:tc>
        <w:tc>
          <w:tcPr>
            <w:tcW w:w="5" w:type="pct"/>
            <w:shd w:val="clear" w:color="auto" w:fill="auto"/>
            <w:vAlign w:val="bottom"/>
          </w:tcPr>
          <w:p w14:paraId="5A1B22B9" w14:textId="77777777" w:rsidR="00960BB8" w:rsidRDefault="00960BB8">
            <w:pPr>
              <w:rPr>
                <w:rFonts w:ascii="宋体"/>
              </w:rPr>
            </w:pPr>
          </w:p>
        </w:tc>
        <w:tc>
          <w:tcPr>
            <w:tcW w:w="50" w:type="pct"/>
            <w:shd w:val="clear" w:color="auto" w:fill="auto"/>
            <w:vAlign w:val="bottom"/>
          </w:tcPr>
          <w:p w14:paraId="5A1B22BA" w14:textId="77777777" w:rsidR="00960BB8" w:rsidRDefault="00960BB8">
            <w:pPr>
              <w:rPr>
                <w:rFonts w:ascii="宋体"/>
              </w:rPr>
            </w:pPr>
          </w:p>
        </w:tc>
        <w:tc>
          <w:tcPr>
            <w:tcW w:w="539" w:type="pct"/>
            <w:shd w:val="clear" w:color="auto" w:fill="auto"/>
            <w:vAlign w:val="bottom"/>
          </w:tcPr>
          <w:p w14:paraId="5A1B22BB" w14:textId="77777777" w:rsidR="00960BB8" w:rsidRDefault="00960BB8">
            <w:pPr>
              <w:rPr>
                <w:rFonts w:ascii="宋体"/>
              </w:rPr>
            </w:pPr>
          </w:p>
        </w:tc>
        <w:tc>
          <w:tcPr>
            <w:tcW w:w="5" w:type="pct"/>
            <w:shd w:val="clear" w:color="auto" w:fill="auto"/>
            <w:vAlign w:val="bottom"/>
          </w:tcPr>
          <w:p w14:paraId="5A1B22BC" w14:textId="77777777" w:rsidR="00960BB8" w:rsidRDefault="00960BB8">
            <w:pPr>
              <w:rPr>
                <w:rFonts w:ascii="宋体"/>
              </w:rPr>
            </w:pPr>
          </w:p>
        </w:tc>
      </w:tr>
      <w:tr w:rsidR="00960BB8" w14:paraId="5A1B22C9" w14:textId="77777777">
        <w:tc>
          <w:tcPr>
            <w:tcW w:w="0" w:type="auto"/>
            <w:gridSpan w:val="3"/>
            <w:shd w:val="clear" w:color="auto" w:fill="FFFFFF"/>
            <w:tcMar>
              <w:top w:w="40" w:type="dxa"/>
              <w:left w:w="20" w:type="dxa"/>
              <w:bottom w:w="40" w:type="dxa"/>
              <w:right w:w="20" w:type="dxa"/>
            </w:tcMar>
            <w:vAlign w:val="bottom"/>
          </w:tcPr>
          <w:p w14:paraId="5A1B22BE" w14:textId="77777777" w:rsidR="00960BB8" w:rsidRDefault="00C06650">
            <w:pPr>
              <w:textAlignment w:val="bottom"/>
            </w:pPr>
            <w:r>
              <w:rPr>
                <w:rFonts w:ascii="Arial" w:eastAsia="宋体" w:hAnsi="Arial" w:cs="Arial"/>
                <w:b/>
                <w:bCs/>
                <w:color w:val="262626"/>
                <w:sz w:val="18"/>
                <w:szCs w:val="18"/>
              </w:rPr>
              <w:br/>
              <w:t>(In Millions)</w:t>
            </w:r>
          </w:p>
        </w:tc>
        <w:tc>
          <w:tcPr>
            <w:tcW w:w="0" w:type="auto"/>
            <w:gridSpan w:val="3"/>
            <w:shd w:val="clear" w:color="auto" w:fill="FFFFFF"/>
            <w:tcMar>
              <w:top w:w="0" w:type="dxa"/>
              <w:left w:w="20" w:type="dxa"/>
              <w:bottom w:w="0" w:type="dxa"/>
              <w:right w:w="20" w:type="dxa"/>
            </w:tcMar>
            <w:vAlign w:val="bottom"/>
          </w:tcPr>
          <w:p w14:paraId="5A1B22BF"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bottom"/>
          </w:tcPr>
          <w:p w14:paraId="5A1B22C0"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FFFFFF"/>
            <w:tcMar>
              <w:top w:w="0" w:type="dxa"/>
              <w:left w:w="20" w:type="dxa"/>
              <w:bottom w:w="0" w:type="dxa"/>
              <w:right w:w="20" w:type="dxa"/>
            </w:tcMar>
            <w:vAlign w:val="bottom"/>
          </w:tcPr>
          <w:p w14:paraId="5A1B22C1"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bottom"/>
          </w:tcPr>
          <w:p w14:paraId="5A1B22C2" w14:textId="77777777" w:rsidR="00960BB8" w:rsidRDefault="00C06650">
            <w:pPr>
              <w:jc w:val="center"/>
              <w:textAlignment w:val="bottom"/>
            </w:pPr>
            <w:r>
              <w:rPr>
                <w:rFonts w:ascii="Arial" w:eastAsia="宋体" w:hAnsi="Arial" w:cs="Arial"/>
                <w:b/>
                <w:bCs/>
                <w:color w:val="262626"/>
                <w:sz w:val="18"/>
                <w:szCs w:val="18"/>
              </w:rPr>
              <w:t>Transfers Out</w:t>
            </w:r>
          </w:p>
        </w:tc>
        <w:tc>
          <w:tcPr>
            <w:tcW w:w="0" w:type="auto"/>
            <w:gridSpan w:val="3"/>
            <w:shd w:val="clear" w:color="auto" w:fill="FFFFFF"/>
            <w:tcMar>
              <w:top w:w="0" w:type="dxa"/>
              <w:left w:w="20" w:type="dxa"/>
              <w:bottom w:w="0" w:type="dxa"/>
              <w:right w:w="20" w:type="dxa"/>
            </w:tcMar>
            <w:vAlign w:val="bottom"/>
          </w:tcPr>
          <w:p w14:paraId="5A1B22C3" w14:textId="77777777" w:rsidR="00960BB8" w:rsidRDefault="00960BB8">
            <w:pPr>
              <w:rPr>
                <w:rFonts w:ascii="宋体"/>
              </w:rPr>
            </w:pPr>
          </w:p>
        </w:tc>
        <w:tc>
          <w:tcPr>
            <w:tcW w:w="0" w:type="auto"/>
            <w:shd w:val="clear" w:color="auto" w:fill="auto"/>
            <w:vAlign w:val="bottom"/>
          </w:tcPr>
          <w:p w14:paraId="5A1B22C4" w14:textId="77777777" w:rsidR="00960BB8" w:rsidRDefault="00960BB8">
            <w:pPr>
              <w:rPr>
                <w:rFonts w:ascii="宋体"/>
                <w:vanish/>
              </w:rPr>
            </w:pPr>
          </w:p>
        </w:tc>
        <w:tc>
          <w:tcPr>
            <w:tcW w:w="0" w:type="auto"/>
            <w:shd w:val="clear" w:color="auto" w:fill="auto"/>
            <w:vAlign w:val="bottom"/>
          </w:tcPr>
          <w:p w14:paraId="5A1B22C5" w14:textId="77777777" w:rsidR="00960BB8" w:rsidRDefault="00960BB8">
            <w:pPr>
              <w:rPr>
                <w:rFonts w:ascii="宋体"/>
                <w:vanish/>
              </w:rPr>
            </w:pPr>
          </w:p>
        </w:tc>
        <w:tc>
          <w:tcPr>
            <w:tcW w:w="0" w:type="auto"/>
            <w:gridSpan w:val="3"/>
            <w:shd w:val="clear" w:color="auto" w:fill="FFFFFF"/>
            <w:tcMar>
              <w:top w:w="40" w:type="dxa"/>
              <w:left w:w="20" w:type="dxa"/>
              <w:bottom w:w="40" w:type="dxa"/>
              <w:right w:w="20" w:type="dxa"/>
            </w:tcMar>
            <w:vAlign w:val="bottom"/>
          </w:tcPr>
          <w:p w14:paraId="5A1B22C6" w14:textId="77777777" w:rsidR="00960BB8" w:rsidRDefault="00C06650">
            <w:pPr>
              <w:jc w:val="center"/>
              <w:textAlignment w:val="bottom"/>
            </w:pPr>
            <w:r>
              <w:rPr>
                <w:rFonts w:ascii="Arial" w:eastAsia="宋体" w:hAnsi="Arial" w:cs="Arial"/>
                <w:b/>
                <w:bCs/>
                <w:color w:val="262626"/>
                <w:sz w:val="18"/>
                <w:szCs w:val="18"/>
              </w:rPr>
              <w:t>Transfers In</w:t>
            </w:r>
          </w:p>
        </w:tc>
        <w:tc>
          <w:tcPr>
            <w:tcW w:w="0" w:type="auto"/>
            <w:gridSpan w:val="3"/>
            <w:shd w:val="clear" w:color="auto" w:fill="FFFFFF"/>
            <w:tcMar>
              <w:top w:w="0" w:type="dxa"/>
              <w:left w:w="20" w:type="dxa"/>
              <w:bottom w:w="0" w:type="dxa"/>
              <w:right w:w="20" w:type="dxa"/>
            </w:tcMar>
            <w:vAlign w:val="bottom"/>
          </w:tcPr>
          <w:p w14:paraId="5A1B22C7" w14:textId="77777777" w:rsidR="00960BB8" w:rsidRDefault="00960BB8">
            <w:pPr>
              <w:rPr>
                <w:rFonts w:ascii="宋体"/>
              </w:rPr>
            </w:pPr>
          </w:p>
        </w:tc>
        <w:tc>
          <w:tcPr>
            <w:tcW w:w="0" w:type="auto"/>
            <w:gridSpan w:val="3"/>
            <w:shd w:val="clear" w:color="auto" w:fill="FFFFFF"/>
            <w:tcMar>
              <w:top w:w="40" w:type="dxa"/>
              <w:left w:w="20" w:type="dxa"/>
              <w:bottom w:w="40" w:type="dxa"/>
              <w:right w:w="20" w:type="dxa"/>
            </w:tcMar>
            <w:vAlign w:val="bottom"/>
          </w:tcPr>
          <w:p w14:paraId="5A1B22C8"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22DD" w14:textId="77777777">
        <w:tc>
          <w:tcPr>
            <w:tcW w:w="0" w:type="auto"/>
            <w:gridSpan w:val="3"/>
            <w:tcBorders>
              <w:top w:val="single" w:sz="8" w:space="0" w:color="0068B5"/>
            </w:tcBorders>
            <w:shd w:val="clear" w:color="auto" w:fill="FFFFFF"/>
            <w:tcMar>
              <w:top w:w="40" w:type="dxa"/>
              <w:left w:w="20" w:type="dxa"/>
              <w:bottom w:w="40" w:type="dxa"/>
              <w:right w:w="20" w:type="dxa"/>
            </w:tcMar>
            <w:vAlign w:val="bottom"/>
          </w:tcPr>
          <w:p w14:paraId="5A1B22CA" w14:textId="77777777" w:rsidR="00960BB8" w:rsidRDefault="00C06650">
            <w:pPr>
              <w:textAlignment w:val="bottom"/>
            </w:pPr>
            <w:r>
              <w:rPr>
                <w:rFonts w:ascii="Arial" w:eastAsia="宋体" w:hAnsi="Arial" w:cs="Arial"/>
                <w:color w:val="262626"/>
                <w:sz w:val="18"/>
                <w:szCs w:val="18"/>
              </w:rPr>
              <w:t>Client Computing</w:t>
            </w:r>
          </w:p>
        </w:tc>
        <w:tc>
          <w:tcPr>
            <w:tcW w:w="0" w:type="auto"/>
            <w:gridSpan w:val="3"/>
            <w:shd w:val="clear" w:color="auto" w:fill="FFFFFF"/>
            <w:tcMar>
              <w:top w:w="0" w:type="dxa"/>
              <w:left w:w="20" w:type="dxa"/>
              <w:bottom w:w="0" w:type="dxa"/>
              <w:right w:w="20" w:type="dxa"/>
            </w:tcMar>
            <w:vAlign w:val="bottom"/>
          </w:tcPr>
          <w:p w14:paraId="5A1B22CB" w14:textId="77777777" w:rsidR="00960BB8" w:rsidRDefault="00960BB8">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bottom"/>
          </w:tcPr>
          <w:p w14:paraId="5A1B22CC" w14:textId="77777777" w:rsidR="00960BB8" w:rsidRDefault="00C06650">
            <w:pPr>
              <w:textAlignment w:val="bottom"/>
            </w:pPr>
            <w:r>
              <w:rPr>
                <w:rFonts w:ascii="Arial" w:eastAsia="宋体" w:hAnsi="Arial" w:cs="Arial"/>
                <w:color w:val="000000"/>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bottom"/>
          </w:tcPr>
          <w:p w14:paraId="5A1B22CD" w14:textId="77777777" w:rsidR="00960BB8" w:rsidRDefault="00C06650">
            <w:pPr>
              <w:jc w:val="right"/>
              <w:textAlignment w:val="bottom"/>
            </w:pPr>
            <w:r>
              <w:rPr>
                <w:rFonts w:ascii="Arial" w:eastAsia="宋体" w:hAnsi="Arial" w:cs="Arial"/>
                <w:color w:val="000000"/>
                <w:sz w:val="18"/>
                <w:szCs w:val="18"/>
              </w:rPr>
              <w:t>4,433 </w:t>
            </w:r>
          </w:p>
        </w:tc>
        <w:tc>
          <w:tcPr>
            <w:tcW w:w="0" w:type="auto"/>
            <w:tcBorders>
              <w:top w:val="single" w:sz="8" w:space="0" w:color="0068B5"/>
            </w:tcBorders>
            <w:shd w:val="clear" w:color="auto" w:fill="FFFFFF"/>
            <w:tcMar>
              <w:top w:w="40" w:type="dxa"/>
              <w:left w:w="0" w:type="dxa"/>
              <w:bottom w:w="40" w:type="dxa"/>
              <w:right w:w="20" w:type="dxa"/>
            </w:tcMar>
            <w:vAlign w:val="bottom"/>
          </w:tcPr>
          <w:p w14:paraId="5A1B22CE"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2CF" w14:textId="77777777" w:rsidR="00960BB8" w:rsidRDefault="00960BB8">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bottom"/>
          </w:tcPr>
          <w:p w14:paraId="5A1B22D0" w14:textId="77777777" w:rsidR="00960BB8" w:rsidRDefault="00C06650">
            <w:pPr>
              <w:textAlignment w:val="bottom"/>
            </w:pPr>
            <w:r>
              <w:rPr>
                <w:rFonts w:ascii="Arial" w:eastAsia="宋体" w:hAnsi="Arial" w:cs="Arial"/>
                <w:color w:val="000000"/>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bottom"/>
          </w:tcPr>
          <w:p w14:paraId="5A1B22D1" w14:textId="77777777" w:rsidR="00960BB8" w:rsidRDefault="00C06650">
            <w:pPr>
              <w:jc w:val="right"/>
              <w:textAlignment w:val="bottom"/>
            </w:pPr>
            <w:r>
              <w:rPr>
                <w:rFonts w:ascii="Arial" w:eastAsia="宋体" w:hAnsi="Arial" w:cs="Arial"/>
                <w:color w:val="000000"/>
                <w:sz w:val="18"/>
                <w:szCs w:val="18"/>
              </w:rPr>
              <w:t>(275)</w:t>
            </w:r>
          </w:p>
        </w:tc>
        <w:tc>
          <w:tcPr>
            <w:tcW w:w="0" w:type="auto"/>
            <w:tcBorders>
              <w:top w:val="single" w:sz="8" w:space="0" w:color="0068B5"/>
            </w:tcBorders>
            <w:shd w:val="clear" w:color="auto" w:fill="FFFFFF"/>
            <w:tcMar>
              <w:top w:w="40" w:type="dxa"/>
              <w:left w:w="0" w:type="dxa"/>
              <w:bottom w:w="40" w:type="dxa"/>
              <w:right w:w="20" w:type="dxa"/>
            </w:tcMar>
            <w:vAlign w:val="bottom"/>
          </w:tcPr>
          <w:p w14:paraId="5A1B22D2"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2D3" w14:textId="77777777" w:rsidR="00960BB8" w:rsidRDefault="00960BB8">
            <w:pPr>
              <w:rPr>
                <w:rFonts w:ascii="宋体"/>
              </w:rPr>
            </w:pPr>
          </w:p>
        </w:tc>
        <w:tc>
          <w:tcPr>
            <w:tcW w:w="0" w:type="auto"/>
            <w:shd w:val="clear" w:color="auto" w:fill="auto"/>
            <w:vAlign w:val="bottom"/>
          </w:tcPr>
          <w:p w14:paraId="5A1B22D4" w14:textId="77777777" w:rsidR="00960BB8" w:rsidRDefault="00960BB8">
            <w:pPr>
              <w:rPr>
                <w:rFonts w:ascii="宋体"/>
                <w:vanish/>
              </w:rPr>
            </w:pPr>
          </w:p>
        </w:tc>
        <w:tc>
          <w:tcPr>
            <w:tcW w:w="0" w:type="auto"/>
            <w:shd w:val="clear" w:color="auto" w:fill="auto"/>
            <w:vAlign w:val="bottom"/>
          </w:tcPr>
          <w:p w14:paraId="5A1B22D5" w14:textId="77777777" w:rsidR="00960BB8" w:rsidRDefault="00960BB8">
            <w:pPr>
              <w:rPr>
                <w:rFonts w:ascii="宋体"/>
                <w:vanish/>
              </w:rPr>
            </w:pPr>
          </w:p>
        </w:tc>
        <w:tc>
          <w:tcPr>
            <w:tcW w:w="0" w:type="auto"/>
            <w:tcBorders>
              <w:top w:val="single" w:sz="8" w:space="0" w:color="0068B5"/>
            </w:tcBorders>
            <w:shd w:val="clear" w:color="auto" w:fill="FFFFFF"/>
            <w:tcMar>
              <w:top w:w="40" w:type="dxa"/>
              <w:left w:w="20" w:type="dxa"/>
              <w:bottom w:w="40" w:type="dxa"/>
              <w:right w:w="0" w:type="dxa"/>
            </w:tcMar>
            <w:vAlign w:val="bottom"/>
          </w:tcPr>
          <w:p w14:paraId="5A1B22D6" w14:textId="77777777" w:rsidR="00960BB8" w:rsidRDefault="00C06650">
            <w:pPr>
              <w:textAlignment w:val="bottom"/>
            </w:pPr>
            <w:r>
              <w:rPr>
                <w:rFonts w:ascii="Arial" w:eastAsia="宋体" w:hAnsi="Arial" w:cs="Arial"/>
                <w:color w:val="000000"/>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bottom"/>
          </w:tcPr>
          <w:p w14:paraId="5A1B22D7" w14:textId="77777777" w:rsidR="00960BB8" w:rsidRDefault="00C06650">
            <w:pPr>
              <w:jc w:val="right"/>
              <w:textAlignment w:val="bottom"/>
            </w:pPr>
            <w:r>
              <w:rPr>
                <w:rFonts w:ascii="Arial" w:eastAsia="宋体" w:hAnsi="Arial" w:cs="Arial"/>
                <w:color w:val="000000"/>
                <w:sz w:val="18"/>
                <w:szCs w:val="18"/>
              </w:rPr>
              <w:t>79 </w:t>
            </w:r>
          </w:p>
        </w:tc>
        <w:tc>
          <w:tcPr>
            <w:tcW w:w="0" w:type="auto"/>
            <w:tcBorders>
              <w:top w:val="single" w:sz="8" w:space="0" w:color="0068B5"/>
            </w:tcBorders>
            <w:shd w:val="clear" w:color="auto" w:fill="FFFFFF"/>
            <w:tcMar>
              <w:top w:w="40" w:type="dxa"/>
              <w:left w:w="0" w:type="dxa"/>
              <w:bottom w:w="40" w:type="dxa"/>
              <w:right w:w="20" w:type="dxa"/>
            </w:tcMar>
            <w:vAlign w:val="bottom"/>
          </w:tcPr>
          <w:p w14:paraId="5A1B22D8"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2D9" w14:textId="77777777" w:rsidR="00960BB8" w:rsidRDefault="00960BB8">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bottom"/>
          </w:tcPr>
          <w:p w14:paraId="5A1B22DA" w14:textId="77777777" w:rsidR="00960BB8" w:rsidRDefault="00C06650">
            <w:pPr>
              <w:textAlignment w:val="bottom"/>
            </w:pPr>
            <w:r>
              <w:rPr>
                <w:rFonts w:ascii="Arial" w:eastAsia="宋体" w:hAnsi="Arial" w:cs="Arial"/>
                <w:color w:val="000000"/>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bottom"/>
          </w:tcPr>
          <w:p w14:paraId="5A1B22DB" w14:textId="77777777" w:rsidR="00960BB8" w:rsidRDefault="00C06650">
            <w:pPr>
              <w:jc w:val="right"/>
              <w:textAlignment w:val="bottom"/>
            </w:pPr>
            <w:r>
              <w:rPr>
                <w:rFonts w:ascii="Arial" w:eastAsia="宋体" w:hAnsi="Arial" w:cs="Arial"/>
                <w:color w:val="000000"/>
                <w:sz w:val="18"/>
                <w:szCs w:val="18"/>
              </w:rPr>
              <w:t>4,237 </w:t>
            </w:r>
          </w:p>
        </w:tc>
        <w:tc>
          <w:tcPr>
            <w:tcW w:w="0" w:type="auto"/>
            <w:tcBorders>
              <w:top w:val="single" w:sz="8" w:space="0" w:color="0068B5"/>
            </w:tcBorders>
            <w:shd w:val="clear" w:color="auto" w:fill="FFFFFF"/>
            <w:tcMar>
              <w:top w:w="40" w:type="dxa"/>
              <w:left w:w="0" w:type="dxa"/>
              <w:bottom w:w="40" w:type="dxa"/>
              <w:right w:w="20" w:type="dxa"/>
            </w:tcMar>
            <w:vAlign w:val="bottom"/>
          </w:tcPr>
          <w:p w14:paraId="5A1B22DC" w14:textId="77777777" w:rsidR="00960BB8" w:rsidRDefault="00960BB8">
            <w:pPr>
              <w:jc w:val="right"/>
              <w:rPr>
                <w:rFonts w:ascii="宋体"/>
              </w:rPr>
            </w:pPr>
          </w:p>
        </w:tc>
      </w:tr>
      <w:tr w:rsidR="00960BB8" w14:paraId="5A1B22ED" w14:textId="77777777">
        <w:tc>
          <w:tcPr>
            <w:tcW w:w="0" w:type="auto"/>
            <w:gridSpan w:val="3"/>
            <w:shd w:val="clear" w:color="auto" w:fill="FFFFFF"/>
            <w:tcMar>
              <w:top w:w="40" w:type="dxa"/>
              <w:left w:w="20" w:type="dxa"/>
              <w:bottom w:w="40" w:type="dxa"/>
              <w:right w:w="20" w:type="dxa"/>
            </w:tcMar>
            <w:vAlign w:val="bottom"/>
          </w:tcPr>
          <w:p w14:paraId="5A1B22DE" w14:textId="77777777" w:rsidR="00960BB8" w:rsidRDefault="00C06650">
            <w:pPr>
              <w:textAlignment w:val="bottom"/>
            </w:pPr>
            <w:r>
              <w:rPr>
                <w:rFonts w:ascii="Arial" w:eastAsia="宋体" w:hAnsi="Arial" w:cs="Arial"/>
                <w:color w:val="262626"/>
                <w:sz w:val="18"/>
                <w:szCs w:val="18"/>
              </w:rPr>
              <w:t>Data Center Group</w:t>
            </w:r>
          </w:p>
        </w:tc>
        <w:tc>
          <w:tcPr>
            <w:tcW w:w="0" w:type="auto"/>
            <w:gridSpan w:val="3"/>
            <w:shd w:val="clear" w:color="auto" w:fill="FFFFFF"/>
            <w:tcMar>
              <w:top w:w="0" w:type="dxa"/>
              <w:left w:w="20" w:type="dxa"/>
              <w:bottom w:w="0" w:type="dxa"/>
              <w:right w:w="20" w:type="dxa"/>
            </w:tcMar>
            <w:vAlign w:val="bottom"/>
          </w:tcPr>
          <w:p w14:paraId="5A1B22DF"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2E0" w14:textId="77777777" w:rsidR="00960BB8" w:rsidRDefault="00C06650">
            <w:pPr>
              <w:jc w:val="right"/>
              <w:textAlignment w:val="bottom"/>
            </w:pPr>
            <w:r>
              <w:rPr>
                <w:rFonts w:ascii="Arial" w:eastAsia="宋体" w:hAnsi="Arial" w:cs="Arial"/>
                <w:color w:val="000000"/>
                <w:sz w:val="18"/>
                <w:szCs w:val="18"/>
              </w:rPr>
              <w:t>7,355 </w:t>
            </w:r>
          </w:p>
        </w:tc>
        <w:tc>
          <w:tcPr>
            <w:tcW w:w="0" w:type="auto"/>
            <w:shd w:val="clear" w:color="auto" w:fill="FFFFFF"/>
            <w:tcMar>
              <w:top w:w="40" w:type="dxa"/>
              <w:left w:w="0" w:type="dxa"/>
              <w:bottom w:w="40" w:type="dxa"/>
              <w:right w:w="20" w:type="dxa"/>
            </w:tcMar>
            <w:vAlign w:val="bottom"/>
          </w:tcPr>
          <w:p w14:paraId="5A1B22E1"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2E2"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2E3" w14:textId="77777777" w:rsidR="00960BB8" w:rsidRDefault="00C06650">
            <w:pPr>
              <w:jc w:val="right"/>
              <w:textAlignment w:val="bottom"/>
            </w:pPr>
            <w:r>
              <w:rPr>
                <w:rFonts w:ascii="Arial" w:eastAsia="宋体" w:hAnsi="Arial" w:cs="Arial"/>
                <w:color w:val="000000"/>
                <w:sz w:val="18"/>
                <w:szCs w:val="18"/>
              </w:rPr>
              <w:t>(7,355)</w:t>
            </w:r>
          </w:p>
        </w:tc>
        <w:tc>
          <w:tcPr>
            <w:tcW w:w="0" w:type="auto"/>
            <w:shd w:val="clear" w:color="auto" w:fill="FFFFFF"/>
            <w:tcMar>
              <w:top w:w="40" w:type="dxa"/>
              <w:left w:w="0" w:type="dxa"/>
              <w:bottom w:w="40" w:type="dxa"/>
              <w:right w:w="20" w:type="dxa"/>
            </w:tcMar>
            <w:vAlign w:val="bottom"/>
          </w:tcPr>
          <w:p w14:paraId="5A1B22E4"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2E5" w14:textId="77777777" w:rsidR="00960BB8" w:rsidRDefault="00960BB8">
            <w:pPr>
              <w:rPr>
                <w:rFonts w:ascii="宋体"/>
              </w:rPr>
            </w:pPr>
          </w:p>
        </w:tc>
        <w:tc>
          <w:tcPr>
            <w:tcW w:w="0" w:type="auto"/>
            <w:shd w:val="clear" w:color="auto" w:fill="auto"/>
            <w:vAlign w:val="bottom"/>
          </w:tcPr>
          <w:p w14:paraId="5A1B22E6" w14:textId="77777777" w:rsidR="00960BB8" w:rsidRDefault="00960BB8">
            <w:pPr>
              <w:rPr>
                <w:rFonts w:ascii="宋体"/>
                <w:vanish/>
              </w:rPr>
            </w:pPr>
          </w:p>
        </w:tc>
        <w:tc>
          <w:tcPr>
            <w:tcW w:w="0" w:type="auto"/>
            <w:shd w:val="clear" w:color="auto" w:fill="auto"/>
            <w:vAlign w:val="bottom"/>
          </w:tcPr>
          <w:p w14:paraId="5A1B22E7"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2E8"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2E9"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2EA"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2EB"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2EC" w14:textId="77777777" w:rsidR="00960BB8" w:rsidRDefault="00960BB8">
            <w:pPr>
              <w:jc w:val="right"/>
              <w:rPr>
                <w:rFonts w:ascii="宋体"/>
              </w:rPr>
            </w:pPr>
          </w:p>
        </w:tc>
      </w:tr>
      <w:tr w:rsidR="00960BB8" w14:paraId="5A1B22FD" w14:textId="77777777">
        <w:tc>
          <w:tcPr>
            <w:tcW w:w="0" w:type="auto"/>
            <w:gridSpan w:val="3"/>
            <w:shd w:val="clear" w:color="auto" w:fill="FFFFFF"/>
            <w:tcMar>
              <w:top w:w="40" w:type="dxa"/>
              <w:left w:w="20" w:type="dxa"/>
              <w:bottom w:w="40" w:type="dxa"/>
              <w:right w:w="20" w:type="dxa"/>
            </w:tcMar>
            <w:vAlign w:val="bottom"/>
          </w:tcPr>
          <w:p w14:paraId="5A1B22EE" w14:textId="77777777" w:rsidR="00960BB8" w:rsidRDefault="00C06650">
            <w:pPr>
              <w:textAlignment w:val="bottom"/>
            </w:pPr>
            <w:r>
              <w:rPr>
                <w:rFonts w:ascii="Arial" w:eastAsia="宋体" w:hAnsi="Arial" w:cs="Arial"/>
                <w:color w:val="262626"/>
                <w:sz w:val="18"/>
                <w:szCs w:val="18"/>
              </w:rPr>
              <w:t>Data Center and AI</w:t>
            </w:r>
          </w:p>
        </w:tc>
        <w:tc>
          <w:tcPr>
            <w:tcW w:w="0" w:type="auto"/>
            <w:gridSpan w:val="3"/>
            <w:shd w:val="clear" w:color="auto" w:fill="FFFFFF"/>
            <w:tcMar>
              <w:top w:w="0" w:type="dxa"/>
              <w:left w:w="20" w:type="dxa"/>
              <w:bottom w:w="0" w:type="dxa"/>
              <w:right w:w="20" w:type="dxa"/>
            </w:tcMar>
            <w:vAlign w:val="bottom"/>
          </w:tcPr>
          <w:p w14:paraId="5A1B22EF"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2F0"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2F1"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2F2"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2F3"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2F4"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2F5" w14:textId="77777777" w:rsidR="00960BB8" w:rsidRDefault="00960BB8">
            <w:pPr>
              <w:rPr>
                <w:rFonts w:ascii="宋体"/>
              </w:rPr>
            </w:pPr>
          </w:p>
        </w:tc>
        <w:tc>
          <w:tcPr>
            <w:tcW w:w="0" w:type="auto"/>
            <w:shd w:val="clear" w:color="auto" w:fill="auto"/>
            <w:vAlign w:val="bottom"/>
          </w:tcPr>
          <w:p w14:paraId="5A1B22F6" w14:textId="77777777" w:rsidR="00960BB8" w:rsidRDefault="00960BB8">
            <w:pPr>
              <w:rPr>
                <w:rFonts w:ascii="宋体"/>
                <w:vanish/>
              </w:rPr>
            </w:pPr>
          </w:p>
        </w:tc>
        <w:tc>
          <w:tcPr>
            <w:tcW w:w="0" w:type="auto"/>
            <w:shd w:val="clear" w:color="auto" w:fill="auto"/>
            <w:vAlign w:val="bottom"/>
          </w:tcPr>
          <w:p w14:paraId="5A1B22F7"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2F8" w14:textId="77777777" w:rsidR="00960BB8" w:rsidRDefault="00C06650">
            <w:pPr>
              <w:jc w:val="right"/>
              <w:textAlignment w:val="bottom"/>
            </w:pPr>
            <w:r>
              <w:rPr>
                <w:rFonts w:ascii="Arial" w:eastAsia="宋体" w:hAnsi="Arial" w:cs="Arial"/>
                <w:color w:val="000000"/>
                <w:sz w:val="18"/>
                <w:szCs w:val="18"/>
              </w:rPr>
              <w:t>8,595 </w:t>
            </w:r>
          </w:p>
        </w:tc>
        <w:tc>
          <w:tcPr>
            <w:tcW w:w="0" w:type="auto"/>
            <w:shd w:val="clear" w:color="auto" w:fill="FFFFFF"/>
            <w:tcMar>
              <w:top w:w="40" w:type="dxa"/>
              <w:left w:w="0" w:type="dxa"/>
              <w:bottom w:w="40" w:type="dxa"/>
              <w:right w:w="20" w:type="dxa"/>
            </w:tcMar>
            <w:vAlign w:val="bottom"/>
          </w:tcPr>
          <w:p w14:paraId="5A1B22F9"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2FA"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2FB" w14:textId="77777777" w:rsidR="00960BB8" w:rsidRDefault="00C06650">
            <w:pPr>
              <w:jc w:val="right"/>
              <w:textAlignment w:val="bottom"/>
            </w:pPr>
            <w:r>
              <w:rPr>
                <w:rFonts w:ascii="Arial" w:eastAsia="宋体" w:hAnsi="Arial" w:cs="Arial"/>
                <w:color w:val="000000"/>
                <w:sz w:val="18"/>
                <w:szCs w:val="18"/>
              </w:rPr>
              <w:t>8,595 </w:t>
            </w:r>
          </w:p>
        </w:tc>
        <w:tc>
          <w:tcPr>
            <w:tcW w:w="0" w:type="auto"/>
            <w:shd w:val="clear" w:color="auto" w:fill="FFFFFF"/>
            <w:tcMar>
              <w:top w:w="40" w:type="dxa"/>
              <w:left w:w="0" w:type="dxa"/>
              <w:bottom w:w="40" w:type="dxa"/>
              <w:right w:w="20" w:type="dxa"/>
            </w:tcMar>
            <w:vAlign w:val="bottom"/>
          </w:tcPr>
          <w:p w14:paraId="5A1B22FC" w14:textId="77777777" w:rsidR="00960BB8" w:rsidRDefault="00960BB8">
            <w:pPr>
              <w:jc w:val="right"/>
              <w:rPr>
                <w:rFonts w:ascii="宋体"/>
              </w:rPr>
            </w:pPr>
          </w:p>
        </w:tc>
      </w:tr>
      <w:tr w:rsidR="00960BB8" w14:paraId="5A1B230D" w14:textId="77777777">
        <w:tc>
          <w:tcPr>
            <w:tcW w:w="0" w:type="auto"/>
            <w:gridSpan w:val="3"/>
            <w:shd w:val="clear" w:color="auto" w:fill="FFFFFF"/>
            <w:tcMar>
              <w:top w:w="40" w:type="dxa"/>
              <w:left w:w="20" w:type="dxa"/>
              <w:bottom w:w="40" w:type="dxa"/>
              <w:right w:w="20" w:type="dxa"/>
            </w:tcMar>
            <w:vAlign w:val="bottom"/>
          </w:tcPr>
          <w:p w14:paraId="5A1B22FE" w14:textId="77777777" w:rsidR="00960BB8" w:rsidRDefault="00C06650">
            <w:pPr>
              <w:textAlignment w:val="bottom"/>
            </w:pPr>
            <w:r>
              <w:rPr>
                <w:rFonts w:ascii="Arial" w:eastAsia="宋体" w:hAnsi="Arial" w:cs="Arial"/>
                <w:color w:val="262626"/>
                <w:sz w:val="18"/>
                <w:szCs w:val="18"/>
              </w:rPr>
              <w:t>Internet of Things Group</w:t>
            </w:r>
          </w:p>
        </w:tc>
        <w:tc>
          <w:tcPr>
            <w:tcW w:w="0" w:type="auto"/>
            <w:gridSpan w:val="3"/>
            <w:shd w:val="clear" w:color="auto" w:fill="FFFFFF"/>
            <w:tcMar>
              <w:top w:w="0" w:type="dxa"/>
              <w:left w:w="20" w:type="dxa"/>
              <w:bottom w:w="0" w:type="dxa"/>
              <w:right w:w="20" w:type="dxa"/>
            </w:tcMar>
            <w:vAlign w:val="bottom"/>
          </w:tcPr>
          <w:p w14:paraId="5A1B22FF"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00" w14:textId="77777777" w:rsidR="00960BB8" w:rsidRDefault="00C06650">
            <w:pPr>
              <w:jc w:val="right"/>
              <w:textAlignment w:val="bottom"/>
            </w:pPr>
            <w:r>
              <w:rPr>
                <w:rFonts w:ascii="Arial" w:eastAsia="宋体" w:hAnsi="Arial" w:cs="Arial"/>
                <w:color w:val="000000"/>
                <w:sz w:val="18"/>
                <w:szCs w:val="18"/>
              </w:rPr>
              <w:t>1,591 </w:t>
            </w:r>
          </w:p>
        </w:tc>
        <w:tc>
          <w:tcPr>
            <w:tcW w:w="0" w:type="auto"/>
            <w:shd w:val="clear" w:color="auto" w:fill="FFFFFF"/>
            <w:tcMar>
              <w:top w:w="40" w:type="dxa"/>
              <w:left w:w="0" w:type="dxa"/>
              <w:bottom w:w="40" w:type="dxa"/>
              <w:right w:w="20" w:type="dxa"/>
            </w:tcMar>
            <w:vAlign w:val="bottom"/>
          </w:tcPr>
          <w:p w14:paraId="5A1B2301"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02"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03" w14:textId="77777777" w:rsidR="00960BB8" w:rsidRDefault="00C06650">
            <w:pPr>
              <w:jc w:val="right"/>
              <w:textAlignment w:val="bottom"/>
            </w:pPr>
            <w:r>
              <w:rPr>
                <w:rFonts w:ascii="Arial" w:eastAsia="宋体" w:hAnsi="Arial" w:cs="Arial"/>
                <w:color w:val="000000"/>
                <w:sz w:val="18"/>
                <w:szCs w:val="18"/>
              </w:rPr>
              <w:t>(1,591)</w:t>
            </w:r>
          </w:p>
        </w:tc>
        <w:tc>
          <w:tcPr>
            <w:tcW w:w="0" w:type="auto"/>
            <w:shd w:val="clear" w:color="auto" w:fill="FFFFFF"/>
            <w:tcMar>
              <w:top w:w="40" w:type="dxa"/>
              <w:left w:w="0" w:type="dxa"/>
              <w:bottom w:w="40" w:type="dxa"/>
              <w:right w:w="20" w:type="dxa"/>
            </w:tcMar>
            <w:vAlign w:val="bottom"/>
          </w:tcPr>
          <w:p w14:paraId="5A1B2304"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05" w14:textId="77777777" w:rsidR="00960BB8" w:rsidRDefault="00960BB8">
            <w:pPr>
              <w:rPr>
                <w:rFonts w:ascii="宋体"/>
              </w:rPr>
            </w:pPr>
          </w:p>
        </w:tc>
        <w:tc>
          <w:tcPr>
            <w:tcW w:w="0" w:type="auto"/>
            <w:shd w:val="clear" w:color="auto" w:fill="auto"/>
            <w:vAlign w:val="bottom"/>
          </w:tcPr>
          <w:p w14:paraId="5A1B2306" w14:textId="77777777" w:rsidR="00960BB8" w:rsidRDefault="00960BB8">
            <w:pPr>
              <w:rPr>
                <w:rFonts w:ascii="宋体"/>
                <w:vanish/>
              </w:rPr>
            </w:pPr>
          </w:p>
        </w:tc>
        <w:tc>
          <w:tcPr>
            <w:tcW w:w="0" w:type="auto"/>
            <w:shd w:val="clear" w:color="auto" w:fill="auto"/>
            <w:vAlign w:val="bottom"/>
          </w:tcPr>
          <w:p w14:paraId="5A1B2307"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308"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309"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0A"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0B"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30C" w14:textId="77777777" w:rsidR="00960BB8" w:rsidRDefault="00960BB8">
            <w:pPr>
              <w:jc w:val="right"/>
              <w:rPr>
                <w:rFonts w:ascii="宋体"/>
              </w:rPr>
            </w:pPr>
          </w:p>
        </w:tc>
      </w:tr>
      <w:tr w:rsidR="00960BB8" w14:paraId="5A1B231D" w14:textId="77777777">
        <w:tc>
          <w:tcPr>
            <w:tcW w:w="0" w:type="auto"/>
            <w:gridSpan w:val="3"/>
            <w:shd w:val="clear" w:color="auto" w:fill="FFFFFF"/>
            <w:tcMar>
              <w:top w:w="40" w:type="dxa"/>
              <w:left w:w="20" w:type="dxa"/>
              <w:bottom w:w="40" w:type="dxa"/>
              <w:right w:w="20" w:type="dxa"/>
            </w:tcMar>
            <w:vAlign w:val="bottom"/>
          </w:tcPr>
          <w:p w14:paraId="5A1B230E" w14:textId="77777777" w:rsidR="00960BB8" w:rsidRDefault="00C06650">
            <w:pPr>
              <w:textAlignment w:val="bottom"/>
            </w:pPr>
            <w:r>
              <w:rPr>
                <w:rFonts w:ascii="Arial" w:eastAsia="宋体" w:hAnsi="Arial" w:cs="Arial"/>
                <w:color w:val="262626"/>
                <w:sz w:val="18"/>
                <w:szCs w:val="18"/>
              </w:rPr>
              <w:t>Network and Edge</w:t>
            </w:r>
          </w:p>
        </w:tc>
        <w:tc>
          <w:tcPr>
            <w:tcW w:w="0" w:type="auto"/>
            <w:gridSpan w:val="3"/>
            <w:shd w:val="clear" w:color="auto" w:fill="FFFFFF"/>
            <w:tcMar>
              <w:top w:w="0" w:type="dxa"/>
              <w:left w:w="20" w:type="dxa"/>
              <w:bottom w:w="0" w:type="dxa"/>
              <w:right w:w="20" w:type="dxa"/>
            </w:tcMar>
            <w:vAlign w:val="bottom"/>
          </w:tcPr>
          <w:p w14:paraId="5A1B230F"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10"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311"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12"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13"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314"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15" w14:textId="77777777" w:rsidR="00960BB8" w:rsidRDefault="00960BB8">
            <w:pPr>
              <w:rPr>
                <w:rFonts w:ascii="宋体"/>
              </w:rPr>
            </w:pPr>
          </w:p>
        </w:tc>
        <w:tc>
          <w:tcPr>
            <w:tcW w:w="0" w:type="auto"/>
            <w:shd w:val="clear" w:color="auto" w:fill="auto"/>
            <w:vAlign w:val="bottom"/>
          </w:tcPr>
          <w:p w14:paraId="5A1B2316" w14:textId="77777777" w:rsidR="00960BB8" w:rsidRDefault="00960BB8">
            <w:pPr>
              <w:rPr>
                <w:rFonts w:ascii="宋体"/>
                <w:vanish/>
              </w:rPr>
            </w:pPr>
          </w:p>
        </w:tc>
        <w:tc>
          <w:tcPr>
            <w:tcW w:w="0" w:type="auto"/>
            <w:shd w:val="clear" w:color="auto" w:fill="auto"/>
            <w:vAlign w:val="bottom"/>
          </w:tcPr>
          <w:p w14:paraId="5A1B2317"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318" w14:textId="77777777" w:rsidR="00960BB8" w:rsidRDefault="00C06650">
            <w:pPr>
              <w:jc w:val="right"/>
              <w:textAlignment w:val="bottom"/>
            </w:pPr>
            <w:r>
              <w:rPr>
                <w:rFonts w:ascii="Arial" w:eastAsia="宋体" w:hAnsi="Arial" w:cs="Arial"/>
                <w:color w:val="000000"/>
                <w:sz w:val="18"/>
                <w:szCs w:val="18"/>
              </w:rPr>
              <w:t>2,774 </w:t>
            </w:r>
          </w:p>
        </w:tc>
        <w:tc>
          <w:tcPr>
            <w:tcW w:w="0" w:type="auto"/>
            <w:shd w:val="clear" w:color="auto" w:fill="FFFFFF"/>
            <w:tcMar>
              <w:top w:w="40" w:type="dxa"/>
              <w:left w:w="0" w:type="dxa"/>
              <w:bottom w:w="40" w:type="dxa"/>
              <w:right w:w="20" w:type="dxa"/>
            </w:tcMar>
            <w:vAlign w:val="bottom"/>
          </w:tcPr>
          <w:p w14:paraId="5A1B2319"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1A"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1B" w14:textId="77777777" w:rsidR="00960BB8" w:rsidRDefault="00C06650">
            <w:pPr>
              <w:jc w:val="right"/>
              <w:textAlignment w:val="bottom"/>
            </w:pPr>
            <w:r>
              <w:rPr>
                <w:rFonts w:ascii="Arial" w:eastAsia="宋体" w:hAnsi="Arial" w:cs="Arial"/>
                <w:color w:val="000000"/>
                <w:sz w:val="18"/>
                <w:szCs w:val="18"/>
              </w:rPr>
              <w:t>2,774 </w:t>
            </w:r>
          </w:p>
        </w:tc>
        <w:tc>
          <w:tcPr>
            <w:tcW w:w="0" w:type="auto"/>
            <w:shd w:val="clear" w:color="auto" w:fill="FFFFFF"/>
            <w:tcMar>
              <w:top w:w="40" w:type="dxa"/>
              <w:left w:w="0" w:type="dxa"/>
              <w:bottom w:w="40" w:type="dxa"/>
              <w:right w:w="20" w:type="dxa"/>
            </w:tcMar>
            <w:vAlign w:val="bottom"/>
          </w:tcPr>
          <w:p w14:paraId="5A1B231C" w14:textId="77777777" w:rsidR="00960BB8" w:rsidRDefault="00960BB8">
            <w:pPr>
              <w:jc w:val="right"/>
              <w:rPr>
                <w:rFonts w:ascii="宋体"/>
              </w:rPr>
            </w:pPr>
          </w:p>
        </w:tc>
      </w:tr>
      <w:tr w:rsidR="00960BB8" w14:paraId="5A1B232D" w14:textId="77777777">
        <w:tc>
          <w:tcPr>
            <w:tcW w:w="0" w:type="auto"/>
            <w:gridSpan w:val="3"/>
            <w:shd w:val="clear" w:color="auto" w:fill="FFFFFF"/>
            <w:tcMar>
              <w:top w:w="40" w:type="dxa"/>
              <w:left w:w="20" w:type="dxa"/>
              <w:bottom w:w="40" w:type="dxa"/>
              <w:right w:w="20" w:type="dxa"/>
            </w:tcMar>
            <w:vAlign w:val="bottom"/>
          </w:tcPr>
          <w:p w14:paraId="5A1B231E" w14:textId="77777777" w:rsidR="00960BB8" w:rsidRDefault="00C06650">
            <w:pPr>
              <w:textAlignment w:val="bottom"/>
            </w:pPr>
            <w:r>
              <w:rPr>
                <w:rFonts w:ascii="Arial" w:eastAsia="宋体" w:hAnsi="Arial" w:cs="Arial"/>
                <w:color w:val="262626"/>
                <w:sz w:val="18"/>
                <w:szCs w:val="18"/>
              </w:rPr>
              <w:t>Mobileye</w:t>
            </w:r>
          </w:p>
        </w:tc>
        <w:tc>
          <w:tcPr>
            <w:tcW w:w="0" w:type="auto"/>
            <w:gridSpan w:val="3"/>
            <w:shd w:val="clear" w:color="auto" w:fill="FFFFFF"/>
            <w:tcMar>
              <w:top w:w="0" w:type="dxa"/>
              <w:left w:w="20" w:type="dxa"/>
              <w:bottom w:w="0" w:type="dxa"/>
              <w:right w:w="20" w:type="dxa"/>
            </w:tcMar>
            <w:vAlign w:val="bottom"/>
          </w:tcPr>
          <w:p w14:paraId="5A1B231F"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20" w14:textId="77777777" w:rsidR="00960BB8" w:rsidRDefault="00C06650">
            <w:pPr>
              <w:jc w:val="right"/>
              <w:textAlignment w:val="bottom"/>
            </w:pPr>
            <w:r>
              <w:rPr>
                <w:rFonts w:ascii="Arial" w:eastAsia="宋体" w:hAnsi="Arial" w:cs="Arial"/>
                <w:color w:val="000000"/>
                <w:sz w:val="18"/>
                <w:szCs w:val="18"/>
              </w:rPr>
              <w:t>10,928 </w:t>
            </w:r>
          </w:p>
        </w:tc>
        <w:tc>
          <w:tcPr>
            <w:tcW w:w="0" w:type="auto"/>
            <w:shd w:val="clear" w:color="auto" w:fill="FFFFFF"/>
            <w:tcMar>
              <w:top w:w="40" w:type="dxa"/>
              <w:left w:w="0" w:type="dxa"/>
              <w:bottom w:w="40" w:type="dxa"/>
              <w:right w:w="20" w:type="dxa"/>
            </w:tcMar>
            <w:vAlign w:val="bottom"/>
          </w:tcPr>
          <w:p w14:paraId="5A1B2321"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22"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23"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324"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25" w14:textId="77777777" w:rsidR="00960BB8" w:rsidRDefault="00960BB8">
            <w:pPr>
              <w:rPr>
                <w:rFonts w:ascii="宋体"/>
              </w:rPr>
            </w:pPr>
          </w:p>
        </w:tc>
        <w:tc>
          <w:tcPr>
            <w:tcW w:w="0" w:type="auto"/>
            <w:shd w:val="clear" w:color="auto" w:fill="auto"/>
            <w:vAlign w:val="bottom"/>
          </w:tcPr>
          <w:p w14:paraId="5A1B2326" w14:textId="77777777" w:rsidR="00960BB8" w:rsidRDefault="00960BB8">
            <w:pPr>
              <w:rPr>
                <w:rFonts w:ascii="宋体"/>
                <w:vanish/>
              </w:rPr>
            </w:pPr>
          </w:p>
        </w:tc>
        <w:tc>
          <w:tcPr>
            <w:tcW w:w="0" w:type="auto"/>
            <w:shd w:val="clear" w:color="auto" w:fill="auto"/>
            <w:vAlign w:val="bottom"/>
          </w:tcPr>
          <w:p w14:paraId="5A1B2327"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328"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329"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2A"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2B" w14:textId="77777777" w:rsidR="00960BB8" w:rsidRDefault="00C06650">
            <w:pPr>
              <w:jc w:val="right"/>
              <w:textAlignment w:val="bottom"/>
            </w:pPr>
            <w:r>
              <w:rPr>
                <w:rFonts w:ascii="Arial" w:eastAsia="宋体" w:hAnsi="Arial" w:cs="Arial"/>
                <w:color w:val="000000"/>
                <w:sz w:val="18"/>
                <w:szCs w:val="18"/>
              </w:rPr>
              <w:t>10,928 </w:t>
            </w:r>
          </w:p>
        </w:tc>
        <w:tc>
          <w:tcPr>
            <w:tcW w:w="0" w:type="auto"/>
            <w:shd w:val="clear" w:color="auto" w:fill="FFFFFF"/>
            <w:tcMar>
              <w:top w:w="40" w:type="dxa"/>
              <w:left w:w="0" w:type="dxa"/>
              <w:bottom w:w="40" w:type="dxa"/>
              <w:right w:w="20" w:type="dxa"/>
            </w:tcMar>
            <w:vAlign w:val="bottom"/>
          </w:tcPr>
          <w:p w14:paraId="5A1B232C" w14:textId="77777777" w:rsidR="00960BB8" w:rsidRDefault="00960BB8">
            <w:pPr>
              <w:jc w:val="right"/>
              <w:rPr>
                <w:rFonts w:ascii="宋体"/>
              </w:rPr>
            </w:pPr>
          </w:p>
        </w:tc>
      </w:tr>
      <w:tr w:rsidR="00960BB8" w14:paraId="5A1B233D" w14:textId="77777777">
        <w:tc>
          <w:tcPr>
            <w:tcW w:w="0" w:type="auto"/>
            <w:gridSpan w:val="3"/>
            <w:shd w:val="clear" w:color="auto" w:fill="FFFFFF"/>
            <w:tcMar>
              <w:top w:w="40" w:type="dxa"/>
              <w:left w:w="20" w:type="dxa"/>
              <w:bottom w:w="40" w:type="dxa"/>
              <w:right w:w="20" w:type="dxa"/>
            </w:tcMar>
            <w:vAlign w:val="bottom"/>
          </w:tcPr>
          <w:p w14:paraId="5A1B232E" w14:textId="77777777" w:rsidR="00960BB8" w:rsidRDefault="00C06650">
            <w:pPr>
              <w:textAlignment w:val="bottom"/>
            </w:pPr>
            <w:r>
              <w:rPr>
                <w:rFonts w:ascii="Arial" w:eastAsia="宋体" w:hAnsi="Arial" w:cs="Arial"/>
                <w:color w:val="262626"/>
                <w:sz w:val="18"/>
                <w:szCs w:val="18"/>
              </w:rPr>
              <w:t>Accelerated Computing Systems and Graphics</w:t>
            </w:r>
          </w:p>
        </w:tc>
        <w:tc>
          <w:tcPr>
            <w:tcW w:w="0" w:type="auto"/>
            <w:gridSpan w:val="3"/>
            <w:shd w:val="clear" w:color="auto" w:fill="FFFFFF"/>
            <w:tcMar>
              <w:top w:w="0" w:type="dxa"/>
              <w:left w:w="20" w:type="dxa"/>
              <w:bottom w:w="0" w:type="dxa"/>
              <w:right w:w="20" w:type="dxa"/>
            </w:tcMar>
            <w:vAlign w:val="bottom"/>
          </w:tcPr>
          <w:p w14:paraId="5A1B232F"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30"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331"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32"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33"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334"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35" w14:textId="77777777" w:rsidR="00960BB8" w:rsidRDefault="00960BB8">
            <w:pPr>
              <w:rPr>
                <w:rFonts w:ascii="宋体"/>
              </w:rPr>
            </w:pPr>
          </w:p>
        </w:tc>
        <w:tc>
          <w:tcPr>
            <w:tcW w:w="0" w:type="auto"/>
            <w:shd w:val="clear" w:color="auto" w:fill="auto"/>
            <w:vAlign w:val="bottom"/>
          </w:tcPr>
          <w:p w14:paraId="5A1B2336" w14:textId="77777777" w:rsidR="00960BB8" w:rsidRDefault="00960BB8">
            <w:pPr>
              <w:rPr>
                <w:rFonts w:ascii="宋体"/>
                <w:vanish/>
              </w:rPr>
            </w:pPr>
          </w:p>
        </w:tc>
        <w:tc>
          <w:tcPr>
            <w:tcW w:w="0" w:type="auto"/>
            <w:shd w:val="clear" w:color="auto" w:fill="auto"/>
            <w:vAlign w:val="bottom"/>
          </w:tcPr>
          <w:p w14:paraId="5A1B2337"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338" w14:textId="77777777" w:rsidR="00960BB8" w:rsidRDefault="00C06650">
            <w:pPr>
              <w:jc w:val="right"/>
              <w:textAlignment w:val="bottom"/>
            </w:pPr>
            <w:r>
              <w:rPr>
                <w:rFonts w:ascii="Arial" w:eastAsia="宋体" w:hAnsi="Arial" w:cs="Arial"/>
                <w:color w:val="000000"/>
                <w:sz w:val="18"/>
                <w:szCs w:val="18"/>
              </w:rPr>
              <w:t>429 </w:t>
            </w:r>
          </w:p>
        </w:tc>
        <w:tc>
          <w:tcPr>
            <w:tcW w:w="0" w:type="auto"/>
            <w:shd w:val="clear" w:color="auto" w:fill="FFFFFF"/>
            <w:tcMar>
              <w:top w:w="40" w:type="dxa"/>
              <w:left w:w="0" w:type="dxa"/>
              <w:bottom w:w="40" w:type="dxa"/>
              <w:right w:w="20" w:type="dxa"/>
            </w:tcMar>
            <w:vAlign w:val="bottom"/>
          </w:tcPr>
          <w:p w14:paraId="5A1B2339"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3A"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3B" w14:textId="77777777" w:rsidR="00960BB8" w:rsidRDefault="00C06650">
            <w:pPr>
              <w:jc w:val="right"/>
              <w:textAlignment w:val="bottom"/>
            </w:pPr>
            <w:r>
              <w:rPr>
                <w:rFonts w:ascii="Arial" w:eastAsia="宋体" w:hAnsi="Arial" w:cs="Arial"/>
                <w:color w:val="000000"/>
                <w:sz w:val="18"/>
                <w:szCs w:val="18"/>
              </w:rPr>
              <w:t>429 </w:t>
            </w:r>
          </w:p>
        </w:tc>
        <w:tc>
          <w:tcPr>
            <w:tcW w:w="0" w:type="auto"/>
            <w:shd w:val="clear" w:color="auto" w:fill="FFFFFF"/>
            <w:tcMar>
              <w:top w:w="40" w:type="dxa"/>
              <w:left w:w="0" w:type="dxa"/>
              <w:bottom w:w="40" w:type="dxa"/>
              <w:right w:w="20" w:type="dxa"/>
            </w:tcMar>
            <w:vAlign w:val="bottom"/>
          </w:tcPr>
          <w:p w14:paraId="5A1B233C" w14:textId="77777777" w:rsidR="00960BB8" w:rsidRDefault="00960BB8">
            <w:pPr>
              <w:jc w:val="right"/>
              <w:rPr>
                <w:rFonts w:ascii="宋体"/>
              </w:rPr>
            </w:pPr>
          </w:p>
        </w:tc>
      </w:tr>
      <w:tr w:rsidR="00960BB8" w14:paraId="5A1B234D" w14:textId="77777777">
        <w:tc>
          <w:tcPr>
            <w:tcW w:w="0" w:type="auto"/>
            <w:gridSpan w:val="3"/>
            <w:shd w:val="clear" w:color="auto" w:fill="FFFFFF"/>
            <w:tcMar>
              <w:top w:w="40" w:type="dxa"/>
              <w:left w:w="20" w:type="dxa"/>
              <w:bottom w:w="40" w:type="dxa"/>
              <w:right w:w="20" w:type="dxa"/>
            </w:tcMar>
            <w:vAlign w:val="bottom"/>
          </w:tcPr>
          <w:p w14:paraId="5A1B233E" w14:textId="77777777" w:rsidR="00960BB8" w:rsidRDefault="00C06650">
            <w:pPr>
              <w:textAlignment w:val="bottom"/>
            </w:pPr>
            <w:r>
              <w:rPr>
                <w:rFonts w:ascii="Arial" w:eastAsia="宋体" w:hAnsi="Arial" w:cs="Arial"/>
                <w:color w:val="262626"/>
                <w:sz w:val="18"/>
                <w:szCs w:val="18"/>
              </w:rPr>
              <w:t>Programmable Solutions Group</w:t>
            </w:r>
          </w:p>
        </w:tc>
        <w:tc>
          <w:tcPr>
            <w:tcW w:w="0" w:type="auto"/>
            <w:gridSpan w:val="3"/>
            <w:shd w:val="clear" w:color="auto" w:fill="FFFFFF"/>
            <w:tcMar>
              <w:top w:w="0" w:type="dxa"/>
              <w:left w:w="20" w:type="dxa"/>
              <w:bottom w:w="0" w:type="dxa"/>
              <w:right w:w="20" w:type="dxa"/>
            </w:tcMar>
            <w:vAlign w:val="bottom"/>
          </w:tcPr>
          <w:p w14:paraId="5A1B233F"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40" w14:textId="77777777" w:rsidR="00960BB8" w:rsidRDefault="00C06650">
            <w:pPr>
              <w:jc w:val="right"/>
              <w:textAlignment w:val="bottom"/>
            </w:pPr>
            <w:r>
              <w:rPr>
                <w:rFonts w:ascii="Arial" w:eastAsia="宋体" w:hAnsi="Arial" w:cs="Arial"/>
                <w:color w:val="000000"/>
                <w:sz w:val="18"/>
                <w:szCs w:val="18"/>
              </w:rPr>
              <w:t>2,656 </w:t>
            </w:r>
          </w:p>
        </w:tc>
        <w:tc>
          <w:tcPr>
            <w:tcW w:w="0" w:type="auto"/>
            <w:shd w:val="clear" w:color="auto" w:fill="FFFFFF"/>
            <w:tcMar>
              <w:top w:w="40" w:type="dxa"/>
              <w:left w:w="0" w:type="dxa"/>
              <w:bottom w:w="40" w:type="dxa"/>
              <w:right w:w="20" w:type="dxa"/>
            </w:tcMar>
            <w:vAlign w:val="bottom"/>
          </w:tcPr>
          <w:p w14:paraId="5A1B2341"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42"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43" w14:textId="77777777" w:rsidR="00960BB8" w:rsidRDefault="00C06650">
            <w:pPr>
              <w:jc w:val="right"/>
              <w:textAlignment w:val="bottom"/>
            </w:pPr>
            <w:r>
              <w:rPr>
                <w:rFonts w:ascii="Arial" w:eastAsia="宋体" w:hAnsi="Arial" w:cs="Arial"/>
                <w:color w:val="000000"/>
                <w:sz w:val="18"/>
                <w:szCs w:val="18"/>
              </w:rPr>
              <w:t>(2,656)</w:t>
            </w:r>
          </w:p>
        </w:tc>
        <w:tc>
          <w:tcPr>
            <w:tcW w:w="0" w:type="auto"/>
            <w:shd w:val="clear" w:color="auto" w:fill="FFFFFF"/>
            <w:tcMar>
              <w:top w:w="40" w:type="dxa"/>
              <w:left w:w="0" w:type="dxa"/>
              <w:bottom w:w="40" w:type="dxa"/>
              <w:right w:w="20" w:type="dxa"/>
            </w:tcMar>
            <w:vAlign w:val="bottom"/>
          </w:tcPr>
          <w:p w14:paraId="5A1B2344"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45" w14:textId="77777777" w:rsidR="00960BB8" w:rsidRDefault="00960BB8">
            <w:pPr>
              <w:rPr>
                <w:rFonts w:ascii="宋体"/>
              </w:rPr>
            </w:pPr>
          </w:p>
        </w:tc>
        <w:tc>
          <w:tcPr>
            <w:tcW w:w="0" w:type="auto"/>
            <w:shd w:val="clear" w:color="auto" w:fill="auto"/>
            <w:vAlign w:val="bottom"/>
          </w:tcPr>
          <w:p w14:paraId="5A1B2346" w14:textId="77777777" w:rsidR="00960BB8" w:rsidRDefault="00960BB8">
            <w:pPr>
              <w:rPr>
                <w:rFonts w:ascii="宋体"/>
                <w:vanish/>
              </w:rPr>
            </w:pPr>
          </w:p>
        </w:tc>
        <w:tc>
          <w:tcPr>
            <w:tcW w:w="0" w:type="auto"/>
            <w:shd w:val="clear" w:color="auto" w:fill="auto"/>
            <w:vAlign w:val="bottom"/>
          </w:tcPr>
          <w:p w14:paraId="5A1B2347" w14:textId="77777777" w:rsidR="00960BB8" w:rsidRDefault="00960BB8">
            <w:pPr>
              <w:rPr>
                <w:rFonts w:ascii="宋体"/>
                <w:vanish/>
              </w:rPr>
            </w:pPr>
          </w:p>
        </w:tc>
        <w:tc>
          <w:tcPr>
            <w:tcW w:w="0" w:type="auto"/>
            <w:gridSpan w:val="2"/>
            <w:shd w:val="clear" w:color="auto" w:fill="FFFFFF"/>
            <w:tcMar>
              <w:top w:w="40" w:type="dxa"/>
              <w:left w:w="20" w:type="dxa"/>
              <w:bottom w:w="40" w:type="dxa"/>
              <w:right w:w="0" w:type="dxa"/>
            </w:tcMar>
            <w:vAlign w:val="bottom"/>
          </w:tcPr>
          <w:p w14:paraId="5A1B2348"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349"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4A" w14:textId="77777777" w:rsidR="00960BB8" w:rsidRDefault="00960BB8">
            <w:pPr>
              <w:rPr>
                <w:rFonts w:ascii="宋体"/>
              </w:rPr>
            </w:pPr>
          </w:p>
        </w:tc>
        <w:tc>
          <w:tcPr>
            <w:tcW w:w="0" w:type="auto"/>
            <w:gridSpan w:val="2"/>
            <w:shd w:val="clear" w:color="auto" w:fill="FFFFFF"/>
            <w:tcMar>
              <w:top w:w="40" w:type="dxa"/>
              <w:left w:w="20" w:type="dxa"/>
              <w:bottom w:w="40" w:type="dxa"/>
              <w:right w:w="0" w:type="dxa"/>
            </w:tcMar>
            <w:vAlign w:val="bottom"/>
          </w:tcPr>
          <w:p w14:paraId="5A1B234B"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A1B234C" w14:textId="77777777" w:rsidR="00960BB8" w:rsidRDefault="00960BB8">
            <w:pPr>
              <w:jc w:val="right"/>
              <w:rPr>
                <w:rFonts w:ascii="宋体"/>
              </w:rPr>
            </w:pPr>
          </w:p>
        </w:tc>
      </w:tr>
      <w:tr w:rsidR="00960BB8" w14:paraId="5A1B2361" w14:textId="77777777">
        <w:tc>
          <w:tcPr>
            <w:tcW w:w="0" w:type="auto"/>
            <w:gridSpan w:val="3"/>
            <w:shd w:val="clear" w:color="auto" w:fill="FFFFFF"/>
            <w:tcMar>
              <w:top w:w="40" w:type="dxa"/>
              <w:left w:w="20" w:type="dxa"/>
              <w:bottom w:w="40" w:type="dxa"/>
              <w:right w:w="20" w:type="dxa"/>
            </w:tcMar>
            <w:vAlign w:val="bottom"/>
          </w:tcPr>
          <w:p w14:paraId="5A1B234E" w14:textId="77777777" w:rsidR="00960BB8" w:rsidRDefault="00C06650">
            <w:pPr>
              <w:textAlignment w:val="bottom"/>
            </w:pPr>
            <w:r>
              <w:rPr>
                <w:rFonts w:ascii="Arial" w:eastAsia="宋体" w:hAnsi="Arial" w:cs="Arial"/>
                <w:b/>
                <w:bCs/>
                <w:color w:val="262626"/>
                <w:sz w:val="18"/>
                <w:szCs w:val="18"/>
              </w:rPr>
              <w:t>Total</w:t>
            </w:r>
          </w:p>
        </w:tc>
        <w:tc>
          <w:tcPr>
            <w:tcW w:w="0" w:type="auto"/>
            <w:gridSpan w:val="3"/>
            <w:shd w:val="clear" w:color="auto" w:fill="FFFFFF"/>
            <w:tcMar>
              <w:top w:w="0" w:type="dxa"/>
              <w:left w:w="20" w:type="dxa"/>
              <w:bottom w:w="0" w:type="dxa"/>
              <w:right w:w="20" w:type="dxa"/>
            </w:tcMar>
            <w:vAlign w:val="bottom"/>
          </w:tcPr>
          <w:p w14:paraId="5A1B234F" w14:textId="77777777" w:rsidR="00960BB8" w:rsidRDefault="00960BB8">
            <w:pPr>
              <w:rPr>
                <w:rFonts w:ascii="宋体"/>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5A1B2350" w14:textId="77777777" w:rsidR="00960BB8" w:rsidRDefault="00C06650">
            <w:pPr>
              <w:textAlignment w:val="bottom"/>
            </w:pPr>
            <w:r>
              <w:rPr>
                <w:rFonts w:ascii="Arial" w:eastAsia="宋体" w:hAnsi="Arial" w:cs="Arial"/>
                <w:b/>
                <w:bCs/>
                <w:color w:val="000000"/>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5A1B2351" w14:textId="77777777" w:rsidR="00960BB8" w:rsidRDefault="00C06650">
            <w:pPr>
              <w:jc w:val="right"/>
              <w:textAlignment w:val="bottom"/>
            </w:pPr>
            <w:r>
              <w:rPr>
                <w:rFonts w:ascii="Arial" w:eastAsia="宋体" w:hAnsi="Arial" w:cs="Arial"/>
                <w:b/>
                <w:bCs/>
                <w:color w:val="000000"/>
                <w:sz w:val="18"/>
                <w:szCs w:val="18"/>
              </w:rPr>
              <w:t>26,963</w:t>
            </w:r>
            <w:r>
              <w:rPr>
                <w:rFonts w:ascii="Arial" w:eastAsia="宋体" w:hAnsi="Arial" w:cs="Arial"/>
                <w:color w:val="000000"/>
                <w:sz w:val="18"/>
                <w:szCs w:val="18"/>
              </w:rPr>
              <w:t> </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5A1B2352"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53" w14:textId="77777777" w:rsidR="00960BB8" w:rsidRDefault="00960BB8">
            <w:pPr>
              <w:rPr>
                <w:rFonts w:ascii="宋体"/>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5A1B2354" w14:textId="77777777" w:rsidR="00960BB8" w:rsidRDefault="00C06650">
            <w:pPr>
              <w:textAlignment w:val="bottom"/>
            </w:pPr>
            <w:r>
              <w:rPr>
                <w:rFonts w:ascii="Arial" w:eastAsia="宋体" w:hAnsi="Arial" w:cs="Arial"/>
                <w:b/>
                <w:bCs/>
                <w:color w:val="000000"/>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5A1B2355" w14:textId="77777777" w:rsidR="00960BB8" w:rsidRDefault="00C06650">
            <w:pPr>
              <w:jc w:val="right"/>
              <w:textAlignment w:val="bottom"/>
            </w:pPr>
            <w:r>
              <w:rPr>
                <w:rFonts w:ascii="Arial" w:eastAsia="宋体" w:hAnsi="Arial" w:cs="Arial"/>
                <w:b/>
                <w:bCs/>
                <w:color w:val="000000"/>
                <w:sz w:val="18"/>
                <w:szCs w:val="18"/>
              </w:rPr>
              <w:t>(11,877)</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5A1B2356"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57" w14:textId="77777777" w:rsidR="00960BB8" w:rsidRDefault="00960BB8">
            <w:pPr>
              <w:rPr>
                <w:rFonts w:ascii="宋体"/>
              </w:rPr>
            </w:pPr>
          </w:p>
        </w:tc>
        <w:tc>
          <w:tcPr>
            <w:tcW w:w="0" w:type="auto"/>
            <w:shd w:val="clear" w:color="auto" w:fill="auto"/>
            <w:vAlign w:val="bottom"/>
          </w:tcPr>
          <w:p w14:paraId="5A1B2358" w14:textId="77777777" w:rsidR="00960BB8" w:rsidRDefault="00960BB8">
            <w:pPr>
              <w:rPr>
                <w:rFonts w:ascii="宋体"/>
                <w:vanish/>
              </w:rPr>
            </w:pPr>
          </w:p>
        </w:tc>
        <w:tc>
          <w:tcPr>
            <w:tcW w:w="0" w:type="auto"/>
            <w:shd w:val="clear" w:color="auto" w:fill="auto"/>
            <w:vAlign w:val="bottom"/>
          </w:tcPr>
          <w:p w14:paraId="5A1B2359" w14:textId="77777777" w:rsidR="00960BB8" w:rsidRDefault="00960BB8">
            <w:pPr>
              <w:rPr>
                <w:rFonts w:ascii="宋体"/>
                <w:vanish/>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5A1B235A" w14:textId="77777777" w:rsidR="00960BB8" w:rsidRDefault="00C06650">
            <w:pPr>
              <w:textAlignment w:val="bottom"/>
            </w:pPr>
            <w:r>
              <w:rPr>
                <w:rFonts w:ascii="Arial" w:eastAsia="宋体" w:hAnsi="Arial" w:cs="Arial"/>
                <w:b/>
                <w:bCs/>
                <w:color w:val="000000"/>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5A1B235B" w14:textId="77777777" w:rsidR="00960BB8" w:rsidRDefault="00C06650">
            <w:pPr>
              <w:jc w:val="right"/>
              <w:textAlignment w:val="bottom"/>
            </w:pPr>
            <w:r>
              <w:rPr>
                <w:rFonts w:ascii="Arial" w:eastAsia="宋体" w:hAnsi="Arial" w:cs="Arial"/>
                <w:b/>
                <w:bCs/>
                <w:color w:val="000000"/>
                <w:sz w:val="18"/>
                <w:szCs w:val="18"/>
              </w:rPr>
              <w:t>11,877</w:t>
            </w:r>
            <w:r>
              <w:rPr>
                <w:rFonts w:ascii="Arial" w:eastAsia="宋体" w:hAnsi="Arial" w:cs="Arial"/>
                <w:color w:val="000000"/>
                <w:sz w:val="18"/>
                <w:szCs w:val="18"/>
              </w:rPr>
              <w:t> </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5A1B235C" w14:textId="77777777" w:rsidR="00960BB8" w:rsidRDefault="00960BB8">
            <w:pPr>
              <w:jc w:val="right"/>
              <w:rPr>
                <w:rFonts w:ascii="宋体"/>
              </w:rPr>
            </w:pPr>
          </w:p>
        </w:tc>
        <w:tc>
          <w:tcPr>
            <w:tcW w:w="0" w:type="auto"/>
            <w:gridSpan w:val="3"/>
            <w:shd w:val="clear" w:color="auto" w:fill="FFFFFF"/>
            <w:tcMar>
              <w:top w:w="0" w:type="dxa"/>
              <w:left w:w="20" w:type="dxa"/>
              <w:bottom w:w="0" w:type="dxa"/>
              <w:right w:w="20" w:type="dxa"/>
            </w:tcMar>
            <w:vAlign w:val="bottom"/>
          </w:tcPr>
          <w:p w14:paraId="5A1B235D" w14:textId="77777777" w:rsidR="00960BB8" w:rsidRDefault="00960BB8">
            <w:pPr>
              <w:rPr>
                <w:rFonts w:ascii="宋体"/>
              </w:rPr>
            </w:pPr>
          </w:p>
        </w:tc>
        <w:tc>
          <w:tcPr>
            <w:tcW w:w="0" w:type="auto"/>
            <w:tcBorders>
              <w:top w:val="single" w:sz="4" w:space="0" w:color="262626"/>
              <w:bottom w:val="double" w:sz="6" w:space="0" w:color="262626"/>
            </w:tcBorders>
            <w:shd w:val="clear" w:color="auto" w:fill="FFFFFF"/>
            <w:tcMar>
              <w:top w:w="40" w:type="dxa"/>
              <w:left w:w="20" w:type="dxa"/>
              <w:bottom w:w="40" w:type="dxa"/>
              <w:right w:w="0" w:type="dxa"/>
            </w:tcMar>
            <w:vAlign w:val="bottom"/>
          </w:tcPr>
          <w:p w14:paraId="5A1B235E" w14:textId="77777777" w:rsidR="00960BB8" w:rsidRDefault="00C06650">
            <w:pPr>
              <w:textAlignment w:val="bottom"/>
            </w:pPr>
            <w:r>
              <w:rPr>
                <w:rFonts w:ascii="Arial" w:eastAsia="宋体" w:hAnsi="Arial" w:cs="Arial"/>
                <w:b/>
                <w:bCs/>
                <w:color w:val="000000"/>
                <w:sz w:val="18"/>
                <w:szCs w:val="18"/>
              </w:rPr>
              <w:t>$</w:t>
            </w:r>
          </w:p>
        </w:tc>
        <w:tc>
          <w:tcPr>
            <w:tcW w:w="0" w:type="auto"/>
            <w:tcBorders>
              <w:top w:val="single" w:sz="4" w:space="0" w:color="262626"/>
              <w:bottom w:val="double" w:sz="6" w:space="0" w:color="262626"/>
            </w:tcBorders>
            <w:shd w:val="clear" w:color="auto" w:fill="FFFFFF"/>
            <w:tcMar>
              <w:top w:w="40" w:type="dxa"/>
              <w:left w:w="0" w:type="dxa"/>
              <w:bottom w:w="40" w:type="dxa"/>
              <w:right w:w="0" w:type="dxa"/>
            </w:tcMar>
            <w:vAlign w:val="bottom"/>
          </w:tcPr>
          <w:p w14:paraId="5A1B235F" w14:textId="77777777" w:rsidR="00960BB8" w:rsidRDefault="00C06650">
            <w:pPr>
              <w:jc w:val="right"/>
              <w:textAlignment w:val="bottom"/>
            </w:pPr>
            <w:r>
              <w:rPr>
                <w:rFonts w:ascii="Arial" w:eastAsia="宋体" w:hAnsi="Arial" w:cs="Arial"/>
                <w:b/>
                <w:bCs/>
                <w:color w:val="000000"/>
                <w:sz w:val="18"/>
                <w:szCs w:val="18"/>
              </w:rPr>
              <w:t>26,963</w:t>
            </w:r>
            <w:r>
              <w:rPr>
                <w:rFonts w:ascii="Arial" w:eastAsia="宋体" w:hAnsi="Arial" w:cs="Arial"/>
                <w:color w:val="000000"/>
                <w:sz w:val="18"/>
                <w:szCs w:val="18"/>
              </w:rPr>
              <w:t> </w:t>
            </w:r>
          </w:p>
        </w:tc>
        <w:tc>
          <w:tcPr>
            <w:tcW w:w="0" w:type="auto"/>
            <w:tcBorders>
              <w:top w:val="single" w:sz="4" w:space="0" w:color="262626"/>
              <w:bottom w:val="double" w:sz="6" w:space="0" w:color="262626"/>
            </w:tcBorders>
            <w:shd w:val="clear" w:color="auto" w:fill="FFFFFF"/>
            <w:tcMar>
              <w:top w:w="40" w:type="dxa"/>
              <w:left w:w="0" w:type="dxa"/>
              <w:bottom w:w="40" w:type="dxa"/>
              <w:right w:w="20" w:type="dxa"/>
            </w:tcMar>
            <w:vAlign w:val="bottom"/>
          </w:tcPr>
          <w:p w14:paraId="5A1B2360" w14:textId="77777777" w:rsidR="00960BB8" w:rsidRDefault="00960BB8">
            <w:pPr>
              <w:jc w:val="right"/>
              <w:rPr>
                <w:rFonts w:ascii="宋体"/>
              </w:rPr>
            </w:pPr>
          </w:p>
        </w:tc>
      </w:tr>
    </w:tbl>
    <w:p w14:paraId="5A1B2362" w14:textId="77777777" w:rsidR="00960BB8" w:rsidRDefault="00C06650">
      <w:pPr>
        <w:spacing w:after="180"/>
      </w:pPr>
      <w:r>
        <w:rPr>
          <w:rFonts w:ascii="Arial" w:eastAsia="宋体" w:hAnsi="Arial" w:cs="Arial"/>
          <w:color w:val="333333"/>
          <w:sz w:val="18"/>
          <w:szCs w:val="18"/>
        </w:rPr>
        <w:t>During the second quarter of 2021, we recognized a goodwill impairment loss of $2</w:t>
      </w:r>
      <w:r>
        <w:rPr>
          <w:rFonts w:ascii="Arial" w:eastAsia="宋体" w:hAnsi="Arial" w:cs="Arial"/>
          <w:color w:val="333333"/>
          <w:sz w:val="18"/>
          <w:szCs w:val="18"/>
        </w:rPr>
        <w:t xml:space="preserve">38 million related to two non-strategic businesses that we exited, recorded within our </w:t>
      </w:r>
      <w:r>
        <w:rPr>
          <w:rFonts w:ascii="Arial" w:eastAsia="宋体" w:hAnsi="Arial" w:cs="Arial"/>
          <w:i/>
          <w:iCs/>
          <w:color w:val="333333"/>
          <w:sz w:val="18"/>
          <w:szCs w:val="18"/>
        </w:rPr>
        <w:t xml:space="preserve">all other </w:t>
      </w:r>
      <w:r>
        <w:rPr>
          <w:rFonts w:ascii="Arial" w:eastAsia="宋体" w:hAnsi="Arial" w:cs="Arial"/>
          <w:color w:val="333333"/>
          <w:sz w:val="18"/>
          <w:szCs w:val="18"/>
        </w:rPr>
        <w:t xml:space="preserve">category. During the fourth quarters of 2022 and 2021, we completed our annual impairment assessments and concluded that goodwill was not impaired. The accumulated impairment loss as of December 31, 2022 was $957 million: $365 million associated with CCG, </w:t>
      </w:r>
      <w:r>
        <w:rPr>
          <w:rFonts w:ascii="Arial" w:eastAsia="宋体" w:hAnsi="Arial" w:cs="Arial"/>
          <w:color w:val="333333"/>
          <w:sz w:val="18"/>
          <w:szCs w:val="18"/>
        </w:rPr>
        <w:t xml:space="preserve">$275 million associated with DCAI, $79 million associated with NEX, and the remainder associated with non-reportable segments. </w:t>
      </w:r>
    </w:p>
    <w:p w14:paraId="5A1B2363" w14:textId="77777777" w:rsidR="00960BB8" w:rsidRDefault="00960BB8">
      <w:pPr>
        <w:spacing w:after="180"/>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2370" w14:textId="77777777">
        <w:tc>
          <w:tcPr>
            <w:tcW w:w="50" w:type="pct"/>
            <w:shd w:val="clear" w:color="auto" w:fill="auto"/>
            <w:vAlign w:val="bottom"/>
          </w:tcPr>
          <w:p w14:paraId="5A1B2364" w14:textId="77777777" w:rsidR="00960BB8" w:rsidRDefault="00960BB8">
            <w:pPr>
              <w:rPr>
                <w:rFonts w:ascii="宋体"/>
              </w:rPr>
            </w:pPr>
          </w:p>
        </w:tc>
        <w:tc>
          <w:tcPr>
            <w:tcW w:w="276" w:type="pct"/>
            <w:shd w:val="clear" w:color="auto" w:fill="auto"/>
            <w:vAlign w:val="bottom"/>
          </w:tcPr>
          <w:p w14:paraId="5A1B2365" w14:textId="77777777" w:rsidR="00960BB8" w:rsidRDefault="00960BB8">
            <w:pPr>
              <w:rPr>
                <w:rFonts w:ascii="宋体"/>
              </w:rPr>
            </w:pPr>
          </w:p>
        </w:tc>
        <w:tc>
          <w:tcPr>
            <w:tcW w:w="5" w:type="pct"/>
            <w:shd w:val="clear" w:color="auto" w:fill="auto"/>
            <w:vAlign w:val="bottom"/>
          </w:tcPr>
          <w:p w14:paraId="5A1B2366" w14:textId="77777777" w:rsidR="00960BB8" w:rsidRDefault="00960BB8">
            <w:pPr>
              <w:rPr>
                <w:rFonts w:ascii="宋体"/>
              </w:rPr>
            </w:pPr>
          </w:p>
        </w:tc>
        <w:tc>
          <w:tcPr>
            <w:tcW w:w="50" w:type="pct"/>
            <w:shd w:val="clear" w:color="auto" w:fill="auto"/>
            <w:vAlign w:val="bottom"/>
          </w:tcPr>
          <w:p w14:paraId="5A1B2367" w14:textId="77777777" w:rsidR="00960BB8" w:rsidRDefault="00960BB8">
            <w:pPr>
              <w:rPr>
                <w:rFonts w:ascii="宋体"/>
              </w:rPr>
            </w:pPr>
          </w:p>
        </w:tc>
        <w:tc>
          <w:tcPr>
            <w:tcW w:w="940" w:type="pct"/>
            <w:shd w:val="clear" w:color="auto" w:fill="auto"/>
            <w:vAlign w:val="bottom"/>
          </w:tcPr>
          <w:p w14:paraId="5A1B2368" w14:textId="77777777" w:rsidR="00960BB8" w:rsidRDefault="00960BB8">
            <w:pPr>
              <w:rPr>
                <w:rFonts w:ascii="宋体"/>
              </w:rPr>
            </w:pPr>
          </w:p>
        </w:tc>
        <w:tc>
          <w:tcPr>
            <w:tcW w:w="5" w:type="pct"/>
            <w:shd w:val="clear" w:color="auto" w:fill="auto"/>
            <w:vAlign w:val="bottom"/>
          </w:tcPr>
          <w:p w14:paraId="5A1B2369" w14:textId="77777777" w:rsidR="00960BB8" w:rsidRDefault="00960BB8">
            <w:pPr>
              <w:rPr>
                <w:rFonts w:ascii="宋体"/>
              </w:rPr>
            </w:pPr>
          </w:p>
        </w:tc>
        <w:tc>
          <w:tcPr>
            <w:tcW w:w="50" w:type="pct"/>
            <w:shd w:val="clear" w:color="auto" w:fill="auto"/>
            <w:vAlign w:val="bottom"/>
          </w:tcPr>
          <w:p w14:paraId="5A1B236A" w14:textId="77777777" w:rsidR="00960BB8" w:rsidRDefault="00960BB8">
            <w:pPr>
              <w:rPr>
                <w:rFonts w:ascii="宋体"/>
              </w:rPr>
            </w:pPr>
          </w:p>
        </w:tc>
        <w:tc>
          <w:tcPr>
            <w:tcW w:w="1837" w:type="pct"/>
            <w:shd w:val="clear" w:color="auto" w:fill="auto"/>
            <w:vAlign w:val="bottom"/>
          </w:tcPr>
          <w:p w14:paraId="5A1B236B" w14:textId="77777777" w:rsidR="00960BB8" w:rsidRDefault="00960BB8">
            <w:pPr>
              <w:rPr>
                <w:rFonts w:ascii="宋体"/>
              </w:rPr>
            </w:pPr>
          </w:p>
        </w:tc>
        <w:tc>
          <w:tcPr>
            <w:tcW w:w="5" w:type="pct"/>
            <w:shd w:val="clear" w:color="auto" w:fill="auto"/>
            <w:vAlign w:val="bottom"/>
          </w:tcPr>
          <w:p w14:paraId="5A1B236C" w14:textId="77777777" w:rsidR="00960BB8" w:rsidRDefault="00960BB8">
            <w:pPr>
              <w:rPr>
                <w:rFonts w:ascii="宋体"/>
              </w:rPr>
            </w:pPr>
          </w:p>
        </w:tc>
        <w:tc>
          <w:tcPr>
            <w:tcW w:w="50" w:type="pct"/>
            <w:shd w:val="clear" w:color="auto" w:fill="auto"/>
            <w:vAlign w:val="bottom"/>
          </w:tcPr>
          <w:p w14:paraId="5A1B236D" w14:textId="77777777" w:rsidR="00960BB8" w:rsidRDefault="00960BB8">
            <w:pPr>
              <w:rPr>
                <w:rFonts w:ascii="宋体"/>
              </w:rPr>
            </w:pPr>
          </w:p>
        </w:tc>
        <w:tc>
          <w:tcPr>
            <w:tcW w:w="1724" w:type="pct"/>
            <w:shd w:val="clear" w:color="auto" w:fill="auto"/>
            <w:vAlign w:val="bottom"/>
          </w:tcPr>
          <w:p w14:paraId="5A1B236E" w14:textId="77777777" w:rsidR="00960BB8" w:rsidRDefault="00960BB8">
            <w:pPr>
              <w:rPr>
                <w:rFonts w:ascii="宋体"/>
              </w:rPr>
            </w:pPr>
          </w:p>
        </w:tc>
        <w:tc>
          <w:tcPr>
            <w:tcW w:w="5" w:type="pct"/>
            <w:shd w:val="clear" w:color="auto" w:fill="auto"/>
            <w:vAlign w:val="bottom"/>
          </w:tcPr>
          <w:p w14:paraId="5A1B236F" w14:textId="77777777" w:rsidR="00960BB8" w:rsidRDefault="00960BB8">
            <w:pPr>
              <w:rPr>
                <w:rFonts w:ascii="宋体"/>
              </w:rPr>
            </w:pPr>
          </w:p>
        </w:tc>
      </w:tr>
      <w:tr w:rsidR="00960BB8" w14:paraId="5A1B2375"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371"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AB" wp14:editId="5A1B44AC">
                  <wp:extent cx="304800" cy="304800"/>
                  <wp:effectExtent l="0" t="0" r="0" b="0"/>
                  <wp:docPr id="174" name="图片 28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8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372"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2373"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374" w14:textId="77777777" w:rsidR="00960BB8" w:rsidRDefault="00C06650">
            <w:pPr>
              <w:jc w:val="right"/>
              <w:textAlignment w:val="center"/>
            </w:pPr>
            <w:r>
              <w:rPr>
                <w:rFonts w:ascii="Arial" w:eastAsia="宋体" w:hAnsi="Arial" w:cs="Arial"/>
                <w:color w:val="262626"/>
                <w:sz w:val="16"/>
                <w:szCs w:val="16"/>
              </w:rPr>
              <w:t>99</w:t>
            </w:r>
          </w:p>
        </w:tc>
      </w:tr>
    </w:tbl>
    <w:p w14:paraId="5A1B2376" w14:textId="77777777" w:rsidR="00960BB8" w:rsidRDefault="00C06650">
      <w:r>
        <w:pict w14:anchorId="5A1B44AD">
          <v:rect id="_x0000_i1125" style="width:415.3pt;height:1.5pt" o:hralign="center" o:hrstd="t" o:hr="t" fillcolor="#a0a0a0" stroked="f"/>
        </w:pict>
      </w:r>
    </w:p>
    <w:p w14:paraId="5A1B2377" w14:textId="77777777" w:rsidR="00960BB8" w:rsidRDefault="00C06650">
      <w:pPr>
        <w:jc w:val="right"/>
      </w:pPr>
      <w:hyperlink r:id="rId148" w:anchor="i8aaa7b4dbd2e419ca0f5c30af85a11aa_16" w:history="1">
        <w:r>
          <w:rPr>
            <w:rStyle w:val="a5"/>
            <w:rFonts w:ascii="Arial" w:eastAsia="宋体" w:hAnsi="Arial" w:cs="Arial"/>
            <w:b/>
            <w:bCs/>
            <w:sz w:val="16"/>
            <w:szCs w:val="16"/>
          </w:rPr>
          <w:t>Table of Contents</w:t>
        </w:r>
      </w:hyperlink>
    </w:p>
    <w:p w14:paraId="5A1B2378"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960BB8" w14:paraId="5A1B237F" w14:textId="77777777">
        <w:tc>
          <w:tcPr>
            <w:tcW w:w="50" w:type="pct"/>
            <w:shd w:val="clear" w:color="auto" w:fill="auto"/>
            <w:vAlign w:val="bottom"/>
          </w:tcPr>
          <w:p w14:paraId="5A1B2379" w14:textId="77777777" w:rsidR="00960BB8" w:rsidRDefault="00960BB8">
            <w:pPr>
              <w:rPr>
                <w:rFonts w:ascii="宋体"/>
              </w:rPr>
            </w:pPr>
          </w:p>
        </w:tc>
        <w:tc>
          <w:tcPr>
            <w:tcW w:w="539" w:type="pct"/>
            <w:shd w:val="clear" w:color="auto" w:fill="auto"/>
            <w:vAlign w:val="bottom"/>
          </w:tcPr>
          <w:p w14:paraId="5A1B237A" w14:textId="77777777" w:rsidR="00960BB8" w:rsidRDefault="00960BB8">
            <w:pPr>
              <w:rPr>
                <w:rFonts w:ascii="宋体"/>
              </w:rPr>
            </w:pPr>
          </w:p>
        </w:tc>
        <w:tc>
          <w:tcPr>
            <w:tcW w:w="5" w:type="pct"/>
            <w:shd w:val="clear" w:color="auto" w:fill="auto"/>
            <w:vAlign w:val="bottom"/>
          </w:tcPr>
          <w:p w14:paraId="5A1B237B" w14:textId="77777777" w:rsidR="00960BB8" w:rsidRDefault="00960BB8">
            <w:pPr>
              <w:rPr>
                <w:rFonts w:ascii="宋体"/>
              </w:rPr>
            </w:pPr>
          </w:p>
        </w:tc>
        <w:tc>
          <w:tcPr>
            <w:tcW w:w="50" w:type="pct"/>
            <w:shd w:val="clear" w:color="auto" w:fill="auto"/>
            <w:vAlign w:val="bottom"/>
          </w:tcPr>
          <w:p w14:paraId="5A1B237C" w14:textId="77777777" w:rsidR="00960BB8" w:rsidRDefault="00960BB8">
            <w:pPr>
              <w:rPr>
                <w:rFonts w:ascii="宋体"/>
              </w:rPr>
            </w:pPr>
          </w:p>
        </w:tc>
        <w:tc>
          <w:tcPr>
            <w:tcW w:w="4350" w:type="pct"/>
            <w:shd w:val="clear" w:color="auto" w:fill="auto"/>
            <w:vAlign w:val="bottom"/>
          </w:tcPr>
          <w:p w14:paraId="5A1B237D" w14:textId="77777777" w:rsidR="00960BB8" w:rsidRDefault="00960BB8">
            <w:pPr>
              <w:rPr>
                <w:rFonts w:ascii="宋体"/>
              </w:rPr>
            </w:pPr>
          </w:p>
        </w:tc>
        <w:tc>
          <w:tcPr>
            <w:tcW w:w="5" w:type="pct"/>
            <w:shd w:val="clear" w:color="auto" w:fill="auto"/>
            <w:vAlign w:val="bottom"/>
          </w:tcPr>
          <w:p w14:paraId="5A1B237E" w14:textId="77777777" w:rsidR="00960BB8" w:rsidRDefault="00960BB8">
            <w:pPr>
              <w:rPr>
                <w:rFonts w:ascii="宋体"/>
              </w:rPr>
            </w:pPr>
          </w:p>
        </w:tc>
      </w:tr>
      <w:tr w:rsidR="00960BB8" w14:paraId="5A1B2382"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2380" w14:textId="77777777" w:rsidR="00960BB8" w:rsidRDefault="00C06650">
            <w:pPr>
              <w:textAlignment w:val="bottom"/>
            </w:pPr>
            <w:r>
              <w:rPr>
                <w:rFonts w:ascii="Arial" w:eastAsia="宋体" w:hAnsi="Arial" w:cs="Arial"/>
                <w:color w:val="FFFFFF"/>
                <w:sz w:val="28"/>
                <w:szCs w:val="28"/>
              </w:rPr>
              <w:t xml:space="preserve">Note 12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2381" w14:textId="77777777" w:rsidR="00960BB8" w:rsidRDefault="00C06650">
            <w:pPr>
              <w:textAlignment w:val="bottom"/>
            </w:pPr>
            <w:r>
              <w:rPr>
                <w:rFonts w:ascii="Arial" w:eastAsia="宋体" w:hAnsi="Arial" w:cs="Arial"/>
                <w:color w:val="0068B5"/>
                <w:sz w:val="28"/>
                <w:szCs w:val="28"/>
              </w:rPr>
              <w:t>Identified Intangible Assets</w:t>
            </w:r>
          </w:p>
        </w:tc>
      </w:tr>
    </w:tbl>
    <w:p w14:paraId="5A1B2383" w14:textId="77777777" w:rsidR="00960BB8" w:rsidRDefault="00960BB8">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39"/>
        <w:gridCol w:w="1348"/>
        <w:gridCol w:w="38"/>
        <w:gridCol w:w="36"/>
        <w:gridCol w:w="36"/>
        <w:gridCol w:w="36"/>
        <w:gridCol w:w="122"/>
        <w:gridCol w:w="1087"/>
        <w:gridCol w:w="36"/>
        <w:gridCol w:w="36"/>
        <w:gridCol w:w="36"/>
        <w:gridCol w:w="36"/>
        <w:gridCol w:w="122"/>
        <w:gridCol w:w="1059"/>
        <w:gridCol w:w="36"/>
        <w:gridCol w:w="36"/>
        <w:gridCol w:w="36"/>
        <w:gridCol w:w="36"/>
        <w:gridCol w:w="121"/>
        <w:gridCol w:w="501"/>
        <w:gridCol w:w="36"/>
        <w:gridCol w:w="36"/>
        <w:gridCol w:w="36"/>
        <w:gridCol w:w="36"/>
        <w:gridCol w:w="122"/>
        <w:gridCol w:w="1087"/>
        <w:gridCol w:w="36"/>
        <w:gridCol w:w="36"/>
        <w:gridCol w:w="36"/>
        <w:gridCol w:w="36"/>
        <w:gridCol w:w="122"/>
        <w:gridCol w:w="1059"/>
        <w:gridCol w:w="36"/>
        <w:gridCol w:w="36"/>
        <w:gridCol w:w="36"/>
        <w:gridCol w:w="36"/>
        <w:gridCol w:w="121"/>
        <w:gridCol w:w="501"/>
        <w:gridCol w:w="36"/>
      </w:tblGrid>
      <w:tr w:rsidR="00960BB8" w14:paraId="5A1B23AB" w14:textId="77777777">
        <w:tc>
          <w:tcPr>
            <w:tcW w:w="50" w:type="pct"/>
            <w:shd w:val="clear" w:color="auto" w:fill="auto"/>
            <w:vAlign w:val="bottom"/>
          </w:tcPr>
          <w:p w14:paraId="5A1B2384" w14:textId="77777777" w:rsidR="00960BB8" w:rsidRDefault="00960BB8">
            <w:pPr>
              <w:rPr>
                <w:rFonts w:ascii="宋体"/>
              </w:rPr>
            </w:pPr>
          </w:p>
        </w:tc>
        <w:tc>
          <w:tcPr>
            <w:tcW w:w="1390" w:type="pct"/>
            <w:shd w:val="clear" w:color="auto" w:fill="auto"/>
            <w:vAlign w:val="bottom"/>
          </w:tcPr>
          <w:p w14:paraId="5A1B2385" w14:textId="77777777" w:rsidR="00960BB8" w:rsidRDefault="00960BB8">
            <w:pPr>
              <w:rPr>
                <w:rFonts w:ascii="宋体"/>
              </w:rPr>
            </w:pPr>
          </w:p>
        </w:tc>
        <w:tc>
          <w:tcPr>
            <w:tcW w:w="5" w:type="pct"/>
            <w:shd w:val="clear" w:color="auto" w:fill="auto"/>
            <w:vAlign w:val="bottom"/>
          </w:tcPr>
          <w:p w14:paraId="5A1B2386" w14:textId="77777777" w:rsidR="00960BB8" w:rsidRDefault="00960BB8">
            <w:pPr>
              <w:rPr>
                <w:rFonts w:ascii="宋体"/>
              </w:rPr>
            </w:pPr>
          </w:p>
        </w:tc>
        <w:tc>
          <w:tcPr>
            <w:tcW w:w="5" w:type="pct"/>
            <w:shd w:val="clear" w:color="auto" w:fill="auto"/>
            <w:vAlign w:val="bottom"/>
          </w:tcPr>
          <w:p w14:paraId="5A1B2387" w14:textId="77777777" w:rsidR="00960BB8" w:rsidRDefault="00960BB8">
            <w:pPr>
              <w:rPr>
                <w:rFonts w:ascii="宋体"/>
              </w:rPr>
            </w:pPr>
          </w:p>
        </w:tc>
        <w:tc>
          <w:tcPr>
            <w:tcW w:w="24" w:type="pct"/>
            <w:shd w:val="clear" w:color="auto" w:fill="auto"/>
            <w:vAlign w:val="bottom"/>
          </w:tcPr>
          <w:p w14:paraId="5A1B2388" w14:textId="77777777" w:rsidR="00960BB8" w:rsidRDefault="00960BB8">
            <w:pPr>
              <w:rPr>
                <w:rFonts w:ascii="宋体"/>
              </w:rPr>
            </w:pPr>
          </w:p>
        </w:tc>
        <w:tc>
          <w:tcPr>
            <w:tcW w:w="5" w:type="pct"/>
            <w:shd w:val="clear" w:color="auto" w:fill="auto"/>
            <w:vAlign w:val="bottom"/>
          </w:tcPr>
          <w:p w14:paraId="5A1B2389" w14:textId="77777777" w:rsidR="00960BB8" w:rsidRDefault="00960BB8">
            <w:pPr>
              <w:rPr>
                <w:rFonts w:ascii="宋体"/>
              </w:rPr>
            </w:pPr>
          </w:p>
        </w:tc>
        <w:tc>
          <w:tcPr>
            <w:tcW w:w="50" w:type="pct"/>
            <w:shd w:val="clear" w:color="auto" w:fill="auto"/>
            <w:vAlign w:val="bottom"/>
          </w:tcPr>
          <w:p w14:paraId="5A1B238A" w14:textId="77777777" w:rsidR="00960BB8" w:rsidRDefault="00960BB8">
            <w:pPr>
              <w:rPr>
                <w:rFonts w:ascii="宋体"/>
              </w:rPr>
            </w:pPr>
          </w:p>
        </w:tc>
        <w:tc>
          <w:tcPr>
            <w:tcW w:w="527" w:type="pct"/>
            <w:shd w:val="clear" w:color="auto" w:fill="auto"/>
            <w:vAlign w:val="bottom"/>
          </w:tcPr>
          <w:p w14:paraId="5A1B238B" w14:textId="77777777" w:rsidR="00960BB8" w:rsidRDefault="00960BB8">
            <w:pPr>
              <w:rPr>
                <w:rFonts w:ascii="宋体"/>
              </w:rPr>
            </w:pPr>
          </w:p>
        </w:tc>
        <w:tc>
          <w:tcPr>
            <w:tcW w:w="5" w:type="pct"/>
            <w:shd w:val="clear" w:color="auto" w:fill="auto"/>
            <w:vAlign w:val="bottom"/>
          </w:tcPr>
          <w:p w14:paraId="5A1B238C" w14:textId="77777777" w:rsidR="00960BB8" w:rsidRDefault="00960BB8">
            <w:pPr>
              <w:rPr>
                <w:rFonts w:ascii="宋体"/>
              </w:rPr>
            </w:pPr>
          </w:p>
        </w:tc>
        <w:tc>
          <w:tcPr>
            <w:tcW w:w="5" w:type="pct"/>
            <w:shd w:val="clear" w:color="auto" w:fill="auto"/>
            <w:vAlign w:val="bottom"/>
          </w:tcPr>
          <w:p w14:paraId="5A1B238D" w14:textId="77777777" w:rsidR="00960BB8" w:rsidRDefault="00960BB8">
            <w:pPr>
              <w:rPr>
                <w:rFonts w:ascii="宋体"/>
              </w:rPr>
            </w:pPr>
          </w:p>
        </w:tc>
        <w:tc>
          <w:tcPr>
            <w:tcW w:w="24" w:type="pct"/>
            <w:shd w:val="clear" w:color="auto" w:fill="auto"/>
            <w:vAlign w:val="bottom"/>
          </w:tcPr>
          <w:p w14:paraId="5A1B238E" w14:textId="77777777" w:rsidR="00960BB8" w:rsidRDefault="00960BB8">
            <w:pPr>
              <w:rPr>
                <w:rFonts w:ascii="宋体"/>
              </w:rPr>
            </w:pPr>
          </w:p>
        </w:tc>
        <w:tc>
          <w:tcPr>
            <w:tcW w:w="5" w:type="pct"/>
            <w:shd w:val="clear" w:color="auto" w:fill="auto"/>
            <w:vAlign w:val="bottom"/>
          </w:tcPr>
          <w:p w14:paraId="5A1B238F" w14:textId="77777777" w:rsidR="00960BB8" w:rsidRDefault="00960BB8">
            <w:pPr>
              <w:rPr>
                <w:rFonts w:ascii="宋体"/>
              </w:rPr>
            </w:pPr>
          </w:p>
        </w:tc>
        <w:tc>
          <w:tcPr>
            <w:tcW w:w="50" w:type="pct"/>
            <w:shd w:val="clear" w:color="auto" w:fill="auto"/>
            <w:vAlign w:val="bottom"/>
          </w:tcPr>
          <w:p w14:paraId="5A1B2390" w14:textId="77777777" w:rsidR="00960BB8" w:rsidRDefault="00960BB8">
            <w:pPr>
              <w:rPr>
                <w:rFonts w:ascii="宋体"/>
              </w:rPr>
            </w:pPr>
          </w:p>
        </w:tc>
        <w:tc>
          <w:tcPr>
            <w:tcW w:w="520" w:type="pct"/>
            <w:shd w:val="clear" w:color="auto" w:fill="auto"/>
            <w:vAlign w:val="bottom"/>
          </w:tcPr>
          <w:p w14:paraId="5A1B2391" w14:textId="77777777" w:rsidR="00960BB8" w:rsidRDefault="00960BB8">
            <w:pPr>
              <w:rPr>
                <w:rFonts w:ascii="宋体"/>
              </w:rPr>
            </w:pPr>
          </w:p>
        </w:tc>
        <w:tc>
          <w:tcPr>
            <w:tcW w:w="5" w:type="pct"/>
            <w:shd w:val="clear" w:color="auto" w:fill="auto"/>
            <w:vAlign w:val="bottom"/>
          </w:tcPr>
          <w:p w14:paraId="5A1B2392" w14:textId="77777777" w:rsidR="00960BB8" w:rsidRDefault="00960BB8">
            <w:pPr>
              <w:rPr>
                <w:rFonts w:ascii="宋体"/>
              </w:rPr>
            </w:pPr>
          </w:p>
        </w:tc>
        <w:tc>
          <w:tcPr>
            <w:tcW w:w="5" w:type="pct"/>
            <w:shd w:val="clear" w:color="auto" w:fill="auto"/>
            <w:vAlign w:val="bottom"/>
          </w:tcPr>
          <w:p w14:paraId="5A1B2393" w14:textId="77777777" w:rsidR="00960BB8" w:rsidRDefault="00960BB8">
            <w:pPr>
              <w:rPr>
                <w:rFonts w:ascii="宋体"/>
              </w:rPr>
            </w:pPr>
          </w:p>
        </w:tc>
        <w:tc>
          <w:tcPr>
            <w:tcW w:w="24" w:type="pct"/>
            <w:shd w:val="clear" w:color="auto" w:fill="auto"/>
            <w:vAlign w:val="bottom"/>
          </w:tcPr>
          <w:p w14:paraId="5A1B2394" w14:textId="77777777" w:rsidR="00960BB8" w:rsidRDefault="00960BB8">
            <w:pPr>
              <w:rPr>
                <w:rFonts w:ascii="宋体"/>
              </w:rPr>
            </w:pPr>
          </w:p>
        </w:tc>
        <w:tc>
          <w:tcPr>
            <w:tcW w:w="5" w:type="pct"/>
            <w:shd w:val="clear" w:color="auto" w:fill="auto"/>
            <w:vAlign w:val="bottom"/>
          </w:tcPr>
          <w:p w14:paraId="5A1B2395" w14:textId="77777777" w:rsidR="00960BB8" w:rsidRDefault="00960BB8">
            <w:pPr>
              <w:rPr>
                <w:rFonts w:ascii="宋体"/>
              </w:rPr>
            </w:pPr>
          </w:p>
        </w:tc>
        <w:tc>
          <w:tcPr>
            <w:tcW w:w="50" w:type="pct"/>
            <w:shd w:val="clear" w:color="auto" w:fill="auto"/>
            <w:vAlign w:val="bottom"/>
          </w:tcPr>
          <w:p w14:paraId="5A1B2396" w14:textId="77777777" w:rsidR="00960BB8" w:rsidRDefault="00960BB8">
            <w:pPr>
              <w:rPr>
                <w:rFonts w:ascii="宋体"/>
              </w:rPr>
            </w:pPr>
          </w:p>
        </w:tc>
        <w:tc>
          <w:tcPr>
            <w:tcW w:w="458" w:type="pct"/>
            <w:shd w:val="clear" w:color="auto" w:fill="auto"/>
            <w:vAlign w:val="bottom"/>
          </w:tcPr>
          <w:p w14:paraId="5A1B2397" w14:textId="77777777" w:rsidR="00960BB8" w:rsidRDefault="00960BB8">
            <w:pPr>
              <w:rPr>
                <w:rFonts w:ascii="宋体"/>
              </w:rPr>
            </w:pPr>
          </w:p>
        </w:tc>
        <w:tc>
          <w:tcPr>
            <w:tcW w:w="5" w:type="pct"/>
            <w:shd w:val="clear" w:color="auto" w:fill="auto"/>
            <w:vAlign w:val="bottom"/>
          </w:tcPr>
          <w:p w14:paraId="5A1B2398" w14:textId="77777777" w:rsidR="00960BB8" w:rsidRDefault="00960BB8">
            <w:pPr>
              <w:rPr>
                <w:rFonts w:ascii="宋体"/>
              </w:rPr>
            </w:pPr>
          </w:p>
        </w:tc>
        <w:tc>
          <w:tcPr>
            <w:tcW w:w="5" w:type="pct"/>
            <w:shd w:val="clear" w:color="auto" w:fill="auto"/>
            <w:vAlign w:val="bottom"/>
          </w:tcPr>
          <w:p w14:paraId="5A1B2399" w14:textId="77777777" w:rsidR="00960BB8" w:rsidRDefault="00960BB8">
            <w:pPr>
              <w:rPr>
                <w:rFonts w:ascii="宋体"/>
              </w:rPr>
            </w:pPr>
          </w:p>
        </w:tc>
        <w:tc>
          <w:tcPr>
            <w:tcW w:w="24" w:type="pct"/>
            <w:shd w:val="clear" w:color="auto" w:fill="auto"/>
            <w:vAlign w:val="bottom"/>
          </w:tcPr>
          <w:p w14:paraId="5A1B239A" w14:textId="77777777" w:rsidR="00960BB8" w:rsidRDefault="00960BB8">
            <w:pPr>
              <w:rPr>
                <w:rFonts w:ascii="宋体"/>
              </w:rPr>
            </w:pPr>
          </w:p>
        </w:tc>
        <w:tc>
          <w:tcPr>
            <w:tcW w:w="5" w:type="pct"/>
            <w:shd w:val="clear" w:color="auto" w:fill="auto"/>
            <w:vAlign w:val="bottom"/>
          </w:tcPr>
          <w:p w14:paraId="5A1B239B" w14:textId="77777777" w:rsidR="00960BB8" w:rsidRDefault="00960BB8">
            <w:pPr>
              <w:rPr>
                <w:rFonts w:ascii="宋体"/>
              </w:rPr>
            </w:pPr>
          </w:p>
        </w:tc>
        <w:tc>
          <w:tcPr>
            <w:tcW w:w="50" w:type="pct"/>
            <w:shd w:val="clear" w:color="auto" w:fill="auto"/>
            <w:vAlign w:val="bottom"/>
          </w:tcPr>
          <w:p w14:paraId="5A1B239C" w14:textId="77777777" w:rsidR="00960BB8" w:rsidRDefault="00960BB8">
            <w:pPr>
              <w:rPr>
                <w:rFonts w:ascii="宋体"/>
              </w:rPr>
            </w:pPr>
          </w:p>
        </w:tc>
        <w:tc>
          <w:tcPr>
            <w:tcW w:w="527" w:type="pct"/>
            <w:shd w:val="clear" w:color="auto" w:fill="auto"/>
            <w:vAlign w:val="bottom"/>
          </w:tcPr>
          <w:p w14:paraId="5A1B239D" w14:textId="77777777" w:rsidR="00960BB8" w:rsidRDefault="00960BB8">
            <w:pPr>
              <w:rPr>
                <w:rFonts w:ascii="宋体"/>
              </w:rPr>
            </w:pPr>
          </w:p>
        </w:tc>
        <w:tc>
          <w:tcPr>
            <w:tcW w:w="5" w:type="pct"/>
            <w:shd w:val="clear" w:color="auto" w:fill="auto"/>
            <w:vAlign w:val="bottom"/>
          </w:tcPr>
          <w:p w14:paraId="5A1B239E" w14:textId="77777777" w:rsidR="00960BB8" w:rsidRDefault="00960BB8">
            <w:pPr>
              <w:rPr>
                <w:rFonts w:ascii="宋体"/>
              </w:rPr>
            </w:pPr>
          </w:p>
        </w:tc>
        <w:tc>
          <w:tcPr>
            <w:tcW w:w="5" w:type="pct"/>
            <w:shd w:val="clear" w:color="auto" w:fill="auto"/>
            <w:vAlign w:val="bottom"/>
          </w:tcPr>
          <w:p w14:paraId="5A1B239F" w14:textId="77777777" w:rsidR="00960BB8" w:rsidRDefault="00960BB8">
            <w:pPr>
              <w:rPr>
                <w:rFonts w:ascii="宋体"/>
              </w:rPr>
            </w:pPr>
          </w:p>
        </w:tc>
        <w:tc>
          <w:tcPr>
            <w:tcW w:w="24" w:type="pct"/>
            <w:shd w:val="clear" w:color="auto" w:fill="auto"/>
            <w:vAlign w:val="bottom"/>
          </w:tcPr>
          <w:p w14:paraId="5A1B23A0" w14:textId="77777777" w:rsidR="00960BB8" w:rsidRDefault="00960BB8">
            <w:pPr>
              <w:rPr>
                <w:rFonts w:ascii="宋体"/>
              </w:rPr>
            </w:pPr>
          </w:p>
        </w:tc>
        <w:tc>
          <w:tcPr>
            <w:tcW w:w="5" w:type="pct"/>
            <w:shd w:val="clear" w:color="auto" w:fill="auto"/>
            <w:vAlign w:val="bottom"/>
          </w:tcPr>
          <w:p w14:paraId="5A1B23A1" w14:textId="77777777" w:rsidR="00960BB8" w:rsidRDefault="00960BB8">
            <w:pPr>
              <w:rPr>
                <w:rFonts w:ascii="宋体"/>
              </w:rPr>
            </w:pPr>
          </w:p>
        </w:tc>
        <w:tc>
          <w:tcPr>
            <w:tcW w:w="50" w:type="pct"/>
            <w:shd w:val="clear" w:color="auto" w:fill="auto"/>
            <w:vAlign w:val="bottom"/>
          </w:tcPr>
          <w:p w14:paraId="5A1B23A2" w14:textId="77777777" w:rsidR="00960BB8" w:rsidRDefault="00960BB8">
            <w:pPr>
              <w:rPr>
                <w:rFonts w:ascii="宋体"/>
              </w:rPr>
            </w:pPr>
          </w:p>
        </w:tc>
        <w:tc>
          <w:tcPr>
            <w:tcW w:w="520" w:type="pct"/>
            <w:shd w:val="clear" w:color="auto" w:fill="auto"/>
            <w:vAlign w:val="bottom"/>
          </w:tcPr>
          <w:p w14:paraId="5A1B23A3" w14:textId="77777777" w:rsidR="00960BB8" w:rsidRDefault="00960BB8">
            <w:pPr>
              <w:rPr>
                <w:rFonts w:ascii="宋体"/>
              </w:rPr>
            </w:pPr>
          </w:p>
        </w:tc>
        <w:tc>
          <w:tcPr>
            <w:tcW w:w="5" w:type="pct"/>
            <w:shd w:val="clear" w:color="auto" w:fill="auto"/>
            <w:vAlign w:val="bottom"/>
          </w:tcPr>
          <w:p w14:paraId="5A1B23A4" w14:textId="77777777" w:rsidR="00960BB8" w:rsidRDefault="00960BB8">
            <w:pPr>
              <w:rPr>
                <w:rFonts w:ascii="宋体"/>
              </w:rPr>
            </w:pPr>
          </w:p>
        </w:tc>
        <w:tc>
          <w:tcPr>
            <w:tcW w:w="5" w:type="pct"/>
            <w:shd w:val="clear" w:color="auto" w:fill="auto"/>
            <w:vAlign w:val="bottom"/>
          </w:tcPr>
          <w:p w14:paraId="5A1B23A5" w14:textId="77777777" w:rsidR="00960BB8" w:rsidRDefault="00960BB8">
            <w:pPr>
              <w:rPr>
                <w:rFonts w:ascii="宋体"/>
              </w:rPr>
            </w:pPr>
          </w:p>
        </w:tc>
        <w:tc>
          <w:tcPr>
            <w:tcW w:w="24" w:type="pct"/>
            <w:shd w:val="clear" w:color="auto" w:fill="auto"/>
            <w:vAlign w:val="bottom"/>
          </w:tcPr>
          <w:p w14:paraId="5A1B23A6" w14:textId="77777777" w:rsidR="00960BB8" w:rsidRDefault="00960BB8">
            <w:pPr>
              <w:rPr>
                <w:rFonts w:ascii="宋体"/>
              </w:rPr>
            </w:pPr>
          </w:p>
        </w:tc>
        <w:tc>
          <w:tcPr>
            <w:tcW w:w="5" w:type="pct"/>
            <w:shd w:val="clear" w:color="auto" w:fill="auto"/>
            <w:vAlign w:val="bottom"/>
          </w:tcPr>
          <w:p w14:paraId="5A1B23A7" w14:textId="77777777" w:rsidR="00960BB8" w:rsidRDefault="00960BB8">
            <w:pPr>
              <w:rPr>
                <w:rFonts w:ascii="宋体"/>
              </w:rPr>
            </w:pPr>
          </w:p>
        </w:tc>
        <w:tc>
          <w:tcPr>
            <w:tcW w:w="50" w:type="pct"/>
            <w:shd w:val="clear" w:color="auto" w:fill="auto"/>
            <w:vAlign w:val="bottom"/>
          </w:tcPr>
          <w:p w14:paraId="5A1B23A8" w14:textId="77777777" w:rsidR="00960BB8" w:rsidRDefault="00960BB8">
            <w:pPr>
              <w:rPr>
                <w:rFonts w:ascii="宋体"/>
              </w:rPr>
            </w:pPr>
          </w:p>
        </w:tc>
        <w:tc>
          <w:tcPr>
            <w:tcW w:w="466" w:type="pct"/>
            <w:shd w:val="clear" w:color="auto" w:fill="auto"/>
            <w:vAlign w:val="bottom"/>
          </w:tcPr>
          <w:p w14:paraId="5A1B23A9" w14:textId="77777777" w:rsidR="00960BB8" w:rsidRDefault="00960BB8">
            <w:pPr>
              <w:rPr>
                <w:rFonts w:ascii="宋体"/>
              </w:rPr>
            </w:pPr>
          </w:p>
        </w:tc>
        <w:tc>
          <w:tcPr>
            <w:tcW w:w="5" w:type="pct"/>
            <w:shd w:val="clear" w:color="auto" w:fill="auto"/>
            <w:vAlign w:val="bottom"/>
          </w:tcPr>
          <w:p w14:paraId="5A1B23AA" w14:textId="77777777" w:rsidR="00960BB8" w:rsidRDefault="00960BB8">
            <w:pPr>
              <w:rPr>
                <w:rFonts w:ascii="宋体"/>
              </w:rPr>
            </w:pPr>
          </w:p>
        </w:tc>
      </w:tr>
      <w:tr w:rsidR="00960BB8" w14:paraId="5A1B23B1" w14:textId="77777777">
        <w:tc>
          <w:tcPr>
            <w:tcW w:w="0" w:type="auto"/>
            <w:gridSpan w:val="3"/>
            <w:shd w:val="clear" w:color="auto" w:fill="auto"/>
            <w:tcMar>
              <w:top w:w="0" w:type="dxa"/>
              <w:left w:w="20" w:type="dxa"/>
              <w:bottom w:w="0" w:type="dxa"/>
              <w:right w:w="20" w:type="dxa"/>
            </w:tcMar>
            <w:vAlign w:val="bottom"/>
          </w:tcPr>
          <w:p w14:paraId="5A1B23A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3AD" w14:textId="77777777" w:rsidR="00960BB8" w:rsidRDefault="00960BB8">
            <w:pPr>
              <w:rPr>
                <w:rFonts w:ascii="宋体"/>
              </w:rPr>
            </w:pPr>
          </w:p>
        </w:tc>
        <w:tc>
          <w:tcPr>
            <w:tcW w:w="0" w:type="auto"/>
            <w:gridSpan w:val="15"/>
            <w:shd w:val="clear" w:color="auto" w:fill="auto"/>
            <w:tcMar>
              <w:top w:w="40" w:type="dxa"/>
              <w:left w:w="20" w:type="dxa"/>
              <w:bottom w:w="40" w:type="dxa"/>
              <w:right w:w="20" w:type="dxa"/>
            </w:tcMar>
            <w:vAlign w:val="bottom"/>
          </w:tcPr>
          <w:p w14:paraId="5A1B23AE" w14:textId="77777777" w:rsidR="00960BB8" w:rsidRDefault="00C06650">
            <w:pPr>
              <w:jc w:val="center"/>
              <w:textAlignment w:val="bottom"/>
            </w:pPr>
            <w:r>
              <w:rPr>
                <w:rFonts w:ascii="Arial" w:eastAsia="宋体" w:hAnsi="Arial" w:cs="Arial"/>
                <w:b/>
                <w:bCs/>
                <w:color w:val="262626"/>
                <w:sz w:val="18"/>
                <w:szCs w:val="18"/>
              </w:rPr>
              <w:t>December 31, 2022</w:t>
            </w:r>
          </w:p>
        </w:tc>
        <w:tc>
          <w:tcPr>
            <w:tcW w:w="0" w:type="auto"/>
            <w:gridSpan w:val="3"/>
            <w:shd w:val="clear" w:color="auto" w:fill="auto"/>
            <w:tcMar>
              <w:top w:w="0" w:type="dxa"/>
              <w:left w:w="20" w:type="dxa"/>
              <w:bottom w:w="0" w:type="dxa"/>
              <w:right w:w="20" w:type="dxa"/>
            </w:tcMar>
            <w:vAlign w:val="bottom"/>
          </w:tcPr>
          <w:p w14:paraId="5A1B23AF" w14:textId="77777777" w:rsidR="00960BB8" w:rsidRDefault="00960BB8">
            <w:pPr>
              <w:rPr>
                <w:rFonts w:ascii="宋体"/>
              </w:rPr>
            </w:pPr>
          </w:p>
        </w:tc>
        <w:tc>
          <w:tcPr>
            <w:tcW w:w="0" w:type="auto"/>
            <w:gridSpan w:val="15"/>
            <w:shd w:val="clear" w:color="auto" w:fill="auto"/>
            <w:tcMar>
              <w:top w:w="40" w:type="dxa"/>
              <w:left w:w="20" w:type="dxa"/>
              <w:bottom w:w="40" w:type="dxa"/>
              <w:right w:w="20" w:type="dxa"/>
            </w:tcMar>
            <w:vAlign w:val="bottom"/>
          </w:tcPr>
          <w:p w14:paraId="5A1B23B0" w14:textId="77777777" w:rsidR="00960BB8" w:rsidRDefault="00C06650">
            <w:pPr>
              <w:jc w:val="center"/>
              <w:textAlignment w:val="bottom"/>
            </w:pPr>
            <w:r>
              <w:rPr>
                <w:rFonts w:ascii="Arial" w:eastAsia="宋体" w:hAnsi="Arial" w:cs="Arial"/>
                <w:b/>
                <w:bCs/>
                <w:color w:val="262626"/>
                <w:sz w:val="18"/>
                <w:szCs w:val="18"/>
              </w:rPr>
              <w:t>December 25, 2021</w:t>
            </w:r>
          </w:p>
        </w:tc>
      </w:tr>
      <w:tr w:rsidR="00960BB8" w14:paraId="5A1B23BF" w14:textId="77777777">
        <w:tc>
          <w:tcPr>
            <w:tcW w:w="0" w:type="auto"/>
            <w:gridSpan w:val="3"/>
            <w:shd w:val="clear" w:color="auto" w:fill="auto"/>
            <w:tcMar>
              <w:top w:w="40" w:type="dxa"/>
              <w:left w:w="20" w:type="dxa"/>
              <w:bottom w:w="40" w:type="dxa"/>
              <w:right w:w="20" w:type="dxa"/>
            </w:tcMar>
            <w:vAlign w:val="bottom"/>
          </w:tcPr>
          <w:p w14:paraId="5A1B23B2"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23B3"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3B4" w14:textId="77777777" w:rsidR="00960BB8" w:rsidRDefault="00C06650">
            <w:pPr>
              <w:jc w:val="center"/>
              <w:textAlignment w:val="bottom"/>
            </w:pPr>
            <w:r>
              <w:rPr>
                <w:rFonts w:ascii="Arial" w:eastAsia="宋体" w:hAnsi="Arial" w:cs="Arial"/>
                <w:b/>
                <w:bCs/>
                <w:color w:val="262626"/>
                <w:sz w:val="18"/>
                <w:szCs w:val="18"/>
              </w:rPr>
              <w:t>Gross Assets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3B5"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3B6" w14:textId="77777777" w:rsidR="00960BB8" w:rsidRDefault="00C06650">
            <w:pPr>
              <w:jc w:val="center"/>
              <w:textAlignment w:val="bottom"/>
            </w:pPr>
            <w:r>
              <w:rPr>
                <w:rFonts w:ascii="Arial" w:eastAsia="宋体" w:hAnsi="Arial" w:cs="Arial"/>
                <w:b/>
                <w:bCs/>
                <w:color w:val="262626"/>
                <w:sz w:val="18"/>
                <w:szCs w:val="18"/>
              </w:rPr>
              <w:t>Accumulated Amortization</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3B7"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3B8" w14:textId="77777777" w:rsidR="00960BB8" w:rsidRDefault="00C06650">
            <w:pPr>
              <w:jc w:val="center"/>
              <w:textAlignment w:val="bottom"/>
            </w:pPr>
            <w:r>
              <w:rPr>
                <w:rFonts w:ascii="Arial" w:eastAsia="宋体" w:hAnsi="Arial" w:cs="Arial"/>
                <w:b/>
                <w:bCs/>
                <w:color w:val="262626"/>
                <w:sz w:val="18"/>
                <w:szCs w:val="18"/>
              </w:rPr>
              <w:t>Net</w:t>
            </w:r>
          </w:p>
        </w:tc>
        <w:tc>
          <w:tcPr>
            <w:tcW w:w="0" w:type="auto"/>
            <w:gridSpan w:val="3"/>
            <w:shd w:val="clear" w:color="auto" w:fill="auto"/>
            <w:tcMar>
              <w:top w:w="0" w:type="dxa"/>
              <w:left w:w="20" w:type="dxa"/>
              <w:bottom w:w="0" w:type="dxa"/>
              <w:right w:w="20" w:type="dxa"/>
            </w:tcMar>
            <w:vAlign w:val="bottom"/>
          </w:tcPr>
          <w:p w14:paraId="5A1B23B9"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3BA" w14:textId="77777777" w:rsidR="00960BB8" w:rsidRDefault="00C06650">
            <w:pPr>
              <w:jc w:val="center"/>
              <w:textAlignment w:val="bottom"/>
            </w:pPr>
            <w:r>
              <w:rPr>
                <w:rFonts w:ascii="Arial" w:eastAsia="宋体" w:hAnsi="Arial" w:cs="Arial"/>
                <w:b/>
                <w:bCs/>
                <w:color w:val="262626"/>
                <w:sz w:val="18"/>
                <w:szCs w:val="18"/>
              </w:rPr>
              <w:t>Gross Assets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3BB"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3BC" w14:textId="77777777" w:rsidR="00960BB8" w:rsidRDefault="00C06650">
            <w:pPr>
              <w:jc w:val="center"/>
              <w:textAlignment w:val="bottom"/>
            </w:pPr>
            <w:r>
              <w:rPr>
                <w:rFonts w:ascii="Arial" w:eastAsia="宋体" w:hAnsi="Arial" w:cs="Arial"/>
                <w:b/>
                <w:bCs/>
                <w:color w:val="262626"/>
                <w:sz w:val="18"/>
                <w:szCs w:val="18"/>
              </w:rPr>
              <w:t>Accumulated Amortization</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3BD"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3BE" w14:textId="77777777" w:rsidR="00960BB8" w:rsidRDefault="00C06650">
            <w:pPr>
              <w:jc w:val="center"/>
              <w:textAlignment w:val="bottom"/>
            </w:pPr>
            <w:r>
              <w:rPr>
                <w:rFonts w:ascii="Arial" w:eastAsia="宋体" w:hAnsi="Arial" w:cs="Arial"/>
                <w:b/>
                <w:bCs/>
                <w:color w:val="262626"/>
                <w:sz w:val="18"/>
                <w:szCs w:val="18"/>
              </w:rPr>
              <w:t>Net</w:t>
            </w:r>
          </w:p>
        </w:tc>
      </w:tr>
      <w:tr w:rsidR="00960BB8" w14:paraId="5A1B23D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3C0" w14:textId="77777777" w:rsidR="00960BB8" w:rsidRDefault="00C06650">
            <w:pPr>
              <w:textAlignment w:val="bottom"/>
            </w:pPr>
            <w:r>
              <w:rPr>
                <w:rFonts w:ascii="Arial" w:eastAsia="宋体" w:hAnsi="Arial" w:cs="Arial"/>
                <w:color w:val="262626"/>
                <w:sz w:val="18"/>
                <w:szCs w:val="18"/>
              </w:rPr>
              <w:t>Developed technology</w:t>
            </w:r>
          </w:p>
        </w:tc>
        <w:tc>
          <w:tcPr>
            <w:tcW w:w="0" w:type="auto"/>
            <w:gridSpan w:val="3"/>
            <w:shd w:val="clear" w:color="auto" w:fill="auto"/>
            <w:tcMar>
              <w:top w:w="0" w:type="dxa"/>
              <w:left w:w="20" w:type="dxa"/>
              <w:bottom w:w="0" w:type="dxa"/>
              <w:right w:w="20" w:type="dxa"/>
            </w:tcMar>
            <w:vAlign w:val="bottom"/>
          </w:tcPr>
          <w:p w14:paraId="5A1B23C1"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3C2"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3C3" w14:textId="77777777" w:rsidR="00960BB8" w:rsidRDefault="00C06650">
            <w:pPr>
              <w:jc w:val="right"/>
              <w:textAlignment w:val="bottom"/>
            </w:pPr>
            <w:r>
              <w:rPr>
                <w:rFonts w:ascii="Arial" w:eastAsia="宋体" w:hAnsi="Arial" w:cs="Arial"/>
                <w:color w:val="0068B5"/>
                <w:sz w:val="18"/>
                <w:szCs w:val="18"/>
              </w:rPr>
              <w:t>10,964 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3C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C5"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3C6"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3C7" w14:textId="77777777" w:rsidR="00960BB8" w:rsidRDefault="00C06650">
            <w:pPr>
              <w:jc w:val="right"/>
              <w:textAlignment w:val="bottom"/>
            </w:pPr>
            <w:r>
              <w:rPr>
                <w:rFonts w:ascii="Arial" w:eastAsia="宋体" w:hAnsi="Arial" w:cs="Arial"/>
                <w:color w:val="0068B5"/>
                <w:sz w:val="18"/>
                <w:szCs w:val="18"/>
              </w:rPr>
              <w:t>(7,216)</w:t>
            </w:r>
          </w:p>
        </w:tc>
        <w:tc>
          <w:tcPr>
            <w:tcW w:w="0" w:type="auto"/>
            <w:tcBorders>
              <w:top w:val="single" w:sz="8" w:space="0" w:color="0068B5"/>
            </w:tcBorders>
            <w:shd w:val="clear" w:color="auto" w:fill="auto"/>
            <w:tcMar>
              <w:top w:w="40" w:type="dxa"/>
              <w:left w:w="0" w:type="dxa"/>
              <w:bottom w:w="40" w:type="dxa"/>
              <w:right w:w="20" w:type="dxa"/>
            </w:tcMar>
            <w:vAlign w:val="bottom"/>
          </w:tcPr>
          <w:p w14:paraId="5A1B23C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C9"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3CA"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3CB" w14:textId="77777777" w:rsidR="00960BB8" w:rsidRDefault="00C06650">
            <w:pPr>
              <w:jc w:val="right"/>
              <w:textAlignment w:val="bottom"/>
            </w:pPr>
            <w:r>
              <w:rPr>
                <w:rFonts w:ascii="Arial" w:eastAsia="宋体" w:hAnsi="Arial" w:cs="Arial"/>
                <w:color w:val="0068B5"/>
                <w:sz w:val="18"/>
                <w:szCs w:val="18"/>
              </w:rPr>
              <w:t>3,748 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3C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C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3CE"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3CF" w14:textId="77777777" w:rsidR="00960BB8" w:rsidRDefault="00C06650">
            <w:pPr>
              <w:jc w:val="right"/>
              <w:textAlignment w:val="bottom"/>
            </w:pPr>
            <w:r>
              <w:rPr>
                <w:rFonts w:ascii="Arial" w:eastAsia="宋体" w:hAnsi="Arial" w:cs="Arial"/>
                <w:color w:val="262626"/>
                <w:sz w:val="18"/>
                <w:szCs w:val="18"/>
              </w:rPr>
              <w:t>11,102 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3D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D1"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3D2"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3D3" w14:textId="77777777" w:rsidR="00960BB8" w:rsidRDefault="00C06650">
            <w:pPr>
              <w:jc w:val="right"/>
              <w:textAlignment w:val="bottom"/>
            </w:pPr>
            <w:r>
              <w:rPr>
                <w:rFonts w:ascii="Arial" w:eastAsia="宋体" w:hAnsi="Arial" w:cs="Arial"/>
                <w:color w:val="262626"/>
                <w:sz w:val="18"/>
                <w:szCs w:val="18"/>
              </w:rPr>
              <w:t>(6,026)</w:t>
            </w:r>
          </w:p>
        </w:tc>
        <w:tc>
          <w:tcPr>
            <w:tcW w:w="0" w:type="auto"/>
            <w:tcBorders>
              <w:top w:val="single" w:sz="8" w:space="0" w:color="0068B5"/>
            </w:tcBorders>
            <w:shd w:val="clear" w:color="auto" w:fill="auto"/>
            <w:tcMar>
              <w:top w:w="40" w:type="dxa"/>
              <w:left w:w="0" w:type="dxa"/>
              <w:bottom w:w="40" w:type="dxa"/>
              <w:right w:w="20" w:type="dxa"/>
            </w:tcMar>
            <w:vAlign w:val="bottom"/>
          </w:tcPr>
          <w:p w14:paraId="5A1B23D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D5"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3D6"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3D7" w14:textId="77777777" w:rsidR="00960BB8" w:rsidRDefault="00C06650">
            <w:pPr>
              <w:jc w:val="right"/>
              <w:textAlignment w:val="bottom"/>
            </w:pPr>
            <w:r>
              <w:rPr>
                <w:rFonts w:ascii="Arial" w:eastAsia="宋体" w:hAnsi="Arial" w:cs="Arial"/>
                <w:color w:val="262626"/>
                <w:sz w:val="18"/>
                <w:szCs w:val="18"/>
              </w:rPr>
              <w:t>5,076 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3D8" w14:textId="77777777" w:rsidR="00960BB8" w:rsidRDefault="00960BB8">
            <w:pPr>
              <w:jc w:val="right"/>
              <w:rPr>
                <w:rFonts w:ascii="宋体"/>
              </w:rPr>
            </w:pPr>
          </w:p>
        </w:tc>
      </w:tr>
      <w:tr w:rsidR="00960BB8" w14:paraId="5A1B23ED" w14:textId="77777777">
        <w:tc>
          <w:tcPr>
            <w:tcW w:w="0" w:type="auto"/>
            <w:gridSpan w:val="3"/>
            <w:shd w:val="clear" w:color="auto" w:fill="auto"/>
            <w:tcMar>
              <w:top w:w="40" w:type="dxa"/>
              <w:left w:w="20" w:type="dxa"/>
              <w:bottom w:w="40" w:type="dxa"/>
              <w:right w:w="20" w:type="dxa"/>
            </w:tcMar>
            <w:vAlign w:val="bottom"/>
          </w:tcPr>
          <w:p w14:paraId="5A1B23DA" w14:textId="77777777" w:rsidR="00960BB8" w:rsidRDefault="00C06650">
            <w:pPr>
              <w:textAlignment w:val="bottom"/>
            </w:pPr>
            <w:r>
              <w:rPr>
                <w:rFonts w:ascii="Arial" w:eastAsia="宋体" w:hAnsi="Arial" w:cs="Arial"/>
                <w:color w:val="262626"/>
                <w:sz w:val="18"/>
                <w:szCs w:val="18"/>
              </w:rPr>
              <w:t>Customer relationships and brands</w:t>
            </w:r>
          </w:p>
        </w:tc>
        <w:tc>
          <w:tcPr>
            <w:tcW w:w="0" w:type="auto"/>
            <w:gridSpan w:val="3"/>
            <w:shd w:val="clear" w:color="auto" w:fill="auto"/>
            <w:tcMar>
              <w:top w:w="0" w:type="dxa"/>
              <w:left w:w="20" w:type="dxa"/>
              <w:bottom w:w="0" w:type="dxa"/>
              <w:right w:w="20" w:type="dxa"/>
            </w:tcMar>
            <w:vAlign w:val="bottom"/>
          </w:tcPr>
          <w:p w14:paraId="5A1B23D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DC" w14:textId="77777777" w:rsidR="00960BB8" w:rsidRDefault="00C06650">
            <w:pPr>
              <w:jc w:val="right"/>
              <w:textAlignment w:val="bottom"/>
            </w:pPr>
            <w:r>
              <w:rPr>
                <w:rFonts w:ascii="Arial" w:eastAsia="宋体" w:hAnsi="Arial" w:cs="Arial"/>
                <w:color w:val="0068B5"/>
                <w:sz w:val="18"/>
                <w:szCs w:val="18"/>
              </w:rPr>
              <w:t>1,986 </w:t>
            </w:r>
          </w:p>
        </w:tc>
        <w:tc>
          <w:tcPr>
            <w:tcW w:w="0" w:type="auto"/>
            <w:shd w:val="clear" w:color="auto" w:fill="auto"/>
            <w:tcMar>
              <w:top w:w="40" w:type="dxa"/>
              <w:left w:w="0" w:type="dxa"/>
              <w:bottom w:w="40" w:type="dxa"/>
              <w:right w:w="20" w:type="dxa"/>
            </w:tcMar>
            <w:vAlign w:val="bottom"/>
          </w:tcPr>
          <w:p w14:paraId="5A1B23D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D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DF" w14:textId="77777777" w:rsidR="00960BB8" w:rsidRDefault="00C06650">
            <w:pPr>
              <w:jc w:val="right"/>
              <w:textAlignment w:val="bottom"/>
            </w:pPr>
            <w:r>
              <w:rPr>
                <w:rFonts w:ascii="Arial" w:eastAsia="宋体" w:hAnsi="Arial" w:cs="Arial"/>
                <w:color w:val="0068B5"/>
                <w:sz w:val="18"/>
                <w:szCs w:val="18"/>
              </w:rPr>
              <w:t>(1,114)</w:t>
            </w:r>
          </w:p>
        </w:tc>
        <w:tc>
          <w:tcPr>
            <w:tcW w:w="0" w:type="auto"/>
            <w:shd w:val="clear" w:color="auto" w:fill="auto"/>
            <w:tcMar>
              <w:top w:w="40" w:type="dxa"/>
              <w:left w:w="0" w:type="dxa"/>
              <w:bottom w:w="40" w:type="dxa"/>
              <w:right w:w="20" w:type="dxa"/>
            </w:tcMar>
            <w:vAlign w:val="bottom"/>
          </w:tcPr>
          <w:p w14:paraId="5A1B23E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E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E2" w14:textId="77777777" w:rsidR="00960BB8" w:rsidRDefault="00C06650">
            <w:pPr>
              <w:jc w:val="right"/>
              <w:textAlignment w:val="bottom"/>
            </w:pPr>
            <w:r>
              <w:rPr>
                <w:rFonts w:ascii="Arial" w:eastAsia="宋体" w:hAnsi="Arial" w:cs="Arial"/>
                <w:color w:val="0068B5"/>
                <w:sz w:val="18"/>
                <w:szCs w:val="18"/>
              </w:rPr>
              <w:t>872 </w:t>
            </w:r>
          </w:p>
        </w:tc>
        <w:tc>
          <w:tcPr>
            <w:tcW w:w="0" w:type="auto"/>
            <w:shd w:val="clear" w:color="auto" w:fill="auto"/>
            <w:tcMar>
              <w:top w:w="40" w:type="dxa"/>
              <w:left w:w="0" w:type="dxa"/>
              <w:bottom w:w="40" w:type="dxa"/>
              <w:right w:w="20" w:type="dxa"/>
            </w:tcMar>
            <w:vAlign w:val="bottom"/>
          </w:tcPr>
          <w:p w14:paraId="5A1B23E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E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E5" w14:textId="77777777" w:rsidR="00960BB8" w:rsidRDefault="00C06650">
            <w:pPr>
              <w:jc w:val="right"/>
              <w:textAlignment w:val="bottom"/>
            </w:pPr>
            <w:r>
              <w:rPr>
                <w:rFonts w:ascii="Arial" w:eastAsia="宋体" w:hAnsi="Arial" w:cs="Arial"/>
                <w:color w:val="262626"/>
                <w:sz w:val="18"/>
                <w:szCs w:val="18"/>
              </w:rPr>
              <w:t>2,110 </w:t>
            </w:r>
          </w:p>
        </w:tc>
        <w:tc>
          <w:tcPr>
            <w:tcW w:w="0" w:type="auto"/>
            <w:shd w:val="clear" w:color="auto" w:fill="auto"/>
            <w:tcMar>
              <w:top w:w="40" w:type="dxa"/>
              <w:left w:w="0" w:type="dxa"/>
              <w:bottom w:w="40" w:type="dxa"/>
              <w:right w:w="20" w:type="dxa"/>
            </w:tcMar>
            <w:vAlign w:val="bottom"/>
          </w:tcPr>
          <w:p w14:paraId="5A1B23E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E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E8" w14:textId="77777777" w:rsidR="00960BB8" w:rsidRDefault="00C06650">
            <w:pPr>
              <w:jc w:val="right"/>
              <w:textAlignment w:val="bottom"/>
            </w:pPr>
            <w:r>
              <w:rPr>
                <w:rFonts w:ascii="Arial" w:eastAsia="宋体" w:hAnsi="Arial" w:cs="Arial"/>
                <w:color w:val="262626"/>
                <w:sz w:val="18"/>
                <w:szCs w:val="18"/>
              </w:rPr>
              <w:t>(1,063)</w:t>
            </w:r>
          </w:p>
        </w:tc>
        <w:tc>
          <w:tcPr>
            <w:tcW w:w="0" w:type="auto"/>
            <w:shd w:val="clear" w:color="auto" w:fill="auto"/>
            <w:tcMar>
              <w:top w:w="40" w:type="dxa"/>
              <w:left w:w="0" w:type="dxa"/>
              <w:bottom w:w="40" w:type="dxa"/>
              <w:right w:w="20" w:type="dxa"/>
            </w:tcMar>
            <w:vAlign w:val="bottom"/>
          </w:tcPr>
          <w:p w14:paraId="5A1B23E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E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EB" w14:textId="77777777" w:rsidR="00960BB8" w:rsidRDefault="00C06650">
            <w:pPr>
              <w:jc w:val="right"/>
              <w:textAlignment w:val="bottom"/>
            </w:pPr>
            <w:r>
              <w:rPr>
                <w:rFonts w:ascii="Arial" w:eastAsia="宋体" w:hAnsi="Arial" w:cs="Arial"/>
                <w:color w:val="262626"/>
                <w:sz w:val="18"/>
                <w:szCs w:val="18"/>
              </w:rPr>
              <w:t>1,047 </w:t>
            </w:r>
          </w:p>
        </w:tc>
        <w:tc>
          <w:tcPr>
            <w:tcW w:w="0" w:type="auto"/>
            <w:shd w:val="clear" w:color="auto" w:fill="auto"/>
            <w:tcMar>
              <w:top w:w="40" w:type="dxa"/>
              <w:left w:w="0" w:type="dxa"/>
              <w:bottom w:w="40" w:type="dxa"/>
              <w:right w:w="20" w:type="dxa"/>
            </w:tcMar>
            <w:vAlign w:val="bottom"/>
          </w:tcPr>
          <w:p w14:paraId="5A1B23EC" w14:textId="77777777" w:rsidR="00960BB8" w:rsidRDefault="00960BB8">
            <w:pPr>
              <w:jc w:val="right"/>
              <w:rPr>
                <w:rFonts w:ascii="宋体"/>
              </w:rPr>
            </w:pPr>
          </w:p>
        </w:tc>
      </w:tr>
      <w:tr w:rsidR="00960BB8" w14:paraId="5A1B2401" w14:textId="77777777">
        <w:tc>
          <w:tcPr>
            <w:tcW w:w="0" w:type="auto"/>
            <w:gridSpan w:val="3"/>
            <w:shd w:val="clear" w:color="auto" w:fill="auto"/>
            <w:tcMar>
              <w:top w:w="40" w:type="dxa"/>
              <w:left w:w="20" w:type="dxa"/>
              <w:bottom w:w="40" w:type="dxa"/>
              <w:right w:w="20" w:type="dxa"/>
            </w:tcMar>
            <w:vAlign w:val="bottom"/>
          </w:tcPr>
          <w:p w14:paraId="5A1B23EE" w14:textId="77777777" w:rsidR="00960BB8" w:rsidRDefault="00C06650">
            <w:pPr>
              <w:textAlignment w:val="bottom"/>
            </w:pPr>
            <w:r>
              <w:rPr>
                <w:rFonts w:ascii="Arial" w:eastAsia="宋体" w:hAnsi="Arial" w:cs="Arial"/>
                <w:color w:val="262626"/>
                <w:sz w:val="18"/>
                <w:szCs w:val="18"/>
              </w:rPr>
              <w:t>Licensed technology and patents</w:t>
            </w:r>
          </w:p>
        </w:tc>
        <w:tc>
          <w:tcPr>
            <w:tcW w:w="0" w:type="auto"/>
            <w:gridSpan w:val="3"/>
            <w:shd w:val="clear" w:color="auto" w:fill="auto"/>
            <w:tcMar>
              <w:top w:w="0" w:type="dxa"/>
              <w:left w:w="20" w:type="dxa"/>
              <w:bottom w:w="0" w:type="dxa"/>
              <w:right w:w="20" w:type="dxa"/>
            </w:tcMar>
            <w:vAlign w:val="bottom"/>
          </w:tcPr>
          <w:p w14:paraId="5A1B23E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F0" w14:textId="77777777" w:rsidR="00960BB8" w:rsidRDefault="00C06650">
            <w:pPr>
              <w:jc w:val="right"/>
              <w:textAlignment w:val="bottom"/>
            </w:pPr>
            <w:r>
              <w:rPr>
                <w:rFonts w:ascii="Arial" w:eastAsia="宋体" w:hAnsi="Arial" w:cs="Arial"/>
                <w:color w:val="0068B5"/>
                <w:sz w:val="18"/>
                <w:szCs w:val="18"/>
              </w:rPr>
              <w:t>3,219 </w:t>
            </w:r>
          </w:p>
        </w:tc>
        <w:tc>
          <w:tcPr>
            <w:tcW w:w="0" w:type="auto"/>
            <w:shd w:val="clear" w:color="auto" w:fill="auto"/>
            <w:tcMar>
              <w:top w:w="40" w:type="dxa"/>
              <w:left w:w="0" w:type="dxa"/>
              <w:bottom w:w="40" w:type="dxa"/>
              <w:right w:w="20" w:type="dxa"/>
            </w:tcMar>
            <w:vAlign w:val="bottom"/>
          </w:tcPr>
          <w:p w14:paraId="5A1B23F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F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F3" w14:textId="77777777" w:rsidR="00960BB8" w:rsidRDefault="00C06650">
            <w:pPr>
              <w:jc w:val="right"/>
              <w:textAlignment w:val="bottom"/>
            </w:pPr>
            <w:r>
              <w:rPr>
                <w:rFonts w:ascii="Arial" w:eastAsia="宋体" w:hAnsi="Arial" w:cs="Arial"/>
                <w:color w:val="0068B5"/>
                <w:sz w:val="18"/>
                <w:szCs w:val="18"/>
              </w:rPr>
              <w:t>(1,821)</w:t>
            </w:r>
          </w:p>
        </w:tc>
        <w:tc>
          <w:tcPr>
            <w:tcW w:w="0" w:type="auto"/>
            <w:shd w:val="clear" w:color="auto" w:fill="auto"/>
            <w:tcMar>
              <w:top w:w="40" w:type="dxa"/>
              <w:left w:w="0" w:type="dxa"/>
              <w:bottom w:w="40" w:type="dxa"/>
              <w:right w:w="20" w:type="dxa"/>
            </w:tcMar>
            <w:vAlign w:val="bottom"/>
          </w:tcPr>
          <w:p w14:paraId="5A1B23F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F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F6" w14:textId="77777777" w:rsidR="00960BB8" w:rsidRDefault="00C06650">
            <w:pPr>
              <w:jc w:val="right"/>
              <w:textAlignment w:val="bottom"/>
            </w:pPr>
            <w:r>
              <w:rPr>
                <w:rFonts w:ascii="Arial" w:eastAsia="宋体" w:hAnsi="Arial" w:cs="Arial"/>
                <w:color w:val="0068B5"/>
                <w:sz w:val="18"/>
                <w:szCs w:val="18"/>
              </w:rPr>
              <w:t>1,398 </w:t>
            </w:r>
          </w:p>
        </w:tc>
        <w:tc>
          <w:tcPr>
            <w:tcW w:w="0" w:type="auto"/>
            <w:shd w:val="clear" w:color="auto" w:fill="auto"/>
            <w:tcMar>
              <w:top w:w="40" w:type="dxa"/>
              <w:left w:w="0" w:type="dxa"/>
              <w:bottom w:w="40" w:type="dxa"/>
              <w:right w:w="20" w:type="dxa"/>
            </w:tcMar>
            <w:vAlign w:val="bottom"/>
          </w:tcPr>
          <w:p w14:paraId="5A1B23F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F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F9" w14:textId="77777777" w:rsidR="00960BB8" w:rsidRDefault="00C06650">
            <w:pPr>
              <w:jc w:val="right"/>
              <w:textAlignment w:val="bottom"/>
            </w:pPr>
            <w:r>
              <w:rPr>
                <w:rFonts w:ascii="Arial" w:eastAsia="宋体" w:hAnsi="Arial" w:cs="Arial"/>
                <w:color w:val="262626"/>
                <w:sz w:val="18"/>
                <w:szCs w:val="18"/>
              </w:rPr>
              <w:t>2,893 </w:t>
            </w:r>
          </w:p>
        </w:tc>
        <w:tc>
          <w:tcPr>
            <w:tcW w:w="0" w:type="auto"/>
            <w:shd w:val="clear" w:color="auto" w:fill="auto"/>
            <w:tcMar>
              <w:top w:w="40" w:type="dxa"/>
              <w:left w:w="0" w:type="dxa"/>
              <w:bottom w:w="40" w:type="dxa"/>
              <w:right w:w="20" w:type="dxa"/>
            </w:tcMar>
            <w:vAlign w:val="bottom"/>
          </w:tcPr>
          <w:p w14:paraId="5A1B23F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F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FC" w14:textId="77777777" w:rsidR="00960BB8" w:rsidRDefault="00C06650">
            <w:pPr>
              <w:jc w:val="right"/>
              <w:textAlignment w:val="bottom"/>
            </w:pPr>
            <w:r>
              <w:rPr>
                <w:rFonts w:ascii="Arial" w:eastAsia="宋体" w:hAnsi="Arial" w:cs="Arial"/>
                <w:color w:val="262626"/>
                <w:sz w:val="18"/>
                <w:szCs w:val="18"/>
              </w:rPr>
              <w:t>(1,746)</w:t>
            </w:r>
          </w:p>
        </w:tc>
        <w:tc>
          <w:tcPr>
            <w:tcW w:w="0" w:type="auto"/>
            <w:shd w:val="clear" w:color="auto" w:fill="auto"/>
            <w:tcMar>
              <w:top w:w="40" w:type="dxa"/>
              <w:left w:w="0" w:type="dxa"/>
              <w:bottom w:w="40" w:type="dxa"/>
              <w:right w:w="20" w:type="dxa"/>
            </w:tcMar>
            <w:vAlign w:val="bottom"/>
          </w:tcPr>
          <w:p w14:paraId="5A1B23F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3F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3FF" w14:textId="77777777" w:rsidR="00960BB8" w:rsidRDefault="00C06650">
            <w:pPr>
              <w:jc w:val="right"/>
              <w:textAlignment w:val="bottom"/>
            </w:pPr>
            <w:r>
              <w:rPr>
                <w:rFonts w:ascii="Arial" w:eastAsia="宋体" w:hAnsi="Arial" w:cs="Arial"/>
                <w:color w:val="262626"/>
                <w:sz w:val="18"/>
                <w:szCs w:val="18"/>
              </w:rPr>
              <w:t>1,147 </w:t>
            </w:r>
          </w:p>
        </w:tc>
        <w:tc>
          <w:tcPr>
            <w:tcW w:w="0" w:type="auto"/>
            <w:shd w:val="clear" w:color="auto" w:fill="auto"/>
            <w:tcMar>
              <w:top w:w="40" w:type="dxa"/>
              <w:left w:w="0" w:type="dxa"/>
              <w:bottom w:w="40" w:type="dxa"/>
              <w:right w:w="20" w:type="dxa"/>
            </w:tcMar>
            <w:vAlign w:val="bottom"/>
          </w:tcPr>
          <w:p w14:paraId="5A1B2400" w14:textId="77777777" w:rsidR="00960BB8" w:rsidRDefault="00960BB8">
            <w:pPr>
              <w:jc w:val="right"/>
              <w:rPr>
                <w:rFonts w:ascii="宋体"/>
              </w:rPr>
            </w:pPr>
          </w:p>
        </w:tc>
      </w:tr>
      <w:tr w:rsidR="00960BB8" w14:paraId="5A1B240F" w14:textId="77777777">
        <w:trPr>
          <w:hidden/>
        </w:trPr>
        <w:tc>
          <w:tcPr>
            <w:tcW w:w="0" w:type="auto"/>
            <w:gridSpan w:val="3"/>
            <w:shd w:val="clear" w:color="auto" w:fill="auto"/>
            <w:vAlign w:val="bottom"/>
          </w:tcPr>
          <w:p w14:paraId="5A1B2402" w14:textId="77777777" w:rsidR="00960BB8" w:rsidRDefault="00960BB8">
            <w:pPr>
              <w:rPr>
                <w:rFonts w:ascii="宋体"/>
                <w:vanish/>
              </w:rPr>
            </w:pPr>
          </w:p>
        </w:tc>
        <w:tc>
          <w:tcPr>
            <w:tcW w:w="0" w:type="auto"/>
            <w:gridSpan w:val="3"/>
            <w:shd w:val="clear" w:color="auto" w:fill="auto"/>
            <w:vAlign w:val="bottom"/>
          </w:tcPr>
          <w:p w14:paraId="5A1B2403" w14:textId="77777777" w:rsidR="00960BB8" w:rsidRDefault="00960BB8">
            <w:pPr>
              <w:rPr>
                <w:rFonts w:ascii="宋体"/>
                <w:vanish/>
              </w:rPr>
            </w:pPr>
          </w:p>
        </w:tc>
        <w:tc>
          <w:tcPr>
            <w:tcW w:w="0" w:type="auto"/>
            <w:gridSpan w:val="3"/>
            <w:shd w:val="clear" w:color="auto" w:fill="auto"/>
            <w:vAlign w:val="bottom"/>
          </w:tcPr>
          <w:p w14:paraId="5A1B2404" w14:textId="77777777" w:rsidR="00960BB8" w:rsidRDefault="00960BB8">
            <w:pPr>
              <w:rPr>
                <w:rFonts w:ascii="宋体"/>
                <w:vanish/>
              </w:rPr>
            </w:pPr>
          </w:p>
        </w:tc>
        <w:tc>
          <w:tcPr>
            <w:tcW w:w="0" w:type="auto"/>
            <w:gridSpan w:val="3"/>
            <w:shd w:val="clear" w:color="auto" w:fill="auto"/>
            <w:vAlign w:val="bottom"/>
          </w:tcPr>
          <w:p w14:paraId="5A1B2405" w14:textId="77777777" w:rsidR="00960BB8" w:rsidRDefault="00960BB8">
            <w:pPr>
              <w:rPr>
                <w:rFonts w:ascii="宋体"/>
                <w:vanish/>
              </w:rPr>
            </w:pPr>
          </w:p>
        </w:tc>
        <w:tc>
          <w:tcPr>
            <w:tcW w:w="0" w:type="auto"/>
            <w:gridSpan w:val="3"/>
            <w:shd w:val="clear" w:color="auto" w:fill="auto"/>
            <w:vAlign w:val="bottom"/>
          </w:tcPr>
          <w:p w14:paraId="5A1B2406" w14:textId="77777777" w:rsidR="00960BB8" w:rsidRDefault="00960BB8">
            <w:pPr>
              <w:rPr>
                <w:rFonts w:ascii="宋体"/>
                <w:vanish/>
              </w:rPr>
            </w:pPr>
          </w:p>
        </w:tc>
        <w:tc>
          <w:tcPr>
            <w:tcW w:w="0" w:type="auto"/>
            <w:gridSpan w:val="3"/>
            <w:shd w:val="clear" w:color="auto" w:fill="auto"/>
            <w:vAlign w:val="bottom"/>
          </w:tcPr>
          <w:p w14:paraId="5A1B2407" w14:textId="77777777" w:rsidR="00960BB8" w:rsidRDefault="00960BB8">
            <w:pPr>
              <w:rPr>
                <w:rFonts w:ascii="宋体"/>
                <w:vanish/>
              </w:rPr>
            </w:pPr>
          </w:p>
        </w:tc>
        <w:tc>
          <w:tcPr>
            <w:tcW w:w="0" w:type="auto"/>
            <w:gridSpan w:val="3"/>
            <w:shd w:val="clear" w:color="auto" w:fill="auto"/>
            <w:vAlign w:val="bottom"/>
          </w:tcPr>
          <w:p w14:paraId="5A1B2408" w14:textId="77777777" w:rsidR="00960BB8" w:rsidRDefault="00960BB8">
            <w:pPr>
              <w:rPr>
                <w:rFonts w:ascii="宋体"/>
                <w:vanish/>
              </w:rPr>
            </w:pPr>
          </w:p>
        </w:tc>
        <w:tc>
          <w:tcPr>
            <w:tcW w:w="0" w:type="auto"/>
            <w:gridSpan w:val="3"/>
            <w:shd w:val="clear" w:color="auto" w:fill="auto"/>
            <w:vAlign w:val="bottom"/>
          </w:tcPr>
          <w:p w14:paraId="5A1B2409" w14:textId="77777777" w:rsidR="00960BB8" w:rsidRDefault="00960BB8">
            <w:pPr>
              <w:rPr>
                <w:rFonts w:ascii="宋体"/>
                <w:vanish/>
              </w:rPr>
            </w:pPr>
          </w:p>
        </w:tc>
        <w:tc>
          <w:tcPr>
            <w:tcW w:w="0" w:type="auto"/>
            <w:gridSpan w:val="3"/>
            <w:shd w:val="clear" w:color="auto" w:fill="auto"/>
            <w:vAlign w:val="bottom"/>
          </w:tcPr>
          <w:p w14:paraId="5A1B240A" w14:textId="77777777" w:rsidR="00960BB8" w:rsidRDefault="00960BB8">
            <w:pPr>
              <w:rPr>
                <w:rFonts w:ascii="宋体"/>
                <w:vanish/>
              </w:rPr>
            </w:pPr>
          </w:p>
        </w:tc>
        <w:tc>
          <w:tcPr>
            <w:tcW w:w="0" w:type="auto"/>
            <w:gridSpan w:val="3"/>
            <w:shd w:val="clear" w:color="auto" w:fill="auto"/>
            <w:vAlign w:val="bottom"/>
          </w:tcPr>
          <w:p w14:paraId="5A1B240B" w14:textId="77777777" w:rsidR="00960BB8" w:rsidRDefault="00960BB8">
            <w:pPr>
              <w:rPr>
                <w:rFonts w:ascii="宋体"/>
                <w:vanish/>
              </w:rPr>
            </w:pPr>
          </w:p>
        </w:tc>
        <w:tc>
          <w:tcPr>
            <w:tcW w:w="0" w:type="auto"/>
            <w:gridSpan w:val="3"/>
            <w:shd w:val="clear" w:color="auto" w:fill="auto"/>
            <w:vAlign w:val="bottom"/>
          </w:tcPr>
          <w:p w14:paraId="5A1B240C" w14:textId="77777777" w:rsidR="00960BB8" w:rsidRDefault="00960BB8">
            <w:pPr>
              <w:rPr>
                <w:rFonts w:ascii="宋体"/>
                <w:vanish/>
              </w:rPr>
            </w:pPr>
          </w:p>
        </w:tc>
        <w:tc>
          <w:tcPr>
            <w:tcW w:w="0" w:type="auto"/>
            <w:gridSpan w:val="3"/>
            <w:shd w:val="clear" w:color="auto" w:fill="auto"/>
            <w:vAlign w:val="bottom"/>
          </w:tcPr>
          <w:p w14:paraId="5A1B240D" w14:textId="77777777" w:rsidR="00960BB8" w:rsidRDefault="00960BB8">
            <w:pPr>
              <w:rPr>
                <w:rFonts w:ascii="宋体"/>
                <w:vanish/>
              </w:rPr>
            </w:pPr>
          </w:p>
        </w:tc>
        <w:tc>
          <w:tcPr>
            <w:tcW w:w="0" w:type="auto"/>
            <w:gridSpan w:val="3"/>
            <w:shd w:val="clear" w:color="auto" w:fill="auto"/>
            <w:vAlign w:val="bottom"/>
          </w:tcPr>
          <w:p w14:paraId="5A1B240E" w14:textId="77777777" w:rsidR="00960BB8" w:rsidRDefault="00960BB8">
            <w:pPr>
              <w:rPr>
                <w:rFonts w:ascii="宋体"/>
                <w:vanish/>
              </w:rPr>
            </w:pPr>
          </w:p>
        </w:tc>
      </w:tr>
      <w:tr w:rsidR="00960BB8" w14:paraId="5A1B241D" w14:textId="77777777">
        <w:trPr>
          <w:hidden/>
        </w:trPr>
        <w:tc>
          <w:tcPr>
            <w:tcW w:w="0" w:type="auto"/>
            <w:gridSpan w:val="3"/>
            <w:shd w:val="clear" w:color="auto" w:fill="auto"/>
            <w:vAlign w:val="bottom"/>
          </w:tcPr>
          <w:p w14:paraId="5A1B2410" w14:textId="77777777" w:rsidR="00960BB8" w:rsidRDefault="00960BB8">
            <w:pPr>
              <w:rPr>
                <w:rFonts w:ascii="宋体"/>
                <w:vanish/>
              </w:rPr>
            </w:pPr>
          </w:p>
        </w:tc>
        <w:tc>
          <w:tcPr>
            <w:tcW w:w="0" w:type="auto"/>
            <w:gridSpan w:val="3"/>
            <w:shd w:val="clear" w:color="auto" w:fill="auto"/>
            <w:vAlign w:val="bottom"/>
          </w:tcPr>
          <w:p w14:paraId="5A1B2411" w14:textId="77777777" w:rsidR="00960BB8" w:rsidRDefault="00960BB8">
            <w:pPr>
              <w:rPr>
                <w:rFonts w:ascii="宋体"/>
                <w:vanish/>
              </w:rPr>
            </w:pPr>
          </w:p>
        </w:tc>
        <w:tc>
          <w:tcPr>
            <w:tcW w:w="0" w:type="auto"/>
            <w:gridSpan w:val="3"/>
            <w:shd w:val="clear" w:color="auto" w:fill="auto"/>
            <w:vAlign w:val="bottom"/>
          </w:tcPr>
          <w:p w14:paraId="5A1B2412" w14:textId="77777777" w:rsidR="00960BB8" w:rsidRDefault="00960BB8">
            <w:pPr>
              <w:rPr>
                <w:rFonts w:ascii="宋体"/>
                <w:vanish/>
              </w:rPr>
            </w:pPr>
          </w:p>
        </w:tc>
        <w:tc>
          <w:tcPr>
            <w:tcW w:w="0" w:type="auto"/>
            <w:gridSpan w:val="3"/>
            <w:shd w:val="clear" w:color="auto" w:fill="auto"/>
            <w:vAlign w:val="bottom"/>
          </w:tcPr>
          <w:p w14:paraId="5A1B2413" w14:textId="77777777" w:rsidR="00960BB8" w:rsidRDefault="00960BB8">
            <w:pPr>
              <w:rPr>
                <w:rFonts w:ascii="宋体"/>
                <w:vanish/>
              </w:rPr>
            </w:pPr>
          </w:p>
        </w:tc>
        <w:tc>
          <w:tcPr>
            <w:tcW w:w="0" w:type="auto"/>
            <w:gridSpan w:val="3"/>
            <w:shd w:val="clear" w:color="auto" w:fill="auto"/>
            <w:vAlign w:val="bottom"/>
          </w:tcPr>
          <w:p w14:paraId="5A1B2414" w14:textId="77777777" w:rsidR="00960BB8" w:rsidRDefault="00960BB8">
            <w:pPr>
              <w:rPr>
                <w:rFonts w:ascii="宋体"/>
                <w:vanish/>
              </w:rPr>
            </w:pPr>
          </w:p>
        </w:tc>
        <w:tc>
          <w:tcPr>
            <w:tcW w:w="0" w:type="auto"/>
            <w:gridSpan w:val="3"/>
            <w:shd w:val="clear" w:color="auto" w:fill="auto"/>
            <w:vAlign w:val="bottom"/>
          </w:tcPr>
          <w:p w14:paraId="5A1B2415" w14:textId="77777777" w:rsidR="00960BB8" w:rsidRDefault="00960BB8">
            <w:pPr>
              <w:rPr>
                <w:rFonts w:ascii="宋体"/>
                <w:vanish/>
              </w:rPr>
            </w:pPr>
          </w:p>
        </w:tc>
        <w:tc>
          <w:tcPr>
            <w:tcW w:w="0" w:type="auto"/>
            <w:gridSpan w:val="3"/>
            <w:shd w:val="clear" w:color="auto" w:fill="auto"/>
            <w:vAlign w:val="bottom"/>
          </w:tcPr>
          <w:p w14:paraId="5A1B2416" w14:textId="77777777" w:rsidR="00960BB8" w:rsidRDefault="00960BB8">
            <w:pPr>
              <w:rPr>
                <w:rFonts w:ascii="宋体"/>
                <w:vanish/>
              </w:rPr>
            </w:pPr>
          </w:p>
        </w:tc>
        <w:tc>
          <w:tcPr>
            <w:tcW w:w="0" w:type="auto"/>
            <w:gridSpan w:val="3"/>
            <w:shd w:val="clear" w:color="auto" w:fill="auto"/>
            <w:vAlign w:val="bottom"/>
          </w:tcPr>
          <w:p w14:paraId="5A1B2417" w14:textId="77777777" w:rsidR="00960BB8" w:rsidRDefault="00960BB8">
            <w:pPr>
              <w:rPr>
                <w:rFonts w:ascii="宋体"/>
                <w:vanish/>
              </w:rPr>
            </w:pPr>
          </w:p>
        </w:tc>
        <w:tc>
          <w:tcPr>
            <w:tcW w:w="0" w:type="auto"/>
            <w:gridSpan w:val="3"/>
            <w:shd w:val="clear" w:color="auto" w:fill="auto"/>
            <w:vAlign w:val="bottom"/>
          </w:tcPr>
          <w:p w14:paraId="5A1B2418" w14:textId="77777777" w:rsidR="00960BB8" w:rsidRDefault="00960BB8">
            <w:pPr>
              <w:rPr>
                <w:rFonts w:ascii="宋体"/>
                <w:vanish/>
              </w:rPr>
            </w:pPr>
          </w:p>
        </w:tc>
        <w:tc>
          <w:tcPr>
            <w:tcW w:w="0" w:type="auto"/>
            <w:gridSpan w:val="3"/>
            <w:shd w:val="clear" w:color="auto" w:fill="auto"/>
            <w:vAlign w:val="bottom"/>
          </w:tcPr>
          <w:p w14:paraId="5A1B2419" w14:textId="77777777" w:rsidR="00960BB8" w:rsidRDefault="00960BB8">
            <w:pPr>
              <w:rPr>
                <w:rFonts w:ascii="宋体"/>
                <w:vanish/>
              </w:rPr>
            </w:pPr>
          </w:p>
        </w:tc>
        <w:tc>
          <w:tcPr>
            <w:tcW w:w="0" w:type="auto"/>
            <w:gridSpan w:val="3"/>
            <w:shd w:val="clear" w:color="auto" w:fill="auto"/>
            <w:vAlign w:val="bottom"/>
          </w:tcPr>
          <w:p w14:paraId="5A1B241A" w14:textId="77777777" w:rsidR="00960BB8" w:rsidRDefault="00960BB8">
            <w:pPr>
              <w:rPr>
                <w:rFonts w:ascii="宋体"/>
                <w:vanish/>
              </w:rPr>
            </w:pPr>
          </w:p>
        </w:tc>
        <w:tc>
          <w:tcPr>
            <w:tcW w:w="0" w:type="auto"/>
            <w:gridSpan w:val="3"/>
            <w:shd w:val="clear" w:color="auto" w:fill="auto"/>
            <w:vAlign w:val="bottom"/>
          </w:tcPr>
          <w:p w14:paraId="5A1B241B" w14:textId="77777777" w:rsidR="00960BB8" w:rsidRDefault="00960BB8">
            <w:pPr>
              <w:rPr>
                <w:rFonts w:ascii="宋体"/>
                <w:vanish/>
              </w:rPr>
            </w:pPr>
          </w:p>
        </w:tc>
        <w:tc>
          <w:tcPr>
            <w:tcW w:w="0" w:type="auto"/>
            <w:gridSpan w:val="3"/>
            <w:shd w:val="clear" w:color="auto" w:fill="auto"/>
            <w:vAlign w:val="bottom"/>
          </w:tcPr>
          <w:p w14:paraId="5A1B241C" w14:textId="77777777" w:rsidR="00960BB8" w:rsidRDefault="00960BB8">
            <w:pPr>
              <w:rPr>
                <w:rFonts w:ascii="宋体"/>
                <w:vanish/>
              </w:rPr>
            </w:pPr>
          </w:p>
        </w:tc>
      </w:tr>
      <w:tr w:rsidR="00960BB8" w14:paraId="5A1B2437" w14:textId="77777777">
        <w:tc>
          <w:tcPr>
            <w:tcW w:w="0" w:type="auto"/>
            <w:gridSpan w:val="3"/>
            <w:shd w:val="clear" w:color="auto" w:fill="auto"/>
            <w:tcMar>
              <w:top w:w="40" w:type="dxa"/>
              <w:left w:w="20" w:type="dxa"/>
              <w:bottom w:w="40" w:type="dxa"/>
              <w:right w:w="20" w:type="dxa"/>
            </w:tcMar>
            <w:vAlign w:val="bottom"/>
          </w:tcPr>
          <w:p w14:paraId="5A1B241E" w14:textId="77777777" w:rsidR="00960BB8" w:rsidRDefault="00C06650">
            <w:pPr>
              <w:textAlignment w:val="bottom"/>
            </w:pPr>
            <w:r>
              <w:rPr>
                <w:rFonts w:ascii="Arial" w:eastAsia="宋体" w:hAnsi="Arial" w:cs="Arial"/>
                <w:b/>
                <w:bCs/>
                <w:color w:val="262626"/>
                <w:sz w:val="18"/>
                <w:szCs w:val="18"/>
              </w:rPr>
              <w:t>Total identified intangible assets</w:t>
            </w:r>
          </w:p>
        </w:tc>
        <w:tc>
          <w:tcPr>
            <w:tcW w:w="0" w:type="auto"/>
            <w:gridSpan w:val="3"/>
            <w:shd w:val="clear" w:color="auto" w:fill="auto"/>
            <w:tcMar>
              <w:top w:w="0" w:type="dxa"/>
              <w:left w:w="20" w:type="dxa"/>
              <w:bottom w:w="0" w:type="dxa"/>
              <w:right w:w="20" w:type="dxa"/>
            </w:tcMar>
            <w:vAlign w:val="bottom"/>
          </w:tcPr>
          <w:p w14:paraId="5A1B241F"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420"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421" w14:textId="77777777" w:rsidR="00960BB8" w:rsidRDefault="00C06650">
            <w:pPr>
              <w:jc w:val="right"/>
              <w:textAlignment w:val="bottom"/>
            </w:pPr>
            <w:r>
              <w:rPr>
                <w:rFonts w:ascii="Arial" w:eastAsia="宋体" w:hAnsi="Arial" w:cs="Arial"/>
                <w:b/>
                <w:bCs/>
                <w:color w:val="0068B5"/>
                <w:sz w:val="18"/>
                <w:szCs w:val="18"/>
              </w:rPr>
              <w:t>16,169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42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23"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424"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425" w14:textId="77777777" w:rsidR="00960BB8" w:rsidRDefault="00C06650">
            <w:pPr>
              <w:jc w:val="right"/>
              <w:textAlignment w:val="bottom"/>
            </w:pPr>
            <w:r>
              <w:rPr>
                <w:rFonts w:ascii="Arial" w:eastAsia="宋体" w:hAnsi="Arial" w:cs="Arial"/>
                <w:b/>
                <w:bCs/>
                <w:color w:val="0068B5"/>
                <w:sz w:val="18"/>
                <w:szCs w:val="18"/>
              </w:rPr>
              <w:t>(10,151)</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42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27"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428"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429" w14:textId="77777777" w:rsidR="00960BB8" w:rsidRDefault="00C06650">
            <w:pPr>
              <w:jc w:val="right"/>
              <w:textAlignment w:val="bottom"/>
            </w:pPr>
            <w:r>
              <w:rPr>
                <w:rFonts w:ascii="Arial" w:eastAsia="宋体" w:hAnsi="Arial" w:cs="Arial"/>
                <w:b/>
                <w:bCs/>
                <w:color w:val="0068B5"/>
                <w:sz w:val="18"/>
                <w:szCs w:val="18"/>
              </w:rPr>
              <w:t>6,018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42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2B"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42C"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42D" w14:textId="77777777" w:rsidR="00960BB8" w:rsidRDefault="00C06650">
            <w:pPr>
              <w:jc w:val="right"/>
              <w:textAlignment w:val="bottom"/>
            </w:pPr>
            <w:r>
              <w:rPr>
                <w:rFonts w:ascii="Arial" w:eastAsia="宋体" w:hAnsi="Arial" w:cs="Arial"/>
                <w:b/>
                <w:bCs/>
                <w:color w:val="262626"/>
                <w:sz w:val="18"/>
                <w:szCs w:val="18"/>
              </w:rPr>
              <w:t>16,105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42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2F"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430"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431" w14:textId="77777777" w:rsidR="00960BB8" w:rsidRDefault="00C06650">
            <w:pPr>
              <w:jc w:val="right"/>
              <w:textAlignment w:val="bottom"/>
            </w:pPr>
            <w:r>
              <w:rPr>
                <w:rFonts w:ascii="Arial" w:eastAsia="宋体" w:hAnsi="Arial" w:cs="Arial"/>
                <w:b/>
                <w:bCs/>
                <w:color w:val="262626"/>
                <w:sz w:val="18"/>
                <w:szCs w:val="18"/>
              </w:rPr>
              <w:t>(8,835)</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43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33"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434"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435" w14:textId="77777777" w:rsidR="00960BB8" w:rsidRDefault="00C06650">
            <w:pPr>
              <w:jc w:val="right"/>
              <w:textAlignment w:val="bottom"/>
            </w:pPr>
            <w:r>
              <w:rPr>
                <w:rFonts w:ascii="Arial" w:eastAsia="宋体" w:hAnsi="Arial" w:cs="Arial"/>
                <w:b/>
                <w:bCs/>
                <w:color w:val="262626"/>
                <w:sz w:val="18"/>
                <w:szCs w:val="18"/>
              </w:rPr>
              <w:t>7,270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436" w14:textId="77777777" w:rsidR="00960BB8" w:rsidRDefault="00960BB8">
            <w:pPr>
              <w:jc w:val="right"/>
              <w:rPr>
                <w:rFonts w:ascii="宋体"/>
              </w:rPr>
            </w:pPr>
          </w:p>
        </w:tc>
      </w:tr>
    </w:tbl>
    <w:p w14:paraId="5A1B2438" w14:textId="77777777" w:rsidR="00960BB8" w:rsidRDefault="00C06650">
      <w:pPr>
        <w:spacing w:after="180"/>
      </w:pPr>
      <w:r>
        <w:rPr>
          <w:rFonts w:ascii="Arial" w:eastAsia="宋体" w:hAnsi="Arial" w:cs="Arial"/>
          <w:color w:val="262626"/>
          <w:sz w:val="18"/>
          <w:szCs w:val="18"/>
        </w:rPr>
        <w:t xml:space="preserve">During </w:t>
      </w:r>
      <w:r>
        <w:rPr>
          <w:rFonts w:ascii="Arial" w:eastAsia="宋体" w:hAnsi="Arial" w:cs="Arial"/>
          <w:color w:val="333333"/>
          <w:sz w:val="18"/>
          <w:szCs w:val="18"/>
        </w:rPr>
        <w:t>2022</w:t>
      </w:r>
      <w:r>
        <w:rPr>
          <w:rFonts w:ascii="Arial" w:eastAsia="宋体" w:hAnsi="Arial" w:cs="Arial"/>
          <w:color w:val="262626"/>
          <w:sz w:val="18"/>
          <w:szCs w:val="18"/>
        </w:rPr>
        <w:t xml:space="preserve">, we entered into and/or renewed several licensed technology arrangements totaling </w:t>
      </w:r>
      <w:r>
        <w:rPr>
          <w:rFonts w:ascii="Arial" w:eastAsia="宋体" w:hAnsi="Arial" w:cs="Arial"/>
          <w:color w:val="333333"/>
          <w:sz w:val="18"/>
          <w:szCs w:val="18"/>
        </w:rPr>
        <w:t>$634 million</w:t>
      </w:r>
      <w:r>
        <w:rPr>
          <w:rFonts w:ascii="Arial" w:eastAsia="宋体" w:hAnsi="Arial" w:cs="Arial"/>
          <w:color w:val="262626"/>
          <w:sz w:val="18"/>
          <w:szCs w:val="18"/>
        </w:rPr>
        <w:t>, which are subject to amortization.</w:t>
      </w:r>
    </w:p>
    <w:p w14:paraId="5A1B2439" w14:textId="77777777" w:rsidR="00960BB8" w:rsidRDefault="00C06650">
      <w:pPr>
        <w:spacing w:after="120"/>
      </w:pPr>
      <w:r>
        <w:rPr>
          <w:rFonts w:ascii="Arial" w:eastAsia="宋体" w:hAnsi="Arial" w:cs="Arial"/>
          <w:color w:val="262626"/>
          <w:sz w:val="18"/>
          <w:szCs w:val="18"/>
        </w:rPr>
        <w:t>Amortization expenses recorded for identified intangible assets in the Consolidated Statements of Income for each period and</w:t>
      </w:r>
      <w:r>
        <w:rPr>
          <w:rFonts w:ascii="Arial" w:eastAsia="宋体" w:hAnsi="Arial" w:cs="Arial"/>
          <w:color w:val="262626"/>
          <w:sz w:val="18"/>
          <w:szCs w:val="18"/>
        </w:rPr>
        <w:t xml:space="preserve"> the weighted average useful life were as follows:</w:t>
      </w:r>
    </w:p>
    <w:tbl>
      <w:tblPr>
        <w:tblW w:w="4986" w:type="pct"/>
        <w:jc w:val="center"/>
        <w:tblCellMar>
          <w:top w:w="15" w:type="dxa"/>
          <w:left w:w="15" w:type="dxa"/>
          <w:bottom w:w="15" w:type="dxa"/>
          <w:right w:w="15" w:type="dxa"/>
        </w:tblCellMar>
        <w:tblLook w:val="04A0" w:firstRow="1" w:lastRow="0" w:firstColumn="1" w:lastColumn="0" w:noHBand="0" w:noVBand="1"/>
      </w:tblPr>
      <w:tblGrid>
        <w:gridCol w:w="43"/>
        <w:gridCol w:w="2193"/>
        <w:gridCol w:w="39"/>
        <w:gridCol w:w="36"/>
        <w:gridCol w:w="36"/>
        <w:gridCol w:w="36"/>
        <w:gridCol w:w="52"/>
        <w:gridCol w:w="1692"/>
        <w:gridCol w:w="36"/>
        <w:gridCol w:w="36"/>
        <w:gridCol w:w="36"/>
        <w:gridCol w:w="36"/>
        <w:gridCol w:w="121"/>
        <w:gridCol w:w="789"/>
        <w:gridCol w:w="36"/>
        <w:gridCol w:w="36"/>
        <w:gridCol w:w="36"/>
        <w:gridCol w:w="36"/>
        <w:gridCol w:w="121"/>
        <w:gridCol w:w="789"/>
        <w:gridCol w:w="36"/>
        <w:gridCol w:w="36"/>
        <w:gridCol w:w="36"/>
        <w:gridCol w:w="36"/>
        <w:gridCol w:w="121"/>
        <w:gridCol w:w="789"/>
        <w:gridCol w:w="36"/>
        <w:gridCol w:w="36"/>
        <w:gridCol w:w="36"/>
        <w:gridCol w:w="36"/>
        <w:gridCol w:w="74"/>
        <w:gridCol w:w="770"/>
        <w:gridCol w:w="36"/>
      </w:tblGrid>
      <w:tr w:rsidR="00960BB8" w14:paraId="5A1B245B" w14:textId="77777777">
        <w:trPr>
          <w:jc w:val="center"/>
        </w:trPr>
        <w:tc>
          <w:tcPr>
            <w:tcW w:w="50" w:type="pct"/>
            <w:shd w:val="clear" w:color="auto" w:fill="auto"/>
            <w:vAlign w:val="bottom"/>
          </w:tcPr>
          <w:p w14:paraId="5A1B243A" w14:textId="77777777" w:rsidR="00960BB8" w:rsidRDefault="00960BB8">
            <w:pPr>
              <w:rPr>
                <w:rFonts w:ascii="宋体"/>
              </w:rPr>
            </w:pPr>
          </w:p>
        </w:tc>
        <w:tc>
          <w:tcPr>
            <w:tcW w:w="1342" w:type="pct"/>
            <w:shd w:val="clear" w:color="auto" w:fill="auto"/>
            <w:vAlign w:val="bottom"/>
          </w:tcPr>
          <w:p w14:paraId="5A1B243B" w14:textId="77777777" w:rsidR="00960BB8" w:rsidRDefault="00960BB8">
            <w:pPr>
              <w:rPr>
                <w:rFonts w:ascii="宋体"/>
              </w:rPr>
            </w:pPr>
          </w:p>
        </w:tc>
        <w:tc>
          <w:tcPr>
            <w:tcW w:w="5" w:type="pct"/>
            <w:shd w:val="clear" w:color="auto" w:fill="auto"/>
            <w:vAlign w:val="bottom"/>
          </w:tcPr>
          <w:p w14:paraId="5A1B243C" w14:textId="77777777" w:rsidR="00960BB8" w:rsidRDefault="00960BB8">
            <w:pPr>
              <w:rPr>
                <w:rFonts w:ascii="宋体"/>
              </w:rPr>
            </w:pPr>
          </w:p>
        </w:tc>
        <w:tc>
          <w:tcPr>
            <w:tcW w:w="5" w:type="pct"/>
            <w:shd w:val="clear" w:color="auto" w:fill="auto"/>
            <w:vAlign w:val="bottom"/>
          </w:tcPr>
          <w:p w14:paraId="5A1B243D" w14:textId="77777777" w:rsidR="00960BB8" w:rsidRDefault="00960BB8">
            <w:pPr>
              <w:rPr>
                <w:rFonts w:ascii="宋体"/>
              </w:rPr>
            </w:pPr>
          </w:p>
        </w:tc>
        <w:tc>
          <w:tcPr>
            <w:tcW w:w="24" w:type="pct"/>
            <w:shd w:val="clear" w:color="auto" w:fill="auto"/>
            <w:vAlign w:val="bottom"/>
          </w:tcPr>
          <w:p w14:paraId="5A1B243E" w14:textId="77777777" w:rsidR="00960BB8" w:rsidRDefault="00960BB8">
            <w:pPr>
              <w:rPr>
                <w:rFonts w:ascii="宋体"/>
              </w:rPr>
            </w:pPr>
          </w:p>
        </w:tc>
        <w:tc>
          <w:tcPr>
            <w:tcW w:w="5" w:type="pct"/>
            <w:shd w:val="clear" w:color="auto" w:fill="auto"/>
            <w:vAlign w:val="bottom"/>
          </w:tcPr>
          <w:p w14:paraId="5A1B243F" w14:textId="77777777" w:rsidR="00960BB8" w:rsidRDefault="00960BB8">
            <w:pPr>
              <w:rPr>
                <w:rFonts w:ascii="宋体"/>
              </w:rPr>
            </w:pPr>
          </w:p>
        </w:tc>
        <w:tc>
          <w:tcPr>
            <w:tcW w:w="50" w:type="pct"/>
            <w:shd w:val="clear" w:color="auto" w:fill="auto"/>
            <w:vAlign w:val="bottom"/>
          </w:tcPr>
          <w:p w14:paraId="5A1B2440" w14:textId="77777777" w:rsidR="00960BB8" w:rsidRDefault="00960BB8">
            <w:pPr>
              <w:rPr>
                <w:rFonts w:ascii="宋体"/>
              </w:rPr>
            </w:pPr>
          </w:p>
        </w:tc>
        <w:tc>
          <w:tcPr>
            <w:tcW w:w="1068" w:type="pct"/>
            <w:shd w:val="clear" w:color="auto" w:fill="auto"/>
            <w:vAlign w:val="bottom"/>
          </w:tcPr>
          <w:p w14:paraId="5A1B2441" w14:textId="77777777" w:rsidR="00960BB8" w:rsidRDefault="00960BB8">
            <w:pPr>
              <w:rPr>
                <w:rFonts w:ascii="宋体"/>
              </w:rPr>
            </w:pPr>
          </w:p>
        </w:tc>
        <w:tc>
          <w:tcPr>
            <w:tcW w:w="5" w:type="pct"/>
            <w:shd w:val="clear" w:color="auto" w:fill="auto"/>
            <w:vAlign w:val="bottom"/>
          </w:tcPr>
          <w:p w14:paraId="5A1B2442" w14:textId="77777777" w:rsidR="00960BB8" w:rsidRDefault="00960BB8">
            <w:pPr>
              <w:rPr>
                <w:rFonts w:ascii="宋体"/>
              </w:rPr>
            </w:pPr>
          </w:p>
        </w:tc>
        <w:tc>
          <w:tcPr>
            <w:tcW w:w="5" w:type="pct"/>
            <w:shd w:val="clear" w:color="auto" w:fill="auto"/>
            <w:vAlign w:val="bottom"/>
          </w:tcPr>
          <w:p w14:paraId="5A1B2443" w14:textId="77777777" w:rsidR="00960BB8" w:rsidRDefault="00960BB8">
            <w:pPr>
              <w:rPr>
                <w:rFonts w:ascii="宋体"/>
              </w:rPr>
            </w:pPr>
          </w:p>
        </w:tc>
        <w:tc>
          <w:tcPr>
            <w:tcW w:w="24" w:type="pct"/>
            <w:shd w:val="clear" w:color="auto" w:fill="auto"/>
            <w:vAlign w:val="bottom"/>
          </w:tcPr>
          <w:p w14:paraId="5A1B2444" w14:textId="77777777" w:rsidR="00960BB8" w:rsidRDefault="00960BB8">
            <w:pPr>
              <w:rPr>
                <w:rFonts w:ascii="宋体"/>
              </w:rPr>
            </w:pPr>
          </w:p>
        </w:tc>
        <w:tc>
          <w:tcPr>
            <w:tcW w:w="5" w:type="pct"/>
            <w:shd w:val="clear" w:color="auto" w:fill="auto"/>
            <w:vAlign w:val="bottom"/>
          </w:tcPr>
          <w:p w14:paraId="5A1B2445" w14:textId="77777777" w:rsidR="00960BB8" w:rsidRDefault="00960BB8">
            <w:pPr>
              <w:rPr>
                <w:rFonts w:ascii="宋体"/>
              </w:rPr>
            </w:pPr>
          </w:p>
        </w:tc>
        <w:tc>
          <w:tcPr>
            <w:tcW w:w="50" w:type="pct"/>
            <w:shd w:val="clear" w:color="auto" w:fill="auto"/>
            <w:vAlign w:val="bottom"/>
          </w:tcPr>
          <w:p w14:paraId="5A1B2446" w14:textId="77777777" w:rsidR="00960BB8" w:rsidRDefault="00960BB8">
            <w:pPr>
              <w:rPr>
                <w:rFonts w:ascii="宋体"/>
              </w:rPr>
            </w:pPr>
          </w:p>
        </w:tc>
        <w:tc>
          <w:tcPr>
            <w:tcW w:w="520" w:type="pct"/>
            <w:shd w:val="clear" w:color="auto" w:fill="auto"/>
            <w:vAlign w:val="bottom"/>
          </w:tcPr>
          <w:p w14:paraId="5A1B2447" w14:textId="77777777" w:rsidR="00960BB8" w:rsidRDefault="00960BB8">
            <w:pPr>
              <w:rPr>
                <w:rFonts w:ascii="宋体"/>
              </w:rPr>
            </w:pPr>
          </w:p>
        </w:tc>
        <w:tc>
          <w:tcPr>
            <w:tcW w:w="5" w:type="pct"/>
            <w:shd w:val="clear" w:color="auto" w:fill="auto"/>
            <w:vAlign w:val="bottom"/>
          </w:tcPr>
          <w:p w14:paraId="5A1B2448" w14:textId="77777777" w:rsidR="00960BB8" w:rsidRDefault="00960BB8">
            <w:pPr>
              <w:rPr>
                <w:rFonts w:ascii="宋体"/>
              </w:rPr>
            </w:pPr>
          </w:p>
        </w:tc>
        <w:tc>
          <w:tcPr>
            <w:tcW w:w="5" w:type="pct"/>
            <w:shd w:val="clear" w:color="auto" w:fill="auto"/>
            <w:vAlign w:val="bottom"/>
          </w:tcPr>
          <w:p w14:paraId="5A1B2449" w14:textId="77777777" w:rsidR="00960BB8" w:rsidRDefault="00960BB8">
            <w:pPr>
              <w:rPr>
                <w:rFonts w:ascii="宋体"/>
              </w:rPr>
            </w:pPr>
          </w:p>
        </w:tc>
        <w:tc>
          <w:tcPr>
            <w:tcW w:w="24" w:type="pct"/>
            <w:shd w:val="clear" w:color="auto" w:fill="auto"/>
            <w:vAlign w:val="bottom"/>
          </w:tcPr>
          <w:p w14:paraId="5A1B244A" w14:textId="77777777" w:rsidR="00960BB8" w:rsidRDefault="00960BB8">
            <w:pPr>
              <w:rPr>
                <w:rFonts w:ascii="宋体"/>
              </w:rPr>
            </w:pPr>
          </w:p>
        </w:tc>
        <w:tc>
          <w:tcPr>
            <w:tcW w:w="5" w:type="pct"/>
            <w:shd w:val="clear" w:color="auto" w:fill="auto"/>
            <w:vAlign w:val="bottom"/>
          </w:tcPr>
          <w:p w14:paraId="5A1B244B" w14:textId="77777777" w:rsidR="00960BB8" w:rsidRDefault="00960BB8">
            <w:pPr>
              <w:rPr>
                <w:rFonts w:ascii="宋体"/>
              </w:rPr>
            </w:pPr>
          </w:p>
        </w:tc>
        <w:tc>
          <w:tcPr>
            <w:tcW w:w="50" w:type="pct"/>
            <w:shd w:val="clear" w:color="auto" w:fill="auto"/>
            <w:vAlign w:val="bottom"/>
          </w:tcPr>
          <w:p w14:paraId="5A1B244C" w14:textId="77777777" w:rsidR="00960BB8" w:rsidRDefault="00960BB8">
            <w:pPr>
              <w:rPr>
                <w:rFonts w:ascii="宋体"/>
              </w:rPr>
            </w:pPr>
          </w:p>
        </w:tc>
        <w:tc>
          <w:tcPr>
            <w:tcW w:w="520" w:type="pct"/>
            <w:shd w:val="clear" w:color="auto" w:fill="auto"/>
            <w:vAlign w:val="bottom"/>
          </w:tcPr>
          <w:p w14:paraId="5A1B244D" w14:textId="77777777" w:rsidR="00960BB8" w:rsidRDefault="00960BB8">
            <w:pPr>
              <w:rPr>
                <w:rFonts w:ascii="宋体"/>
              </w:rPr>
            </w:pPr>
          </w:p>
        </w:tc>
        <w:tc>
          <w:tcPr>
            <w:tcW w:w="5" w:type="pct"/>
            <w:shd w:val="clear" w:color="auto" w:fill="auto"/>
            <w:vAlign w:val="bottom"/>
          </w:tcPr>
          <w:p w14:paraId="5A1B244E" w14:textId="77777777" w:rsidR="00960BB8" w:rsidRDefault="00960BB8">
            <w:pPr>
              <w:rPr>
                <w:rFonts w:ascii="宋体"/>
              </w:rPr>
            </w:pPr>
          </w:p>
        </w:tc>
        <w:tc>
          <w:tcPr>
            <w:tcW w:w="5" w:type="pct"/>
            <w:shd w:val="clear" w:color="auto" w:fill="auto"/>
            <w:vAlign w:val="bottom"/>
          </w:tcPr>
          <w:p w14:paraId="5A1B244F" w14:textId="77777777" w:rsidR="00960BB8" w:rsidRDefault="00960BB8">
            <w:pPr>
              <w:rPr>
                <w:rFonts w:ascii="宋体"/>
              </w:rPr>
            </w:pPr>
          </w:p>
        </w:tc>
        <w:tc>
          <w:tcPr>
            <w:tcW w:w="24" w:type="pct"/>
            <w:shd w:val="clear" w:color="auto" w:fill="auto"/>
            <w:vAlign w:val="bottom"/>
          </w:tcPr>
          <w:p w14:paraId="5A1B2450" w14:textId="77777777" w:rsidR="00960BB8" w:rsidRDefault="00960BB8">
            <w:pPr>
              <w:rPr>
                <w:rFonts w:ascii="宋体"/>
              </w:rPr>
            </w:pPr>
          </w:p>
        </w:tc>
        <w:tc>
          <w:tcPr>
            <w:tcW w:w="5" w:type="pct"/>
            <w:shd w:val="clear" w:color="auto" w:fill="auto"/>
            <w:vAlign w:val="bottom"/>
          </w:tcPr>
          <w:p w14:paraId="5A1B2451" w14:textId="77777777" w:rsidR="00960BB8" w:rsidRDefault="00960BB8">
            <w:pPr>
              <w:rPr>
                <w:rFonts w:ascii="宋体"/>
              </w:rPr>
            </w:pPr>
          </w:p>
        </w:tc>
        <w:tc>
          <w:tcPr>
            <w:tcW w:w="50" w:type="pct"/>
            <w:shd w:val="clear" w:color="auto" w:fill="auto"/>
            <w:vAlign w:val="bottom"/>
          </w:tcPr>
          <w:p w14:paraId="5A1B2452" w14:textId="77777777" w:rsidR="00960BB8" w:rsidRDefault="00960BB8">
            <w:pPr>
              <w:rPr>
                <w:rFonts w:ascii="宋体"/>
              </w:rPr>
            </w:pPr>
          </w:p>
        </w:tc>
        <w:tc>
          <w:tcPr>
            <w:tcW w:w="520" w:type="pct"/>
            <w:shd w:val="clear" w:color="auto" w:fill="auto"/>
            <w:vAlign w:val="bottom"/>
          </w:tcPr>
          <w:p w14:paraId="5A1B2453" w14:textId="77777777" w:rsidR="00960BB8" w:rsidRDefault="00960BB8">
            <w:pPr>
              <w:rPr>
                <w:rFonts w:ascii="宋体"/>
              </w:rPr>
            </w:pPr>
          </w:p>
        </w:tc>
        <w:tc>
          <w:tcPr>
            <w:tcW w:w="5" w:type="pct"/>
            <w:shd w:val="clear" w:color="auto" w:fill="auto"/>
            <w:vAlign w:val="bottom"/>
          </w:tcPr>
          <w:p w14:paraId="5A1B2454" w14:textId="77777777" w:rsidR="00960BB8" w:rsidRDefault="00960BB8">
            <w:pPr>
              <w:rPr>
                <w:rFonts w:ascii="宋体"/>
              </w:rPr>
            </w:pPr>
          </w:p>
        </w:tc>
        <w:tc>
          <w:tcPr>
            <w:tcW w:w="5" w:type="pct"/>
            <w:shd w:val="clear" w:color="auto" w:fill="auto"/>
            <w:vAlign w:val="bottom"/>
          </w:tcPr>
          <w:p w14:paraId="5A1B2455" w14:textId="77777777" w:rsidR="00960BB8" w:rsidRDefault="00960BB8">
            <w:pPr>
              <w:rPr>
                <w:rFonts w:ascii="宋体"/>
              </w:rPr>
            </w:pPr>
          </w:p>
        </w:tc>
        <w:tc>
          <w:tcPr>
            <w:tcW w:w="24" w:type="pct"/>
            <w:shd w:val="clear" w:color="auto" w:fill="auto"/>
            <w:vAlign w:val="bottom"/>
          </w:tcPr>
          <w:p w14:paraId="5A1B2456" w14:textId="77777777" w:rsidR="00960BB8" w:rsidRDefault="00960BB8">
            <w:pPr>
              <w:rPr>
                <w:rFonts w:ascii="宋体"/>
              </w:rPr>
            </w:pPr>
          </w:p>
        </w:tc>
        <w:tc>
          <w:tcPr>
            <w:tcW w:w="5" w:type="pct"/>
            <w:shd w:val="clear" w:color="auto" w:fill="auto"/>
            <w:vAlign w:val="bottom"/>
          </w:tcPr>
          <w:p w14:paraId="5A1B2457" w14:textId="77777777" w:rsidR="00960BB8" w:rsidRDefault="00960BB8">
            <w:pPr>
              <w:rPr>
                <w:rFonts w:ascii="宋体"/>
              </w:rPr>
            </w:pPr>
          </w:p>
        </w:tc>
        <w:tc>
          <w:tcPr>
            <w:tcW w:w="50" w:type="pct"/>
            <w:shd w:val="clear" w:color="auto" w:fill="auto"/>
            <w:vAlign w:val="bottom"/>
          </w:tcPr>
          <w:p w14:paraId="5A1B2458" w14:textId="77777777" w:rsidR="00960BB8" w:rsidRDefault="00960BB8">
            <w:pPr>
              <w:rPr>
                <w:rFonts w:ascii="宋体"/>
              </w:rPr>
            </w:pPr>
          </w:p>
        </w:tc>
        <w:tc>
          <w:tcPr>
            <w:tcW w:w="527" w:type="pct"/>
            <w:shd w:val="clear" w:color="auto" w:fill="auto"/>
            <w:vAlign w:val="bottom"/>
          </w:tcPr>
          <w:p w14:paraId="5A1B2459" w14:textId="77777777" w:rsidR="00960BB8" w:rsidRDefault="00960BB8">
            <w:pPr>
              <w:rPr>
                <w:rFonts w:ascii="宋体"/>
              </w:rPr>
            </w:pPr>
          </w:p>
        </w:tc>
        <w:tc>
          <w:tcPr>
            <w:tcW w:w="5" w:type="pct"/>
            <w:shd w:val="clear" w:color="auto" w:fill="auto"/>
            <w:vAlign w:val="bottom"/>
          </w:tcPr>
          <w:p w14:paraId="5A1B245A" w14:textId="77777777" w:rsidR="00960BB8" w:rsidRDefault="00960BB8">
            <w:pPr>
              <w:rPr>
                <w:rFonts w:ascii="宋体"/>
              </w:rPr>
            </w:pPr>
          </w:p>
        </w:tc>
      </w:tr>
      <w:tr w:rsidR="00960BB8" w14:paraId="5A1B2467" w14:textId="77777777">
        <w:trPr>
          <w:jc w:val="center"/>
        </w:trPr>
        <w:tc>
          <w:tcPr>
            <w:tcW w:w="0" w:type="auto"/>
            <w:gridSpan w:val="3"/>
            <w:shd w:val="clear" w:color="auto" w:fill="auto"/>
            <w:tcMar>
              <w:top w:w="40" w:type="dxa"/>
              <w:left w:w="20" w:type="dxa"/>
              <w:bottom w:w="40" w:type="dxa"/>
              <w:right w:w="20" w:type="dxa"/>
            </w:tcMar>
            <w:vAlign w:val="bottom"/>
          </w:tcPr>
          <w:p w14:paraId="5A1B245C" w14:textId="77777777" w:rsidR="00960BB8" w:rsidRDefault="00C06650">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5A1B245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5E" w14:textId="77777777" w:rsidR="00960BB8" w:rsidRDefault="00C06650">
            <w:pPr>
              <w:jc w:val="center"/>
              <w:textAlignment w:val="bottom"/>
            </w:pPr>
            <w:r>
              <w:rPr>
                <w:rFonts w:ascii="Arial" w:eastAsia="宋体" w:hAnsi="Arial" w:cs="Arial"/>
                <w:b/>
                <w:bCs/>
                <w:color w:val="262626"/>
                <w:sz w:val="18"/>
                <w:szCs w:val="18"/>
              </w:rPr>
              <w:t>Location</w:t>
            </w:r>
          </w:p>
        </w:tc>
        <w:tc>
          <w:tcPr>
            <w:tcW w:w="0" w:type="auto"/>
            <w:gridSpan w:val="3"/>
            <w:shd w:val="clear" w:color="auto" w:fill="auto"/>
            <w:tcMar>
              <w:top w:w="0" w:type="dxa"/>
              <w:left w:w="20" w:type="dxa"/>
              <w:bottom w:w="0" w:type="dxa"/>
              <w:right w:w="20" w:type="dxa"/>
            </w:tcMar>
            <w:vAlign w:val="bottom"/>
          </w:tcPr>
          <w:p w14:paraId="5A1B245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60"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246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62"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246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64" w14:textId="77777777" w:rsidR="00960BB8" w:rsidRDefault="00C06650">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5A1B246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66" w14:textId="77777777" w:rsidR="00960BB8" w:rsidRDefault="00C06650">
            <w:pPr>
              <w:jc w:val="center"/>
              <w:textAlignment w:val="bottom"/>
            </w:pPr>
            <w:r>
              <w:rPr>
                <w:rFonts w:ascii="Arial" w:eastAsia="宋体" w:hAnsi="Arial" w:cs="Arial"/>
                <w:b/>
                <w:bCs/>
                <w:color w:val="262626"/>
                <w:sz w:val="18"/>
                <w:szCs w:val="18"/>
              </w:rPr>
              <w:t>Weighted Average Useful Life</w:t>
            </w:r>
            <w:r>
              <w:rPr>
                <w:rFonts w:ascii="Arial" w:eastAsia="宋体" w:hAnsi="Arial" w:cs="Arial"/>
                <w:b/>
                <w:bCs/>
                <w:color w:val="262626"/>
                <w:sz w:val="11"/>
                <w:szCs w:val="11"/>
              </w:rPr>
              <w:t>1</w:t>
            </w:r>
          </w:p>
        </w:tc>
      </w:tr>
      <w:tr w:rsidR="00960BB8" w14:paraId="5A1B2479"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468" w14:textId="77777777" w:rsidR="00960BB8" w:rsidRDefault="00C06650">
            <w:pPr>
              <w:textAlignment w:val="bottom"/>
            </w:pPr>
            <w:r>
              <w:rPr>
                <w:rFonts w:ascii="Arial" w:eastAsia="宋体" w:hAnsi="Arial" w:cs="Arial"/>
                <w:color w:val="262626"/>
                <w:sz w:val="18"/>
                <w:szCs w:val="18"/>
              </w:rPr>
              <w:t>Developed technology</w:t>
            </w:r>
          </w:p>
        </w:tc>
        <w:tc>
          <w:tcPr>
            <w:tcW w:w="0" w:type="auto"/>
            <w:gridSpan w:val="3"/>
            <w:shd w:val="clear" w:color="auto" w:fill="auto"/>
            <w:tcMar>
              <w:top w:w="0" w:type="dxa"/>
              <w:left w:w="20" w:type="dxa"/>
              <w:bottom w:w="0" w:type="dxa"/>
              <w:right w:w="20" w:type="dxa"/>
            </w:tcMar>
            <w:vAlign w:val="bottom"/>
          </w:tcPr>
          <w:p w14:paraId="5A1B2469"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46A" w14:textId="77777777" w:rsidR="00960BB8" w:rsidRDefault="00C06650">
            <w:pPr>
              <w:textAlignment w:val="bottom"/>
            </w:pPr>
            <w:r>
              <w:rPr>
                <w:rFonts w:ascii="Arial" w:eastAsia="宋体" w:hAnsi="Arial" w:cs="Arial"/>
                <w:color w:val="262626"/>
                <w:sz w:val="18"/>
                <w:szCs w:val="18"/>
              </w:rPr>
              <w:t xml:space="preserve">Cost of </w:t>
            </w:r>
            <w:r>
              <w:rPr>
                <w:rFonts w:ascii="Arial" w:eastAsia="宋体" w:hAnsi="Arial" w:cs="Arial"/>
                <w:color w:val="262626"/>
                <w:sz w:val="18"/>
                <w:szCs w:val="18"/>
              </w:rPr>
              <w:t>sales</w:t>
            </w:r>
          </w:p>
        </w:tc>
        <w:tc>
          <w:tcPr>
            <w:tcW w:w="0" w:type="auto"/>
            <w:gridSpan w:val="3"/>
            <w:shd w:val="clear" w:color="auto" w:fill="auto"/>
            <w:tcMar>
              <w:top w:w="0" w:type="dxa"/>
              <w:left w:w="20" w:type="dxa"/>
              <w:bottom w:w="0" w:type="dxa"/>
              <w:right w:w="20" w:type="dxa"/>
            </w:tcMar>
            <w:vAlign w:val="bottom"/>
          </w:tcPr>
          <w:p w14:paraId="5A1B246B"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46C"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46D" w14:textId="77777777" w:rsidR="00960BB8" w:rsidRDefault="00C06650">
            <w:pPr>
              <w:jc w:val="right"/>
              <w:textAlignment w:val="bottom"/>
            </w:pPr>
            <w:r>
              <w:rPr>
                <w:rFonts w:ascii="Arial" w:eastAsia="宋体" w:hAnsi="Arial" w:cs="Arial"/>
                <w:color w:val="0068B5"/>
                <w:sz w:val="18"/>
                <w:szCs w:val="18"/>
              </w:rPr>
              <w:t>1,341 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46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6F"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470"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471" w14:textId="77777777" w:rsidR="00960BB8" w:rsidRDefault="00C06650">
            <w:pPr>
              <w:jc w:val="right"/>
              <w:textAlignment w:val="bottom"/>
            </w:pPr>
            <w:r>
              <w:rPr>
                <w:rFonts w:ascii="Arial" w:eastAsia="宋体" w:hAnsi="Arial" w:cs="Arial"/>
                <w:color w:val="262626"/>
                <w:sz w:val="18"/>
                <w:szCs w:val="18"/>
              </w:rPr>
              <w:t>1,283 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47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7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474"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475" w14:textId="77777777" w:rsidR="00960BB8" w:rsidRDefault="00C06650">
            <w:pPr>
              <w:jc w:val="right"/>
              <w:textAlignment w:val="bottom"/>
            </w:pPr>
            <w:r>
              <w:rPr>
                <w:rFonts w:ascii="Arial" w:eastAsia="宋体" w:hAnsi="Arial" w:cs="Arial"/>
                <w:color w:val="262626"/>
                <w:sz w:val="18"/>
                <w:szCs w:val="18"/>
              </w:rPr>
              <w:t>1,211 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47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77"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478" w14:textId="77777777" w:rsidR="00960BB8" w:rsidRDefault="00C06650">
            <w:pPr>
              <w:jc w:val="center"/>
              <w:textAlignment w:val="bottom"/>
            </w:pPr>
            <w:r>
              <w:rPr>
                <w:rFonts w:ascii="Arial" w:eastAsia="宋体" w:hAnsi="Arial" w:cs="Arial"/>
                <w:color w:val="0068B5"/>
                <w:sz w:val="18"/>
                <w:szCs w:val="18"/>
              </w:rPr>
              <w:t>9 years</w:t>
            </w:r>
          </w:p>
        </w:tc>
      </w:tr>
      <w:tr w:rsidR="00960BB8" w14:paraId="5A1B2488" w14:textId="77777777">
        <w:trPr>
          <w:jc w:val="center"/>
        </w:trPr>
        <w:tc>
          <w:tcPr>
            <w:tcW w:w="0" w:type="auto"/>
            <w:gridSpan w:val="3"/>
            <w:shd w:val="clear" w:color="auto" w:fill="auto"/>
            <w:tcMar>
              <w:top w:w="40" w:type="dxa"/>
              <w:left w:w="20" w:type="dxa"/>
              <w:bottom w:w="40" w:type="dxa"/>
              <w:right w:w="20" w:type="dxa"/>
            </w:tcMar>
          </w:tcPr>
          <w:p w14:paraId="5A1B247A" w14:textId="77777777" w:rsidR="00960BB8" w:rsidRDefault="00C06650">
            <w:pPr>
              <w:textAlignment w:val="top"/>
            </w:pPr>
            <w:r>
              <w:rPr>
                <w:rFonts w:ascii="Arial" w:eastAsia="宋体" w:hAnsi="Arial" w:cs="Arial"/>
                <w:color w:val="262626"/>
                <w:sz w:val="18"/>
                <w:szCs w:val="18"/>
              </w:rPr>
              <w:t>Customer relationships and brands</w:t>
            </w:r>
          </w:p>
        </w:tc>
        <w:tc>
          <w:tcPr>
            <w:tcW w:w="0" w:type="auto"/>
            <w:gridSpan w:val="3"/>
            <w:shd w:val="clear" w:color="auto" w:fill="auto"/>
            <w:tcMar>
              <w:top w:w="0" w:type="dxa"/>
              <w:left w:w="20" w:type="dxa"/>
              <w:bottom w:w="0" w:type="dxa"/>
              <w:right w:w="20" w:type="dxa"/>
            </w:tcMar>
            <w:vAlign w:val="bottom"/>
          </w:tcPr>
          <w:p w14:paraId="5A1B247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7C" w14:textId="77777777" w:rsidR="00960BB8" w:rsidRDefault="00C06650">
            <w:pPr>
              <w:textAlignment w:val="bottom"/>
            </w:pPr>
            <w:r>
              <w:rPr>
                <w:rFonts w:ascii="Arial" w:eastAsia="宋体" w:hAnsi="Arial" w:cs="Arial"/>
                <w:color w:val="262626"/>
                <w:sz w:val="18"/>
                <w:szCs w:val="18"/>
              </w:rPr>
              <w:t xml:space="preserve">Marketing, general and </w:t>
            </w:r>
            <w:r>
              <w:rPr>
                <w:rFonts w:ascii="Arial" w:eastAsia="宋体" w:hAnsi="Arial" w:cs="Arial"/>
                <w:color w:val="262626"/>
                <w:sz w:val="18"/>
                <w:szCs w:val="18"/>
              </w:rPr>
              <w:t>administrative</w:t>
            </w:r>
          </w:p>
        </w:tc>
        <w:tc>
          <w:tcPr>
            <w:tcW w:w="0" w:type="auto"/>
            <w:gridSpan w:val="3"/>
            <w:shd w:val="clear" w:color="auto" w:fill="auto"/>
            <w:tcMar>
              <w:top w:w="0" w:type="dxa"/>
              <w:left w:w="20" w:type="dxa"/>
              <w:bottom w:w="0" w:type="dxa"/>
              <w:right w:w="20" w:type="dxa"/>
            </w:tcMar>
            <w:vAlign w:val="bottom"/>
          </w:tcPr>
          <w:p w14:paraId="5A1B247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47E" w14:textId="77777777" w:rsidR="00960BB8" w:rsidRDefault="00C06650">
            <w:pPr>
              <w:jc w:val="right"/>
              <w:textAlignment w:val="bottom"/>
            </w:pPr>
            <w:r>
              <w:rPr>
                <w:rFonts w:ascii="Arial" w:eastAsia="宋体" w:hAnsi="Arial" w:cs="Arial"/>
                <w:color w:val="0068B5"/>
                <w:sz w:val="18"/>
                <w:szCs w:val="18"/>
              </w:rPr>
              <w:t>185 </w:t>
            </w:r>
          </w:p>
        </w:tc>
        <w:tc>
          <w:tcPr>
            <w:tcW w:w="0" w:type="auto"/>
            <w:shd w:val="clear" w:color="auto" w:fill="auto"/>
            <w:tcMar>
              <w:top w:w="40" w:type="dxa"/>
              <w:left w:w="0" w:type="dxa"/>
              <w:bottom w:w="40" w:type="dxa"/>
              <w:right w:w="20" w:type="dxa"/>
            </w:tcMar>
            <w:vAlign w:val="bottom"/>
          </w:tcPr>
          <w:p w14:paraId="5A1B247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8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481" w14:textId="77777777" w:rsidR="00960BB8" w:rsidRDefault="00C06650">
            <w:pPr>
              <w:jc w:val="right"/>
              <w:textAlignment w:val="bottom"/>
            </w:pPr>
            <w:r>
              <w:rPr>
                <w:rFonts w:ascii="Arial" w:eastAsia="宋体" w:hAnsi="Arial" w:cs="Arial"/>
                <w:color w:val="262626"/>
                <w:sz w:val="18"/>
                <w:szCs w:val="18"/>
              </w:rPr>
              <w:t>209 </w:t>
            </w:r>
          </w:p>
        </w:tc>
        <w:tc>
          <w:tcPr>
            <w:tcW w:w="0" w:type="auto"/>
            <w:shd w:val="clear" w:color="auto" w:fill="auto"/>
            <w:tcMar>
              <w:top w:w="40" w:type="dxa"/>
              <w:left w:w="0" w:type="dxa"/>
              <w:bottom w:w="40" w:type="dxa"/>
              <w:right w:w="20" w:type="dxa"/>
            </w:tcMar>
            <w:vAlign w:val="bottom"/>
          </w:tcPr>
          <w:p w14:paraId="5A1B248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8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484" w14:textId="77777777" w:rsidR="00960BB8" w:rsidRDefault="00C06650">
            <w:pPr>
              <w:jc w:val="right"/>
              <w:textAlignment w:val="bottom"/>
            </w:pPr>
            <w:r>
              <w:rPr>
                <w:rFonts w:ascii="Arial" w:eastAsia="宋体" w:hAnsi="Arial" w:cs="Arial"/>
                <w:color w:val="262626"/>
                <w:sz w:val="18"/>
                <w:szCs w:val="18"/>
              </w:rPr>
              <w:t>205 </w:t>
            </w:r>
          </w:p>
        </w:tc>
        <w:tc>
          <w:tcPr>
            <w:tcW w:w="0" w:type="auto"/>
            <w:shd w:val="clear" w:color="auto" w:fill="auto"/>
            <w:tcMar>
              <w:top w:w="40" w:type="dxa"/>
              <w:left w:w="0" w:type="dxa"/>
              <w:bottom w:w="40" w:type="dxa"/>
              <w:right w:w="20" w:type="dxa"/>
            </w:tcMar>
            <w:vAlign w:val="bottom"/>
          </w:tcPr>
          <w:p w14:paraId="5A1B248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8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87" w14:textId="77777777" w:rsidR="00960BB8" w:rsidRDefault="00C06650">
            <w:pPr>
              <w:jc w:val="center"/>
              <w:textAlignment w:val="bottom"/>
            </w:pPr>
            <w:r>
              <w:rPr>
                <w:rFonts w:ascii="Arial" w:eastAsia="宋体" w:hAnsi="Arial" w:cs="Arial"/>
                <w:color w:val="0068B5"/>
                <w:sz w:val="18"/>
                <w:szCs w:val="18"/>
              </w:rPr>
              <w:t>12 years</w:t>
            </w:r>
          </w:p>
        </w:tc>
      </w:tr>
      <w:tr w:rsidR="00960BB8" w14:paraId="5A1B2497" w14:textId="77777777">
        <w:trPr>
          <w:jc w:val="center"/>
        </w:trPr>
        <w:tc>
          <w:tcPr>
            <w:tcW w:w="0" w:type="auto"/>
            <w:gridSpan w:val="3"/>
            <w:shd w:val="clear" w:color="auto" w:fill="auto"/>
            <w:tcMar>
              <w:top w:w="40" w:type="dxa"/>
              <w:left w:w="20" w:type="dxa"/>
              <w:bottom w:w="40" w:type="dxa"/>
              <w:right w:w="20" w:type="dxa"/>
            </w:tcMar>
            <w:vAlign w:val="bottom"/>
          </w:tcPr>
          <w:p w14:paraId="5A1B2489" w14:textId="77777777" w:rsidR="00960BB8" w:rsidRDefault="00C06650">
            <w:pPr>
              <w:textAlignment w:val="bottom"/>
            </w:pPr>
            <w:r>
              <w:rPr>
                <w:rFonts w:ascii="Arial" w:eastAsia="宋体" w:hAnsi="Arial" w:cs="Arial"/>
                <w:color w:val="262626"/>
                <w:sz w:val="18"/>
                <w:szCs w:val="18"/>
              </w:rPr>
              <w:t>Licensed technology and patents</w:t>
            </w:r>
          </w:p>
        </w:tc>
        <w:tc>
          <w:tcPr>
            <w:tcW w:w="0" w:type="auto"/>
            <w:gridSpan w:val="3"/>
            <w:shd w:val="clear" w:color="auto" w:fill="auto"/>
            <w:tcMar>
              <w:top w:w="0" w:type="dxa"/>
              <w:left w:w="20" w:type="dxa"/>
              <w:bottom w:w="0" w:type="dxa"/>
              <w:right w:w="20" w:type="dxa"/>
            </w:tcMar>
            <w:vAlign w:val="bottom"/>
          </w:tcPr>
          <w:p w14:paraId="5A1B248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8B" w14:textId="77777777" w:rsidR="00960BB8" w:rsidRDefault="00C06650">
            <w:pPr>
              <w:textAlignment w:val="bottom"/>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5A1B248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48D" w14:textId="77777777" w:rsidR="00960BB8" w:rsidRDefault="00C06650">
            <w:pPr>
              <w:jc w:val="right"/>
              <w:textAlignment w:val="bottom"/>
            </w:pPr>
            <w:r>
              <w:rPr>
                <w:rFonts w:ascii="Arial" w:eastAsia="宋体" w:hAnsi="Arial" w:cs="Arial"/>
                <w:color w:val="0068B5"/>
                <w:sz w:val="18"/>
                <w:szCs w:val="18"/>
              </w:rPr>
              <w:t>381 </w:t>
            </w:r>
          </w:p>
        </w:tc>
        <w:tc>
          <w:tcPr>
            <w:tcW w:w="0" w:type="auto"/>
            <w:shd w:val="clear" w:color="auto" w:fill="auto"/>
            <w:tcMar>
              <w:top w:w="40" w:type="dxa"/>
              <w:left w:w="0" w:type="dxa"/>
              <w:bottom w:w="40" w:type="dxa"/>
              <w:right w:w="20" w:type="dxa"/>
            </w:tcMar>
            <w:vAlign w:val="bottom"/>
          </w:tcPr>
          <w:p w14:paraId="5A1B248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8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490" w14:textId="77777777" w:rsidR="00960BB8" w:rsidRDefault="00C06650">
            <w:pPr>
              <w:jc w:val="right"/>
              <w:textAlignment w:val="bottom"/>
            </w:pPr>
            <w:r>
              <w:rPr>
                <w:rFonts w:ascii="Arial" w:eastAsia="宋体" w:hAnsi="Arial" w:cs="Arial"/>
                <w:color w:val="262626"/>
                <w:sz w:val="18"/>
                <w:szCs w:val="18"/>
              </w:rPr>
              <w:t>347 </w:t>
            </w:r>
          </w:p>
        </w:tc>
        <w:tc>
          <w:tcPr>
            <w:tcW w:w="0" w:type="auto"/>
            <w:shd w:val="clear" w:color="auto" w:fill="auto"/>
            <w:tcMar>
              <w:top w:w="40" w:type="dxa"/>
              <w:left w:w="0" w:type="dxa"/>
              <w:bottom w:w="40" w:type="dxa"/>
              <w:right w:w="20" w:type="dxa"/>
            </w:tcMar>
            <w:vAlign w:val="bottom"/>
          </w:tcPr>
          <w:p w14:paraId="5A1B249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9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493" w14:textId="77777777" w:rsidR="00960BB8" w:rsidRDefault="00C06650">
            <w:pPr>
              <w:jc w:val="right"/>
              <w:textAlignment w:val="bottom"/>
            </w:pPr>
            <w:r>
              <w:rPr>
                <w:rFonts w:ascii="Arial" w:eastAsia="宋体" w:hAnsi="Arial" w:cs="Arial"/>
                <w:color w:val="262626"/>
                <w:sz w:val="18"/>
                <w:szCs w:val="18"/>
              </w:rPr>
              <w:t>341 </w:t>
            </w:r>
          </w:p>
        </w:tc>
        <w:tc>
          <w:tcPr>
            <w:tcW w:w="0" w:type="auto"/>
            <w:shd w:val="clear" w:color="auto" w:fill="auto"/>
            <w:tcMar>
              <w:top w:w="40" w:type="dxa"/>
              <w:left w:w="0" w:type="dxa"/>
              <w:bottom w:w="40" w:type="dxa"/>
              <w:right w:w="20" w:type="dxa"/>
            </w:tcMar>
            <w:vAlign w:val="bottom"/>
          </w:tcPr>
          <w:p w14:paraId="5A1B249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9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96" w14:textId="77777777" w:rsidR="00960BB8" w:rsidRDefault="00C06650">
            <w:pPr>
              <w:jc w:val="center"/>
              <w:textAlignment w:val="bottom"/>
            </w:pPr>
            <w:r>
              <w:rPr>
                <w:rFonts w:ascii="Arial" w:eastAsia="宋体" w:hAnsi="Arial" w:cs="Arial"/>
                <w:color w:val="0068B5"/>
                <w:sz w:val="18"/>
                <w:szCs w:val="18"/>
              </w:rPr>
              <w:t>12 years</w:t>
            </w:r>
          </w:p>
        </w:tc>
      </w:tr>
      <w:tr w:rsidR="00960BB8" w14:paraId="5A1B24A9" w14:textId="77777777">
        <w:trPr>
          <w:jc w:val="center"/>
        </w:trPr>
        <w:tc>
          <w:tcPr>
            <w:tcW w:w="0" w:type="auto"/>
            <w:gridSpan w:val="3"/>
            <w:shd w:val="clear" w:color="auto" w:fill="auto"/>
            <w:tcMar>
              <w:top w:w="40" w:type="dxa"/>
              <w:left w:w="20" w:type="dxa"/>
              <w:bottom w:w="40" w:type="dxa"/>
              <w:right w:w="20" w:type="dxa"/>
            </w:tcMar>
            <w:vAlign w:val="bottom"/>
          </w:tcPr>
          <w:p w14:paraId="5A1B2498" w14:textId="77777777" w:rsidR="00960BB8" w:rsidRDefault="00C06650">
            <w:pPr>
              <w:textAlignment w:val="bottom"/>
            </w:pPr>
            <w:r>
              <w:rPr>
                <w:rFonts w:ascii="Arial" w:eastAsia="宋体" w:hAnsi="Arial" w:cs="Arial"/>
                <w:b/>
                <w:bCs/>
                <w:color w:val="262626"/>
                <w:sz w:val="18"/>
                <w:szCs w:val="18"/>
              </w:rPr>
              <w:t>Total amortization expenses</w:t>
            </w:r>
          </w:p>
        </w:tc>
        <w:tc>
          <w:tcPr>
            <w:tcW w:w="0" w:type="auto"/>
            <w:gridSpan w:val="3"/>
            <w:shd w:val="clear" w:color="auto" w:fill="auto"/>
            <w:tcMar>
              <w:top w:w="0" w:type="dxa"/>
              <w:left w:w="20" w:type="dxa"/>
              <w:bottom w:w="0" w:type="dxa"/>
              <w:right w:w="20" w:type="dxa"/>
            </w:tcMar>
            <w:vAlign w:val="bottom"/>
          </w:tcPr>
          <w:p w14:paraId="5A1B249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49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49B"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49C"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49D" w14:textId="77777777" w:rsidR="00960BB8" w:rsidRDefault="00C06650">
            <w:pPr>
              <w:jc w:val="right"/>
              <w:textAlignment w:val="bottom"/>
            </w:pPr>
            <w:r>
              <w:rPr>
                <w:rFonts w:ascii="Arial" w:eastAsia="宋体" w:hAnsi="Arial" w:cs="Arial"/>
                <w:b/>
                <w:bCs/>
                <w:color w:val="0068B5"/>
                <w:sz w:val="18"/>
                <w:szCs w:val="18"/>
              </w:rPr>
              <w:t>1,907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49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9F"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4A0"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4A1" w14:textId="77777777" w:rsidR="00960BB8" w:rsidRDefault="00C06650">
            <w:pPr>
              <w:jc w:val="right"/>
              <w:textAlignment w:val="bottom"/>
            </w:pPr>
            <w:r>
              <w:rPr>
                <w:rFonts w:ascii="Arial" w:eastAsia="宋体" w:hAnsi="Arial" w:cs="Arial"/>
                <w:b/>
                <w:bCs/>
                <w:color w:val="262626"/>
                <w:sz w:val="18"/>
                <w:szCs w:val="18"/>
              </w:rPr>
              <w:t>1,839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4A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A3"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4A4"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4A5" w14:textId="77777777" w:rsidR="00960BB8" w:rsidRDefault="00C06650">
            <w:pPr>
              <w:jc w:val="right"/>
              <w:textAlignment w:val="bottom"/>
            </w:pPr>
            <w:r>
              <w:rPr>
                <w:rFonts w:ascii="Arial" w:eastAsia="宋体" w:hAnsi="Arial" w:cs="Arial"/>
                <w:b/>
                <w:bCs/>
                <w:color w:val="262626"/>
                <w:sz w:val="18"/>
                <w:szCs w:val="18"/>
              </w:rPr>
              <w:t>1,757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4A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4A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4A8" w14:textId="77777777" w:rsidR="00960BB8" w:rsidRDefault="00960BB8">
            <w:pPr>
              <w:rPr>
                <w:rFonts w:ascii="宋体"/>
              </w:rPr>
            </w:pPr>
          </w:p>
        </w:tc>
      </w:tr>
    </w:tbl>
    <w:p w14:paraId="5A1B24AA" w14:textId="77777777" w:rsidR="00960BB8" w:rsidRDefault="00C06650">
      <w:pPr>
        <w:spacing w:before="20" w:after="120"/>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 xml:space="preserve">Represents weighted average useful life in years of intangible assets as of December 31, 2022. </w:t>
      </w:r>
    </w:p>
    <w:p w14:paraId="5A1B24AB" w14:textId="77777777" w:rsidR="00960BB8" w:rsidRDefault="00C06650">
      <w:pPr>
        <w:spacing w:before="180" w:after="120"/>
      </w:pPr>
      <w:r>
        <w:rPr>
          <w:rFonts w:ascii="Arial" w:eastAsia="宋体" w:hAnsi="Arial" w:cs="Arial"/>
          <w:color w:val="262626"/>
          <w:sz w:val="18"/>
          <w:szCs w:val="18"/>
        </w:rPr>
        <w:t>We expect future amortization expense for th</w:t>
      </w:r>
      <w:r>
        <w:rPr>
          <w:rFonts w:ascii="Arial" w:eastAsia="宋体" w:hAnsi="Arial" w:cs="Arial"/>
          <w:color w:val="262626"/>
          <w:sz w:val="18"/>
          <w:szCs w:val="18"/>
        </w:rPr>
        <w:t>e next five years and thereafter to be as follows:</w:t>
      </w:r>
    </w:p>
    <w:tbl>
      <w:tblPr>
        <w:tblW w:w="4986" w:type="pct"/>
        <w:jc w:val="center"/>
        <w:tblCellMar>
          <w:top w:w="15" w:type="dxa"/>
          <w:left w:w="15" w:type="dxa"/>
          <w:bottom w:w="15" w:type="dxa"/>
          <w:right w:w="15" w:type="dxa"/>
        </w:tblCellMar>
        <w:tblLook w:val="04A0" w:firstRow="1" w:lastRow="0" w:firstColumn="1" w:lastColumn="0" w:noHBand="0" w:noVBand="1"/>
      </w:tblPr>
      <w:tblGrid>
        <w:gridCol w:w="38"/>
        <w:gridCol w:w="2315"/>
        <w:gridCol w:w="36"/>
        <w:gridCol w:w="36"/>
        <w:gridCol w:w="36"/>
        <w:gridCol w:w="36"/>
        <w:gridCol w:w="121"/>
        <w:gridCol w:w="550"/>
        <w:gridCol w:w="36"/>
        <w:gridCol w:w="36"/>
        <w:gridCol w:w="36"/>
        <w:gridCol w:w="36"/>
        <w:gridCol w:w="121"/>
        <w:gridCol w:w="551"/>
        <w:gridCol w:w="36"/>
        <w:gridCol w:w="36"/>
        <w:gridCol w:w="36"/>
        <w:gridCol w:w="36"/>
        <w:gridCol w:w="121"/>
        <w:gridCol w:w="551"/>
        <w:gridCol w:w="36"/>
        <w:gridCol w:w="36"/>
        <w:gridCol w:w="36"/>
        <w:gridCol w:w="36"/>
        <w:gridCol w:w="121"/>
        <w:gridCol w:w="551"/>
        <w:gridCol w:w="36"/>
        <w:gridCol w:w="36"/>
        <w:gridCol w:w="36"/>
        <w:gridCol w:w="36"/>
        <w:gridCol w:w="121"/>
        <w:gridCol w:w="552"/>
        <w:gridCol w:w="36"/>
        <w:gridCol w:w="36"/>
        <w:gridCol w:w="36"/>
        <w:gridCol w:w="36"/>
        <w:gridCol w:w="122"/>
        <w:gridCol w:w="812"/>
        <w:gridCol w:w="36"/>
        <w:gridCol w:w="36"/>
        <w:gridCol w:w="36"/>
        <w:gridCol w:w="36"/>
        <w:gridCol w:w="121"/>
        <w:gridCol w:w="501"/>
        <w:gridCol w:w="36"/>
      </w:tblGrid>
      <w:tr w:rsidR="00960BB8" w14:paraId="5A1B24D9" w14:textId="77777777">
        <w:trPr>
          <w:jc w:val="center"/>
        </w:trPr>
        <w:tc>
          <w:tcPr>
            <w:tcW w:w="50" w:type="pct"/>
            <w:shd w:val="clear" w:color="auto" w:fill="auto"/>
            <w:vAlign w:val="bottom"/>
          </w:tcPr>
          <w:p w14:paraId="5A1B24AC" w14:textId="77777777" w:rsidR="00960BB8" w:rsidRDefault="00960BB8">
            <w:pPr>
              <w:rPr>
                <w:rFonts w:ascii="宋体"/>
              </w:rPr>
            </w:pPr>
          </w:p>
        </w:tc>
        <w:tc>
          <w:tcPr>
            <w:tcW w:w="1445" w:type="pct"/>
            <w:shd w:val="clear" w:color="auto" w:fill="auto"/>
            <w:vAlign w:val="bottom"/>
          </w:tcPr>
          <w:p w14:paraId="5A1B24AD" w14:textId="77777777" w:rsidR="00960BB8" w:rsidRDefault="00960BB8">
            <w:pPr>
              <w:rPr>
                <w:rFonts w:ascii="宋体"/>
              </w:rPr>
            </w:pPr>
          </w:p>
        </w:tc>
        <w:tc>
          <w:tcPr>
            <w:tcW w:w="5" w:type="pct"/>
            <w:shd w:val="clear" w:color="auto" w:fill="auto"/>
            <w:vAlign w:val="bottom"/>
          </w:tcPr>
          <w:p w14:paraId="5A1B24AE" w14:textId="77777777" w:rsidR="00960BB8" w:rsidRDefault="00960BB8">
            <w:pPr>
              <w:rPr>
                <w:rFonts w:ascii="宋体"/>
              </w:rPr>
            </w:pPr>
          </w:p>
        </w:tc>
        <w:tc>
          <w:tcPr>
            <w:tcW w:w="5" w:type="pct"/>
            <w:shd w:val="clear" w:color="auto" w:fill="auto"/>
            <w:vAlign w:val="bottom"/>
          </w:tcPr>
          <w:p w14:paraId="5A1B24AF" w14:textId="77777777" w:rsidR="00960BB8" w:rsidRDefault="00960BB8">
            <w:pPr>
              <w:rPr>
                <w:rFonts w:ascii="宋体"/>
              </w:rPr>
            </w:pPr>
          </w:p>
        </w:tc>
        <w:tc>
          <w:tcPr>
            <w:tcW w:w="24" w:type="pct"/>
            <w:shd w:val="clear" w:color="auto" w:fill="auto"/>
            <w:vAlign w:val="bottom"/>
          </w:tcPr>
          <w:p w14:paraId="5A1B24B0" w14:textId="77777777" w:rsidR="00960BB8" w:rsidRDefault="00960BB8">
            <w:pPr>
              <w:rPr>
                <w:rFonts w:ascii="宋体"/>
              </w:rPr>
            </w:pPr>
          </w:p>
        </w:tc>
        <w:tc>
          <w:tcPr>
            <w:tcW w:w="5" w:type="pct"/>
            <w:shd w:val="clear" w:color="auto" w:fill="auto"/>
            <w:vAlign w:val="bottom"/>
          </w:tcPr>
          <w:p w14:paraId="5A1B24B1" w14:textId="77777777" w:rsidR="00960BB8" w:rsidRDefault="00960BB8">
            <w:pPr>
              <w:rPr>
                <w:rFonts w:ascii="宋体"/>
              </w:rPr>
            </w:pPr>
          </w:p>
        </w:tc>
        <w:tc>
          <w:tcPr>
            <w:tcW w:w="50" w:type="pct"/>
            <w:shd w:val="clear" w:color="auto" w:fill="auto"/>
            <w:vAlign w:val="bottom"/>
          </w:tcPr>
          <w:p w14:paraId="5A1B24B2" w14:textId="77777777" w:rsidR="00960BB8" w:rsidRDefault="00960BB8">
            <w:pPr>
              <w:rPr>
                <w:rFonts w:ascii="宋体"/>
              </w:rPr>
            </w:pPr>
          </w:p>
        </w:tc>
        <w:tc>
          <w:tcPr>
            <w:tcW w:w="410" w:type="pct"/>
            <w:shd w:val="clear" w:color="auto" w:fill="auto"/>
            <w:vAlign w:val="bottom"/>
          </w:tcPr>
          <w:p w14:paraId="5A1B24B3" w14:textId="77777777" w:rsidR="00960BB8" w:rsidRDefault="00960BB8">
            <w:pPr>
              <w:rPr>
                <w:rFonts w:ascii="宋体"/>
              </w:rPr>
            </w:pPr>
          </w:p>
        </w:tc>
        <w:tc>
          <w:tcPr>
            <w:tcW w:w="5" w:type="pct"/>
            <w:shd w:val="clear" w:color="auto" w:fill="auto"/>
            <w:vAlign w:val="bottom"/>
          </w:tcPr>
          <w:p w14:paraId="5A1B24B4" w14:textId="77777777" w:rsidR="00960BB8" w:rsidRDefault="00960BB8">
            <w:pPr>
              <w:rPr>
                <w:rFonts w:ascii="宋体"/>
              </w:rPr>
            </w:pPr>
          </w:p>
        </w:tc>
        <w:tc>
          <w:tcPr>
            <w:tcW w:w="5" w:type="pct"/>
            <w:shd w:val="clear" w:color="auto" w:fill="auto"/>
            <w:vAlign w:val="bottom"/>
          </w:tcPr>
          <w:p w14:paraId="5A1B24B5" w14:textId="77777777" w:rsidR="00960BB8" w:rsidRDefault="00960BB8">
            <w:pPr>
              <w:rPr>
                <w:rFonts w:ascii="宋体"/>
              </w:rPr>
            </w:pPr>
          </w:p>
        </w:tc>
        <w:tc>
          <w:tcPr>
            <w:tcW w:w="24" w:type="pct"/>
            <w:shd w:val="clear" w:color="auto" w:fill="auto"/>
            <w:vAlign w:val="bottom"/>
          </w:tcPr>
          <w:p w14:paraId="5A1B24B6" w14:textId="77777777" w:rsidR="00960BB8" w:rsidRDefault="00960BB8">
            <w:pPr>
              <w:rPr>
                <w:rFonts w:ascii="宋体"/>
              </w:rPr>
            </w:pPr>
          </w:p>
        </w:tc>
        <w:tc>
          <w:tcPr>
            <w:tcW w:w="5" w:type="pct"/>
            <w:shd w:val="clear" w:color="auto" w:fill="auto"/>
            <w:vAlign w:val="bottom"/>
          </w:tcPr>
          <w:p w14:paraId="5A1B24B7" w14:textId="77777777" w:rsidR="00960BB8" w:rsidRDefault="00960BB8">
            <w:pPr>
              <w:rPr>
                <w:rFonts w:ascii="宋体"/>
              </w:rPr>
            </w:pPr>
          </w:p>
        </w:tc>
        <w:tc>
          <w:tcPr>
            <w:tcW w:w="50" w:type="pct"/>
            <w:shd w:val="clear" w:color="auto" w:fill="auto"/>
            <w:vAlign w:val="bottom"/>
          </w:tcPr>
          <w:p w14:paraId="5A1B24B8" w14:textId="77777777" w:rsidR="00960BB8" w:rsidRDefault="00960BB8">
            <w:pPr>
              <w:rPr>
                <w:rFonts w:ascii="宋体"/>
              </w:rPr>
            </w:pPr>
          </w:p>
        </w:tc>
        <w:tc>
          <w:tcPr>
            <w:tcW w:w="410" w:type="pct"/>
            <w:shd w:val="clear" w:color="auto" w:fill="auto"/>
            <w:vAlign w:val="bottom"/>
          </w:tcPr>
          <w:p w14:paraId="5A1B24B9" w14:textId="77777777" w:rsidR="00960BB8" w:rsidRDefault="00960BB8">
            <w:pPr>
              <w:rPr>
                <w:rFonts w:ascii="宋体"/>
              </w:rPr>
            </w:pPr>
          </w:p>
        </w:tc>
        <w:tc>
          <w:tcPr>
            <w:tcW w:w="5" w:type="pct"/>
            <w:shd w:val="clear" w:color="auto" w:fill="auto"/>
            <w:vAlign w:val="bottom"/>
          </w:tcPr>
          <w:p w14:paraId="5A1B24BA" w14:textId="77777777" w:rsidR="00960BB8" w:rsidRDefault="00960BB8">
            <w:pPr>
              <w:rPr>
                <w:rFonts w:ascii="宋体"/>
              </w:rPr>
            </w:pPr>
          </w:p>
        </w:tc>
        <w:tc>
          <w:tcPr>
            <w:tcW w:w="5" w:type="pct"/>
            <w:shd w:val="clear" w:color="auto" w:fill="auto"/>
            <w:vAlign w:val="bottom"/>
          </w:tcPr>
          <w:p w14:paraId="5A1B24BB" w14:textId="77777777" w:rsidR="00960BB8" w:rsidRDefault="00960BB8">
            <w:pPr>
              <w:rPr>
                <w:rFonts w:ascii="宋体"/>
              </w:rPr>
            </w:pPr>
          </w:p>
        </w:tc>
        <w:tc>
          <w:tcPr>
            <w:tcW w:w="24" w:type="pct"/>
            <w:shd w:val="clear" w:color="auto" w:fill="auto"/>
            <w:vAlign w:val="bottom"/>
          </w:tcPr>
          <w:p w14:paraId="5A1B24BC" w14:textId="77777777" w:rsidR="00960BB8" w:rsidRDefault="00960BB8">
            <w:pPr>
              <w:rPr>
                <w:rFonts w:ascii="宋体"/>
              </w:rPr>
            </w:pPr>
          </w:p>
        </w:tc>
        <w:tc>
          <w:tcPr>
            <w:tcW w:w="5" w:type="pct"/>
            <w:shd w:val="clear" w:color="auto" w:fill="auto"/>
            <w:vAlign w:val="bottom"/>
          </w:tcPr>
          <w:p w14:paraId="5A1B24BD" w14:textId="77777777" w:rsidR="00960BB8" w:rsidRDefault="00960BB8">
            <w:pPr>
              <w:rPr>
                <w:rFonts w:ascii="宋体"/>
              </w:rPr>
            </w:pPr>
          </w:p>
        </w:tc>
        <w:tc>
          <w:tcPr>
            <w:tcW w:w="50" w:type="pct"/>
            <w:shd w:val="clear" w:color="auto" w:fill="auto"/>
            <w:vAlign w:val="bottom"/>
          </w:tcPr>
          <w:p w14:paraId="5A1B24BE" w14:textId="77777777" w:rsidR="00960BB8" w:rsidRDefault="00960BB8">
            <w:pPr>
              <w:rPr>
                <w:rFonts w:ascii="宋体"/>
              </w:rPr>
            </w:pPr>
          </w:p>
        </w:tc>
        <w:tc>
          <w:tcPr>
            <w:tcW w:w="410" w:type="pct"/>
            <w:shd w:val="clear" w:color="auto" w:fill="auto"/>
            <w:vAlign w:val="bottom"/>
          </w:tcPr>
          <w:p w14:paraId="5A1B24BF" w14:textId="77777777" w:rsidR="00960BB8" w:rsidRDefault="00960BB8">
            <w:pPr>
              <w:rPr>
                <w:rFonts w:ascii="宋体"/>
              </w:rPr>
            </w:pPr>
          </w:p>
        </w:tc>
        <w:tc>
          <w:tcPr>
            <w:tcW w:w="5" w:type="pct"/>
            <w:shd w:val="clear" w:color="auto" w:fill="auto"/>
            <w:vAlign w:val="bottom"/>
          </w:tcPr>
          <w:p w14:paraId="5A1B24C0" w14:textId="77777777" w:rsidR="00960BB8" w:rsidRDefault="00960BB8">
            <w:pPr>
              <w:rPr>
                <w:rFonts w:ascii="宋体"/>
              </w:rPr>
            </w:pPr>
          </w:p>
        </w:tc>
        <w:tc>
          <w:tcPr>
            <w:tcW w:w="5" w:type="pct"/>
            <w:shd w:val="clear" w:color="auto" w:fill="auto"/>
            <w:vAlign w:val="bottom"/>
          </w:tcPr>
          <w:p w14:paraId="5A1B24C1" w14:textId="77777777" w:rsidR="00960BB8" w:rsidRDefault="00960BB8">
            <w:pPr>
              <w:rPr>
                <w:rFonts w:ascii="宋体"/>
              </w:rPr>
            </w:pPr>
          </w:p>
        </w:tc>
        <w:tc>
          <w:tcPr>
            <w:tcW w:w="24" w:type="pct"/>
            <w:shd w:val="clear" w:color="auto" w:fill="auto"/>
            <w:vAlign w:val="bottom"/>
          </w:tcPr>
          <w:p w14:paraId="5A1B24C2" w14:textId="77777777" w:rsidR="00960BB8" w:rsidRDefault="00960BB8">
            <w:pPr>
              <w:rPr>
                <w:rFonts w:ascii="宋体"/>
              </w:rPr>
            </w:pPr>
          </w:p>
        </w:tc>
        <w:tc>
          <w:tcPr>
            <w:tcW w:w="5" w:type="pct"/>
            <w:shd w:val="clear" w:color="auto" w:fill="auto"/>
            <w:vAlign w:val="bottom"/>
          </w:tcPr>
          <w:p w14:paraId="5A1B24C3" w14:textId="77777777" w:rsidR="00960BB8" w:rsidRDefault="00960BB8">
            <w:pPr>
              <w:rPr>
                <w:rFonts w:ascii="宋体"/>
              </w:rPr>
            </w:pPr>
          </w:p>
        </w:tc>
        <w:tc>
          <w:tcPr>
            <w:tcW w:w="50" w:type="pct"/>
            <w:shd w:val="clear" w:color="auto" w:fill="auto"/>
            <w:vAlign w:val="bottom"/>
          </w:tcPr>
          <w:p w14:paraId="5A1B24C4" w14:textId="77777777" w:rsidR="00960BB8" w:rsidRDefault="00960BB8">
            <w:pPr>
              <w:rPr>
                <w:rFonts w:ascii="宋体"/>
              </w:rPr>
            </w:pPr>
          </w:p>
        </w:tc>
        <w:tc>
          <w:tcPr>
            <w:tcW w:w="410" w:type="pct"/>
            <w:shd w:val="clear" w:color="auto" w:fill="auto"/>
            <w:vAlign w:val="bottom"/>
          </w:tcPr>
          <w:p w14:paraId="5A1B24C5" w14:textId="77777777" w:rsidR="00960BB8" w:rsidRDefault="00960BB8">
            <w:pPr>
              <w:rPr>
                <w:rFonts w:ascii="宋体"/>
              </w:rPr>
            </w:pPr>
          </w:p>
        </w:tc>
        <w:tc>
          <w:tcPr>
            <w:tcW w:w="5" w:type="pct"/>
            <w:shd w:val="clear" w:color="auto" w:fill="auto"/>
            <w:vAlign w:val="bottom"/>
          </w:tcPr>
          <w:p w14:paraId="5A1B24C6" w14:textId="77777777" w:rsidR="00960BB8" w:rsidRDefault="00960BB8">
            <w:pPr>
              <w:rPr>
                <w:rFonts w:ascii="宋体"/>
              </w:rPr>
            </w:pPr>
          </w:p>
        </w:tc>
        <w:tc>
          <w:tcPr>
            <w:tcW w:w="5" w:type="pct"/>
            <w:shd w:val="clear" w:color="auto" w:fill="auto"/>
            <w:vAlign w:val="bottom"/>
          </w:tcPr>
          <w:p w14:paraId="5A1B24C7" w14:textId="77777777" w:rsidR="00960BB8" w:rsidRDefault="00960BB8">
            <w:pPr>
              <w:rPr>
                <w:rFonts w:ascii="宋体"/>
              </w:rPr>
            </w:pPr>
          </w:p>
        </w:tc>
        <w:tc>
          <w:tcPr>
            <w:tcW w:w="24" w:type="pct"/>
            <w:shd w:val="clear" w:color="auto" w:fill="auto"/>
            <w:vAlign w:val="bottom"/>
          </w:tcPr>
          <w:p w14:paraId="5A1B24C8" w14:textId="77777777" w:rsidR="00960BB8" w:rsidRDefault="00960BB8">
            <w:pPr>
              <w:rPr>
                <w:rFonts w:ascii="宋体"/>
              </w:rPr>
            </w:pPr>
          </w:p>
        </w:tc>
        <w:tc>
          <w:tcPr>
            <w:tcW w:w="5" w:type="pct"/>
            <w:shd w:val="clear" w:color="auto" w:fill="auto"/>
            <w:vAlign w:val="bottom"/>
          </w:tcPr>
          <w:p w14:paraId="5A1B24C9" w14:textId="77777777" w:rsidR="00960BB8" w:rsidRDefault="00960BB8">
            <w:pPr>
              <w:rPr>
                <w:rFonts w:ascii="宋体"/>
              </w:rPr>
            </w:pPr>
          </w:p>
        </w:tc>
        <w:tc>
          <w:tcPr>
            <w:tcW w:w="50" w:type="pct"/>
            <w:shd w:val="clear" w:color="auto" w:fill="auto"/>
            <w:vAlign w:val="bottom"/>
          </w:tcPr>
          <w:p w14:paraId="5A1B24CA" w14:textId="77777777" w:rsidR="00960BB8" w:rsidRDefault="00960BB8">
            <w:pPr>
              <w:rPr>
                <w:rFonts w:ascii="宋体"/>
              </w:rPr>
            </w:pPr>
          </w:p>
        </w:tc>
        <w:tc>
          <w:tcPr>
            <w:tcW w:w="410" w:type="pct"/>
            <w:shd w:val="clear" w:color="auto" w:fill="auto"/>
            <w:vAlign w:val="bottom"/>
          </w:tcPr>
          <w:p w14:paraId="5A1B24CB" w14:textId="77777777" w:rsidR="00960BB8" w:rsidRDefault="00960BB8">
            <w:pPr>
              <w:rPr>
                <w:rFonts w:ascii="宋体"/>
              </w:rPr>
            </w:pPr>
          </w:p>
        </w:tc>
        <w:tc>
          <w:tcPr>
            <w:tcW w:w="5" w:type="pct"/>
            <w:shd w:val="clear" w:color="auto" w:fill="auto"/>
            <w:vAlign w:val="bottom"/>
          </w:tcPr>
          <w:p w14:paraId="5A1B24CC" w14:textId="77777777" w:rsidR="00960BB8" w:rsidRDefault="00960BB8">
            <w:pPr>
              <w:rPr>
                <w:rFonts w:ascii="宋体"/>
              </w:rPr>
            </w:pPr>
          </w:p>
        </w:tc>
        <w:tc>
          <w:tcPr>
            <w:tcW w:w="5" w:type="pct"/>
            <w:shd w:val="clear" w:color="auto" w:fill="auto"/>
            <w:vAlign w:val="bottom"/>
          </w:tcPr>
          <w:p w14:paraId="5A1B24CD" w14:textId="77777777" w:rsidR="00960BB8" w:rsidRDefault="00960BB8">
            <w:pPr>
              <w:rPr>
                <w:rFonts w:ascii="宋体"/>
              </w:rPr>
            </w:pPr>
          </w:p>
        </w:tc>
        <w:tc>
          <w:tcPr>
            <w:tcW w:w="24" w:type="pct"/>
            <w:shd w:val="clear" w:color="auto" w:fill="auto"/>
            <w:vAlign w:val="bottom"/>
          </w:tcPr>
          <w:p w14:paraId="5A1B24CE" w14:textId="77777777" w:rsidR="00960BB8" w:rsidRDefault="00960BB8">
            <w:pPr>
              <w:rPr>
                <w:rFonts w:ascii="宋体"/>
              </w:rPr>
            </w:pPr>
          </w:p>
        </w:tc>
        <w:tc>
          <w:tcPr>
            <w:tcW w:w="5" w:type="pct"/>
            <w:shd w:val="clear" w:color="auto" w:fill="auto"/>
            <w:vAlign w:val="bottom"/>
          </w:tcPr>
          <w:p w14:paraId="5A1B24CF" w14:textId="77777777" w:rsidR="00960BB8" w:rsidRDefault="00960BB8">
            <w:pPr>
              <w:rPr>
                <w:rFonts w:ascii="宋体"/>
              </w:rPr>
            </w:pPr>
          </w:p>
        </w:tc>
        <w:tc>
          <w:tcPr>
            <w:tcW w:w="50" w:type="pct"/>
            <w:shd w:val="clear" w:color="auto" w:fill="auto"/>
            <w:vAlign w:val="bottom"/>
          </w:tcPr>
          <w:p w14:paraId="5A1B24D0" w14:textId="77777777" w:rsidR="00960BB8" w:rsidRDefault="00960BB8">
            <w:pPr>
              <w:rPr>
                <w:rFonts w:ascii="宋体"/>
              </w:rPr>
            </w:pPr>
          </w:p>
        </w:tc>
        <w:tc>
          <w:tcPr>
            <w:tcW w:w="410" w:type="pct"/>
            <w:shd w:val="clear" w:color="auto" w:fill="auto"/>
            <w:vAlign w:val="bottom"/>
          </w:tcPr>
          <w:p w14:paraId="5A1B24D1" w14:textId="77777777" w:rsidR="00960BB8" w:rsidRDefault="00960BB8">
            <w:pPr>
              <w:rPr>
                <w:rFonts w:ascii="宋体"/>
              </w:rPr>
            </w:pPr>
          </w:p>
        </w:tc>
        <w:tc>
          <w:tcPr>
            <w:tcW w:w="5" w:type="pct"/>
            <w:shd w:val="clear" w:color="auto" w:fill="auto"/>
            <w:vAlign w:val="bottom"/>
          </w:tcPr>
          <w:p w14:paraId="5A1B24D2" w14:textId="77777777" w:rsidR="00960BB8" w:rsidRDefault="00960BB8">
            <w:pPr>
              <w:rPr>
                <w:rFonts w:ascii="宋体"/>
              </w:rPr>
            </w:pPr>
          </w:p>
        </w:tc>
        <w:tc>
          <w:tcPr>
            <w:tcW w:w="5" w:type="pct"/>
            <w:shd w:val="clear" w:color="auto" w:fill="auto"/>
            <w:vAlign w:val="bottom"/>
          </w:tcPr>
          <w:p w14:paraId="5A1B24D3" w14:textId="77777777" w:rsidR="00960BB8" w:rsidRDefault="00960BB8">
            <w:pPr>
              <w:rPr>
                <w:rFonts w:ascii="宋体"/>
              </w:rPr>
            </w:pPr>
          </w:p>
        </w:tc>
        <w:tc>
          <w:tcPr>
            <w:tcW w:w="24" w:type="pct"/>
            <w:shd w:val="clear" w:color="auto" w:fill="auto"/>
            <w:vAlign w:val="bottom"/>
          </w:tcPr>
          <w:p w14:paraId="5A1B24D4" w14:textId="77777777" w:rsidR="00960BB8" w:rsidRDefault="00960BB8">
            <w:pPr>
              <w:rPr>
                <w:rFonts w:ascii="宋体"/>
              </w:rPr>
            </w:pPr>
          </w:p>
        </w:tc>
        <w:tc>
          <w:tcPr>
            <w:tcW w:w="5" w:type="pct"/>
            <w:shd w:val="clear" w:color="auto" w:fill="auto"/>
            <w:vAlign w:val="bottom"/>
          </w:tcPr>
          <w:p w14:paraId="5A1B24D5" w14:textId="77777777" w:rsidR="00960BB8" w:rsidRDefault="00960BB8">
            <w:pPr>
              <w:rPr>
                <w:rFonts w:ascii="宋体"/>
              </w:rPr>
            </w:pPr>
          </w:p>
        </w:tc>
        <w:tc>
          <w:tcPr>
            <w:tcW w:w="50" w:type="pct"/>
            <w:shd w:val="clear" w:color="auto" w:fill="auto"/>
            <w:vAlign w:val="bottom"/>
          </w:tcPr>
          <w:p w14:paraId="5A1B24D6" w14:textId="77777777" w:rsidR="00960BB8" w:rsidRDefault="00960BB8">
            <w:pPr>
              <w:rPr>
                <w:rFonts w:ascii="宋体"/>
              </w:rPr>
            </w:pPr>
          </w:p>
        </w:tc>
        <w:tc>
          <w:tcPr>
            <w:tcW w:w="411" w:type="pct"/>
            <w:shd w:val="clear" w:color="auto" w:fill="auto"/>
            <w:vAlign w:val="bottom"/>
          </w:tcPr>
          <w:p w14:paraId="5A1B24D7" w14:textId="77777777" w:rsidR="00960BB8" w:rsidRDefault="00960BB8">
            <w:pPr>
              <w:rPr>
                <w:rFonts w:ascii="宋体"/>
              </w:rPr>
            </w:pPr>
          </w:p>
        </w:tc>
        <w:tc>
          <w:tcPr>
            <w:tcW w:w="5" w:type="pct"/>
            <w:shd w:val="clear" w:color="auto" w:fill="auto"/>
            <w:vAlign w:val="bottom"/>
          </w:tcPr>
          <w:p w14:paraId="5A1B24D8" w14:textId="77777777" w:rsidR="00960BB8" w:rsidRDefault="00960BB8">
            <w:pPr>
              <w:rPr>
                <w:rFonts w:ascii="宋体"/>
              </w:rPr>
            </w:pPr>
          </w:p>
        </w:tc>
      </w:tr>
      <w:tr w:rsidR="00960BB8" w14:paraId="5A1B24E9" w14:textId="77777777">
        <w:trPr>
          <w:jc w:val="center"/>
        </w:trPr>
        <w:tc>
          <w:tcPr>
            <w:tcW w:w="0" w:type="auto"/>
            <w:gridSpan w:val="3"/>
            <w:shd w:val="clear" w:color="auto" w:fill="auto"/>
            <w:tcMar>
              <w:top w:w="40" w:type="dxa"/>
              <w:left w:w="20" w:type="dxa"/>
              <w:bottom w:w="40" w:type="dxa"/>
              <w:right w:w="20" w:type="dxa"/>
            </w:tcMar>
            <w:vAlign w:val="bottom"/>
          </w:tcPr>
          <w:p w14:paraId="5A1B24DA"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24D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DC" w14:textId="77777777" w:rsidR="00960BB8" w:rsidRDefault="00C06650">
            <w:pPr>
              <w:jc w:val="right"/>
              <w:textAlignment w:val="bottom"/>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vAlign w:val="bottom"/>
          </w:tcPr>
          <w:p w14:paraId="5A1B24D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DE" w14:textId="77777777" w:rsidR="00960BB8" w:rsidRDefault="00C06650">
            <w:pPr>
              <w:jc w:val="right"/>
              <w:textAlignment w:val="bottom"/>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vAlign w:val="bottom"/>
          </w:tcPr>
          <w:p w14:paraId="5A1B24D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E0" w14:textId="77777777" w:rsidR="00960BB8" w:rsidRDefault="00C06650">
            <w:pPr>
              <w:jc w:val="right"/>
              <w:textAlignment w:val="bottom"/>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vAlign w:val="bottom"/>
          </w:tcPr>
          <w:p w14:paraId="5A1B24E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E2" w14:textId="77777777" w:rsidR="00960BB8" w:rsidRDefault="00C06650">
            <w:pPr>
              <w:jc w:val="right"/>
              <w:textAlignment w:val="bottom"/>
            </w:pPr>
            <w:r>
              <w:rPr>
                <w:rFonts w:ascii="Arial" w:eastAsia="宋体" w:hAnsi="Arial" w:cs="Arial"/>
                <w:b/>
                <w:bCs/>
                <w:color w:val="262626"/>
                <w:sz w:val="18"/>
                <w:szCs w:val="18"/>
              </w:rPr>
              <w:t>2026</w:t>
            </w:r>
          </w:p>
        </w:tc>
        <w:tc>
          <w:tcPr>
            <w:tcW w:w="0" w:type="auto"/>
            <w:gridSpan w:val="3"/>
            <w:shd w:val="clear" w:color="auto" w:fill="auto"/>
            <w:tcMar>
              <w:top w:w="0" w:type="dxa"/>
              <w:left w:w="20" w:type="dxa"/>
              <w:bottom w:w="0" w:type="dxa"/>
              <w:right w:w="20" w:type="dxa"/>
            </w:tcMar>
            <w:vAlign w:val="bottom"/>
          </w:tcPr>
          <w:p w14:paraId="5A1B24E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E4" w14:textId="77777777" w:rsidR="00960BB8" w:rsidRDefault="00C06650">
            <w:pPr>
              <w:jc w:val="right"/>
              <w:textAlignment w:val="bottom"/>
            </w:pPr>
            <w:r>
              <w:rPr>
                <w:rFonts w:ascii="Arial" w:eastAsia="宋体" w:hAnsi="Arial" w:cs="Arial"/>
                <w:b/>
                <w:bCs/>
                <w:color w:val="262626"/>
                <w:sz w:val="18"/>
                <w:szCs w:val="18"/>
              </w:rPr>
              <w:t>2027</w:t>
            </w:r>
          </w:p>
        </w:tc>
        <w:tc>
          <w:tcPr>
            <w:tcW w:w="0" w:type="auto"/>
            <w:gridSpan w:val="3"/>
            <w:shd w:val="clear" w:color="auto" w:fill="auto"/>
            <w:tcMar>
              <w:top w:w="0" w:type="dxa"/>
              <w:left w:w="20" w:type="dxa"/>
              <w:bottom w:w="0" w:type="dxa"/>
              <w:right w:w="20" w:type="dxa"/>
            </w:tcMar>
            <w:vAlign w:val="bottom"/>
          </w:tcPr>
          <w:p w14:paraId="5A1B24E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E6" w14:textId="77777777" w:rsidR="00960BB8" w:rsidRDefault="00C06650">
            <w:pPr>
              <w:jc w:val="right"/>
              <w:textAlignment w:val="bottom"/>
            </w:pPr>
            <w:r>
              <w:rPr>
                <w:rFonts w:ascii="Arial" w:eastAsia="宋体" w:hAnsi="Arial" w:cs="Arial"/>
                <w:b/>
                <w:bCs/>
                <w:color w:val="262626"/>
                <w:sz w:val="18"/>
                <w:szCs w:val="18"/>
              </w:rPr>
              <w:t>Thereafter</w:t>
            </w:r>
          </w:p>
        </w:tc>
        <w:tc>
          <w:tcPr>
            <w:tcW w:w="0" w:type="auto"/>
            <w:gridSpan w:val="3"/>
            <w:shd w:val="clear" w:color="auto" w:fill="auto"/>
            <w:tcMar>
              <w:top w:w="0" w:type="dxa"/>
              <w:left w:w="20" w:type="dxa"/>
              <w:bottom w:w="0" w:type="dxa"/>
              <w:right w:w="20" w:type="dxa"/>
            </w:tcMar>
            <w:vAlign w:val="bottom"/>
          </w:tcPr>
          <w:p w14:paraId="5A1B24E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4E8" w14:textId="77777777" w:rsidR="00960BB8" w:rsidRDefault="00C06650">
            <w:pPr>
              <w:jc w:val="right"/>
              <w:textAlignment w:val="bottom"/>
            </w:pPr>
            <w:r>
              <w:rPr>
                <w:rFonts w:ascii="Arial" w:eastAsia="宋体" w:hAnsi="Arial" w:cs="Arial"/>
                <w:b/>
                <w:bCs/>
                <w:color w:val="262626"/>
                <w:sz w:val="18"/>
                <w:szCs w:val="18"/>
              </w:rPr>
              <w:t>Total</w:t>
            </w:r>
          </w:p>
        </w:tc>
      </w:tr>
      <w:tr w:rsidR="00960BB8" w14:paraId="5A1B2507"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4EA" w14:textId="77777777" w:rsidR="00960BB8" w:rsidRDefault="00C06650">
            <w:pPr>
              <w:textAlignment w:val="bottom"/>
            </w:pPr>
            <w:r>
              <w:rPr>
                <w:rFonts w:ascii="Arial" w:eastAsia="宋体" w:hAnsi="Arial" w:cs="Arial"/>
                <w:b/>
                <w:bCs/>
                <w:color w:val="262626"/>
                <w:sz w:val="18"/>
                <w:szCs w:val="18"/>
              </w:rPr>
              <w:t>Future amortization expenses</w:t>
            </w:r>
          </w:p>
        </w:tc>
        <w:tc>
          <w:tcPr>
            <w:tcW w:w="0" w:type="auto"/>
            <w:gridSpan w:val="3"/>
            <w:shd w:val="clear" w:color="auto" w:fill="auto"/>
            <w:tcMar>
              <w:top w:w="0" w:type="dxa"/>
              <w:left w:w="20" w:type="dxa"/>
              <w:bottom w:w="0" w:type="dxa"/>
              <w:right w:w="20" w:type="dxa"/>
            </w:tcMar>
            <w:vAlign w:val="bottom"/>
          </w:tcPr>
          <w:p w14:paraId="5A1B24EB"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4EC"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4ED" w14:textId="77777777" w:rsidR="00960BB8" w:rsidRDefault="00C06650">
            <w:pPr>
              <w:jc w:val="right"/>
              <w:textAlignment w:val="bottom"/>
            </w:pPr>
            <w:r>
              <w:rPr>
                <w:rFonts w:ascii="Arial" w:eastAsia="宋体" w:hAnsi="Arial" w:cs="Arial"/>
                <w:color w:val="0068B5"/>
                <w:sz w:val="18"/>
                <w:szCs w:val="18"/>
              </w:rPr>
              <w:t>1,730 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4EE" w14:textId="77777777" w:rsidR="00960BB8" w:rsidRDefault="00960BB8">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4EF"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4F0"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4F1" w14:textId="77777777" w:rsidR="00960BB8" w:rsidRDefault="00C06650">
            <w:pPr>
              <w:jc w:val="right"/>
              <w:textAlignment w:val="bottom"/>
            </w:pPr>
            <w:r>
              <w:rPr>
                <w:rFonts w:ascii="Arial" w:eastAsia="宋体" w:hAnsi="Arial" w:cs="Arial"/>
                <w:color w:val="0068B5"/>
                <w:sz w:val="18"/>
                <w:szCs w:val="18"/>
              </w:rPr>
              <w:t>1,297 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4F2" w14:textId="77777777" w:rsidR="00960BB8" w:rsidRDefault="00960BB8">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4F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4F4"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4F5" w14:textId="77777777" w:rsidR="00960BB8" w:rsidRDefault="00C06650">
            <w:pPr>
              <w:jc w:val="right"/>
              <w:textAlignment w:val="bottom"/>
            </w:pPr>
            <w:r>
              <w:rPr>
                <w:rFonts w:ascii="Arial" w:eastAsia="宋体" w:hAnsi="Arial" w:cs="Arial"/>
                <w:color w:val="0068B5"/>
                <w:sz w:val="18"/>
                <w:szCs w:val="18"/>
              </w:rPr>
              <w:t>883 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4F6" w14:textId="77777777" w:rsidR="00960BB8" w:rsidRDefault="00960BB8">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4F7"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4F8"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4F9" w14:textId="77777777" w:rsidR="00960BB8" w:rsidRDefault="00C06650">
            <w:pPr>
              <w:jc w:val="right"/>
              <w:textAlignment w:val="bottom"/>
            </w:pPr>
            <w:r>
              <w:rPr>
                <w:rFonts w:ascii="Arial" w:eastAsia="宋体" w:hAnsi="Arial" w:cs="Arial"/>
                <w:color w:val="0068B5"/>
                <w:sz w:val="18"/>
                <w:szCs w:val="18"/>
              </w:rPr>
              <w:t>680 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4FA" w14:textId="77777777" w:rsidR="00960BB8" w:rsidRDefault="00960BB8">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4FB"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4FC"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4FD" w14:textId="77777777" w:rsidR="00960BB8" w:rsidRDefault="00C06650">
            <w:pPr>
              <w:jc w:val="right"/>
              <w:textAlignment w:val="bottom"/>
            </w:pPr>
            <w:r>
              <w:rPr>
                <w:rFonts w:ascii="Arial" w:eastAsia="宋体" w:hAnsi="Arial" w:cs="Arial"/>
                <w:color w:val="0068B5"/>
                <w:sz w:val="18"/>
                <w:szCs w:val="18"/>
              </w:rPr>
              <w:t>511 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4FE" w14:textId="77777777" w:rsidR="00960BB8" w:rsidRDefault="00960BB8">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4FF"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500"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501" w14:textId="77777777" w:rsidR="00960BB8" w:rsidRDefault="00C06650">
            <w:pPr>
              <w:jc w:val="right"/>
              <w:textAlignment w:val="bottom"/>
            </w:pPr>
            <w:r>
              <w:rPr>
                <w:rFonts w:ascii="Arial" w:eastAsia="宋体" w:hAnsi="Arial" w:cs="Arial"/>
                <w:color w:val="0068B5"/>
                <w:sz w:val="18"/>
                <w:szCs w:val="18"/>
              </w:rPr>
              <w:t>917 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502" w14:textId="77777777" w:rsidR="00960BB8" w:rsidRDefault="00960BB8">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50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504"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505" w14:textId="77777777" w:rsidR="00960BB8" w:rsidRDefault="00C06650">
            <w:pPr>
              <w:jc w:val="right"/>
              <w:textAlignment w:val="bottom"/>
            </w:pPr>
            <w:r>
              <w:rPr>
                <w:rFonts w:ascii="Arial" w:eastAsia="宋体" w:hAnsi="Arial" w:cs="Arial"/>
                <w:b/>
                <w:bCs/>
                <w:color w:val="0068B5"/>
                <w:sz w:val="18"/>
                <w:szCs w:val="18"/>
              </w:rPr>
              <w:t>6,018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506" w14:textId="77777777" w:rsidR="00960BB8" w:rsidRDefault="00960BB8">
            <w:pPr>
              <w:jc w:val="right"/>
              <w:rPr>
                <w:rFonts w:ascii="宋体"/>
              </w:rPr>
            </w:pPr>
          </w:p>
        </w:tc>
      </w:tr>
    </w:tbl>
    <w:p w14:paraId="5A1B2508"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960BB8" w14:paraId="5A1B250F" w14:textId="77777777">
        <w:tc>
          <w:tcPr>
            <w:tcW w:w="50" w:type="pct"/>
            <w:shd w:val="clear" w:color="auto" w:fill="auto"/>
            <w:vAlign w:val="bottom"/>
          </w:tcPr>
          <w:p w14:paraId="5A1B2509" w14:textId="77777777" w:rsidR="00960BB8" w:rsidRDefault="00960BB8">
            <w:pPr>
              <w:rPr>
                <w:rFonts w:ascii="宋体"/>
              </w:rPr>
            </w:pPr>
          </w:p>
        </w:tc>
        <w:tc>
          <w:tcPr>
            <w:tcW w:w="539" w:type="pct"/>
            <w:shd w:val="clear" w:color="auto" w:fill="auto"/>
            <w:vAlign w:val="bottom"/>
          </w:tcPr>
          <w:p w14:paraId="5A1B250A" w14:textId="77777777" w:rsidR="00960BB8" w:rsidRDefault="00960BB8">
            <w:pPr>
              <w:rPr>
                <w:rFonts w:ascii="宋体"/>
              </w:rPr>
            </w:pPr>
          </w:p>
        </w:tc>
        <w:tc>
          <w:tcPr>
            <w:tcW w:w="5" w:type="pct"/>
            <w:shd w:val="clear" w:color="auto" w:fill="auto"/>
            <w:vAlign w:val="bottom"/>
          </w:tcPr>
          <w:p w14:paraId="5A1B250B" w14:textId="77777777" w:rsidR="00960BB8" w:rsidRDefault="00960BB8">
            <w:pPr>
              <w:rPr>
                <w:rFonts w:ascii="宋体"/>
              </w:rPr>
            </w:pPr>
          </w:p>
        </w:tc>
        <w:tc>
          <w:tcPr>
            <w:tcW w:w="50" w:type="pct"/>
            <w:shd w:val="clear" w:color="auto" w:fill="auto"/>
            <w:vAlign w:val="bottom"/>
          </w:tcPr>
          <w:p w14:paraId="5A1B250C" w14:textId="77777777" w:rsidR="00960BB8" w:rsidRDefault="00960BB8">
            <w:pPr>
              <w:rPr>
                <w:rFonts w:ascii="宋体"/>
              </w:rPr>
            </w:pPr>
          </w:p>
        </w:tc>
        <w:tc>
          <w:tcPr>
            <w:tcW w:w="4350" w:type="pct"/>
            <w:shd w:val="clear" w:color="auto" w:fill="auto"/>
            <w:vAlign w:val="bottom"/>
          </w:tcPr>
          <w:p w14:paraId="5A1B250D" w14:textId="77777777" w:rsidR="00960BB8" w:rsidRDefault="00960BB8">
            <w:pPr>
              <w:rPr>
                <w:rFonts w:ascii="宋体"/>
              </w:rPr>
            </w:pPr>
          </w:p>
        </w:tc>
        <w:tc>
          <w:tcPr>
            <w:tcW w:w="5" w:type="pct"/>
            <w:shd w:val="clear" w:color="auto" w:fill="auto"/>
            <w:vAlign w:val="bottom"/>
          </w:tcPr>
          <w:p w14:paraId="5A1B250E" w14:textId="77777777" w:rsidR="00960BB8" w:rsidRDefault="00960BB8">
            <w:pPr>
              <w:rPr>
                <w:rFonts w:ascii="宋体"/>
              </w:rPr>
            </w:pPr>
          </w:p>
        </w:tc>
      </w:tr>
      <w:tr w:rsidR="00960BB8" w14:paraId="5A1B2512"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2510" w14:textId="77777777" w:rsidR="00960BB8" w:rsidRDefault="00C06650">
            <w:pPr>
              <w:textAlignment w:val="bottom"/>
            </w:pPr>
            <w:r>
              <w:rPr>
                <w:rFonts w:ascii="Arial" w:eastAsia="宋体" w:hAnsi="Arial" w:cs="Arial"/>
                <w:color w:val="FFFFFF"/>
                <w:sz w:val="28"/>
                <w:szCs w:val="28"/>
              </w:rPr>
              <w:t xml:space="preserve">Note 13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2511" w14:textId="77777777" w:rsidR="00960BB8" w:rsidRDefault="00C06650">
            <w:pPr>
              <w:textAlignment w:val="bottom"/>
            </w:pPr>
            <w:r>
              <w:rPr>
                <w:rFonts w:ascii="Arial" w:eastAsia="宋体" w:hAnsi="Arial" w:cs="Arial"/>
                <w:color w:val="0068B5"/>
                <w:sz w:val="28"/>
                <w:szCs w:val="28"/>
              </w:rPr>
              <w:t>Borrowings</w:t>
            </w:r>
          </w:p>
        </w:tc>
      </w:tr>
    </w:tbl>
    <w:p w14:paraId="5A1B2513" w14:textId="77777777" w:rsidR="00960BB8" w:rsidRDefault="00C06650">
      <w:pPr>
        <w:spacing w:after="180"/>
      </w:pPr>
      <w:r>
        <w:rPr>
          <w:rFonts w:ascii="Arial" w:eastAsia="宋体" w:hAnsi="Arial" w:cs="Arial"/>
          <w:color w:val="0068B5"/>
        </w:rPr>
        <w:t>Short-Term Debt</w:t>
      </w:r>
    </w:p>
    <w:p w14:paraId="5A1B2514" w14:textId="77777777" w:rsidR="00960BB8" w:rsidRDefault="00C06650">
      <w:pPr>
        <w:spacing w:after="180"/>
      </w:pPr>
      <w:r>
        <w:rPr>
          <w:rFonts w:ascii="Arial" w:eastAsia="宋体" w:hAnsi="Arial" w:cs="Arial"/>
          <w:color w:val="262626"/>
          <w:sz w:val="18"/>
          <w:szCs w:val="18"/>
        </w:rPr>
        <w:t xml:space="preserve">As of December 31, 2022, short-term debt was $4.4 billion, composed of $423 million of the current portion of long-term debt and $3.9 billion of commercial paper. As of December 25, 2021, short-term debt was $4.6 billion, primarily composed of our current </w:t>
      </w:r>
      <w:r>
        <w:rPr>
          <w:rFonts w:ascii="Arial" w:eastAsia="宋体" w:hAnsi="Arial" w:cs="Arial"/>
          <w:color w:val="262626"/>
          <w:sz w:val="18"/>
          <w:szCs w:val="18"/>
        </w:rPr>
        <w:t xml:space="preserve">portion of long-term debt. The current portion of long-term debt includes debt classified as short term based on time remaining until maturity. </w:t>
      </w:r>
    </w:p>
    <w:p w14:paraId="5A1B2515" w14:textId="77777777" w:rsidR="00960BB8" w:rsidRDefault="00C06650">
      <w:pPr>
        <w:spacing w:after="180"/>
      </w:pPr>
      <w:r>
        <w:rPr>
          <w:rFonts w:ascii="Arial" w:eastAsia="宋体" w:hAnsi="Arial" w:cs="Arial"/>
          <w:color w:val="262626"/>
          <w:sz w:val="18"/>
          <w:szCs w:val="18"/>
        </w:rPr>
        <w:t>We have an ongoing authorization from our Board of Directors to borrow up to $10.0 billion under our commercial</w:t>
      </w:r>
      <w:r>
        <w:rPr>
          <w:rFonts w:ascii="Arial" w:eastAsia="宋体" w:hAnsi="Arial" w:cs="Arial"/>
          <w:color w:val="262626"/>
          <w:sz w:val="18"/>
          <w:szCs w:val="18"/>
        </w:rPr>
        <w:t xml:space="preserve"> paper program. As of December 31, 2022 and December 25, 2021, we had $3.9 billion and $0 commercial paper outstanding, respectively, with maturities generally less than six months. The weighted-average interest rate of the commercial paper was 4.39% as of</w:t>
      </w:r>
      <w:r>
        <w:rPr>
          <w:rFonts w:ascii="Arial" w:eastAsia="宋体" w:hAnsi="Arial" w:cs="Arial"/>
          <w:color w:val="262626"/>
          <w:sz w:val="18"/>
          <w:szCs w:val="18"/>
        </w:rPr>
        <w:t xml:space="preserve"> December 31, 2022. </w:t>
      </w:r>
    </w:p>
    <w:p w14:paraId="5A1B2516" w14:textId="77777777" w:rsidR="00960BB8" w:rsidRDefault="00960BB8">
      <w:pPr>
        <w:spacing w:after="180"/>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2523" w14:textId="77777777">
        <w:tc>
          <w:tcPr>
            <w:tcW w:w="50" w:type="pct"/>
            <w:shd w:val="clear" w:color="auto" w:fill="auto"/>
            <w:vAlign w:val="bottom"/>
          </w:tcPr>
          <w:p w14:paraId="5A1B2517" w14:textId="77777777" w:rsidR="00960BB8" w:rsidRDefault="00960BB8">
            <w:pPr>
              <w:rPr>
                <w:rFonts w:ascii="宋体"/>
              </w:rPr>
            </w:pPr>
          </w:p>
        </w:tc>
        <w:tc>
          <w:tcPr>
            <w:tcW w:w="276" w:type="pct"/>
            <w:shd w:val="clear" w:color="auto" w:fill="auto"/>
            <w:vAlign w:val="bottom"/>
          </w:tcPr>
          <w:p w14:paraId="5A1B2518" w14:textId="77777777" w:rsidR="00960BB8" w:rsidRDefault="00960BB8">
            <w:pPr>
              <w:rPr>
                <w:rFonts w:ascii="宋体"/>
              </w:rPr>
            </w:pPr>
          </w:p>
        </w:tc>
        <w:tc>
          <w:tcPr>
            <w:tcW w:w="5" w:type="pct"/>
            <w:shd w:val="clear" w:color="auto" w:fill="auto"/>
            <w:vAlign w:val="bottom"/>
          </w:tcPr>
          <w:p w14:paraId="5A1B2519" w14:textId="77777777" w:rsidR="00960BB8" w:rsidRDefault="00960BB8">
            <w:pPr>
              <w:rPr>
                <w:rFonts w:ascii="宋体"/>
              </w:rPr>
            </w:pPr>
          </w:p>
        </w:tc>
        <w:tc>
          <w:tcPr>
            <w:tcW w:w="50" w:type="pct"/>
            <w:shd w:val="clear" w:color="auto" w:fill="auto"/>
            <w:vAlign w:val="bottom"/>
          </w:tcPr>
          <w:p w14:paraId="5A1B251A" w14:textId="77777777" w:rsidR="00960BB8" w:rsidRDefault="00960BB8">
            <w:pPr>
              <w:rPr>
                <w:rFonts w:ascii="宋体"/>
              </w:rPr>
            </w:pPr>
          </w:p>
        </w:tc>
        <w:tc>
          <w:tcPr>
            <w:tcW w:w="940" w:type="pct"/>
            <w:shd w:val="clear" w:color="auto" w:fill="auto"/>
            <w:vAlign w:val="bottom"/>
          </w:tcPr>
          <w:p w14:paraId="5A1B251B" w14:textId="77777777" w:rsidR="00960BB8" w:rsidRDefault="00960BB8">
            <w:pPr>
              <w:rPr>
                <w:rFonts w:ascii="宋体"/>
              </w:rPr>
            </w:pPr>
          </w:p>
        </w:tc>
        <w:tc>
          <w:tcPr>
            <w:tcW w:w="5" w:type="pct"/>
            <w:shd w:val="clear" w:color="auto" w:fill="auto"/>
            <w:vAlign w:val="bottom"/>
          </w:tcPr>
          <w:p w14:paraId="5A1B251C" w14:textId="77777777" w:rsidR="00960BB8" w:rsidRDefault="00960BB8">
            <w:pPr>
              <w:rPr>
                <w:rFonts w:ascii="宋体"/>
              </w:rPr>
            </w:pPr>
          </w:p>
        </w:tc>
        <w:tc>
          <w:tcPr>
            <w:tcW w:w="50" w:type="pct"/>
            <w:shd w:val="clear" w:color="auto" w:fill="auto"/>
            <w:vAlign w:val="bottom"/>
          </w:tcPr>
          <w:p w14:paraId="5A1B251D" w14:textId="77777777" w:rsidR="00960BB8" w:rsidRDefault="00960BB8">
            <w:pPr>
              <w:rPr>
                <w:rFonts w:ascii="宋体"/>
              </w:rPr>
            </w:pPr>
          </w:p>
        </w:tc>
        <w:tc>
          <w:tcPr>
            <w:tcW w:w="1837" w:type="pct"/>
            <w:shd w:val="clear" w:color="auto" w:fill="auto"/>
            <w:vAlign w:val="bottom"/>
          </w:tcPr>
          <w:p w14:paraId="5A1B251E" w14:textId="77777777" w:rsidR="00960BB8" w:rsidRDefault="00960BB8">
            <w:pPr>
              <w:rPr>
                <w:rFonts w:ascii="宋体"/>
              </w:rPr>
            </w:pPr>
          </w:p>
        </w:tc>
        <w:tc>
          <w:tcPr>
            <w:tcW w:w="5" w:type="pct"/>
            <w:shd w:val="clear" w:color="auto" w:fill="auto"/>
            <w:vAlign w:val="bottom"/>
          </w:tcPr>
          <w:p w14:paraId="5A1B251F" w14:textId="77777777" w:rsidR="00960BB8" w:rsidRDefault="00960BB8">
            <w:pPr>
              <w:rPr>
                <w:rFonts w:ascii="宋体"/>
              </w:rPr>
            </w:pPr>
          </w:p>
        </w:tc>
        <w:tc>
          <w:tcPr>
            <w:tcW w:w="50" w:type="pct"/>
            <w:shd w:val="clear" w:color="auto" w:fill="auto"/>
            <w:vAlign w:val="bottom"/>
          </w:tcPr>
          <w:p w14:paraId="5A1B2520" w14:textId="77777777" w:rsidR="00960BB8" w:rsidRDefault="00960BB8">
            <w:pPr>
              <w:rPr>
                <w:rFonts w:ascii="宋体"/>
              </w:rPr>
            </w:pPr>
          </w:p>
        </w:tc>
        <w:tc>
          <w:tcPr>
            <w:tcW w:w="1724" w:type="pct"/>
            <w:shd w:val="clear" w:color="auto" w:fill="auto"/>
            <w:vAlign w:val="bottom"/>
          </w:tcPr>
          <w:p w14:paraId="5A1B2521" w14:textId="77777777" w:rsidR="00960BB8" w:rsidRDefault="00960BB8">
            <w:pPr>
              <w:rPr>
                <w:rFonts w:ascii="宋体"/>
              </w:rPr>
            </w:pPr>
          </w:p>
        </w:tc>
        <w:tc>
          <w:tcPr>
            <w:tcW w:w="5" w:type="pct"/>
            <w:shd w:val="clear" w:color="auto" w:fill="auto"/>
            <w:vAlign w:val="bottom"/>
          </w:tcPr>
          <w:p w14:paraId="5A1B2522" w14:textId="77777777" w:rsidR="00960BB8" w:rsidRDefault="00960BB8">
            <w:pPr>
              <w:rPr>
                <w:rFonts w:ascii="宋体"/>
              </w:rPr>
            </w:pPr>
          </w:p>
        </w:tc>
      </w:tr>
      <w:tr w:rsidR="00960BB8" w14:paraId="5A1B2528"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524"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AE" wp14:editId="5A1B44AF">
                  <wp:extent cx="304800" cy="304800"/>
                  <wp:effectExtent l="0" t="0" r="0" b="0"/>
                  <wp:docPr id="175" name="图片 28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8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525"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2526"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527" w14:textId="77777777" w:rsidR="00960BB8" w:rsidRDefault="00C06650">
            <w:pPr>
              <w:jc w:val="right"/>
              <w:textAlignment w:val="center"/>
            </w:pPr>
            <w:r>
              <w:rPr>
                <w:rFonts w:ascii="Arial" w:eastAsia="宋体" w:hAnsi="Arial" w:cs="Arial"/>
                <w:color w:val="262626"/>
                <w:sz w:val="16"/>
                <w:szCs w:val="16"/>
              </w:rPr>
              <w:t>100</w:t>
            </w:r>
          </w:p>
        </w:tc>
      </w:tr>
    </w:tbl>
    <w:p w14:paraId="5A1B2529" w14:textId="77777777" w:rsidR="00960BB8" w:rsidRDefault="00C06650">
      <w:r>
        <w:pict w14:anchorId="5A1B44B0">
          <v:rect id="_x0000_i1126" style="width:415.3pt;height:1.5pt" o:hralign="center" o:hrstd="t" o:hr="t" fillcolor="#a0a0a0" stroked="f"/>
        </w:pict>
      </w:r>
    </w:p>
    <w:p w14:paraId="5A1B252A" w14:textId="77777777" w:rsidR="00960BB8" w:rsidRDefault="00C06650">
      <w:pPr>
        <w:jc w:val="right"/>
      </w:pPr>
      <w:hyperlink r:id="rId149" w:anchor="i8aaa7b4dbd2e419ca0f5c30af85a11aa_16" w:history="1">
        <w:r>
          <w:rPr>
            <w:rStyle w:val="a5"/>
            <w:rFonts w:ascii="Arial" w:eastAsia="宋体" w:hAnsi="Arial" w:cs="Arial"/>
            <w:b/>
            <w:bCs/>
            <w:sz w:val="16"/>
            <w:szCs w:val="16"/>
          </w:rPr>
          <w:t>Table of Contents</w:t>
        </w:r>
      </w:hyperlink>
    </w:p>
    <w:p w14:paraId="5A1B252B" w14:textId="77777777" w:rsidR="00960BB8" w:rsidRDefault="00960BB8">
      <w:pPr>
        <w:jc w:val="right"/>
      </w:pPr>
    </w:p>
    <w:p w14:paraId="5A1B252C" w14:textId="77777777" w:rsidR="00960BB8" w:rsidRDefault="00C06650">
      <w:pPr>
        <w:spacing w:after="180"/>
      </w:pPr>
      <w:r>
        <w:rPr>
          <w:rFonts w:ascii="Arial" w:eastAsia="宋体" w:hAnsi="Arial" w:cs="Arial"/>
          <w:color w:val="0068B5"/>
        </w:rPr>
        <w:t>Long-Term Debt</w:t>
      </w:r>
    </w:p>
    <w:tbl>
      <w:tblPr>
        <w:tblW w:w="5000" w:type="pct"/>
        <w:tblCellMar>
          <w:top w:w="15" w:type="dxa"/>
          <w:left w:w="15" w:type="dxa"/>
          <w:bottom w:w="15" w:type="dxa"/>
          <w:right w:w="15" w:type="dxa"/>
        </w:tblCellMar>
        <w:tblLook w:val="04A0" w:firstRow="1" w:lastRow="0" w:firstColumn="1" w:lastColumn="0" w:noHBand="0" w:noVBand="1"/>
      </w:tblPr>
      <w:tblGrid>
        <w:gridCol w:w="42"/>
        <w:gridCol w:w="4930"/>
        <w:gridCol w:w="37"/>
        <w:gridCol w:w="36"/>
        <w:gridCol w:w="36"/>
        <w:gridCol w:w="36"/>
        <w:gridCol w:w="67"/>
        <w:gridCol w:w="772"/>
        <w:gridCol w:w="36"/>
        <w:gridCol w:w="36"/>
        <w:gridCol w:w="36"/>
        <w:gridCol w:w="36"/>
        <w:gridCol w:w="122"/>
        <w:gridCol w:w="797"/>
        <w:gridCol w:w="37"/>
        <w:gridCol w:w="36"/>
        <w:gridCol w:w="36"/>
        <w:gridCol w:w="36"/>
        <w:gridCol w:w="36"/>
        <w:gridCol w:w="36"/>
        <w:gridCol w:w="122"/>
        <w:gridCol w:w="797"/>
        <w:gridCol w:w="37"/>
        <w:gridCol w:w="36"/>
        <w:gridCol w:w="36"/>
        <w:gridCol w:w="36"/>
        <w:gridCol w:w="36"/>
      </w:tblGrid>
      <w:tr w:rsidR="00960BB8" w14:paraId="5A1B2548" w14:textId="77777777">
        <w:tc>
          <w:tcPr>
            <w:tcW w:w="50" w:type="pct"/>
            <w:shd w:val="clear" w:color="auto" w:fill="auto"/>
            <w:vAlign w:val="bottom"/>
          </w:tcPr>
          <w:p w14:paraId="5A1B252D" w14:textId="77777777" w:rsidR="00960BB8" w:rsidRDefault="00960BB8">
            <w:pPr>
              <w:rPr>
                <w:rFonts w:ascii="宋体"/>
              </w:rPr>
            </w:pPr>
          </w:p>
        </w:tc>
        <w:tc>
          <w:tcPr>
            <w:tcW w:w="3059" w:type="pct"/>
            <w:shd w:val="clear" w:color="auto" w:fill="auto"/>
            <w:vAlign w:val="bottom"/>
          </w:tcPr>
          <w:p w14:paraId="5A1B252E" w14:textId="77777777" w:rsidR="00960BB8" w:rsidRDefault="00960BB8">
            <w:pPr>
              <w:rPr>
                <w:rFonts w:ascii="宋体"/>
              </w:rPr>
            </w:pPr>
          </w:p>
        </w:tc>
        <w:tc>
          <w:tcPr>
            <w:tcW w:w="5" w:type="pct"/>
            <w:shd w:val="clear" w:color="auto" w:fill="auto"/>
            <w:vAlign w:val="bottom"/>
          </w:tcPr>
          <w:p w14:paraId="5A1B252F" w14:textId="77777777" w:rsidR="00960BB8" w:rsidRDefault="00960BB8">
            <w:pPr>
              <w:rPr>
                <w:rFonts w:ascii="宋体"/>
              </w:rPr>
            </w:pPr>
          </w:p>
        </w:tc>
        <w:tc>
          <w:tcPr>
            <w:tcW w:w="5" w:type="pct"/>
            <w:shd w:val="clear" w:color="auto" w:fill="auto"/>
            <w:vAlign w:val="bottom"/>
          </w:tcPr>
          <w:p w14:paraId="5A1B2530" w14:textId="77777777" w:rsidR="00960BB8" w:rsidRDefault="00960BB8">
            <w:pPr>
              <w:rPr>
                <w:rFonts w:ascii="宋体"/>
              </w:rPr>
            </w:pPr>
          </w:p>
        </w:tc>
        <w:tc>
          <w:tcPr>
            <w:tcW w:w="24" w:type="pct"/>
            <w:shd w:val="clear" w:color="auto" w:fill="auto"/>
            <w:vAlign w:val="bottom"/>
          </w:tcPr>
          <w:p w14:paraId="5A1B2531" w14:textId="77777777" w:rsidR="00960BB8" w:rsidRDefault="00960BB8">
            <w:pPr>
              <w:rPr>
                <w:rFonts w:ascii="宋体"/>
              </w:rPr>
            </w:pPr>
          </w:p>
        </w:tc>
        <w:tc>
          <w:tcPr>
            <w:tcW w:w="5" w:type="pct"/>
            <w:shd w:val="clear" w:color="auto" w:fill="auto"/>
            <w:vAlign w:val="bottom"/>
          </w:tcPr>
          <w:p w14:paraId="5A1B2532" w14:textId="77777777" w:rsidR="00960BB8" w:rsidRDefault="00960BB8">
            <w:pPr>
              <w:rPr>
                <w:rFonts w:ascii="宋体"/>
              </w:rPr>
            </w:pPr>
          </w:p>
        </w:tc>
        <w:tc>
          <w:tcPr>
            <w:tcW w:w="50" w:type="pct"/>
            <w:shd w:val="clear" w:color="auto" w:fill="auto"/>
            <w:vAlign w:val="bottom"/>
          </w:tcPr>
          <w:p w14:paraId="5A1B2533" w14:textId="77777777" w:rsidR="00960BB8" w:rsidRDefault="00960BB8">
            <w:pPr>
              <w:rPr>
                <w:rFonts w:ascii="宋体"/>
              </w:rPr>
            </w:pPr>
          </w:p>
        </w:tc>
        <w:tc>
          <w:tcPr>
            <w:tcW w:w="539" w:type="pct"/>
            <w:shd w:val="clear" w:color="auto" w:fill="auto"/>
            <w:vAlign w:val="bottom"/>
          </w:tcPr>
          <w:p w14:paraId="5A1B2534" w14:textId="77777777" w:rsidR="00960BB8" w:rsidRDefault="00960BB8">
            <w:pPr>
              <w:rPr>
                <w:rFonts w:ascii="宋体"/>
              </w:rPr>
            </w:pPr>
          </w:p>
        </w:tc>
        <w:tc>
          <w:tcPr>
            <w:tcW w:w="5" w:type="pct"/>
            <w:shd w:val="clear" w:color="auto" w:fill="auto"/>
            <w:vAlign w:val="bottom"/>
          </w:tcPr>
          <w:p w14:paraId="5A1B2535" w14:textId="77777777" w:rsidR="00960BB8" w:rsidRDefault="00960BB8">
            <w:pPr>
              <w:rPr>
                <w:rFonts w:ascii="宋体"/>
              </w:rPr>
            </w:pPr>
          </w:p>
        </w:tc>
        <w:tc>
          <w:tcPr>
            <w:tcW w:w="5" w:type="pct"/>
            <w:shd w:val="clear" w:color="auto" w:fill="auto"/>
            <w:vAlign w:val="bottom"/>
          </w:tcPr>
          <w:p w14:paraId="5A1B2536" w14:textId="77777777" w:rsidR="00960BB8" w:rsidRDefault="00960BB8">
            <w:pPr>
              <w:rPr>
                <w:rFonts w:ascii="宋体"/>
              </w:rPr>
            </w:pPr>
          </w:p>
        </w:tc>
        <w:tc>
          <w:tcPr>
            <w:tcW w:w="24" w:type="pct"/>
            <w:shd w:val="clear" w:color="auto" w:fill="auto"/>
            <w:vAlign w:val="bottom"/>
          </w:tcPr>
          <w:p w14:paraId="5A1B2537" w14:textId="77777777" w:rsidR="00960BB8" w:rsidRDefault="00960BB8">
            <w:pPr>
              <w:rPr>
                <w:rFonts w:ascii="宋体"/>
              </w:rPr>
            </w:pPr>
          </w:p>
        </w:tc>
        <w:tc>
          <w:tcPr>
            <w:tcW w:w="5" w:type="pct"/>
            <w:shd w:val="clear" w:color="auto" w:fill="auto"/>
            <w:vAlign w:val="bottom"/>
          </w:tcPr>
          <w:p w14:paraId="5A1B2538" w14:textId="77777777" w:rsidR="00960BB8" w:rsidRDefault="00960BB8">
            <w:pPr>
              <w:rPr>
                <w:rFonts w:ascii="宋体"/>
              </w:rPr>
            </w:pPr>
          </w:p>
        </w:tc>
        <w:tc>
          <w:tcPr>
            <w:tcW w:w="50" w:type="pct"/>
            <w:shd w:val="clear" w:color="auto" w:fill="auto"/>
            <w:vAlign w:val="bottom"/>
          </w:tcPr>
          <w:p w14:paraId="5A1B2539" w14:textId="77777777" w:rsidR="00960BB8" w:rsidRDefault="00960BB8">
            <w:pPr>
              <w:rPr>
                <w:rFonts w:ascii="宋体"/>
              </w:rPr>
            </w:pPr>
          </w:p>
        </w:tc>
        <w:tc>
          <w:tcPr>
            <w:tcW w:w="539" w:type="pct"/>
            <w:shd w:val="clear" w:color="auto" w:fill="auto"/>
            <w:vAlign w:val="bottom"/>
          </w:tcPr>
          <w:p w14:paraId="5A1B253A" w14:textId="77777777" w:rsidR="00960BB8" w:rsidRDefault="00960BB8">
            <w:pPr>
              <w:rPr>
                <w:rFonts w:ascii="宋体"/>
              </w:rPr>
            </w:pPr>
          </w:p>
        </w:tc>
        <w:tc>
          <w:tcPr>
            <w:tcW w:w="5" w:type="pct"/>
            <w:shd w:val="clear" w:color="auto" w:fill="auto"/>
            <w:vAlign w:val="bottom"/>
          </w:tcPr>
          <w:p w14:paraId="5A1B253B" w14:textId="77777777" w:rsidR="00960BB8" w:rsidRDefault="00960BB8">
            <w:pPr>
              <w:rPr>
                <w:rFonts w:ascii="宋体"/>
              </w:rPr>
            </w:pPr>
          </w:p>
        </w:tc>
        <w:tc>
          <w:tcPr>
            <w:tcW w:w="5" w:type="pct"/>
            <w:shd w:val="clear" w:color="auto" w:fill="auto"/>
            <w:vAlign w:val="bottom"/>
          </w:tcPr>
          <w:p w14:paraId="5A1B253C" w14:textId="77777777" w:rsidR="00960BB8" w:rsidRDefault="00960BB8">
            <w:pPr>
              <w:rPr>
                <w:rFonts w:ascii="宋体"/>
              </w:rPr>
            </w:pPr>
          </w:p>
        </w:tc>
        <w:tc>
          <w:tcPr>
            <w:tcW w:w="24" w:type="pct"/>
            <w:shd w:val="clear" w:color="auto" w:fill="auto"/>
            <w:vAlign w:val="bottom"/>
          </w:tcPr>
          <w:p w14:paraId="5A1B253D" w14:textId="77777777" w:rsidR="00960BB8" w:rsidRDefault="00960BB8">
            <w:pPr>
              <w:rPr>
                <w:rFonts w:ascii="宋体"/>
              </w:rPr>
            </w:pPr>
          </w:p>
        </w:tc>
        <w:tc>
          <w:tcPr>
            <w:tcW w:w="5" w:type="pct"/>
            <w:shd w:val="clear" w:color="auto" w:fill="auto"/>
            <w:vAlign w:val="bottom"/>
          </w:tcPr>
          <w:p w14:paraId="5A1B253E" w14:textId="77777777" w:rsidR="00960BB8" w:rsidRDefault="00960BB8">
            <w:pPr>
              <w:rPr>
                <w:rFonts w:ascii="宋体"/>
              </w:rPr>
            </w:pPr>
          </w:p>
        </w:tc>
        <w:tc>
          <w:tcPr>
            <w:tcW w:w="0" w:type="auto"/>
            <w:shd w:val="clear" w:color="auto" w:fill="auto"/>
            <w:vAlign w:val="bottom"/>
          </w:tcPr>
          <w:p w14:paraId="5A1B253F" w14:textId="77777777" w:rsidR="00960BB8" w:rsidRDefault="00960BB8">
            <w:pPr>
              <w:rPr>
                <w:rFonts w:ascii="宋体"/>
                <w:vanish/>
              </w:rPr>
            </w:pPr>
          </w:p>
        </w:tc>
        <w:tc>
          <w:tcPr>
            <w:tcW w:w="0" w:type="auto"/>
            <w:shd w:val="clear" w:color="auto" w:fill="auto"/>
            <w:vAlign w:val="bottom"/>
          </w:tcPr>
          <w:p w14:paraId="5A1B2540" w14:textId="77777777" w:rsidR="00960BB8" w:rsidRDefault="00960BB8">
            <w:pPr>
              <w:rPr>
                <w:rFonts w:ascii="宋体"/>
                <w:vanish/>
              </w:rPr>
            </w:pPr>
          </w:p>
        </w:tc>
        <w:tc>
          <w:tcPr>
            <w:tcW w:w="50" w:type="pct"/>
            <w:shd w:val="clear" w:color="auto" w:fill="auto"/>
            <w:vAlign w:val="bottom"/>
          </w:tcPr>
          <w:p w14:paraId="5A1B2541" w14:textId="77777777" w:rsidR="00960BB8" w:rsidRDefault="00960BB8">
            <w:pPr>
              <w:rPr>
                <w:rFonts w:ascii="宋体"/>
              </w:rPr>
            </w:pPr>
          </w:p>
        </w:tc>
        <w:tc>
          <w:tcPr>
            <w:tcW w:w="539" w:type="pct"/>
            <w:shd w:val="clear" w:color="auto" w:fill="auto"/>
            <w:vAlign w:val="bottom"/>
          </w:tcPr>
          <w:p w14:paraId="5A1B2542" w14:textId="77777777" w:rsidR="00960BB8" w:rsidRDefault="00960BB8">
            <w:pPr>
              <w:rPr>
                <w:rFonts w:ascii="宋体"/>
              </w:rPr>
            </w:pPr>
          </w:p>
        </w:tc>
        <w:tc>
          <w:tcPr>
            <w:tcW w:w="5" w:type="pct"/>
            <w:shd w:val="clear" w:color="auto" w:fill="auto"/>
            <w:vAlign w:val="bottom"/>
          </w:tcPr>
          <w:p w14:paraId="5A1B2543" w14:textId="77777777" w:rsidR="00960BB8" w:rsidRDefault="00960BB8">
            <w:pPr>
              <w:rPr>
                <w:rFonts w:ascii="宋体"/>
              </w:rPr>
            </w:pPr>
          </w:p>
        </w:tc>
        <w:tc>
          <w:tcPr>
            <w:tcW w:w="0" w:type="auto"/>
            <w:shd w:val="clear" w:color="auto" w:fill="auto"/>
            <w:vAlign w:val="bottom"/>
          </w:tcPr>
          <w:p w14:paraId="5A1B2544" w14:textId="77777777" w:rsidR="00960BB8" w:rsidRDefault="00960BB8">
            <w:pPr>
              <w:rPr>
                <w:rFonts w:ascii="宋体"/>
                <w:vanish/>
              </w:rPr>
            </w:pPr>
          </w:p>
        </w:tc>
        <w:tc>
          <w:tcPr>
            <w:tcW w:w="0" w:type="auto"/>
            <w:shd w:val="clear" w:color="auto" w:fill="auto"/>
            <w:vAlign w:val="bottom"/>
          </w:tcPr>
          <w:p w14:paraId="5A1B2545" w14:textId="77777777" w:rsidR="00960BB8" w:rsidRDefault="00960BB8">
            <w:pPr>
              <w:rPr>
                <w:rFonts w:ascii="宋体"/>
                <w:vanish/>
              </w:rPr>
            </w:pPr>
          </w:p>
        </w:tc>
        <w:tc>
          <w:tcPr>
            <w:tcW w:w="0" w:type="auto"/>
            <w:shd w:val="clear" w:color="auto" w:fill="auto"/>
            <w:vAlign w:val="bottom"/>
          </w:tcPr>
          <w:p w14:paraId="5A1B2546" w14:textId="77777777" w:rsidR="00960BB8" w:rsidRDefault="00960BB8">
            <w:pPr>
              <w:rPr>
                <w:rFonts w:ascii="宋体"/>
                <w:vanish/>
              </w:rPr>
            </w:pPr>
          </w:p>
        </w:tc>
        <w:tc>
          <w:tcPr>
            <w:tcW w:w="0" w:type="auto"/>
            <w:shd w:val="clear" w:color="auto" w:fill="auto"/>
            <w:vAlign w:val="bottom"/>
          </w:tcPr>
          <w:p w14:paraId="5A1B2547" w14:textId="77777777" w:rsidR="00960BB8" w:rsidRDefault="00960BB8">
            <w:pPr>
              <w:rPr>
                <w:rFonts w:ascii="宋体"/>
                <w:vanish/>
              </w:rPr>
            </w:pPr>
          </w:p>
        </w:tc>
      </w:tr>
      <w:tr w:rsidR="00960BB8" w14:paraId="5A1B2554" w14:textId="77777777">
        <w:tc>
          <w:tcPr>
            <w:tcW w:w="0" w:type="auto"/>
            <w:gridSpan w:val="3"/>
            <w:shd w:val="clear" w:color="auto" w:fill="auto"/>
            <w:tcMar>
              <w:top w:w="0" w:type="dxa"/>
              <w:left w:w="20" w:type="dxa"/>
              <w:bottom w:w="0" w:type="dxa"/>
              <w:right w:w="20" w:type="dxa"/>
            </w:tcMar>
            <w:vAlign w:val="bottom"/>
          </w:tcPr>
          <w:p w14:paraId="5A1B254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54A"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vAlign w:val="bottom"/>
          </w:tcPr>
          <w:p w14:paraId="5A1B254B"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254C" w14:textId="77777777" w:rsidR="00960BB8" w:rsidRDefault="00960BB8">
            <w:pPr>
              <w:rPr>
                <w:rFonts w:ascii="宋体"/>
              </w:rPr>
            </w:pPr>
          </w:p>
        </w:tc>
        <w:tc>
          <w:tcPr>
            <w:tcW w:w="0" w:type="auto"/>
            <w:shd w:val="clear" w:color="auto" w:fill="auto"/>
            <w:vAlign w:val="bottom"/>
          </w:tcPr>
          <w:p w14:paraId="5A1B254D" w14:textId="77777777" w:rsidR="00960BB8" w:rsidRDefault="00960BB8">
            <w:pPr>
              <w:rPr>
                <w:rFonts w:ascii="宋体"/>
                <w:vanish/>
              </w:rPr>
            </w:pPr>
          </w:p>
        </w:tc>
        <w:tc>
          <w:tcPr>
            <w:tcW w:w="0" w:type="auto"/>
            <w:shd w:val="clear" w:color="auto" w:fill="auto"/>
            <w:vAlign w:val="bottom"/>
          </w:tcPr>
          <w:p w14:paraId="5A1B254E"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bottom"/>
          </w:tcPr>
          <w:p w14:paraId="5A1B254F"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shd w:val="clear" w:color="auto" w:fill="auto"/>
            <w:vAlign w:val="bottom"/>
          </w:tcPr>
          <w:p w14:paraId="5A1B2550" w14:textId="77777777" w:rsidR="00960BB8" w:rsidRDefault="00960BB8">
            <w:pPr>
              <w:rPr>
                <w:rFonts w:ascii="宋体"/>
                <w:vanish/>
              </w:rPr>
            </w:pPr>
          </w:p>
        </w:tc>
        <w:tc>
          <w:tcPr>
            <w:tcW w:w="0" w:type="auto"/>
            <w:shd w:val="clear" w:color="auto" w:fill="auto"/>
            <w:vAlign w:val="bottom"/>
          </w:tcPr>
          <w:p w14:paraId="5A1B2551" w14:textId="77777777" w:rsidR="00960BB8" w:rsidRDefault="00960BB8">
            <w:pPr>
              <w:rPr>
                <w:rFonts w:ascii="宋体"/>
                <w:vanish/>
              </w:rPr>
            </w:pPr>
          </w:p>
        </w:tc>
        <w:tc>
          <w:tcPr>
            <w:tcW w:w="0" w:type="auto"/>
            <w:shd w:val="clear" w:color="auto" w:fill="auto"/>
            <w:vAlign w:val="bottom"/>
          </w:tcPr>
          <w:p w14:paraId="5A1B2552" w14:textId="77777777" w:rsidR="00960BB8" w:rsidRDefault="00960BB8">
            <w:pPr>
              <w:rPr>
                <w:rFonts w:ascii="宋体"/>
                <w:vanish/>
              </w:rPr>
            </w:pPr>
          </w:p>
        </w:tc>
        <w:tc>
          <w:tcPr>
            <w:tcW w:w="0" w:type="auto"/>
            <w:shd w:val="clear" w:color="auto" w:fill="auto"/>
            <w:vAlign w:val="bottom"/>
          </w:tcPr>
          <w:p w14:paraId="5A1B2553" w14:textId="77777777" w:rsidR="00960BB8" w:rsidRDefault="00960BB8">
            <w:pPr>
              <w:rPr>
                <w:rFonts w:ascii="宋体"/>
                <w:vanish/>
              </w:rPr>
            </w:pPr>
          </w:p>
        </w:tc>
      </w:tr>
      <w:tr w:rsidR="00960BB8" w14:paraId="5A1B2562" w14:textId="77777777">
        <w:tc>
          <w:tcPr>
            <w:tcW w:w="0" w:type="auto"/>
            <w:gridSpan w:val="3"/>
            <w:shd w:val="clear" w:color="auto" w:fill="auto"/>
            <w:tcMar>
              <w:top w:w="40" w:type="dxa"/>
              <w:left w:w="20" w:type="dxa"/>
              <w:bottom w:w="40" w:type="dxa"/>
              <w:right w:w="20" w:type="dxa"/>
            </w:tcMar>
            <w:vAlign w:val="bottom"/>
          </w:tcPr>
          <w:p w14:paraId="5A1B2555"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2556"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557" w14:textId="77777777" w:rsidR="00960BB8" w:rsidRDefault="00C06650">
            <w:pPr>
              <w:jc w:val="center"/>
              <w:textAlignment w:val="bottom"/>
            </w:pPr>
            <w:r>
              <w:rPr>
                <w:rFonts w:ascii="Arial" w:eastAsia="宋体" w:hAnsi="Arial" w:cs="Arial"/>
                <w:b/>
                <w:bCs/>
                <w:color w:val="262626"/>
                <w:sz w:val="18"/>
                <w:szCs w:val="18"/>
              </w:rPr>
              <w:t>Effective Interest Rate</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558"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559" w14:textId="77777777" w:rsidR="00960BB8" w:rsidRDefault="00C06650">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vAlign w:val="bottom"/>
          </w:tcPr>
          <w:p w14:paraId="5A1B255A" w14:textId="77777777" w:rsidR="00960BB8" w:rsidRDefault="00960BB8">
            <w:pPr>
              <w:rPr>
                <w:rFonts w:ascii="宋体"/>
              </w:rPr>
            </w:pPr>
          </w:p>
        </w:tc>
        <w:tc>
          <w:tcPr>
            <w:tcW w:w="0" w:type="auto"/>
            <w:shd w:val="clear" w:color="auto" w:fill="auto"/>
            <w:vAlign w:val="bottom"/>
          </w:tcPr>
          <w:p w14:paraId="5A1B255B" w14:textId="77777777" w:rsidR="00960BB8" w:rsidRDefault="00960BB8">
            <w:pPr>
              <w:rPr>
                <w:rFonts w:ascii="宋体"/>
                <w:vanish/>
              </w:rPr>
            </w:pPr>
          </w:p>
        </w:tc>
        <w:tc>
          <w:tcPr>
            <w:tcW w:w="0" w:type="auto"/>
            <w:shd w:val="clear" w:color="auto" w:fill="auto"/>
            <w:vAlign w:val="bottom"/>
          </w:tcPr>
          <w:p w14:paraId="5A1B255C" w14:textId="77777777" w:rsidR="00960BB8" w:rsidRDefault="00960BB8">
            <w:pPr>
              <w:rPr>
                <w:rFonts w:ascii="宋体"/>
                <w:vanish/>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55D" w14:textId="77777777" w:rsidR="00960BB8" w:rsidRDefault="00C06650">
            <w:pPr>
              <w:jc w:val="center"/>
              <w:textAlignment w:val="bottom"/>
            </w:pPr>
            <w:r>
              <w:rPr>
                <w:rFonts w:ascii="Arial" w:eastAsia="宋体" w:hAnsi="Arial" w:cs="Arial"/>
                <w:b/>
                <w:bCs/>
                <w:color w:val="262626"/>
                <w:sz w:val="18"/>
                <w:szCs w:val="18"/>
              </w:rPr>
              <w:t>Amount</w:t>
            </w:r>
          </w:p>
        </w:tc>
        <w:tc>
          <w:tcPr>
            <w:tcW w:w="0" w:type="auto"/>
            <w:shd w:val="clear" w:color="auto" w:fill="auto"/>
            <w:vAlign w:val="bottom"/>
          </w:tcPr>
          <w:p w14:paraId="5A1B255E" w14:textId="77777777" w:rsidR="00960BB8" w:rsidRDefault="00960BB8">
            <w:pPr>
              <w:rPr>
                <w:rFonts w:ascii="宋体"/>
                <w:vanish/>
              </w:rPr>
            </w:pPr>
          </w:p>
        </w:tc>
        <w:tc>
          <w:tcPr>
            <w:tcW w:w="0" w:type="auto"/>
            <w:shd w:val="clear" w:color="auto" w:fill="auto"/>
            <w:vAlign w:val="bottom"/>
          </w:tcPr>
          <w:p w14:paraId="5A1B255F" w14:textId="77777777" w:rsidR="00960BB8" w:rsidRDefault="00960BB8">
            <w:pPr>
              <w:rPr>
                <w:rFonts w:ascii="宋体"/>
                <w:vanish/>
              </w:rPr>
            </w:pPr>
          </w:p>
        </w:tc>
        <w:tc>
          <w:tcPr>
            <w:tcW w:w="0" w:type="auto"/>
            <w:shd w:val="clear" w:color="auto" w:fill="auto"/>
            <w:vAlign w:val="bottom"/>
          </w:tcPr>
          <w:p w14:paraId="5A1B2560" w14:textId="77777777" w:rsidR="00960BB8" w:rsidRDefault="00960BB8">
            <w:pPr>
              <w:rPr>
                <w:rFonts w:ascii="宋体"/>
                <w:vanish/>
              </w:rPr>
            </w:pPr>
          </w:p>
        </w:tc>
        <w:tc>
          <w:tcPr>
            <w:tcW w:w="0" w:type="auto"/>
            <w:shd w:val="clear" w:color="auto" w:fill="auto"/>
            <w:vAlign w:val="bottom"/>
          </w:tcPr>
          <w:p w14:paraId="5A1B2561" w14:textId="77777777" w:rsidR="00960BB8" w:rsidRDefault="00960BB8">
            <w:pPr>
              <w:rPr>
                <w:rFonts w:ascii="宋体"/>
                <w:vanish/>
              </w:rPr>
            </w:pPr>
          </w:p>
        </w:tc>
      </w:tr>
      <w:tr w:rsidR="00960BB8" w14:paraId="5A1B2570" w14:textId="77777777">
        <w:tc>
          <w:tcPr>
            <w:tcW w:w="0" w:type="auto"/>
            <w:gridSpan w:val="3"/>
            <w:tcBorders>
              <w:top w:val="single" w:sz="8" w:space="0" w:color="0068B5"/>
            </w:tcBorders>
            <w:shd w:val="clear" w:color="auto" w:fill="auto"/>
            <w:tcMar>
              <w:top w:w="40" w:type="dxa"/>
              <w:left w:w="20" w:type="dxa"/>
              <w:bottom w:w="40" w:type="dxa"/>
              <w:right w:w="20" w:type="dxa"/>
            </w:tcMar>
          </w:tcPr>
          <w:p w14:paraId="5A1B2563" w14:textId="77777777" w:rsidR="00960BB8" w:rsidRDefault="00C06650">
            <w:pPr>
              <w:textAlignment w:val="top"/>
            </w:pPr>
            <w:r>
              <w:rPr>
                <w:rFonts w:ascii="Arial" w:eastAsia="宋体" w:hAnsi="Arial" w:cs="Arial"/>
                <w:color w:val="262626"/>
                <w:sz w:val="18"/>
                <w:szCs w:val="18"/>
              </w:rPr>
              <w:t>Floating-rate senior note:</w:t>
            </w:r>
          </w:p>
        </w:tc>
        <w:tc>
          <w:tcPr>
            <w:tcW w:w="0" w:type="auto"/>
            <w:gridSpan w:val="3"/>
            <w:shd w:val="clear" w:color="auto" w:fill="auto"/>
            <w:tcMar>
              <w:top w:w="0" w:type="dxa"/>
              <w:left w:w="20" w:type="dxa"/>
              <w:bottom w:w="0" w:type="dxa"/>
              <w:right w:w="20" w:type="dxa"/>
            </w:tcMar>
            <w:vAlign w:val="bottom"/>
          </w:tcPr>
          <w:p w14:paraId="5A1B2564"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56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566"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56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568" w14:textId="77777777" w:rsidR="00960BB8" w:rsidRDefault="00960BB8">
            <w:pPr>
              <w:rPr>
                <w:rFonts w:ascii="宋体"/>
              </w:rPr>
            </w:pPr>
          </w:p>
        </w:tc>
        <w:tc>
          <w:tcPr>
            <w:tcW w:w="0" w:type="auto"/>
            <w:shd w:val="clear" w:color="auto" w:fill="auto"/>
            <w:vAlign w:val="bottom"/>
          </w:tcPr>
          <w:p w14:paraId="5A1B2569" w14:textId="77777777" w:rsidR="00960BB8" w:rsidRDefault="00960BB8">
            <w:pPr>
              <w:rPr>
                <w:rFonts w:ascii="宋体"/>
                <w:vanish/>
              </w:rPr>
            </w:pPr>
          </w:p>
        </w:tc>
        <w:tc>
          <w:tcPr>
            <w:tcW w:w="0" w:type="auto"/>
            <w:shd w:val="clear" w:color="auto" w:fill="auto"/>
            <w:vAlign w:val="bottom"/>
          </w:tcPr>
          <w:p w14:paraId="5A1B256A" w14:textId="77777777" w:rsidR="00960BB8" w:rsidRDefault="00960BB8">
            <w:pPr>
              <w:rPr>
                <w:rFonts w:ascii="宋体"/>
                <w:vanish/>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56B" w14:textId="77777777" w:rsidR="00960BB8" w:rsidRDefault="00960BB8">
            <w:pPr>
              <w:rPr>
                <w:rFonts w:ascii="宋体"/>
              </w:rPr>
            </w:pPr>
          </w:p>
        </w:tc>
        <w:tc>
          <w:tcPr>
            <w:tcW w:w="0" w:type="auto"/>
            <w:shd w:val="clear" w:color="auto" w:fill="auto"/>
            <w:vAlign w:val="bottom"/>
          </w:tcPr>
          <w:p w14:paraId="5A1B256C" w14:textId="77777777" w:rsidR="00960BB8" w:rsidRDefault="00960BB8">
            <w:pPr>
              <w:rPr>
                <w:rFonts w:ascii="宋体"/>
                <w:vanish/>
              </w:rPr>
            </w:pPr>
          </w:p>
        </w:tc>
        <w:tc>
          <w:tcPr>
            <w:tcW w:w="0" w:type="auto"/>
            <w:shd w:val="clear" w:color="auto" w:fill="auto"/>
            <w:vAlign w:val="bottom"/>
          </w:tcPr>
          <w:p w14:paraId="5A1B256D" w14:textId="77777777" w:rsidR="00960BB8" w:rsidRDefault="00960BB8">
            <w:pPr>
              <w:rPr>
                <w:rFonts w:ascii="宋体"/>
                <w:vanish/>
              </w:rPr>
            </w:pPr>
          </w:p>
        </w:tc>
        <w:tc>
          <w:tcPr>
            <w:tcW w:w="0" w:type="auto"/>
            <w:shd w:val="clear" w:color="auto" w:fill="auto"/>
            <w:vAlign w:val="bottom"/>
          </w:tcPr>
          <w:p w14:paraId="5A1B256E" w14:textId="77777777" w:rsidR="00960BB8" w:rsidRDefault="00960BB8">
            <w:pPr>
              <w:rPr>
                <w:rFonts w:ascii="宋体"/>
                <w:vanish/>
              </w:rPr>
            </w:pPr>
          </w:p>
        </w:tc>
        <w:tc>
          <w:tcPr>
            <w:tcW w:w="0" w:type="auto"/>
            <w:shd w:val="clear" w:color="auto" w:fill="auto"/>
            <w:vAlign w:val="bottom"/>
          </w:tcPr>
          <w:p w14:paraId="5A1B256F" w14:textId="77777777" w:rsidR="00960BB8" w:rsidRDefault="00960BB8">
            <w:pPr>
              <w:rPr>
                <w:rFonts w:ascii="宋体"/>
                <w:vanish/>
              </w:rPr>
            </w:pPr>
          </w:p>
        </w:tc>
      </w:tr>
      <w:tr w:rsidR="00960BB8" w14:paraId="5A1B257E" w14:textId="77777777">
        <w:trPr>
          <w:hidden/>
        </w:trPr>
        <w:tc>
          <w:tcPr>
            <w:tcW w:w="0" w:type="auto"/>
            <w:gridSpan w:val="3"/>
            <w:shd w:val="clear" w:color="auto" w:fill="auto"/>
            <w:vAlign w:val="bottom"/>
          </w:tcPr>
          <w:p w14:paraId="5A1B2571" w14:textId="77777777" w:rsidR="00960BB8" w:rsidRDefault="00960BB8">
            <w:pPr>
              <w:rPr>
                <w:rFonts w:ascii="宋体"/>
                <w:vanish/>
              </w:rPr>
            </w:pPr>
          </w:p>
        </w:tc>
        <w:tc>
          <w:tcPr>
            <w:tcW w:w="0" w:type="auto"/>
            <w:gridSpan w:val="3"/>
            <w:shd w:val="clear" w:color="auto" w:fill="auto"/>
            <w:vAlign w:val="bottom"/>
          </w:tcPr>
          <w:p w14:paraId="5A1B2572" w14:textId="77777777" w:rsidR="00960BB8" w:rsidRDefault="00960BB8">
            <w:pPr>
              <w:rPr>
                <w:rFonts w:ascii="宋体"/>
                <w:vanish/>
              </w:rPr>
            </w:pPr>
          </w:p>
        </w:tc>
        <w:tc>
          <w:tcPr>
            <w:tcW w:w="0" w:type="auto"/>
            <w:gridSpan w:val="3"/>
            <w:shd w:val="clear" w:color="auto" w:fill="auto"/>
            <w:vAlign w:val="bottom"/>
          </w:tcPr>
          <w:p w14:paraId="5A1B2573" w14:textId="77777777" w:rsidR="00960BB8" w:rsidRDefault="00960BB8">
            <w:pPr>
              <w:rPr>
                <w:rFonts w:ascii="宋体"/>
                <w:vanish/>
              </w:rPr>
            </w:pPr>
          </w:p>
        </w:tc>
        <w:tc>
          <w:tcPr>
            <w:tcW w:w="0" w:type="auto"/>
            <w:gridSpan w:val="3"/>
            <w:shd w:val="clear" w:color="auto" w:fill="auto"/>
            <w:vAlign w:val="bottom"/>
          </w:tcPr>
          <w:p w14:paraId="5A1B2574" w14:textId="77777777" w:rsidR="00960BB8" w:rsidRDefault="00960BB8">
            <w:pPr>
              <w:rPr>
                <w:rFonts w:ascii="宋体"/>
                <w:vanish/>
              </w:rPr>
            </w:pPr>
          </w:p>
        </w:tc>
        <w:tc>
          <w:tcPr>
            <w:tcW w:w="0" w:type="auto"/>
            <w:gridSpan w:val="3"/>
            <w:shd w:val="clear" w:color="auto" w:fill="auto"/>
            <w:vAlign w:val="bottom"/>
          </w:tcPr>
          <w:p w14:paraId="5A1B2575" w14:textId="77777777" w:rsidR="00960BB8" w:rsidRDefault="00960BB8">
            <w:pPr>
              <w:rPr>
                <w:rFonts w:ascii="宋体"/>
                <w:vanish/>
              </w:rPr>
            </w:pPr>
          </w:p>
        </w:tc>
        <w:tc>
          <w:tcPr>
            <w:tcW w:w="0" w:type="auto"/>
            <w:gridSpan w:val="3"/>
            <w:shd w:val="clear" w:color="auto" w:fill="auto"/>
            <w:vAlign w:val="bottom"/>
          </w:tcPr>
          <w:p w14:paraId="5A1B2576" w14:textId="77777777" w:rsidR="00960BB8" w:rsidRDefault="00960BB8">
            <w:pPr>
              <w:rPr>
                <w:rFonts w:ascii="宋体"/>
                <w:vanish/>
              </w:rPr>
            </w:pPr>
          </w:p>
        </w:tc>
        <w:tc>
          <w:tcPr>
            <w:tcW w:w="0" w:type="auto"/>
            <w:shd w:val="clear" w:color="auto" w:fill="auto"/>
            <w:vAlign w:val="bottom"/>
          </w:tcPr>
          <w:p w14:paraId="5A1B2577" w14:textId="77777777" w:rsidR="00960BB8" w:rsidRDefault="00960BB8">
            <w:pPr>
              <w:rPr>
                <w:rFonts w:ascii="宋体"/>
                <w:vanish/>
              </w:rPr>
            </w:pPr>
          </w:p>
        </w:tc>
        <w:tc>
          <w:tcPr>
            <w:tcW w:w="0" w:type="auto"/>
            <w:shd w:val="clear" w:color="auto" w:fill="auto"/>
            <w:vAlign w:val="bottom"/>
          </w:tcPr>
          <w:p w14:paraId="5A1B2578" w14:textId="77777777" w:rsidR="00960BB8" w:rsidRDefault="00960BB8">
            <w:pPr>
              <w:rPr>
                <w:rFonts w:ascii="宋体"/>
                <w:vanish/>
              </w:rPr>
            </w:pPr>
          </w:p>
        </w:tc>
        <w:tc>
          <w:tcPr>
            <w:tcW w:w="0" w:type="auto"/>
            <w:gridSpan w:val="3"/>
            <w:shd w:val="clear" w:color="auto" w:fill="auto"/>
            <w:vAlign w:val="bottom"/>
          </w:tcPr>
          <w:p w14:paraId="5A1B2579" w14:textId="77777777" w:rsidR="00960BB8" w:rsidRDefault="00960BB8">
            <w:pPr>
              <w:rPr>
                <w:rFonts w:ascii="宋体"/>
                <w:vanish/>
              </w:rPr>
            </w:pPr>
          </w:p>
        </w:tc>
        <w:tc>
          <w:tcPr>
            <w:tcW w:w="0" w:type="auto"/>
            <w:shd w:val="clear" w:color="auto" w:fill="auto"/>
            <w:vAlign w:val="bottom"/>
          </w:tcPr>
          <w:p w14:paraId="5A1B257A" w14:textId="77777777" w:rsidR="00960BB8" w:rsidRDefault="00960BB8">
            <w:pPr>
              <w:rPr>
                <w:rFonts w:ascii="宋体"/>
                <w:vanish/>
              </w:rPr>
            </w:pPr>
          </w:p>
        </w:tc>
        <w:tc>
          <w:tcPr>
            <w:tcW w:w="0" w:type="auto"/>
            <w:shd w:val="clear" w:color="auto" w:fill="auto"/>
            <w:vAlign w:val="bottom"/>
          </w:tcPr>
          <w:p w14:paraId="5A1B257B" w14:textId="77777777" w:rsidR="00960BB8" w:rsidRDefault="00960BB8">
            <w:pPr>
              <w:rPr>
                <w:rFonts w:ascii="宋体"/>
                <w:vanish/>
              </w:rPr>
            </w:pPr>
          </w:p>
        </w:tc>
        <w:tc>
          <w:tcPr>
            <w:tcW w:w="0" w:type="auto"/>
            <w:shd w:val="clear" w:color="auto" w:fill="auto"/>
            <w:vAlign w:val="bottom"/>
          </w:tcPr>
          <w:p w14:paraId="5A1B257C" w14:textId="77777777" w:rsidR="00960BB8" w:rsidRDefault="00960BB8">
            <w:pPr>
              <w:rPr>
                <w:rFonts w:ascii="宋体"/>
                <w:vanish/>
              </w:rPr>
            </w:pPr>
          </w:p>
        </w:tc>
        <w:tc>
          <w:tcPr>
            <w:tcW w:w="0" w:type="auto"/>
            <w:shd w:val="clear" w:color="auto" w:fill="auto"/>
            <w:vAlign w:val="bottom"/>
          </w:tcPr>
          <w:p w14:paraId="5A1B257D" w14:textId="77777777" w:rsidR="00960BB8" w:rsidRDefault="00960BB8">
            <w:pPr>
              <w:rPr>
                <w:rFonts w:ascii="宋体"/>
                <w:vanish/>
              </w:rPr>
            </w:pPr>
          </w:p>
        </w:tc>
      </w:tr>
      <w:tr w:rsidR="00960BB8" w14:paraId="5A1B2590" w14:textId="77777777">
        <w:tc>
          <w:tcPr>
            <w:tcW w:w="0" w:type="auto"/>
            <w:gridSpan w:val="3"/>
            <w:shd w:val="clear" w:color="auto" w:fill="auto"/>
            <w:tcMar>
              <w:top w:w="40" w:type="dxa"/>
              <w:left w:w="155" w:type="dxa"/>
              <w:bottom w:w="40" w:type="dxa"/>
              <w:right w:w="20" w:type="dxa"/>
            </w:tcMar>
            <w:vAlign w:val="bottom"/>
          </w:tcPr>
          <w:p w14:paraId="5A1B257F" w14:textId="77777777" w:rsidR="00960BB8" w:rsidRDefault="00C06650">
            <w:pPr>
              <w:textAlignment w:val="bottom"/>
            </w:pPr>
            <w:r>
              <w:rPr>
                <w:rFonts w:ascii="Arial" w:eastAsia="宋体" w:hAnsi="Arial" w:cs="Arial"/>
                <w:color w:val="262626"/>
                <w:sz w:val="18"/>
                <w:szCs w:val="18"/>
              </w:rPr>
              <w:t>Three-month LIBOR plus 0.35%, due May 2022</w:t>
            </w:r>
          </w:p>
        </w:tc>
        <w:tc>
          <w:tcPr>
            <w:tcW w:w="0" w:type="auto"/>
            <w:gridSpan w:val="3"/>
            <w:shd w:val="clear" w:color="auto" w:fill="auto"/>
            <w:tcMar>
              <w:top w:w="0" w:type="dxa"/>
              <w:left w:w="20" w:type="dxa"/>
              <w:bottom w:w="0" w:type="dxa"/>
              <w:right w:w="20" w:type="dxa"/>
            </w:tcMar>
            <w:vAlign w:val="bottom"/>
          </w:tcPr>
          <w:p w14:paraId="5A1B258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581" w14:textId="77777777" w:rsidR="00960BB8" w:rsidRDefault="00C06650">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2582"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583"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584"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58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586" w14:textId="77777777" w:rsidR="00960BB8" w:rsidRDefault="00960BB8">
            <w:pPr>
              <w:rPr>
                <w:rFonts w:ascii="宋体"/>
              </w:rPr>
            </w:pPr>
          </w:p>
        </w:tc>
        <w:tc>
          <w:tcPr>
            <w:tcW w:w="0" w:type="auto"/>
            <w:shd w:val="clear" w:color="auto" w:fill="auto"/>
            <w:vAlign w:val="bottom"/>
          </w:tcPr>
          <w:p w14:paraId="5A1B2587" w14:textId="77777777" w:rsidR="00960BB8" w:rsidRDefault="00960BB8">
            <w:pPr>
              <w:rPr>
                <w:rFonts w:ascii="宋体"/>
                <w:vanish/>
              </w:rPr>
            </w:pPr>
          </w:p>
        </w:tc>
        <w:tc>
          <w:tcPr>
            <w:tcW w:w="0" w:type="auto"/>
            <w:shd w:val="clear" w:color="auto" w:fill="auto"/>
            <w:vAlign w:val="bottom"/>
          </w:tcPr>
          <w:p w14:paraId="5A1B2588" w14:textId="77777777" w:rsidR="00960BB8" w:rsidRDefault="00960BB8">
            <w:pPr>
              <w:rPr>
                <w:rFonts w:ascii="宋体"/>
                <w:vanish/>
              </w:rPr>
            </w:pPr>
          </w:p>
        </w:tc>
        <w:tc>
          <w:tcPr>
            <w:tcW w:w="0" w:type="auto"/>
            <w:shd w:val="clear" w:color="auto" w:fill="auto"/>
            <w:tcMar>
              <w:top w:w="40" w:type="dxa"/>
              <w:left w:w="20" w:type="dxa"/>
              <w:bottom w:w="40" w:type="dxa"/>
              <w:right w:w="0" w:type="dxa"/>
            </w:tcMar>
            <w:vAlign w:val="bottom"/>
          </w:tcPr>
          <w:p w14:paraId="5A1B2589" w14:textId="77777777" w:rsidR="00960BB8" w:rsidRDefault="00C06650">
            <w:pPr>
              <w:textAlignment w:val="bottom"/>
            </w:pPr>
            <w:r>
              <w:rPr>
                <w:rFonts w:ascii="Arial" w:eastAsia="宋体" w:hAnsi="Arial" w:cs="Arial"/>
                <w:color w:val="000000"/>
                <w:sz w:val="18"/>
                <w:szCs w:val="18"/>
              </w:rPr>
              <w:t>$</w:t>
            </w:r>
          </w:p>
        </w:tc>
        <w:tc>
          <w:tcPr>
            <w:tcW w:w="0" w:type="auto"/>
            <w:shd w:val="clear" w:color="auto" w:fill="auto"/>
            <w:tcMar>
              <w:top w:w="40" w:type="dxa"/>
              <w:left w:w="0" w:type="dxa"/>
              <w:bottom w:w="40" w:type="dxa"/>
              <w:right w:w="0" w:type="dxa"/>
            </w:tcMar>
            <w:vAlign w:val="bottom"/>
          </w:tcPr>
          <w:p w14:paraId="5A1B258A" w14:textId="77777777" w:rsidR="00960BB8" w:rsidRDefault="00C06650">
            <w:pPr>
              <w:jc w:val="right"/>
              <w:textAlignment w:val="bottom"/>
            </w:pPr>
            <w:r>
              <w:rPr>
                <w:rFonts w:ascii="Arial" w:eastAsia="宋体" w:hAnsi="Arial" w:cs="Arial"/>
                <w:color w:val="000000"/>
                <w:sz w:val="18"/>
                <w:szCs w:val="18"/>
              </w:rPr>
              <w:t>800 </w:t>
            </w:r>
          </w:p>
        </w:tc>
        <w:tc>
          <w:tcPr>
            <w:tcW w:w="0" w:type="auto"/>
            <w:shd w:val="clear" w:color="auto" w:fill="auto"/>
            <w:tcMar>
              <w:top w:w="40" w:type="dxa"/>
              <w:left w:w="0" w:type="dxa"/>
              <w:bottom w:w="40" w:type="dxa"/>
              <w:right w:w="20" w:type="dxa"/>
            </w:tcMar>
            <w:vAlign w:val="bottom"/>
          </w:tcPr>
          <w:p w14:paraId="5A1B258B" w14:textId="77777777" w:rsidR="00960BB8" w:rsidRDefault="00960BB8">
            <w:pPr>
              <w:jc w:val="right"/>
              <w:rPr>
                <w:rFonts w:ascii="宋体"/>
              </w:rPr>
            </w:pPr>
          </w:p>
        </w:tc>
        <w:tc>
          <w:tcPr>
            <w:tcW w:w="0" w:type="auto"/>
            <w:shd w:val="clear" w:color="auto" w:fill="auto"/>
            <w:vAlign w:val="bottom"/>
          </w:tcPr>
          <w:p w14:paraId="5A1B258C" w14:textId="77777777" w:rsidR="00960BB8" w:rsidRDefault="00960BB8">
            <w:pPr>
              <w:rPr>
                <w:rFonts w:ascii="宋体"/>
                <w:vanish/>
              </w:rPr>
            </w:pPr>
          </w:p>
        </w:tc>
        <w:tc>
          <w:tcPr>
            <w:tcW w:w="0" w:type="auto"/>
            <w:shd w:val="clear" w:color="auto" w:fill="auto"/>
            <w:vAlign w:val="bottom"/>
          </w:tcPr>
          <w:p w14:paraId="5A1B258D" w14:textId="77777777" w:rsidR="00960BB8" w:rsidRDefault="00960BB8">
            <w:pPr>
              <w:rPr>
                <w:rFonts w:ascii="宋体"/>
                <w:vanish/>
              </w:rPr>
            </w:pPr>
          </w:p>
        </w:tc>
        <w:tc>
          <w:tcPr>
            <w:tcW w:w="0" w:type="auto"/>
            <w:shd w:val="clear" w:color="auto" w:fill="auto"/>
            <w:vAlign w:val="bottom"/>
          </w:tcPr>
          <w:p w14:paraId="5A1B258E" w14:textId="77777777" w:rsidR="00960BB8" w:rsidRDefault="00960BB8">
            <w:pPr>
              <w:rPr>
                <w:rFonts w:ascii="宋体"/>
                <w:vanish/>
              </w:rPr>
            </w:pPr>
          </w:p>
        </w:tc>
        <w:tc>
          <w:tcPr>
            <w:tcW w:w="0" w:type="auto"/>
            <w:shd w:val="clear" w:color="auto" w:fill="auto"/>
            <w:vAlign w:val="bottom"/>
          </w:tcPr>
          <w:p w14:paraId="5A1B258F" w14:textId="77777777" w:rsidR="00960BB8" w:rsidRDefault="00960BB8">
            <w:pPr>
              <w:rPr>
                <w:rFonts w:ascii="宋体"/>
                <w:vanish/>
              </w:rPr>
            </w:pPr>
          </w:p>
        </w:tc>
      </w:tr>
      <w:tr w:rsidR="00960BB8" w14:paraId="5A1B259E" w14:textId="77777777">
        <w:tc>
          <w:tcPr>
            <w:tcW w:w="0" w:type="auto"/>
            <w:gridSpan w:val="3"/>
            <w:shd w:val="clear" w:color="auto" w:fill="auto"/>
            <w:tcMar>
              <w:top w:w="40" w:type="dxa"/>
              <w:left w:w="20" w:type="dxa"/>
              <w:bottom w:w="40" w:type="dxa"/>
              <w:right w:w="20" w:type="dxa"/>
            </w:tcMar>
          </w:tcPr>
          <w:p w14:paraId="5A1B2591" w14:textId="77777777" w:rsidR="00960BB8" w:rsidRDefault="00C06650">
            <w:pPr>
              <w:textAlignment w:val="top"/>
            </w:pPr>
            <w:r>
              <w:rPr>
                <w:rFonts w:ascii="Arial" w:eastAsia="宋体" w:hAnsi="Arial" w:cs="Arial"/>
                <w:color w:val="262626"/>
                <w:sz w:val="18"/>
                <w:szCs w:val="18"/>
              </w:rPr>
              <w:t>Fixed-rate senior notes:</w:t>
            </w:r>
          </w:p>
        </w:tc>
        <w:tc>
          <w:tcPr>
            <w:tcW w:w="0" w:type="auto"/>
            <w:gridSpan w:val="3"/>
            <w:shd w:val="clear" w:color="auto" w:fill="auto"/>
            <w:tcMar>
              <w:top w:w="0" w:type="dxa"/>
              <w:left w:w="20" w:type="dxa"/>
              <w:bottom w:w="0" w:type="dxa"/>
              <w:right w:w="20" w:type="dxa"/>
            </w:tcMar>
            <w:vAlign w:val="bottom"/>
          </w:tcPr>
          <w:p w14:paraId="5A1B259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59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59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59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596" w14:textId="77777777" w:rsidR="00960BB8" w:rsidRDefault="00960BB8">
            <w:pPr>
              <w:rPr>
                <w:rFonts w:ascii="宋体"/>
              </w:rPr>
            </w:pPr>
          </w:p>
        </w:tc>
        <w:tc>
          <w:tcPr>
            <w:tcW w:w="0" w:type="auto"/>
            <w:shd w:val="clear" w:color="auto" w:fill="auto"/>
            <w:vAlign w:val="bottom"/>
          </w:tcPr>
          <w:p w14:paraId="5A1B2597" w14:textId="77777777" w:rsidR="00960BB8" w:rsidRDefault="00960BB8">
            <w:pPr>
              <w:rPr>
                <w:rFonts w:ascii="宋体"/>
                <w:vanish/>
              </w:rPr>
            </w:pPr>
          </w:p>
        </w:tc>
        <w:tc>
          <w:tcPr>
            <w:tcW w:w="0" w:type="auto"/>
            <w:shd w:val="clear" w:color="auto" w:fill="auto"/>
            <w:vAlign w:val="bottom"/>
          </w:tcPr>
          <w:p w14:paraId="5A1B2598" w14:textId="77777777" w:rsidR="00960BB8" w:rsidRDefault="00960BB8">
            <w:pPr>
              <w:rPr>
                <w:rFonts w:ascii="宋体"/>
                <w:vanish/>
              </w:rPr>
            </w:pPr>
          </w:p>
        </w:tc>
        <w:tc>
          <w:tcPr>
            <w:tcW w:w="0" w:type="auto"/>
            <w:gridSpan w:val="3"/>
            <w:shd w:val="clear" w:color="auto" w:fill="auto"/>
            <w:tcMar>
              <w:top w:w="0" w:type="dxa"/>
              <w:left w:w="20" w:type="dxa"/>
              <w:bottom w:w="0" w:type="dxa"/>
              <w:right w:w="20" w:type="dxa"/>
            </w:tcMar>
            <w:vAlign w:val="bottom"/>
          </w:tcPr>
          <w:p w14:paraId="5A1B2599" w14:textId="77777777" w:rsidR="00960BB8" w:rsidRDefault="00960BB8">
            <w:pPr>
              <w:rPr>
                <w:rFonts w:ascii="宋体"/>
              </w:rPr>
            </w:pPr>
          </w:p>
        </w:tc>
        <w:tc>
          <w:tcPr>
            <w:tcW w:w="0" w:type="auto"/>
            <w:shd w:val="clear" w:color="auto" w:fill="auto"/>
            <w:vAlign w:val="bottom"/>
          </w:tcPr>
          <w:p w14:paraId="5A1B259A" w14:textId="77777777" w:rsidR="00960BB8" w:rsidRDefault="00960BB8">
            <w:pPr>
              <w:rPr>
                <w:rFonts w:ascii="宋体"/>
                <w:vanish/>
              </w:rPr>
            </w:pPr>
          </w:p>
        </w:tc>
        <w:tc>
          <w:tcPr>
            <w:tcW w:w="0" w:type="auto"/>
            <w:shd w:val="clear" w:color="auto" w:fill="auto"/>
            <w:vAlign w:val="bottom"/>
          </w:tcPr>
          <w:p w14:paraId="5A1B259B" w14:textId="77777777" w:rsidR="00960BB8" w:rsidRDefault="00960BB8">
            <w:pPr>
              <w:rPr>
                <w:rFonts w:ascii="宋体"/>
                <w:vanish/>
              </w:rPr>
            </w:pPr>
          </w:p>
        </w:tc>
        <w:tc>
          <w:tcPr>
            <w:tcW w:w="0" w:type="auto"/>
            <w:shd w:val="clear" w:color="auto" w:fill="auto"/>
            <w:vAlign w:val="bottom"/>
          </w:tcPr>
          <w:p w14:paraId="5A1B259C" w14:textId="77777777" w:rsidR="00960BB8" w:rsidRDefault="00960BB8">
            <w:pPr>
              <w:rPr>
                <w:rFonts w:ascii="宋体"/>
                <w:vanish/>
              </w:rPr>
            </w:pPr>
          </w:p>
        </w:tc>
        <w:tc>
          <w:tcPr>
            <w:tcW w:w="0" w:type="auto"/>
            <w:shd w:val="clear" w:color="auto" w:fill="auto"/>
            <w:vAlign w:val="bottom"/>
          </w:tcPr>
          <w:p w14:paraId="5A1B259D" w14:textId="77777777" w:rsidR="00960BB8" w:rsidRDefault="00960BB8">
            <w:pPr>
              <w:rPr>
                <w:rFonts w:ascii="宋体"/>
                <w:vanish/>
              </w:rPr>
            </w:pPr>
          </w:p>
        </w:tc>
      </w:tr>
      <w:tr w:rsidR="00960BB8" w14:paraId="5A1B25AE" w14:textId="77777777">
        <w:tc>
          <w:tcPr>
            <w:tcW w:w="0" w:type="auto"/>
            <w:gridSpan w:val="3"/>
            <w:shd w:val="clear" w:color="auto" w:fill="auto"/>
            <w:tcMar>
              <w:top w:w="40" w:type="dxa"/>
              <w:left w:w="155" w:type="dxa"/>
              <w:bottom w:w="40" w:type="dxa"/>
              <w:right w:w="20" w:type="dxa"/>
            </w:tcMar>
            <w:vAlign w:val="bottom"/>
          </w:tcPr>
          <w:p w14:paraId="5A1B259F" w14:textId="77777777" w:rsidR="00960BB8" w:rsidRDefault="00C06650">
            <w:pPr>
              <w:textAlignment w:val="bottom"/>
            </w:pPr>
            <w:r>
              <w:rPr>
                <w:rFonts w:ascii="Arial" w:eastAsia="宋体" w:hAnsi="Arial" w:cs="Arial"/>
                <w:color w:val="262626"/>
                <w:sz w:val="18"/>
                <w:szCs w:val="18"/>
              </w:rPr>
              <w:t>2.35%, due May 2022</w:t>
            </w:r>
          </w:p>
        </w:tc>
        <w:tc>
          <w:tcPr>
            <w:tcW w:w="0" w:type="auto"/>
            <w:gridSpan w:val="3"/>
            <w:shd w:val="clear" w:color="auto" w:fill="auto"/>
            <w:tcMar>
              <w:top w:w="0" w:type="dxa"/>
              <w:left w:w="20" w:type="dxa"/>
              <w:bottom w:w="0" w:type="dxa"/>
              <w:right w:w="20" w:type="dxa"/>
            </w:tcMar>
            <w:vAlign w:val="bottom"/>
          </w:tcPr>
          <w:p w14:paraId="5A1B25A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5A1" w14:textId="77777777" w:rsidR="00960BB8" w:rsidRDefault="00C06650">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25A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5A3"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5A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5A5" w14:textId="77777777" w:rsidR="00960BB8" w:rsidRDefault="00960BB8">
            <w:pPr>
              <w:rPr>
                <w:rFonts w:ascii="宋体"/>
              </w:rPr>
            </w:pPr>
          </w:p>
        </w:tc>
        <w:tc>
          <w:tcPr>
            <w:tcW w:w="0" w:type="auto"/>
            <w:shd w:val="clear" w:color="auto" w:fill="auto"/>
            <w:vAlign w:val="bottom"/>
          </w:tcPr>
          <w:p w14:paraId="5A1B25A6" w14:textId="77777777" w:rsidR="00960BB8" w:rsidRDefault="00960BB8">
            <w:pPr>
              <w:rPr>
                <w:rFonts w:ascii="宋体"/>
                <w:vanish/>
              </w:rPr>
            </w:pPr>
          </w:p>
        </w:tc>
        <w:tc>
          <w:tcPr>
            <w:tcW w:w="0" w:type="auto"/>
            <w:shd w:val="clear" w:color="auto" w:fill="auto"/>
            <w:vAlign w:val="bottom"/>
          </w:tcPr>
          <w:p w14:paraId="5A1B25A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5A8" w14:textId="77777777" w:rsidR="00960BB8" w:rsidRDefault="00C06650">
            <w:pPr>
              <w:jc w:val="right"/>
              <w:textAlignment w:val="bottom"/>
            </w:pPr>
            <w:r>
              <w:rPr>
                <w:rFonts w:ascii="Arial" w:eastAsia="宋体" w:hAnsi="Arial" w:cs="Arial"/>
                <w:color w:val="000000"/>
                <w:sz w:val="18"/>
                <w:szCs w:val="18"/>
              </w:rPr>
              <w:t>750 </w:t>
            </w:r>
          </w:p>
        </w:tc>
        <w:tc>
          <w:tcPr>
            <w:tcW w:w="0" w:type="auto"/>
            <w:shd w:val="clear" w:color="auto" w:fill="auto"/>
            <w:tcMar>
              <w:top w:w="40" w:type="dxa"/>
              <w:left w:w="0" w:type="dxa"/>
              <w:bottom w:w="40" w:type="dxa"/>
              <w:right w:w="20" w:type="dxa"/>
            </w:tcMar>
            <w:vAlign w:val="bottom"/>
          </w:tcPr>
          <w:p w14:paraId="5A1B25A9" w14:textId="77777777" w:rsidR="00960BB8" w:rsidRDefault="00960BB8">
            <w:pPr>
              <w:jc w:val="right"/>
              <w:rPr>
                <w:rFonts w:ascii="宋体"/>
              </w:rPr>
            </w:pPr>
          </w:p>
        </w:tc>
        <w:tc>
          <w:tcPr>
            <w:tcW w:w="0" w:type="auto"/>
            <w:shd w:val="clear" w:color="auto" w:fill="auto"/>
            <w:vAlign w:val="bottom"/>
          </w:tcPr>
          <w:p w14:paraId="5A1B25AA" w14:textId="77777777" w:rsidR="00960BB8" w:rsidRDefault="00960BB8">
            <w:pPr>
              <w:rPr>
                <w:rFonts w:ascii="宋体"/>
                <w:vanish/>
              </w:rPr>
            </w:pPr>
          </w:p>
        </w:tc>
        <w:tc>
          <w:tcPr>
            <w:tcW w:w="0" w:type="auto"/>
            <w:shd w:val="clear" w:color="auto" w:fill="auto"/>
            <w:vAlign w:val="bottom"/>
          </w:tcPr>
          <w:p w14:paraId="5A1B25AB" w14:textId="77777777" w:rsidR="00960BB8" w:rsidRDefault="00960BB8">
            <w:pPr>
              <w:rPr>
                <w:rFonts w:ascii="宋体"/>
                <w:vanish/>
              </w:rPr>
            </w:pPr>
          </w:p>
        </w:tc>
        <w:tc>
          <w:tcPr>
            <w:tcW w:w="0" w:type="auto"/>
            <w:shd w:val="clear" w:color="auto" w:fill="auto"/>
            <w:vAlign w:val="bottom"/>
          </w:tcPr>
          <w:p w14:paraId="5A1B25AC" w14:textId="77777777" w:rsidR="00960BB8" w:rsidRDefault="00960BB8">
            <w:pPr>
              <w:rPr>
                <w:rFonts w:ascii="宋体"/>
                <w:vanish/>
              </w:rPr>
            </w:pPr>
          </w:p>
        </w:tc>
        <w:tc>
          <w:tcPr>
            <w:tcW w:w="0" w:type="auto"/>
            <w:shd w:val="clear" w:color="auto" w:fill="auto"/>
            <w:vAlign w:val="bottom"/>
          </w:tcPr>
          <w:p w14:paraId="5A1B25AD" w14:textId="77777777" w:rsidR="00960BB8" w:rsidRDefault="00960BB8">
            <w:pPr>
              <w:rPr>
                <w:rFonts w:ascii="宋体"/>
                <w:vanish/>
              </w:rPr>
            </w:pPr>
          </w:p>
        </w:tc>
      </w:tr>
      <w:tr w:rsidR="00960BB8" w14:paraId="5A1B25BE" w14:textId="77777777">
        <w:tc>
          <w:tcPr>
            <w:tcW w:w="0" w:type="auto"/>
            <w:gridSpan w:val="3"/>
            <w:shd w:val="clear" w:color="auto" w:fill="auto"/>
            <w:tcMar>
              <w:top w:w="40" w:type="dxa"/>
              <w:left w:w="155" w:type="dxa"/>
              <w:bottom w:w="40" w:type="dxa"/>
              <w:right w:w="20" w:type="dxa"/>
            </w:tcMar>
            <w:vAlign w:val="bottom"/>
          </w:tcPr>
          <w:p w14:paraId="5A1B25AF" w14:textId="77777777" w:rsidR="00960BB8" w:rsidRDefault="00C06650">
            <w:pPr>
              <w:textAlignment w:val="bottom"/>
            </w:pPr>
            <w:r>
              <w:rPr>
                <w:rFonts w:ascii="Arial" w:eastAsia="宋体" w:hAnsi="Arial" w:cs="Arial"/>
                <w:color w:val="262626"/>
                <w:sz w:val="18"/>
                <w:szCs w:val="18"/>
              </w:rPr>
              <w:t xml:space="preserve">3.10%, </w:t>
            </w:r>
            <w:r>
              <w:rPr>
                <w:rFonts w:ascii="Arial" w:eastAsia="宋体" w:hAnsi="Arial" w:cs="Arial"/>
                <w:color w:val="262626"/>
                <w:sz w:val="18"/>
                <w:szCs w:val="18"/>
              </w:rPr>
              <w:t>due July 2022</w:t>
            </w:r>
          </w:p>
        </w:tc>
        <w:tc>
          <w:tcPr>
            <w:tcW w:w="0" w:type="auto"/>
            <w:gridSpan w:val="3"/>
            <w:shd w:val="clear" w:color="auto" w:fill="auto"/>
            <w:tcMar>
              <w:top w:w="0" w:type="dxa"/>
              <w:left w:w="20" w:type="dxa"/>
              <w:bottom w:w="0" w:type="dxa"/>
              <w:right w:w="20" w:type="dxa"/>
            </w:tcMar>
            <w:vAlign w:val="bottom"/>
          </w:tcPr>
          <w:p w14:paraId="5A1B25B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5B1" w14:textId="77777777" w:rsidR="00960BB8" w:rsidRDefault="00C06650">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25B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5B3"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5B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5B5" w14:textId="77777777" w:rsidR="00960BB8" w:rsidRDefault="00960BB8">
            <w:pPr>
              <w:rPr>
                <w:rFonts w:ascii="宋体"/>
              </w:rPr>
            </w:pPr>
          </w:p>
        </w:tc>
        <w:tc>
          <w:tcPr>
            <w:tcW w:w="0" w:type="auto"/>
            <w:shd w:val="clear" w:color="auto" w:fill="auto"/>
            <w:vAlign w:val="bottom"/>
          </w:tcPr>
          <w:p w14:paraId="5A1B25B6" w14:textId="77777777" w:rsidR="00960BB8" w:rsidRDefault="00960BB8">
            <w:pPr>
              <w:rPr>
                <w:rFonts w:ascii="宋体"/>
                <w:vanish/>
              </w:rPr>
            </w:pPr>
          </w:p>
        </w:tc>
        <w:tc>
          <w:tcPr>
            <w:tcW w:w="0" w:type="auto"/>
            <w:shd w:val="clear" w:color="auto" w:fill="auto"/>
            <w:vAlign w:val="bottom"/>
          </w:tcPr>
          <w:p w14:paraId="5A1B25B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5B8" w14:textId="77777777" w:rsidR="00960BB8" w:rsidRDefault="00C06650">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5A1B25B9" w14:textId="77777777" w:rsidR="00960BB8" w:rsidRDefault="00960BB8">
            <w:pPr>
              <w:jc w:val="right"/>
              <w:rPr>
                <w:rFonts w:ascii="宋体"/>
              </w:rPr>
            </w:pPr>
          </w:p>
        </w:tc>
        <w:tc>
          <w:tcPr>
            <w:tcW w:w="0" w:type="auto"/>
            <w:shd w:val="clear" w:color="auto" w:fill="auto"/>
            <w:vAlign w:val="bottom"/>
          </w:tcPr>
          <w:p w14:paraId="5A1B25BA" w14:textId="77777777" w:rsidR="00960BB8" w:rsidRDefault="00960BB8">
            <w:pPr>
              <w:rPr>
                <w:rFonts w:ascii="宋体"/>
                <w:vanish/>
              </w:rPr>
            </w:pPr>
          </w:p>
        </w:tc>
        <w:tc>
          <w:tcPr>
            <w:tcW w:w="0" w:type="auto"/>
            <w:shd w:val="clear" w:color="auto" w:fill="auto"/>
            <w:vAlign w:val="bottom"/>
          </w:tcPr>
          <w:p w14:paraId="5A1B25BB" w14:textId="77777777" w:rsidR="00960BB8" w:rsidRDefault="00960BB8">
            <w:pPr>
              <w:rPr>
                <w:rFonts w:ascii="宋体"/>
                <w:vanish/>
              </w:rPr>
            </w:pPr>
          </w:p>
        </w:tc>
        <w:tc>
          <w:tcPr>
            <w:tcW w:w="0" w:type="auto"/>
            <w:shd w:val="clear" w:color="auto" w:fill="auto"/>
            <w:vAlign w:val="bottom"/>
          </w:tcPr>
          <w:p w14:paraId="5A1B25BC" w14:textId="77777777" w:rsidR="00960BB8" w:rsidRDefault="00960BB8">
            <w:pPr>
              <w:rPr>
                <w:rFonts w:ascii="宋体"/>
                <w:vanish/>
              </w:rPr>
            </w:pPr>
          </w:p>
        </w:tc>
        <w:tc>
          <w:tcPr>
            <w:tcW w:w="0" w:type="auto"/>
            <w:shd w:val="clear" w:color="auto" w:fill="auto"/>
            <w:vAlign w:val="bottom"/>
          </w:tcPr>
          <w:p w14:paraId="5A1B25BD" w14:textId="77777777" w:rsidR="00960BB8" w:rsidRDefault="00960BB8">
            <w:pPr>
              <w:rPr>
                <w:rFonts w:ascii="宋体"/>
                <w:vanish/>
              </w:rPr>
            </w:pPr>
          </w:p>
        </w:tc>
      </w:tr>
      <w:tr w:rsidR="00960BB8" w14:paraId="5A1B25CE" w14:textId="77777777">
        <w:tc>
          <w:tcPr>
            <w:tcW w:w="0" w:type="auto"/>
            <w:gridSpan w:val="3"/>
            <w:shd w:val="clear" w:color="auto" w:fill="auto"/>
            <w:tcMar>
              <w:top w:w="40" w:type="dxa"/>
              <w:left w:w="155" w:type="dxa"/>
              <w:bottom w:w="40" w:type="dxa"/>
              <w:right w:w="20" w:type="dxa"/>
            </w:tcMar>
            <w:vAlign w:val="bottom"/>
          </w:tcPr>
          <w:p w14:paraId="5A1B25BF" w14:textId="77777777" w:rsidR="00960BB8" w:rsidRDefault="00C06650">
            <w:pPr>
              <w:textAlignment w:val="bottom"/>
            </w:pPr>
            <w:r>
              <w:rPr>
                <w:rFonts w:ascii="Arial" w:eastAsia="宋体" w:hAnsi="Arial" w:cs="Arial"/>
                <w:color w:val="262626"/>
                <w:sz w:val="18"/>
                <w:szCs w:val="18"/>
              </w:rPr>
              <w:t xml:space="preserve">4.00%, </w:t>
            </w:r>
            <w:r>
              <w:rPr>
                <w:rFonts w:ascii="Arial" w:eastAsia="宋体" w:hAnsi="Arial" w:cs="Arial"/>
                <w:color w:val="262626"/>
                <w:sz w:val="18"/>
                <w:szCs w:val="18"/>
              </w:rPr>
              <w:t>due December 2022</w:t>
            </w:r>
          </w:p>
        </w:tc>
        <w:tc>
          <w:tcPr>
            <w:tcW w:w="0" w:type="auto"/>
            <w:gridSpan w:val="3"/>
            <w:shd w:val="clear" w:color="auto" w:fill="auto"/>
            <w:tcMar>
              <w:top w:w="0" w:type="dxa"/>
              <w:left w:w="20" w:type="dxa"/>
              <w:bottom w:w="0" w:type="dxa"/>
              <w:right w:w="20" w:type="dxa"/>
            </w:tcMar>
            <w:vAlign w:val="bottom"/>
          </w:tcPr>
          <w:p w14:paraId="5A1B25C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5C1" w14:textId="77777777" w:rsidR="00960BB8" w:rsidRDefault="00C06650">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25C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5C3"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5C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5C5" w14:textId="77777777" w:rsidR="00960BB8" w:rsidRDefault="00960BB8">
            <w:pPr>
              <w:rPr>
                <w:rFonts w:ascii="宋体"/>
              </w:rPr>
            </w:pPr>
          </w:p>
        </w:tc>
        <w:tc>
          <w:tcPr>
            <w:tcW w:w="0" w:type="auto"/>
            <w:shd w:val="clear" w:color="auto" w:fill="auto"/>
            <w:vAlign w:val="bottom"/>
          </w:tcPr>
          <w:p w14:paraId="5A1B25C6" w14:textId="77777777" w:rsidR="00960BB8" w:rsidRDefault="00960BB8">
            <w:pPr>
              <w:rPr>
                <w:rFonts w:ascii="宋体"/>
                <w:vanish/>
              </w:rPr>
            </w:pPr>
          </w:p>
        </w:tc>
        <w:tc>
          <w:tcPr>
            <w:tcW w:w="0" w:type="auto"/>
            <w:shd w:val="clear" w:color="auto" w:fill="auto"/>
            <w:vAlign w:val="bottom"/>
          </w:tcPr>
          <w:p w14:paraId="5A1B25C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5C8" w14:textId="77777777" w:rsidR="00960BB8" w:rsidRDefault="00C06650">
            <w:pPr>
              <w:jc w:val="right"/>
              <w:textAlignment w:val="bottom"/>
            </w:pPr>
            <w:r>
              <w:rPr>
                <w:rFonts w:ascii="Arial" w:eastAsia="宋体" w:hAnsi="Arial" w:cs="Arial"/>
                <w:color w:val="000000"/>
                <w:sz w:val="18"/>
                <w:szCs w:val="18"/>
              </w:rPr>
              <w:t>398 </w:t>
            </w:r>
          </w:p>
        </w:tc>
        <w:tc>
          <w:tcPr>
            <w:tcW w:w="0" w:type="auto"/>
            <w:shd w:val="clear" w:color="auto" w:fill="auto"/>
            <w:tcMar>
              <w:top w:w="40" w:type="dxa"/>
              <w:left w:w="0" w:type="dxa"/>
              <w:bottom w:w="40" w:type="dxa"/>
              <w:right w:w="20" w:type="dxa"/>
            </w:tcMar>
            <w:vAlign w:val="bottom"/>
          </w:tcPr>
          <w:p w14:paraId="5A1B25C9" w14:textId="77777777" w:rsidR="00960BB8" w:rsidRDefault="00960BB8">
            <w:pPr>
              <w:jc w:val="right"/>
              <w:rPr>
                <w:rFonts w:ascii="宋体"/>
              </w:rPr>
            </w:pPr>
          </w:p>
        </w:tc>
        <w:tc>
          <w:tcPr>
            <w:tcW w:w="0" w:type="auto"/>
            <w:shd w:val="clear" w:color="auto" w:fill="auto"/>
            <w:vAlign w:val="bottom"/>
          </w:tcPr>
          <w:p w14:paraId="5A1B25CA" w14:textId="77777777" w:rsidR="00960BB8" w:rsidRDefault="00960BB8">
            <w:pPr>
              <w:rPr>
                <w:rFonts w:ascii="宋体"/>
                <w:vanish/>
              </w:rPr>
            </w:pPr>
          </w:p>
        </w:tc>
        <w:tc>
          <w:tcPr>
            <w:tcW w:w="0" w:type="auto"/>
            <w:shd w:val="clear" w:color="auto" w:fill="auto"/>
            <w:vAlign w:val="bottom"/>
          </w:tcPr>
          <w:p w14:paraId="5A1B25CB" w14:textId="77777777" w:rsidR="00960BB8" w:rsidRDefault="00960BB8">
            <w:pPr>
              <w:rPr>
                <w:rFonts w:ascii="宋体"/>
                <w:vanish/>
              </w:rPr>
            </w:pPr>
          </w:p>
        </w:tc>
        <w:tc>
          <w:tcPr>
            <w:tcW w:w="0" w:type="auto"/>
            <w:shd w:val="clear" w:color="auto" w:fill="auto"/>
            <w:vAlign w:val="bottom"/>
          </w:tcPr>
          <w:p w14:paraId="5A1B25CC" w14:textId="77777777" w:rsidR="00960BB8" w:rsidRDefault="00960BB8">
            <w:pPr>
              <w:rPr>
                <w:rFonts w:ascii="宋体"/>
                <w:vanish/>
              </w:rPr>
            </w:pPr>
          </w:p>
        </w:tc>
        <w:tc>
          <w:tcPr>
            <w:tcW w:w="0" w:type="auto"/>
            <w:shd w:val="clear" w:color="auto" w:fill="auto"/>
            <w:vAlign w:val="bottom"/>
          </w:tcPr>
          <w:p w14:paraId="5A1B25CD" w14:textId="77777777" w:rsidR="00960BB8" w:rsidRDefault="00960BB8">
            <w:pPr>
              <w:rPr>
                <w:rFonts w:ascii="宋体"/>
                <w:vanish/>
              </w:rPr>
            </w:pPr>
          </w:p>
        </w:tc>
      </w:tr>
      <w:tr w:rsidR="00960BB8" w14:paraId="5A1B25DE" w14:textId="77777777">
        <w:tc>
          <w:tcPr>
            <w:tcW w:w="0" w:type="auto"/>
            <w:gridSpan w:val="3"/>
            <w:shd w:val="clear" w:color="auto" w:fill="auto"/>
            <w:tcMar>
              <w:top w:w="40" w:type="dxa"/>
              <w:left w:w="155" w:type="dxa"/>
              <w:bottom w:w="40" w:type="dxa"/>
              <w:right w:w="20" w:type="dxa"/>
            </w:tcMar>
            <w:vAlign w:val="bottom"/>
          </w:tcPr>
          <w:p w14:paraId="5A1B25CF" w14:textId="77777777" w:rsidR="00960BB8" w:rsidRDefault="00C06650">
            <w:pPr>
              <w:textAlignment w:val="bottom"/>
            </w:pPr>
            <w:r>
              <w:rPr>
                <w:rFonts w:ascii="Arial" w:eastAsia="宋体" w:hAnsi="Arial" w:cs="Arial"/>
                <w:color w:val="262626"/>
                <w:sz w:val="18"/>
                <w:szCs w:val="18"/>
              </w:rPr>
              <w:t xml:space="preserve">2.70%, </w:t>
            </w:r>
            <w:r>
              <w:rPr>
                <w:rFonts w:ascii="Arial" w:eastAsia="宋体" w:hAnsi="Arial" w:cs="Arial"/>
                <w:color w:val="262626"/>
                <w:sz w:val="18"/>
                <w:szCs w:val="18"/>
              </w:rPr>
              <w:t>due December 2022</w:t>
            </w:r>
          </w:p>
        </w:tc>
        <w:tc>
          <w:tcPr>
            <w:tcW w:w="0" w:type="auto"/>
            <w:gridSpan w:val="3"/>
            <w:shd w:val="clear" w:color="auto" w:fill="auto"/>
            <w:tcMar>
              <w:top w:w="0" w:type="dxa"/>
              <w:left w:w="20" w:type="dxa"/>
              <w:bottom w:w="0" w:type="dxa"/>
              <w:right w:w="20" w:type="dxa"/>
            </w:tcMar>
            <w:vAlign w:val="bottom"/>
          </w:tcPr>
          <w:p w14:paraId="5A1B25D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5D1" w14:textId="77777777" w:rsidR="00960BB8" w:rsidRDefault="00C06650">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25D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5D3"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5D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5D5" w14:textId="77777777" w:rsidR="00960BB8" w:rsidRDefault="00960BB8">
            <w:pPr>
              <w:rPr>
                <w:rFonts w:ascii="宋体"/>
              </w:rPr>
            </w:pPr>
          </w:p>
        </w:tc>
        <w:tc>
          <w:tcPr>
            <w:tcW w:w="0" w:type="auto"/>
            <w:shd w:val="clear" w:color="auto" w:fill="auto"/>
            <w:vAlign w:val="bottom"/>
          </w:tcPr>
          <w:p w14:paraId="5A1B25D6" w14:textId="77777777" w:rsidR="00960BB8" w:rsidRDefault="00960BB8">
            <w:pPr>
              <w:rPr>
                <w:rFonts w:ascii="宋体"/>
                <w:vanish/>
              </w:rPr>
            </w:pPr>
          </w:p>
        </w:tc>
        <w:tc>
          <w:tcPr>
            <w:tcW w:w="0" w:type="auto"/>
            <w:shd w:val="clear" w:color="auto" w:fill="auto"/>
            <w:vAlign w:val="bottom"/>
          </w:tcPr>
          <w:p w14:paraId="5A1B25D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5D8" w14:textId="77777777" w:rsidR="00960BB8" w:rsidRDefault="00C06650">
            <w:pPr>
              <w:jc w:val="right"/>
              <w:textAlignment w:val="bottom"/>
            </w:pPr>
            <w:r>
              <w:rPr>
                <w:rFonts w:ascii="Arial" w:eastAsia="宋体" w:hAnsi="Arial" w:cs="Arial"/>
                <w:color w:val="000000"/>
                <w:sz w:val="18"/>
                <w:szCs w:val="18"/>
              </w:rPr>
              <w:t>1,500 </w:t>
            </w:r>
          </w:p>
        </w:tc>
        <w:tc>
          <w:tcPr>
            <w:tcW w:w="0" w:type="auto"/>
            <w:shd w:val="clear" w:color="auto" w:fill="auto"/>
            <w:tcMar>
              <w:top w:w="40" w:type="dxa"/>
              <w:left w:w="0" w:type="dxa"/>
              <w:bottom w:w="40" w:type="dxa"/>
              <w:right w:w="20" w:type="dxa"/>
            </w:tcMar>
            <w:vAlign w:val="bottom"/>
          </w:tcPr>
          <w:p w14:paraId="5A1B25D9" w14:textId="77777777" w:rsidR="00960BB8" w:rsidRDefault="00960BB8">
            <w:pPr>
              <w:jc w:val="right"/>
              <w:rPr>
                <w:rFonts w:ascii="宋体"/>
              </w:rPr>
            </w:pPr>
          </w:p>
        </w:tc>
        <w:tc>
          <w:tcPr>
            <w:tcW w:w="0" w:type="auto"/>
            <w:shd w:val="clear" w:color="auto" w:fill="auto"/>
            <w:vAlign w:val="bottom"/>
          </w:tcPr>
          <w:p w14:paraId="5A1B25DA" w14:textId="77777777" w:rsidR="00960BB8" w:rsidRDefault="00960BB8">
            <w:pPr>
              <w:rPr>
                <w:rFonts w:ascii="宋体"/>
                <w:vanish/>
              </w:rPr>
            </w:pPr>
          </w:p>
        </w:tc>
        <w:tc>
          <w:tcPr>
            <w:tcW w:w="0" w:type="auto"/>
            <w:shd w:val="clear" w:color="auto" w:fill="auto"/>
            <w:vAlign w:val="bottom"/>
          </w:tcPr>
          <w:p w14:paraId="5A1B25DB" w14:textId="77777777" w:rsidR="00960BB8" w:rsidRDefault="00960BB8">
            <w:pPr>
              <w:rPr>
                <w:rFonts w:ascii="宋体"/>
                <w:vanish/>
              </w:rPr>
            </w:pPr>
          </w:p>
        </w:tc>
        <w:tc>
          <w:tcPr>
            <w:tcW w:w="0" w:type="auto"/>
            <w:shd w:val="clear" w:color="auto" w:fill="auto"/>
            <w:vAlign w:val="bottom"/>
          </w:tcPr>
          <w:p w14:paraId="5A1B25DC" w14:textId="77777777" w:rsidR="00960BB8" w:rsidRDefault="00960BB8">
            <w:pPr>
              <w:rPr>
                <w:rFonts w:ascii="宋体"/>
                <w:vanish/>
              </w:rPr>
            </w:pPr>
          </w:p>
        </w:tc>
        <w:tc>
          <w:tcPr>
            <w:tcW w:w="0" w:type="auto"/>
            <w:shd w:val="clear" w:color="auto" w:fill="auto"/>
            <w:vAlign w:val="bottom"/>
          </w:tcPr>
          <w:p w14:paraId="5A1B25DD" w14:textId="77777777" w:rsidR="00960BB8" w:rsidRDefault="00960BB8">
            <w:pPr>
              <w:rPr>
                <w:rFonts w:ascii="宋体"/>
                <w:vanish/>
              </w:rPr>
            </w:pPr>
          </w:p>
        </w:tc>
      </w:tr>
      <w:tr w:rsidR="00960BB8" w14:paraId="5A1B25EE" w14:textId="77777777">
        <w:tc>
          <w:tcPr>
            <w:tcW w:w="0" w:type="auto"/>
            <w:gridSpan w:val="3"/>
            <w:shd w:val="clear" w:color="auto" w:fill="auto"/>
            <w:tcMar>
              <w:top w:w="40" w:type="dxa"/>
              <w:left w:w="155" w:type="dxa"/>
              <w:bottom w:w="40" w:type="dxa"/>
              <w:right w:w="20" w:type="dxa"/>
            </w:tcMar>
            <w:vAlign w:val="bottom"/>
          </w:tcPr>
          <w:p w14:paraId="5A1B25DF" w14:textId="77777777" w:rsidR="00960BB8" w:rsidRDefault="00C06650">
            <w:pPr>
              <w:textAlignment w:val="bottom"/>
            </w:pPr>
            <w:r>
              <w:rPr>
                <w:rFonts w:ascii="Arial" w:eastAsia="宋体" w:hAnsi="Arial" w:cs="Arial"/>
                <w:color w:val="262626"/>
                <w:sz w:val="18"/>
                <w:szCs w:val="18"/>
              </w:rPr>
              <w:t>4.10%, due November 2023</w:t>
            </w:r>
          </w:p>
        </w:tc>
        <w:tc>
          <w:tcPr>
            <w:tcW w:w="0" w:type="auto"/>
            <w:gridSpan w:val="3"/>
            <w:shd w:val="clear" w:color="auto" w:fill="auto"/>
            <w:tcMar>
              <w:top w:w="0" w:type="dxa"/>
              <w:left w:w="20" w:type="dxa"/>
              <w:bottom w:w="0" w:type="dxa"/>
              <w:right w:w="20" w:type="dxa"/>
            </w:tcMar>
            <w:vAlign w:val="bottom"/>
          </w:tcPr>
          <w:p w14:paraId="5A1B25E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5E1" w14:textId="77777777" w:rsidR="00960BB8" w:rsidRDefault="00C06650">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25E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5E3"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5E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5E5" w14:textId="77777777" w:rsidR="00960BB8" w:rsidRDefault="00960BB8">
            <w:pPr>
              <w:rPr>
                <w:rFonts w:ascii="宋体"/>
              </w:rPr>
            </w:pPr>
          </w:p>
        </w:tc>
        <w:tc>
          <w:tcPr>
            <w:tcW w:w="0" w:type="auto"/>
            <w:shd w:val="clear" w:color="auto" w:fill="auto"/>
            <w:vAlign w:val="bottom"/>
          </w:tcPr>
          <w:p w14:paraId="5A1B25E6" w14:textId="77777777" w:rsidR="00960BB8" w:rsidRDefault="00960BB8">
            <w:pPr>
              <w:rPr>
                <w:rFonts w:ascii="宋体"/>
                <w:vanish/>
              </w:rPr>
            </w:pPr>
          </w:p>
        </w:tc>
        <w:tc>
          <w:tcPr>
            <w:tcW w:w="0" w:type="auto"/>
            <w:shd w:val="clear" w:color="auto" w:fill="auto"/>
            <w:vAlign w:val="bottom"/>
          </w:tcPr>
          <w:p w14:paraId="5A1B25E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5E8" w14:textId="77777777" w:rsidR="00960BB8" w:rsidRDefault="00C06650">
            <w:pPr>
              <w:jc w:val="right"/>
              <w:textAlignment w:val="bottom"/>
            </w:pPr>
            <w:r>
              <w:rPr>
                <w:rFonts w:ascii="Arial" w:eastAsia="宋体" w:hAnsi="Arial" w:cs="Arial"/>
                <w:color w:val="000000"/>
                <w:sz w:val="18"/>
                <w:szCs w:val="18"/>
              </w:rPr>
              <w:t>400 </w:t>
            </w:r>
          </w:p>
        </w:tc>
        <w:tc>
          <w:tcPr>
            <w:tcW w:w="0" w:type="auto"/>
            <w:shd w:val="clear" w:color="auto" w:fill="auto"/>
            <w:tcMar>
              <w:top w:w="40" w:type="dxa"/>
              <w:left w:w="0" w:type="dxa"/>
              <w:bottom w:w="40" w:type="dxa"/>
              <w:right w:w="20" w:type="dxa"/>
            </w:tcMar>
            <w:vAlign w:val="bottom"/>
          </w:tcPr>
          <w:p w14:paraId="5A1B25E9" w14:textId="77777777" w:rsidR="00960BB8" w:rsidRDefault="00960BB8">
            <w:pPr>
              <w:jc w:val="right"/>
              <w:rPr>
                <w:rFonts w:ascii="宋体"/>
              </w:rPr>
            </w:pPr>
          </w:p>
        </w:tc>
        <w:tc>
          <w:tcPr>
            <w:tcW w:w="0" w:type="auto"/>
            <w:shd w:val="clear" w:color="auto" w:fill="auto"/>
            <w:vAlign w:val="bottom"/>
          </w:tcPr>
          <w:p w14:paraId="5A1B25EA" w14:textId="77777777" w:rsidR="00960BB8" w:rsidRDefault="00960BB8">
            <w:pPr>
              <w:rPr>
                <w:rFonts w:ascii="宋体"/>
                <w:vanish/>
              </w:rPr>
            </w:pPr>
          </w:p>
        </w:tc>
        <w:tc>
          <w:tcPr>
            <w:tcW w:w="0" w:type="auto"/>
            <w:shd w:val="clear" w:color="auto" w:fill="auto"/>
            <w:vAlign w:val="bottom"/>
          </w:tcPr>
          <w:p w14:paraId="5A1B25EB" w14:textId="77777777" w:rsidR="00960BB8" w:rsidRDefault="00960BB8">
            <w:pPr>
              <w:rPr>
                <w:rFonts w:ascii="宋体"/>
                <w:vanish/>
              </w:rPr>
            </w:pPr>
          </w:p>
        </w:tc>
        <w:tc>
          <w:tcPr>
            <w:tcW w:w="0" w:type="auto"/>
            <w:shd w:val="clear" w:color="auto" w:fill="auto"/>
            <w:vAlign w:val="bottom"/>
          </w:tcPr>
          <w:p w14:paraId="5A1B25EC" w14:textId="77777777" w:rsidR="00960BB8" w:rsidRDefault="00960BB8">
            <w:pPr>
              <w:rPr>
                <w:rFonts w:ascii="宋体"/>
                <w:vanish/>
              </w:rPr>
            </w:pPr>
          </w:p>
        </w:tc>
        <w:tc>
          <w:tcPr>
            <w:tcW w:w="0" w:type="auto"/>
            <w:shd w:val="clear" w:color="auto" w:fill="auto"/>
            <w:vAlign w:val="bottom"/>
          </w:tcPr>
          <w:p w14:paraId="5A1B25ED" w14:textId="77777777" w:rsidR="00960BB8" w:rsidRDefault="00960BB8">
            <w:pPr>
              <w:rPr>
                <w:rFonts w:ascii="宋体"/>
                <w:vanish/>
              </w:rPr>
            </w:pPr>
          </w:p>
        </w:tc>
      </w:tr>
      <w:tr w:rsidR="00960BB8" w14:paraId="5A1B25FE" w14:textId="77777777">
        <w:tc>
          <w:tcPr>
            <w:tcW w:w="0" w:type="auto"/>
            <w:gridSpan w:val="3"/>
            <w:shd w:val="clear" w:color="auto" w:fill="auto"/>
            <w:tcMar>
              <w:top w:w="40" w:type="dxa"/>
              <w:left w:w="155" w:type="dxa"/>
              <w:bottom w:w="40" w:type="dxa"/>
              <w:right w:w="20" w:type="dxa"/>
            </w:tcMar>
            <w:vAlign w:val="bottom"/>
          </w:tcPr>
          <w:p w14:paraId="5A1B25EF" w14:textId="77777777" w:rsidR="00960BB8" w:rsidRDefault="00C06650">
            <w:pPr>
              <w:textAlignment w:val="bottom"/>
            </w:pPr>
            <w:r>
              <w:rPr>
                <w:rFonts w:ascii="Arial" w:eastAsia="宋体" w:hAnsi="Arial" w:cs="Arial"/>
                <w:color w:val="262626"/>
                <w:sz w:val="18"/>
                <w:szCs w:val="18"/>
              </w:rPr>
              <w:t>2.88%, due May 2024</w:t>
            </w:r>
          </w:p>
        </w:tc>
        <w:tc>
          <w:tcPr>
            <w:tcW w:w="0" w:type="auto"/>
            <w:gridSpan w:val="3"/>
            <w:shd w:val="clear" w:color="auto" w:fill="auto"/>
            <w:tcMar>
              <w:top w:w="0" w:type="dxa"/>
              <w:left w:w="20" w:type="dxa"/>
              <w:bottom w:w="0" w:type="dxa"/>
              <w:right w:w="20" w:type="dxa"/>
            </w:tcMar>
            <w:vAlign w:val="bottom"/>
          </w:tcPr>
          <w:p w14:paraId="5A1B25F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5F1" w14:textId="77777777" w:rsidR="00960BB8" w:rsidRDefault="00C06650">
            <w:pPr>
              <w:jc w:val="center"/>
              <w:textAlignment w:val="bottom"/>
            </w:pPr>
            <w:r>
              <w:rPr>
                <w:rFonts w:ascii="Arial" w:eastAsia="宋体" w:hAnsi="Arial" w:cs="Arial"/>
                <w:color w:val="0068B5"/>
                <w:sz w:val="18"/>
                <w:szCs w:val="18"/>
              </w:rPr>
              <w:t>2.34%</w:t>
            </w:r>
          </w:p>
        </w:tc>
        <w:tc>
          <w:tcPr>
            <w:tcW w:w="0" w:type="auto"/>
            <w:gridSpan w:val="3"/>
            <w:shd w:val="clear" w:color="auto" w:fill="auto"/>
            <w:tcMar>
              <w:top w:w="0" w:type="dxa"/>
              <w:left w:w="20" w:type="dxa"/>
              <w:bottom w:w="0" w:type="dxa"/>
              <w:right w:w="20" w:type="dxa"/>
            </w:tcMar>
            <w:vAlign w:val="bottom"/>
          </w:tcPr>
          <w:p w14:paraId="5A1B25F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5F3" w14:textId="77777777" w:rsidR="00960BB8" w:rsidRDefault="00C06650">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5A1B25F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5F5" w14:textId="77777777" w:rsidR="00960BB8" w:rsidRDefault="00960BB8">
            <w:pPr>
              <w:rPr>
                <w:rFonts w:ascii="宋体"/>
              </w:rPr>
            </w:pPr>
          </w:p>
        </w:tc>
        <w:tc>
          <w:tcPr>
            <w:tcW w:w="0" w:type="auto"/>
            <w:shd w:val="clear" w:color="auto" w:fill="auto"/>
            <w:vAlign w:val="bottom"/>
          </w:tcPr>
          <w:p w14:paraId="5A1B25F6" w14:textId="77777777" w:rsidR="00960BB8" w:rsidRDefault="00960BB8">
            <w:pPr>
              <w:rPr>
                <w:rFonts w:ascii="宋体"/>
                <w:vanish/>
              </w:rPr>
            </w:pPr>
          </w:p>
        </w:tc>
        <w:tc>
          <w:tcPr>
            <w:tcW w:w="0" w:type="auto"/>
            <w:shd w:val="clear" w:color="auto" w:fill="auto"/>
            <w:vAlign w:val="bottom"/>
          </w:tcPr>
          <w:p w14:paraId="5A1B25F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5F8" w14:textId="77777777" w:rsidR="00960BB8" w:rsidRDefault="00C06650">
            <w:pPr>
              <w:jc w:val="right"/>
              <w:textAlignment w:val="bottom"/>
            </w:pPr>
            <w:r>
              <w:rPr>
                <w:rFonts w:ascii="Arial" w:eastAsia="宋体" w:hAnsi="Arial" w:cs="Arial"/>
                <w:color w:val="000000"/>
                <w:sz w:val="18"/>
                <w:szCs w:val="18"/>
              </w:rPr>
              <w:t>1,250 </w:t>
            </w:r>
          </w:p>
        </w:tc>
        <w:tc>
          <w:tcPr>
            <w:tcW w:w="0" w:type="auto"/>
            <w:shd w:val="clear" w:color="auto" w:fill="auto"/>
            <w:tcMar>
              <w:top w:w="40" w:type="dxa"/>
              <w:left w:w="0" w:type="dxa"/>
              <w:bottom w:w="40" w:type="dxa"/>
              <w:right w:w="20" w:type="dxa"/>
            </w:tcMar>
            <w:vAlign w:val="bottom"/>
          </w:tcPr>
          <w:p w14:paraId="5A1B25F9" w14:textId="77777777" w:rsidR="00960BB8" w:rsidRDefault="00960BB8">
            <w:pPr>
              <w:jc w:val="right"/>
              <w:rPr>
                <w:rFonts w:ascii="宋体"/>
              </w:rPr>
            </w:pPr>
          </w:p>
        </w:tc>
        <w:tc>
          <w:tcPr>
            <w:tcW w:w="0" w:type="auto"/>
            <w:shd w:val="clear" w:color="auto" w:fill="auto"/>
            <w:vAlign w:val="bottom"/>
          </w:tcPr>
          <w:p w14:paraId="5A1B25FA" w14:textId="77777777" w:rsidR="00960BB8" w:rsidRDefault="00960BB8">
            <w:pPr>
              <w:rPr>
                <w:rFonts w:ascii="宋体"/>
                <w:vanish/>
              </w:rPr>
            </w:pPr>
          </w:p>
        </w:tc>
        <w:tc>
          <w:tcPr>
            <w:tcW w:w="0" w:type="auto"/>
            <w:shd w:val="clear" w:color="auto" w:fill="auto"/>
            <w:vAlign w:val="bottom"/>
          </w:tcPr>
          <w:p w14:paraId="5A1B25FB" w14:textId="77777777" w:rsidR="00960BB8" w:rsidRDefault="00960BB8">
            <w:pPr>
              <w:rPr>
                <w:rFonts w:ascii="宋体"/>
                <w:vanish/>
              </w:rPr>
            </w:pPr>
          </w:p>
        </w:tc>
        <w:tc>
          <w:tcPr>
            <w:tcW w:w="0" w:type="auto"/>
            <w:shd w:val="clear" w:color="auto" w:fill="auto"/>
            <w:vAlign w:val="bottom"/>
          </w:tcPr>
          <w:p w14:paraId="5A1B25FC" w14:textId="77777777" w:rsidR="00960BB8" w:rsidRDefault="00960BB8">
            <w:pPr>
              <w:rPr>
                <w:rFonts w:ascii="宋体"/>
                <w:vanish/>
              </w:rPr>
            </w:pPr>
          </w:p>
        </w:tc>
        <w:tc>
          <w:tcPr>
            <w:tcW w:w="0" w:type="auto"/>
            <w:shd w:val="clear" w:color="auto" w:fill="auto"/>
            <w:vAlign w:val="bottom"/>
          </w:tcPr>
          <w:p w14:paraId="5A1B25FD" w14:textId="77777777" w:rsidR="00960BB8" w:rsidRDefault="00960BB8">
            <w:pPr>
              <w:rPr>
                <w:rFonts w:ascii="宋体"/>
                <w:vanish/>
              </w:rPr>
            </w:pPr>
          </w:p>
        </w:tc>
      </w:tr>
      <w:tr w:rsidR="00960BB8" w14:paraId="5A1B260E" w14:textId="77777777">
        <w:tc>
          <w:tcPr>
            <w:tcW w:w="0" w:type="auto"/>
            <w:gridSpan w:val="3"/>
            <w:shd w:val="clear" w:color="auto" w:fill="auto"/>
            <w:tcMar>
              <w:top w:w="40" w:type="dxa"/>
              <w:left w:w="155" w:type="dxa"/>
              <w:bottom w:w="40" w:type="dxa"/>
              <w:right w:w="20" w:type="dxa"/>
            </w:tcMar>
            <w:vAlign w:val="bottom"/>
          </w:tcPr>
          <w:p w14:paraId="5A1B25FF" w14:textId="77777777" w:rsidR="00960BB8" w:rsidRDefault="00C06650">
            <w:pPr>
              <w:textAlignment w:val="bottom"/>
            </w:pPr>
            <w:r>
              <w:rPr>
                <w:rFonts w:ascii="Arial" w:eastAsia="宋体" w:hAnsi="Arial" w:cs="Arial"/>
                <w:color w:val="262626"/>
                <w:sz w:val="18"/>
                <w:szCs w:val="18"/>
              </w:rPr>
              <w:t xml:space="preserve">2.70%, </w:t>
            </w:r>
            <w:r>
              <w:rPr>
                <w:rFonts w:ascii="Arial" w:eastAsia="宋体" w:hAnsi="Arial" w:cs="Arial"/>
                <w:color w:val="262626"/>
                <w:sz w:val="18"/>
                <w:szCs w:val="18"/>
              </w:rPr>
              <w:t>due June 2024</w:t>
            </w:r>
          </w:p>
        </w:tc>
        <w:tc>
          <w:tcPr>
            <w:tcW w:w="0" w:type="auto"/>
            <w:gridSpan w:val="3"/>
            <w:shd w:val="clear" w:color="auto" w:fill="auto"/>
            <w:tcMar>
              <w:top w:w="0" w:type="dxa"/>
              <w:left w:w="20" w:type="dxa"/>
              <w:bottom w:w="0" w:type="dxa"/>
              <w:right w:w="20" w:type="dxa"/>
            </w:tcMar>
            <w:vAlign w:val="bottom"/>
          </w:tcPr>
          <w:p w14:paraId="5A1B260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01" w14:textId="77777777" w:rsidR="00960BB8" w:rsidRDefault="00C06650">
            <w:pPr>
              <w:jc w:val="center"/>
              <w:textAlignment w:val="bottom"/>
            </w:pPr>
            <w:r>
              <w:rPr>
                <w:rFonts w:ascii="Arial" w:eastAsia="宋体" w:hAnsi="Arial" w:cs="Arial"/>
                <w:color w:val="0068B5"/>
                <w:sz w:val="18"/>
                <w:szCs w:val="18"/>
              </w:rPr>
              <w:t>2.14%</w:t>
            </w:r>
          </w:p>
        </w:tc>
        <w:tc>
          <w:tcPr>
            <w:tcW w:w="0" w:type="auto"/>
            <w:gridSpan w:val="3"/>
            <w:shd w:val="clear" w:color="auto" w:fill="auto"/>
            <w:tcMar>
              <w:top w:w="0" w:type="dxa"/>
              <w:left w:w="20" w:type="dxa"/>
              <w:bottom w:w="0" w:type="dxa"/>
              <w:right w:w="20" w:type="dxa"/>
            </w:tcMar>
            <w:vAlign w:val="bottom"/>
          </w:tcPr>
          <w:p w14:paraId="5A1B260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03" w14:textId="77777777" w:rsidR="00960BB8" w:rsidRDefault="00C06650">
            <w:pPr>
              <w:jc w:val="right"/>
              <w:textAlignment w:val="bottom"/>
            </w:pPr>
            <w:r>
              <w:rPr>
                <w:rFonts w:ascii="Arial" w:eastAsia="宋体" w:hAnsi="Arial" w:cs="Arial"/>
                <w:color w:val="0068B5"/>
                <w:sz w:val="18"/>
                <w:szCs w:val="18"/>
              </w:rPr>
              <w:t>600 </w:t>
            </w:r>
          </w:p>
        </w:tc>
        <w:tc>
          <w:tcPr>
            <w:tcW w:w="0" w:type="auto"/>
            <w:shd w:val="clear" w:color="auto" w:fill="auto"/>
            <w:tcMar>
              <w:top w:w="40" w:type="dxa"/>
              <w:left w:w="0" w:type="dxa"/>
              <w:bottom w:w="40" w:type="dxa"/>
              <w:right w:w="20" w:type="dxa"/>
            </w:tcMar>
            <w:vAlign w:val="bottom"/>
          </w:tcPr>
          <w:p w14:paraId="5A1B260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05" w14:textId="77777777" w:rsidR="00960BB8" w:rsidRDefault="00960BB8">
            <w:pPr>
              <w:rPr>
                <w:rFonts w:ascii="宋体"/>
              </w:rPr>
            </w:pPr>
          </w:p>
        </w:tc>
        <w:tc>
          <w:tcPr>
            <w:tcW w:w="0" w:type="auto"/>
            <w:shd w:val="clear" w:color="auto" w:fill="auto"/>
            <w:vAlign w:val="bottom"/>
          </w:tcPr>
          <w:p w14:paraId="5A1B2606" w14:textId="77777777" w:rsidR="00960BB8" w:rsidRDefault="00960BB8">
            <w:pPr>
              <w:rPr>
                <w:rFonts w:ascii="宋体"/>
                <w:vanish/>
              </w:rPr>
            </w:pPr>
          </w:p>
        </w:tc>
        <w:tc>
          <w:tcPr>
            <w:tcW w:w="0" w:type="auto"/>
            <w:shd w:val="clear" w:color="auto" w:fill="auto"/>
            <w:vAlign w:val="bottom"/>
          </w:tcPr>
          <w:p w14:paraId="5A1B260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08" w14:textId="77777777" w:rsidR="00960BB8" w:rsidRDefault="00C06650">
            <w:pPr>
              <w:jc w:val="right"/>
              <w:textAlignment w:val="bottom"/>
            </w:pPr>
            <w:r>
              <w:rPr>
                <w:rFonts w:ascii="Arial" w:eastAsia="宋体" w:hAnsi="Arial" w:cs="Arial"/>
                <w:color w:val="000000"/>
                <w:sz w:val="18"/>
                <w:szCs w:val="18"/>
              </w:rPr>
              <w:t>600 </w:t>
            </w:r>
          </w:p>
        </w:tc>
        <w:tc>
          <w:tcPr>
            <w:tcW w:w="0" w:type="auto"/>
            <w:shd w:val="clear" w:color="auto" w:fill="auto"/>
            <w:tcMar>
              <w:top w:w="40" w:type="dxa"/>
              <w:left w:w="0" w:type="dxa"/>
              <w:bottom w:w="40" w:type="dxa"/>
              <w:right w:w="20" w:type="dxa"/>
            </w:tcMar>
            <w:vAlign w:val="bottom"/>
          </w:tcPr>
          <w:p w14:paraId="5A1B2609" w14:textId="77777777" w:rsidR="00960BB8" w:rsidRDefault="00960BB8">
            <w:pPr>
              <w:jc w:val="right"/>
              <w:rPr>
                <w:rFonts w:ascii="宋体"/>
              </w:rPr>
            </w:pPr>
          </w:p>
        </w:tc>
        <w:tc>
          <w:tcPr>
            <w:tcW w:w="0" w:type="auto"/>
            <w:shd w:val="clear" w:color="auto" w:fill="auto"/>
            <w:vAlign w:val="bottom"/>
          </w:tcPr>
          <w:p w14:paraId="5A1B260A" w14:textId="77777777" w:rsidR="00960BB8" w:rsidRDefault="00960BB8">
            <w:pPr>
              <w:rPr>
                <w:rFonts w:ascii="宋体"/>
                <w:vanish/>
              </w:rPr>
            </w:pPr>
          </w:p>
        </w:tc>
        <w:tc>
          <w:tcPr>
            <w:tcW w:w="0" w:type="auto"/>
            <w:shd w:val="clear" w:color="auto" w:fill="auto"/>
            <w:vAlign w:val="bottom"/>
          </w:tcPr>
          <w:p w14:paraId="5A1B260B" w14:textId="77777777" w:rsidR="00960BB8" w:rsidRDefault="00960BB8">
            <w:pPr>
              <w:rPr>
                <w:rFonts w:ascii="宋体"/>
                <w:vanish/>
              </w:rPr>
            </w:pPr>
          </w:p>
        </w:tc>
        <w:tc>
          <w:tcPr>
            <w:tcW w:w="0" w:type="auto"/>
            <w:shd w:val="clear" w:color="auto" w:fill="auto"/>
            <w:vAlign w:val="bottom"/>
          </w:tcPr>
          <w:p w14:paraId="5A1B260C" w14:textId="77777777" w:rsidR="00960BB8" w:rsidRDefault="00960BB8">
            <w:pPr>
              <w:rPr>
                <w:rFonts w:ascii="宋体"/>
                <w:vanish/>
              </w:rPr>
            </w:pPr>
          </w:p>
        </w:tc>
        <w:tc>
          <w:tcPr>
            <w:tcW w:w="0" w:type="auto"/>
            <w:shd w:val="clear" w:color="auto" w:fill="auto"/>
            <w:vAlign w:val="bottom"/>
          </w:tcPr>
          <w:p w14:paraId="5A1B260D" w14:textId="77777777" w:rsidR="00960BB8" w:rsidRDefault="00960BB8">
            <w:pPr>
              <w:rPr>
                <w:rFonts w:ascii="宋体"/>
                <w:vanish/>
              </w:rPr>
            </w:pPr>
          </w:p>
        </w:tc>
      </w:tr>
      <w:tr w:rsidR="00960BB8" w14:paraId="5A1B261E" w14:textId="77777777">
        <w:tc>
          <w:tcPr>
            <w:tcW w:w="0" w:type="auto"/>
            <w:gridSpan w:val="3"/>
            <w:shd w:val="clear" w:color="auto" w:fill="auto"/>
            <w:tcMar>
              <w:top w:w="40" w:type="dxa"/>
              <w:left w:w="155" w:type="dxa"/>
              <w:bottom w:w="40" w:type="dxa"/>
              <w:right w:w="20" w:type="dxa"/>
            </w:tcMar>
            <w:vAlign w:val="bottom"/>
          </w:tcPr>
          <w:p w14:paraId="5A1B260F" w14:textId="77777777" w:rsidR="00960BB8" w:rsidRDefault="00C06650">
            <w:pPr>
              <w:textAlignment w:val="bottom"/>
            </w:pPr>
            <w:r>
              <w:rPr>
                <w:rFonts w:ascii="Arial" w:eastAsia="宋体" w:hAnsi="Arial" w:cs="Arial"/>
                <w:color w:val="262626"/>
                <w:sz w:val="18"/>
                <w:szCs w:val="18"/>
              </w:rPr>
              <w:t xml:space="preserve">3.40%, </w:t>
            </w:r>
            <w:r>
              <w:rPr>
                <w:rFonts w:ascii="Arial" w:eastAsia="宋体" w:hAnsi="Arial" w:cs="Arial"/>
                <w:color w:val="262626"/>
                <w:sz w:val="18"/>
                <w:szCs w:val="18"/>
              </w:rPr>
              <w:t>due March 2025</w:t>
            </w:r>
          </w:p>
        </w:tc>
        <w:tc>
          <w:tcPr>
            <w:tcW w:w="0" w:type="auto"/>
            <w:gridSpan w:val="3"/>
            <w:shd w:val="clear" w:color="auto" w:fill="auto"/>
            <w:tcMar>
              <w:top w:w="0" w:type="dxa"/>
              <w:left w:w="20" w:type="dxa"/>
              <w:bottom w:w="0" w:type="dxa"/>
              <w:right w:w="20" w:type="dxa"/>
            </w:tcMar>
            <w:vAlign w:val="bottom"/>
          </w:tcPr>
          <w:p w14:paraId="5A1B261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11" w14:textId="77777777" w:rsidR="00960BB8" w:rsidRDefault="00C06650">
            <w:pPr>
              <w:jc w:val="center"/>
              <w:textAlignment w:val="bottom"/>
            </w:pPr>
            <w:r>
              <w:rPr>
                <w:rFonts w:ascii="Arial" w:eastAsia="宋体" w:hAnsi="Arial" w:cs="Arial"/>
                <w:color w:val="0068B5"/>
                <w:sz w:val="18"/>
                <w:szCs w:val="18"/>
              </w:rPr>
              <w:t>3.44%</w:t>
            </w:r>
          </w:p>
        </w:tc>
        <w:tc>
          <w:tcPr>
            <w:tcW w:w="0" w:type="auto"/>
            <w:gridSpan w:val="3"/>
            <w:shd w:val="clear" w:color="auto" w:fill="auto"/>
            <w:tcMar>
              <w:top w:w="0" w:type="dxa"/>
              <w:left w:w="20" w:type="dxa"/>
              <w:bottom w:w="0" w:type="dxa"/>
              <w:right w:w="20" w:type="dxa"/>
            </w:tcMar>
            <w:vAlign w:val="bottom"/>
          </w:tcPr>
          <w:p w14:paraId="5A1B261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13" w14:textId="77777777" w:rsidR="00960BB8" w:rsidRDefault="00C06650">
            <w:pPr>
              <w:jc w:val="right"/>
              <w:textAlignment w:val="bottom"/>
            </w:pPr>
            <w:r>
              <w:rPr>
                <w:rFonts w:ascii="Arial" w:eastAsia="宋体" w:hAnsi="Arial" w:cs="Arial"/>
                <w:color w:val="0068B5"/>
                <w:sz w:val="18"/>
                <w:szCs w:val="18"/>
              </w:rPr>
              <w:t>1,500 </w:t>
            </w:r>
          </w:p>
        </w:tc>
        <w:tc>
          <w:tcPr>
            <w:tcW w:w="0" w:type="auto"/>
            <w:shd w:val="clear" w:color="auto" w:fill="auto"/>
            <w:tcMar>
              <w:top w:w="40" w:type="dxa"/>
              <w:left w:w="0" w:type="dxa"/>
              <w:bottom w:w="40" w:type="dxa"/>
              <w:right w:w="20" w:type="dxa"/>
            </w:tcMar>
            <w:vAlign w:val="bottom"/>
          </w:tcPr>
          <w:p w14:paraId="5A1B261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15" w14:textId="77777777" w:rsidR="00960BB8" w:rsidRDefault="00960BB8">
            <w:pPr>
              <w:rPr>
                <w:rFonts w:ascii="宋体"/>
              </w:rPr>
            </w:pPr>
          </w:p>
        </w:tc>
        <w:tc>
          <w:tcPr>
            <w:tcW w:w="0" w:type="auto"/>
            <w:shd w:val="clear" w:color="auto" w:fill="auto"/>
            <w:vAlign w:val="bottom"/>
          </w:tcPr>
          <w:p w14:paraId="5A1B2616" w14:textId="77777777" w:rsidR="00960BB8" w:rsidRDefault="00960BB8">
            <w:pPr>
              <w:rPr>
                <w:rFonts w:ascii="宋体"/>
                <w:vanish/>
              </w:rPr>
            </w:pPr>
          </w:p>
        </w:tc>
        <w:tc>
          <w:tcPr>
            <w:tcW w:w="0" w:type="auto"/>
            <w:shd w:val="clear" w:color="auto" w:fill="auto"/>
            <w:vAlign w:val="bottom"/>
          </w:tcPr>
          <w:p w14:paraId="5A1B261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18" w14:textId="77777777" w:rsidR="00960BB8" w:rsidRDefault="00C06650">
            <w:pPr>
              <w:jc w:val="right"/>
              <w:textAlignment w:val="bottom"/>
            </w:pPr>
            <w:r>
              <w:rPr>
                <w:rFonts w:ascii="Arial" w:eastAsia="宋体" w:hAnsi="Arial" w:cs="Arial"/>
                <w:color w:val="000000"/>
                <w:sz w:val="18"/>
                <w:szCs w:val="18"/>
              </w:rPr>
              <w:t>1,500 </w:t>
            </w:r>
          </w:p>
        </w:tc>
        <w:tc>
          <w:tcPr>
            <w:tcW w:w="0" w:type="auto"/>
            <w:shd w:val="clear" w:color="auto" w:fill="auto"/>
            <w:tcMar>
              <w:top w:w="40" w:type="dxa"/>
              <w:left w:w="0" w:type="dxa"/>
              <w:bottom w:w="40" w:type="dxa"/>
              <w:right w:w="20" w:type="dxa"/>
            </w:tcMar>
            <w:vAlign w:val="bottom"/>
          </w:tcPr>
          <w:p w14:paraId="5A1B2619" w14:textId="77777777" w:rsidR="00960BB8" w:rsidRDefault="00960BB8">
            <w:pPr>
              <w:jc w:val="right"/>
              <w:rPr>
                <w:rFonts w:ascii="宋体"/>
              </w:rPr>
            </w:pPr>
          </w:p>
        </w:tc>
        <w:tc>
          <w:tcPr>
            <w:tcW w:w="0" w:type="auto"/>
            <w:shd w:val="clear" w:color="auto" w:fill="auto"/>
            <w:vAlign w:val="bottom"/>
          </w:tcPr>
          <w:p w14:paraId="5A1B261A" w14:textId="77777777" w:rsidR="00960BB8" w:rsidRDefault="00960BB8">
            <w:pPr>
              <w:rPr>
                <w:rFonts w:ascii="宋体"/>
                <w:vanish/>
              </w:rPr>
            </w:pPr>
          </w:p>
        </w:tc>
        <w:tc>
          <w:tcPr>
            <w:tcW w:w="0" w:type="auto"/>
            <w:shd w:val="clear" w:color="auto" w:fill="auto"/>
            <w:vAlign w:val="bottom"/>
          </w:tcPr>
          <w:p w14:paraId="5A1B261B" w14:textId="77777777" w:rsidR="00960BB8" w:rsidRDefault="00960BB8">
            <w:pPr>
              <w:rPr>
                <w:rFonts w:ascii="宋体"/>
                <w:vanish/>
              </w:rPr>
            </w:pPr>
          </w:p>
        </w:tc>
        <w:tc>
          <w:tcPr>
            <w:tcW w:w="0" w:type="auto"/>
            <w:shd w:val="clear" w:color="auto" w:fill="auto"/>
            <w:vAlign w:val="bottom"/>
          </w:tcPr>
          <w:p w14:paraId="5A1B261C" w14:textId="77777777" w:rsidR="00960BB8" w:rsidRDefault="00960BB8">
            <w:pPr>
              <w:rPr>
                <w:rFonts w:ascii="宋体"/>
                <w:vanish/>
              </w:rPr>
            </w:pPr>
          </w:p>
        </w:tc>
        <w:tc>
          <w:tcPr>
            <w:tcW w:w="0" w:type="auto"/>
            <w:shd w:val="clear" w:color="auto" w:fill="auto"/>
            <w:vAlign w:val="bottom"/>
          </w:tcPr>
          <w:p w14:paraId="5A1B261D" w14:textId="77777777" w:rsidR="00960BB8" w:rsidRDefault="00960BB8">
            <w:pPr>
              <w:rPr>
                <w:rFonts w:ascii="宋体"/>
                <w:vanish/>
              </w:rPr>
            </w:pPr>
          </w:p>
        </w:tc>
      </w:tr>
      <w:tr w:rsidR="00960BB8" w14:paraId="5A1B262E" w14:textId="77777777">
        <w:tc>
          <w:tcPr>
            <w:tcW w:w="0" w:type="auto"/>
            <w:gridSpan w:val="3"/>
            <w:shd w:val="clear" w:color="auto" w:fill="auto"/>
            <w:tcMar>
              <w:top w:w="40" w:type="dxa"/>
              <w:left w:w="155" w:type="dxa"/>
              <w:bottom w:w="40" w:type="dxa"/>
              <w:right w:w="20" w:type="dxa"/>
            </w:tcMar>
            <w:vAlign w:val="bottom"/>
          </w:tcPr>
          <w:p w14:paraId="5A1B261F" w14:textId="77777777" w:rsidR="00960BB8" w:rsidRDefault="00C06650">
            <w:pPr>
              <w:textAlignment w:val="bottom"/>
            </w:pPr>
            <w:r>
              <w:rPr>
                <w:rFonts w:ascii="Arial" w:eastAsia="宋体" w:hAnsi="Arial" w:cs="Arial"/>
                <w:color w:val="262626"/>
                <w:sz w:val="18"/>
                <w:szCs w:val="18"/>
              </w:rPr>
              <w:t xml:space="preserve">3.70%, </w:t>
            </w:r>
            <w:r>
              <w:rPr>
                <w:rFonts w:ascii="Arial" w:eastAsia="宋体" w:hAnsi="Arial" w:cs="Arial"/>
                <w:color w:val="262626"/>
                <w:sz w:val="18"/>
                <w:szCs w:val="18"/>
              </w:rPr>
              <w:t>due July 2025</w:t>
            </w:r>
          </w:p>
        </w:tc>
        <w:tc>
          <w:tcPr>
            <w:tcW w:w="0" w:type="auto"/>
            <w:gridSpan w:val="3"/>
            <w:shd w:val="clear" w:color="auto" w:fill="auto"/>
            <w:tcMar>
              <w:top w:w="0" w:type="dxa"/>
              <w:left w:w="20" w:type="dxa"/>
              <w:bottom w:w="0" w:type="dxa"/>
              <w:right w:w="20" w:type="dxa"/>
            </w:tcMar>
            <w:vAlign w:val="bottom"/>
          </w:tcPr>
          <w:p w14:paraId="5A1B262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21" w14:textId="77777777" w:rsidR="00960BB8" w:rsidRDefault="00C06650">
            <w:pPr>
              <w:jc w:val="center"/>
              <w:textAlignment w:val="bottom"/>
            </w:pPr>
            <w:r>
              <w:rPr>
                <w:rFonts w:ascii="Arial" w:eastAsia="宋体" w:hAnsi="Arial" w:cs="Arial"/>
                <w:color w:val="0068B5"/>
                <w:sz w:val="18"/>
                <w:szCs w:val="18"/>
              </w:rPr>
              <w:t>3.83%</w:t>
            </w:r>
          </w:p>
        </w:tc>
        <w:tc>
          <w:tcPr>
            <w:tcW w:w="0" w:type="auto"/>
            <w:gridSpan w:val="3"/>
            <w:shd w:val="clear" w:color="auto" w:fill="auto"/>
            <w:tcMar>
              <w:top w:w="0" w:type="dxa"/>
              <w:left w:w="20" w:type="dxa"/>
              <w:bottom w:w="0" w:type="dxa"/>
              <w:right w:w="20" w:type="dxa"/>
            </w:tcMar>
            <w:vAlign w:val="bottom"/>
          </w:tcPr>
          <w:p w14:paraId="5A1B262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23" w14:textId="77777777" w:rsidR="00960BB8" w:rsidRDefault="00C06650">
            <w:pPr>
              <w:jc w:val="right"/>
              <w:textAlignment w:val="bottom"/>
            </w:pPr>
            <w:r>
              <w:rPr>
                <w:rFonts w:ascii="Arial" w:eastAsia="宋体" w:hAnsi="Arial" w:cs="Arial"/>
                <w:color w:val="0068B5"/>
                <w:sz w:val="18"/>
                <w:szCs w:val="18"/>
              </w:rPr>
              <w:t>2,250 </w:t>
            </w:r>
          </w:p>
        </w:tc>
        <w:tc>
          <w:tcPr>
            <w:tcW w:w="0" w:type="auto"/>
            <w:shd w:val="clear" w:color="auto" w:fill="auto"/>
            <w:tcMar>
              <w:top w:w="40" w:type="dxa"/>
              <w:left w:w="0" w:type="dxa"/>
              <w:bottom w:w="40" w:type="dxa"/>
              <w:right w:w="20" w:type="dxa"/>
            </w:tcMar>
            <w:vAlign w:val="bottom"/>
          </w:tcPr>
          <w:p w14:paraId="5A1B262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25" w14:textId="77777777" w:rsidR="00960BB8" w:rsidRDefault="00960BB8">
            <w:pPr>
              <w:rPr>
                <w:rFonts w:ascii="宋体"/>
              </w:rPr>
            </w:pPr>
          </w:p>
        </w:tc>
        <w:tc>
          <w:tcPr>
            <w:tcW w:w="0" w:type="auto"/>
            <w:shd w:val="clear" w:color="auto" w:fill="auto"/>
            <w:vAlign w:val="bottom"/>
          </w:tcPr>
          <w:p w14:paraId="5A1B2626" w14:textId="77777777" w:rsidR="00960BB8" w:rsidRDefault="00960BB8">
            <w:pPr>
              <w:rPr>
                <w:rFonts w:ascii="宋体"/>
                <w:vanish/>
              </w:rPr>
            </w:pPr>
          </w:p>
        </w:tc>
        <w:tc>
          <w:tcPr>
            <w:tcW w:w="0" w:type="auto"/>
            <w:shd w:val="clear" w:color="auto" w:fill="auto"/>
            <w:vAlign w:val="bottom"/>
          </w:tcPr>
          <w:p w14:paraId="5A1B262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28" w14:textId="77777777" w:rsidR="00960BB8" w:rsidRDefault="00C06650">
            <w:pPr>
              <w:jc w:val="right"/>
              <w:textAlignment w:val="bottom"/>
            </w:pPr>
            <w:r>
              <w:rPr>
                <w:rFonts w:ascii="Arial" w:eastAsia="宋体" w:hAnsi="Arial" w:cs="Arial"/>
                <w:color w:val="000000"/>
                <w:sz w:val="18"/>
                <w:szCs w:val="18"/>
              </w:rPr>
              <w:t>2,250 </w:t>
            </w:r>
          </w:p>
        </w:tc>
        <w:tc>
          <w:tcPr>
            <w:tcW w:w="0" w:type="auto"/>
            <w:shd w:val="clear" w:color="auto" w:fill="auto"/>
            <w:tcMar>
              <w:top w:w="40" w:type="dxa"/>
              <w:left w:w="0" w:type="dxa"/>
              <w:bottom w:w="40" w:type="dxa"/>
              <w:right w:w="20" w:type="dxa"/>
            </w:tcMar>
            <w:vAlign w:val="bottom"/>
          </w:tcPr>
          <w:p w14:paraId="5A1B2629" w14:textId="77777777" w:rsidR="00960BB8" w:rsidRDefault="00960BB8">
            <w:pPr>
              <w:jc w:val="right"/>
              <w:rPr>
                <w:rFonts w:ascii="宋体"/>
              </w:rPr>
            </w:pPr>
          </w:p>
        </w:tc>
        <w:tc>
          <w:tcPr>
            <w:tcW w:w="0" w:type="auto"/>
            <w:shd w:val="clear" w:color="auto" w:fill="auto"/>
            <w:vAlign w:val="bottom"/>
          </w:tcPr>
          <w:p w14:paraId="5A1B262A" w14:textId="77777777" w:rsidR="00960BB8" w:rsidRDefault="00960BB8">
            <w:pPr>
              <w:rPr>
                <w:rFonts w:ascii="宋体"/>
                <w:vanish/>
              </w:rPr>
            </w:pPr>
          </w:p>
        </w:tc>
        <w:tc>
          <w:tcPr>
            <w:tcW w:w="0" w:type="auto"/>
            <w:shd w:val="clear" w:color="auto" w:fill="auto"/>
            <w:vAlign w:val="bottom"/>
          </w:tcPr>
          <w:p w14:paraId="5A1B262B" w14:textId="77777777" w:rsidR="00960BB8" w:rsidRDefault="00960BB8">
            <w:pPr>
              <w:rPr>
                <w:rFonts w:ascii="宋体"/>
                <w:vanish/>
              </w:rPr>
            </w:pPr>
          </w:p>
        </w:tc>
        <w:tc>
          <w:tcPr>
            <w:tcW w:w="0" w:type="auto"/>
            <w:shd w:val="clear" w:color="auto" w:fill="auto"/>
            <w:vAlign w:val="bottom"/>
          </w:tcPr>
          <w:p w14:paraId="5A1B262C" w14:textId="77777777" w:rsidR="00960BB8" w:rsidRDefault="00960BB8">
            <w:pPr>
              <w:rPr>
                <w:rFonts w:ascii="宋体"/>
                <w:vanish/>
              </w:rPr>
            </w:pPr>
          </w:p>
        </w:tc>
        <w:tc>
          <w:tcPr>
            <w:tcW w:w="0" w:type="auto"/>
            <w:shd w:val="clear" w:color="auto" w:fill="auto"/>
            <w:vAlign w:val="bottom"/>
          </w:tcPr>
          <w:p w14:paraId="5A1B262D" w14:textId="77777777" w:rsidR="00960BB8" w:rsidRDefault="00960BB8">
            <w:pPr>
              <w:rPr>
                <w:rFonts w:ascii="宋体"/>
                <w:vanish/>
              </w:rPr>
            </w:pPr>
          </w:p>
        </w:tc>
      </w:tr>
      <w:tr w:rsidR="00960BB8" w14:paraId="5A1B263E" w14:textId="77777777">
        <w:tc>
          <w:tcPr>
            <w:tcW w:w="0" w:type="auto"/>
            <w:gridSpan w:val="3"/>
            <w:shd w:val="clear" w:color="auto" w:fill="auto"/>
            <w:tcMar>
              <w:top w:w="40" w:type="dxa"/>
              <w:left w:w="155" w:type="dxa"/>
              <w:bottom w:w="40" w:type="dxa"/>
              <w:right w:w="20" w:type="dxa"/>
            </w:tcMar>
            <w:vAlign w:val="bottom"/>
          </w:tcPr>
          <w:p w14:paraId="5A1B262F" w14:textId="77777777" w:rsidR="00960BB8" w:rsidRDefault="00C06650">
            <w:pPr>
              <w:textAlignment w:val="bottom"/>
            </w:pPr>
            <w:r>
              <w:rPr>
                <w:rFonts w:ascii="Arial" w:eastAsia="宋体" w:hAnsi="Arial" w:cs="Arial"/>
                <w:color w:val="262626"/>
                <w:sz w:val="18"/>
                <w:szCs w:val="18"/>
              </w:rPr>
              <w:t>2.60%, due May 2026</w:t>
            </w:r>
          </w:p>
        </w:tc>
        <w:tc>
          <w:tcPr>
            <w:tcW w:w="0" w:type="auto"/>
            <w:gridSpan w:val="3"/>
            <w:shd w:val="clear" w:color="auto" w:fill="auto"/>
            <w:tcMar>
              <w:top w:w="0" w:type="dxa"/>
              <w:left w:w="20" w:type="dxa"/>
              <w:bottom w:w="0" w:type="dxa"/>
              <w:right w:w="20" w:type="dxa"/>
            </w:tcMar>
            <w:vAlign w:val="bottom"/>
          </w:tcPr>
          <w:p w14:paraId="5A1B263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31" w14:textId="77777777" w:rsidR="00960BB8" w:rsidRDefault="00C06650">
            <w:pPr>
              <w:jc w:val="center"/>
              <w:textAlignment w:val="bottom"/>
            </w:pPr>
            <w:r>
              <w:rPr>
                <w:rFonts w:ascii="Arial" w:eastAsia="宋体" w:hAnsi="Arial" w:cs="Arial"/>
                <w:color w:val="0068B5"/>
                <w:sz w:val="18"/>
                <w:szCs w:val="18"/>
              </w:rPr>
              <w:t>2.25%</w:t>
            </w:r>
          </w:p>
        </w:tc>
        <w:tc>
          <w:tcPr>
            <w:tcW w:w="0" w:type="auto"/>
            <w:gridSpan w:val="3"/>
            <w:shd w:val="clear" w:color="auto" w:fill="auto"/>
            <w:tcMar>
              <w:top w:w="0" w:type="dxa"/>
              <w:left w:w="20" w:type="dxa"/>
              <w:bottom w:w="0" w:type="dxa"/>
              <w:right w:w="20" w:type="dxa"/>
            </w:tcMar>
            <w:vAlign w:val="bottom"/>
          </w:tcPr>
          <w:p w14:paraId="5A1B263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33" w14:textId="77777777" w:rsidR="00960BB8" w:rsidRDefault="00C06650">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5A1B263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35" w14:textId="77777777" w:rsidR="00960BB8" w:rsidRDefault="00960BB8">
            <w:pPr>
              <w:rPr>
                <w:rFonts w:ascii="宋体"/>
              </w:rPr>
            </w:pPr>
          </w:p>
        </w:tc>
        <w:tc>
          <w:tcPr>
            <w:tcW w:w="0" w:type="auto"/>
            <w:shd w:val="clear" w:color="auto" w:fill="auto"/>
            <w:vAlign w:val="bottom"/>
          </w:tcPr>
          <w:p w14:paraId="5A1B2636" w14:textId="77777777" w:rsidR="00960BB8" w:rsidRDefault="00960BB8">
            <w:pPr>
              <w:rPr>
                <w:rFonts w:ascii="宋体"/>
                <w:vanish/>
              </w:rPr>
            </w:pPr>
          </w:p>
        </w:tc>
        <w:tc>
          <w:tcPr>
            <w:tcW w:w="0" w:type="auto"/>
            <w:shd w:val="clear" w:color="auto" w:fill="auto"/>
            <w:vAlign w:val="bottom"/>
          </w:tcPr>
          <w:p w14:paraId="5A1B263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38" w14:textId="77777777" w:rsidR="00960BB8" w:rsidRDefault="00C06650">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5A1B2639" w14:textId="77777777" w:rsidR="00960BB8" w:rsidRDefault="00960BB8">
            <w:pPr>
              <w:jc w:val="right"/>
              <w:rPr>
                <w:rFonts w:ascii="宋体"/>
              </w:rPr>
            </w:pPr>
          </w:p>
        </w:tc>
        <w:tc>
          <w:tcPr>
            <w:tcW w:w="0" w:type="auto"/>
            <w:shd w:val="clear" w:color="auto" w:fill="auto"/>
            <w:vAlign w:val="bottom"/>
          </w:tcPr>
          <w:p w14:paraId="5A1B263A" w14:textId="77777777" w:rsidR="00960BB8" w:rsidRDefault="00960BB8">
            <w:pPr>
              <w:rPr>
                <w:rFonts w:ascii="宋体"/>
                <w:vanish/>
              </w:rPr>
            </w:pPr>
          </w:p>
        </w:tc>
        <w:tc>
          <w:tcPr>
            <w:tcW w:w="0" w:type="auto"/>
            <w:shd w:val="clear" w:color="auto" w:fill="auto"/>
            <w:vAlign w:val="bottom"/>
          </w:tcPr>
          <w:p w14:paraId="5A1B263B" w14:textId="77777777" w:rsidR="00960BB8" w:rsidRDefault="00960BB8">
            <w:pPr>
              <w:rPr>
                <w:rFonts w:ascii="宋体"/>
                <w:vanish/>
              </w:rPr>
            </w:pPr>
          </w:p>
        </w:tc>
        <w:tc>
          <w:tcPr>
            <w:tcW w:w="0" w:type="auto"/>
            <w:shd w:val="clear" w:color="auto" w:fill="auto"/>
            <w:vAlign w:val="bottom"/>
          </w:tcPr>
          <w:p w14:paraId="5A1B263C" w14:textId="77777777" w:rsidR="00960BB8" w:rsidRDefault="00960BB8">
            <w:pPr>
              <w:rPr>
                <w:rFonts w:ascii="宋体"/>
                <w:vanish/>
              </w:rPr>
            </w:pPr>
          </w:p>
        </w:tc>
        <w:tc>
          <w:tcPr>
            <w:tcW w:w="0" w:type="auto"/>
            <w:shd w:val="clear" w:color="auto" w:fill="auto"/>
            <w:vAlign w:val="bottom"/>
          </w:tcPr>
          <w:p w14:paraId="5A1B263D" w14:textId="77777777" w:rsidR="00960BB8" w:rsidRDefault="00960BB8">
            <w:pPr>
              <w:rPr>
                <w:rFonts w:ascii="宋体"/>
                <w:vanish/>
              </w:rPr>
            </w:pPr>
          </w:p>
        </w:tc>
      </w:tr>
      <w:tr w:rsidR="00960BB8" w14:paraId="5A1B264E" w14:textId="77777777">
        <w:tc>
          <w:tcPr>
            <w:tcW w:w="0" w:type="auto"/>
            <w:gridSpan w:val="3"/>
            <w:shd w:val="clear" w:color="auto" w:fill="auto"/>
            <w:tcMar>
              <w:top w:w="40" w:type="dxa"/>
              <w:left w:w="155" w:type="dxa"/>
              <w:bottom w:w="40" w:type="dxa"/>
              <w:right w:w="20" w:type="dxa"/>
            </w:tcMar>
            <w:vAlign w:val="bottom"/>
          </w:tcPr>
          <w:p w14:paraId="5A1B263F" w14:textId="77777777" w:rsidR="00960BB8" w:rsidRDefault="00C06650">
            <w:pPr>
              <w:textAlignment w:val="bottom"/>
            </w:pPr>
            <w:r>
              <w:rPr>
                <w:rFonts w:ascii="Arial" w:eastAsia="宋体" w:hAnsi="Arial" w:cs="Arial"/>
                <w:color w:val="262626"/>
                <w:sz w:val="18"/>
                <w:szCs w:val="18"/>
              </w:rPr>
              <w:t>3.75%, due March 2027</w:t>
            </w:r>
          </w:p>
        </w:tc>
        <w:tc>
          <w:tcPr>
            <w:tcW w:w="0" w:type="auto"/>
            <w:gridSpan w:val="3"/>
            <w:shd w:val="clear" w:color="auto" w:fill="auto"/>
            <w:tcMar>
              <w:top w:w="0" w:type="dxa"/>
              <w:left w:w="20" w:type="dxa"/>
              <w:bottom w:w="0" w:type="dxa"/>
              <w:right w:w="20" w:type="dxa"/>
            </w:tcMar>
            <w:vAlign w:val="bottom"/>
          </w:tcPr>
          <w:p w14:paraId="5A1B264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41" w14:textId="77777777" w:rsidR="00960BB8" w:rsidRDefault="00C06650">
            <w:pPr>
              <w:jc w:val="center"/>
              <w:textAlignment w:val="bottom"/>
            </w:pPr>
            <w:r>
              <w:rPr>
                <w:rFonts w:ascii="Arial" w:eastAsia="宋体" w:hAnsi="Arial" w:cs="Arial"/>
                <w:color w:val="0068B5"/>
                <w:sz w:val="18"/>
                <w:szCs w:val="18"/>
              </w:rPr>
              <w:t>3.78%</w:t>
            </w:r>
          </w:p>
        </w:tc>
        <w:tc>
          <w:tcPr>
            <w:tcW w:w="0" w:type="auto"/>
            <w:gridSpan w:val="3"/>
            <w:shd w:val="clear" w:color="auto" w:fill="auto"/>
            <w:tcMar>
              <w:top w:w="0" w:type="dxa"/>
              <w:left w:w="20" w:type="dxa"/>
              <w:bottom w:w="0" w:type="dxa"/>
              <w:right w:w="20" w:type="dxa"/>
            </w:tcMar>
            <w:vAlign w:val="bottom"/>
          </w:tcPr>
          <w:p w14:paraId="5A1B264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43" w14:textId="77777777" w:rsidR="00960BB8" w:rsidRDefault="00C06650">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5A1B264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45" w14:textId="77777777" w:rsidR="00960BB8" w:rsidRDefault="00960BB8">
            <w:pPr>
              <w:rPr>
                <w:rFonts w:ascii="宋体"/>
              </w:rPr>
            </w:pPr>
          </w:p>
        </w:tc>
        <w:tc>
          <w:tcPr>
            <w:tcW w:w="0" w:type="auto"/>
            <w:shd w:val="clear" w:color="auto" w:fill="auto"/>
            <w:vAlign w:val="bottom"/>
          </w:tcPr>
          <w:p w14:paraId="5A1B2646" w14:textId="77777777" w:rsidR="00960BB8" w:rsidRDefault="00960BB8">
            <w:pPr>
              <w:rPr>
                <w:rFonts w:ascii="宋体"/>
                <w:vanish/>
              </w:rPr>
            </w:pPr>
          </w:p>
        </w:tc>
        <w:tc>
          <w:tcPr>
            <w:tcW w:w="0" w:type="auto"/>
            <w:shd w:val="clear" w:color="auto" w:fill="auto"/>
            <w:vAlign w:val="bottom"/>
          </w:tcPr>
          <w:p w14:paraId="5A1B264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48" w14:textId="77777777" w:rsidR="00960BB8" w:rsidRDefault="00C06650">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5A1B2649" w14:textId="77777777" w:rsidR="00960BB8" w:rsidRDefault="00960BB8">
            <w:pPr>
              <w:jc w:val="right"/>
              <w:rPr>
                <w:rFonts w:ascii="宋体"/>
              </w:rPr>
            </w:pPr>
          </w:p>
        </w:tc>
        <w:tc>
          <w:tcPr>
            <w:tcW w:w="0" w:type="auto"/>
            <w:shd w:val="clear" w:color="auto" w:fill="auto"/>
            <w:vAlign w:val="bottom"/>
          </w:tcPr>
          <w:p w14:paraId="5A1B264A" w14:textId="77777777" w:rsidR="00960BB8" w:rsidRDefault="00960BB8">
            <w:pPr>
              <w:rPr>
                <w:rFonts w:ascii="宋体"/>
                <w:vanish/>
              </w:rPr>
            </w:pPr>
          </w:p>
        </w:tc>
        <w:tc>
          <w:tcPr>
            <w:tcW w:w="0" w:type="auto"/>
            <w:shd w:val="clear" w:color="auto" w:fill="auto"/>
            <w:vAlign w:val="bottom"/>
          </w:tcPr>
          <w:p w14:paraId="5A1B264B" w14:textId="77777777" w:rsidR="00960BB8" w:rsidRDefault="00960BB8">
            <w:pPr>
              <w:rPr>
                <w:rFonts w:ascii="宋体"/>
                <w:vanish/>
              </w:rPr>
            </w:pPr>
          </w:p>
        </w:tc>
        <w:tc>
          <w:tcPr>
            <w:tcW w:w="0" w:type="auto"/>
            <w:shd w:val="clear" w:color="auto" w:fill="auto"/>
            <w:vAlign w:val="bottom"/>
          </w:tcPr>
          <w:p w14:paraId="5A1B264C" w14:textId="77777777" w:rsidR="00960BB8" w:rsidRDefault="00960BB8">
            <w:pPr>
              <w:rPr>
                <w:rFonts w:ascii="宋体"/>
                <w:vanish/>
              </w:rPr>
            </w:pPr>
          </w:p>
        </w:tc>
        <w:tc>
          <w:tcPr>
            <w:tcW w:w="0" w:type="auto"/>
            <w:shd w:val="clear" w:color="auto" w:fill="auto"/>
            <w:vAlign w:val="bottom"/>
          </w:tcPr>
          <w:p w14:paraId="5A1B264D" w14:textId="77777777" w:rsidR="00960BB8" w:rsidRDefault="00960BB8">
            <w:pPr>
              <w:rPr>
                <w:rFonts w:ascii="宋体"/>
                <w:vanish/>
              </w:rPr>
            </w:pPr>
          </w:p>
        </w:tc>
      </w:tr>
      <w:tr w:rsidR="00960BB8" w14:paraId="5A1B265E" w14:textId="77777777">
        <w:tc>
          <w:tcPr>
            <w:tcW w:w="0" w:type="auto"/>
            <w:gridSpan w:val="3"/>
            <w:shd w:val="clear" w:color="auto" w:fill="auto"/>
            <w:tcMar>
              <w:top w:w="40" w:type="dxa"/>
              <w:left w:w="155" w:type="dxa"/>
              <w:bottom w:w="40" w:type="dxa"/>
              <w:right w:w="20" w:type="dxa"/>
            </w:tcMar>
            <w:vAlign w:val="bottom"/>
          </w:tcPr>
          <w:p w14:paraId="5A1B264F" w14:textId="77777777" w:rsidR="00960BB8" w:rsidRDefault="00C06650">
            <w:pPr>
              <w:textAlignment w:val="bottom"/>
            </w:pPr>
            <w:r>
              <w:rPr>
                <w:rFonts w:ascii="Arial" w:eastAsia="宋体" w:hAnsi="Arial" w:cs="Arial"/>
                <w:color w:val="262626"/>
                <w:sz w:val="18"/>
                <w:szCs w:val="18"/>
              </w:rPr>
              <w:t xml:space="preserve">3.15%, </w:t>
            </w:r>
            <w:r>
              <w:rPr>
                <w:rFonts w:ascii="Arial" w:eastAsia="宋体" w:hAnsi="Arial" w:cs="Arial"/>
                <w:color w:val="262626"/>
                <w:sz w:val="18"/>
                <w:szCs w:val="18"/>
              </w:rPr>
              <w:t>due May 2027</w:t>
            </w:r>
          </w:p>
        </w:tc>
        <w:tc>
          <w:tcPr>
            <w:tcW w:w="0" w:type="auto"/>
            <w:gridSpan w:val="3"/>
            <w:shd w:val="clear" w:color="auto" w:fill="auto"/>
            <w:tcMar>
              <w:top w:w="0" w:type="dxa"/>
              <w:left w:w="20" w:type="dxa"/>
              <w:bottom w:w="0" w:type="dxa"/>
              <w:right w:w="20" w:type="dxa"/>
            </w:tcMar>
            <w:vAlign w:val="bottom"/>
          </w:tcPr>
          <w:p w14:paraId="5A1B265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51" w14:textId="77777777" w:rsidR="00960BB8" w:rsidRDefault="00C06650">
            <w:pPr>
              <w:jc w:val="center"/>
              <w:textAlignment w:val="bottom"/>
            </w:pPr>
            <w:r>
              <w:rPr>
                <w:rFonts w:ascii="Arial" w:eastAsia="宋体" w:hAnsi="Arial" w:cs="Arial"/>
                <w:color w:val="0068B5"/>
                <w:sz w:val="18"/>
                <w:szCs w:val="18"/>
              </w:rPr>
              <w:t>2.84%</w:t>
            </w:r>
          </w:p>
        </w:tc>
        <w:tc>
          <w:tcPr>
            <w:tcW w:w="0" w:type="auto"/>
            <w:gridSpan w:val="3"/>
            <w:shd w:val="clear" w:color="auto" w:fill="auto"/>
            <w:tcMar>
              <w:top w:w="0" w:type="dxa"/>
              <w:left w:w="20" w:type="dxa"/>
              <w:bottom w:w="0" w:type="dxa"/>
              <w:right w:w="20" w:type="dxa"/>
            </w:tcMar>
            <w:vAlign w:val="bottom"/>
          </w:tcPr>
          <w:p w14:paraId="5A1B265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53" w14:textId="77777777" w:rsidR="00960BB8" w:rsidRDefault="00C06650">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5A1B265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55" w14:textId="77777777" w:rsidR="00960BB8" w:rsidRDefault="00960BB8">
            <w:pPr>
              <w:rPr>
                <w:rFonts w:ascii="宋体"/>
              </w:rPr>
            </w:pPr>
          </w:p>
        </w:tc>
        <w:tc>
          <w:tcPr>
            <w:tcW w:w="0" w:type="auto"/>
            <w:shd w:val="clear" w:color="auto" w:fill="auto"/>
            <w:vAlign w:val="bottom"/>
          </w:tcPr>
          <w:p w14:paraId="5A1B2656" w14:textId="77777777" w:rsidR="00960BB8" w:rsidRDefault="00960BB8">
            <w:pPr>
              <w:rPr>
                <w:rFonts w:ascii="宋体"/>
                <w:vanish/>
              </w:rPr>
            </w:pPr>
          </w:p>
        </w:tc>
        <w:tc>
          <w:tcPr>
            <w:tcW w:w="0" w:type="auto"/>
            <w:shd w:val="clear" w:color="auto" w:fill="auto"/>
            <w:vAlign w:val="bottom"/>
          </w:tcPr>
          <w:p w14:paraId="5A1B265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58" w14:textId="77777777" w:rsidR="00960BB8" w:rsidRDefault="00C06650">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5A1B2659" w14:textId="77777777" w:rsidR="00960BB8" w:rsidRDefault="00960BB8">
            <w:pPr>
              <w:jc w:val="right"/>
              <w:rPr>
                <w:rFonts w:ascii="宋体"/>
              </w:rPr>
            </w:pPr>
          </w:p>
        </w:tc>
        <w:tc>
          <w:tcPr>
            <w:tcW w:w="0" w:type="auto"/>
            <w:shd w:val="clear" w:color="auto" w:fill="auto"/>
            <w:vAlign w:val="bottom"/>
          </w:tcPr>
          <w:p w14:paraId="5A1B265A" w14:textId="77777777" w:rsidR="00960BB8" w:rsidRDefault="00960BB8">
            <w:pPr>
              <w:rPr>
                <w:rFonts w:ascii="宋体"/>
                <w:vanish/>
              </w:rPr>
            </w:pPr>
          </w:p>
        </w:tc>
        <w:tc>
          <w:tcPr>
            <w:tcW w:w="0" w:type="auto"/>
            <w:shd w:val="clear" w:color="auto" w:fill="auto"/>
            <w:vAlign w:val="bottom"/>
          </w:tcPr>
          <w:p w14:paraId="5A1B265B" w14:textId="77777777" w:rsidR="00960BB8" w:rsidRDefault="00960BB8">
            <w:pPr>
              <w:rPr>
                <w:rFonts w:ascii="宋体"/>
                <w:vanish/>
              </w:rPr>
            </w:pPr>
          </w:p>
        </w:tc>
        <w:tc>
          <w:tcPr>
            <w:tcW w:w="0" w:type="auto"/>
            <w:shd w:val="clear" w:color="auto" w:fill="auto"/>
            <w:vAlign w:val="bottom"/>
          </w:tcPr>
          <w:p w14:paraId="5A1B265C" w14:textId="77777777" w:rsidR="00960BB8" w:rsidRDefault="00960BB8">
            <w:pPr>
              <w:rPr>
                <w:rFonts w:ascii="宋体"/>
                <w:vanish/>
              </w:rPr>
            </w:pPr>
          </w:p>
        </w:tc>
        <w:tc>
          <w:tcPr>
            <w:tcW w:w="0" w:type="auto"/>
            <w:shd w:val="clear" w:color="auto" w:fill="auto"/>
            <w:vAlign w:val="bottom"/>
          </w:tcPr>
          <w:p w14:paraId="5A1B265D" w14:textId="77777777" w:rsidR="00960BB8" w:rsidRDefault="00960BB8">
            <w:pPr>
              <w:rPr>
                <w:rFonts w:ascii="宋体"/>
                <w:vanish/>
              </w:rPr>
            </w:pPr>
          </w:p>
        </w:tc>
      </w:tr>
      <w:tr w:rsidR="00960BB8" w14:paraId="5A1B266E" w14:textId="77777777">
        <w:tc>
          <w:tcPr>
            <w:tcW w:w="0" w:type="auto"/>
            <w:gridSpan w:val="3"/>
            <w:shd w:val="clear" w:color="auto" w:fill="auto"/>
            <w:tcMar>
              <w:top w:w="40" w:type="dxa"/>
              <w:left w:w="155" w:type="dxa"/>
              <w:bottom w:w="40" w:type="dxa"/>
              <w:right w:w="20" w:type="dxa"/>
            </w:tcMar>
            <w:vAlign w:val="bottom"/>
          </w:tcPr>
          <w:p w14:paraId="5A1B265F" w14:textId="77777777" w:rsidR="00960BB8" w:rsidRDefault="00C06650">
            <w:pPr>
              <w:textAlignment w:val="bottom"/>
            </w:pPr>
            <w:r>
              <w:rPr>
                <w:rFonts w:ascii="Arial" w:eastAsia="宋体" w:hAnsi="Arial" w:cs="Arial"/>
                <w:color w:val="262626"/>
                <w:sz w:val="18"/>
                <w:szCs w:val="18"/>
              </w:rPr>
              <w:t xml:space="preserve">3.75%, </w:t>
            </w:r>
            <w:r>
              <w:rPr>
                <w:rFonts w:ascii="Arial" w:eastAsia="宋体" w:hAnsi="Arial" w:cs="Arial"/>
                <w:color w:val="262626"/>
                <w:sz w:val="18"/>
                <w:szCs w:val="18"/>
              </w:rPr>
              <w:t>due August 2027</w:t>
            </w:r>
          </w:p>
        </w:tc>
        <w:tc>
          <w:tcPr>
            <w:tcW w:w="0" w:type="auto"/>
            <w:gridSpan w:val="3"/>
            <w:shd w:val="clear" w:color="auto" w:fill="auto"/>
            <w:tcMar>
              <w:top w:w="0" w:type="dxa"/>
              <w:left w:w="20" w:type="dxa"/>
              <w:bottom w:w="0" w:type="dxa"/>
              <w:right w:w="20" w:type="dxa"/>
            </w:tcMar>
            <w:vAlign w:val="bottom"/>
          </w:tcPr>
          <w:p w14:paraId="5A1B266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61" w14:textId="77777777" w:rsidR="00960BB8" w:rsidRDefault="00C06650">
            <w:pPr>
              <w:jc w:val="center"/>
              <w:textAlignment w:val="bottom"/>
            </w:pPr>
            <w:r>
              <w:rPr>
                <w:rFonts w:ascii="Arial" w:eastAsia="宋体" w:hAnsi="Arial" w:cs="Arial"/>
                <w:color w:val="0068B5"/>
                <w:sz w:val="18"/>
                <w:szCs w:val="18"/>
              </w:rPr>
              <w:t>3.80%</w:t>
            </w:r>
          </w:p>
        </w:tc>
        <w:tc>
          <w:tcPr>
            <w:tcW w:w="0" w:type="auto"/>
            <w:gridSpan w:val="3"/>
            <w:shd w:val="clear" w:color="auto" w:fill="auto"/>
            <w:tcMar>
              <w:top w:w="0" w:type="dxa"/>
              <w:left w:w="20" w:type="dxa"/>
              <w:bottom w:w="0" w:type="dxa"/>
              <w:right w:w="20" w:type="dxa"/>
            </w:tcMar>
            <w:vAlign w:val="bottom"/>
          </w:tcPr>
          <w:p w14:paraId="5A1B266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63" w14:textId="77777777" w:rsidR="00960BB8" w:rsidRDefault="00C06650">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5A1B266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65" w14:textId="77777777" w:rsidR="00960BB8" w:rsidRDefault="00960BB8">
            <w:pPr>
              <w:rPr>
                <w:rFonts w:ascii="宋体"/>
              </w:rPr>
            </w:pPr>
          </w:p>
        </w:tc>
        <w:tc>
          <w:tcPr>
            <w:tcW w:w="0" w:type="auto"/>
            <w:shd w:val="clear" w:color="auto" w:fill="auto"/>
            <w:vAlign w:val="bottom"/>
          </w:tcPr>
          <w:p w14:paraId="5A1B2666" w14:textId="77777777" w:rsidR="00960BB8" w:rsidRDefault="00960BB8">
            <w:pPr>
              <w:rPr>
                <w:rFonts w:ascii="宋体"/>
                <w:vanish/>
              </w:rPr>
            </w:pPr>
          </w:p>
        </w:tc>
        <w:tc>
          <w:tcPr>
            <w:tcW w:w="0" w:type="auto"/>
            <w:shd w:val="clear" w:color="auto" w:fill="auto"/>
            <w:vAlign w:val="bottom"/>
          </w:tcPr>
          <w:p w14:paraId="5A1B266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68"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5A1B2669" w14:textId="77777777" w:rsidR="00960BB8" w:rsidRDefault="00960BB8">
            <w:pPr>
              <w:jc w:val="right"/>
              <w:rPr>
                <w:rFonts w:ascii="宋体"/>
              </w:rPr>
            </w:pPr>
          </w:p>
        </w:tc>
        <w:tc>
          <w:tcPr>
            <w:tcW w:w="0" w:type="auto"/>
            <w:shd w:val="clear" w:color="auto" w:fill="auto"/>
            <w:vAlign w:val="bottom"/>
          </w:tcPr>
          <w:p w14:paraId="5A1B266A" w14:textId="77777777" w:rsidR="00960BB8" w:rsidRDefault="00960BB8">
            <w:pPr>
              <w:rPr>
                <w:rFonts w:ascii="宋体"/>
                <w:vanish/>
              </w:rPr>
            </w:pPr>
          </w:p>
        </w:tc>
        <w:tc>
          <w:tcPr>
            <w:tcW w:w="0" w:type="auto"/>
            <w:shd w:val="clear" w:color="auto" w:fill="auto"/>
            <w:vAlign w:val="bottom"/>
          </w:tcPr>
          <w:p w14:paraId="5A1B266B" w14:textId="77777777" w:rsidR="00960BB8" w:rsidRDefault="00960BB8">
            <w:pPr>
              <w:rPr>
                <w:rFonts w:ascii="宋体"/>
                <w:vanish/>
              </w:rPr>
            </w:pPr>
          </w:p>
        </w:tc>
        <w:tc>
          <w:tcPr>
            <w:tcW w:w="0" w:type="auto"/>
            <w:shd w:val="clear" w:color="auto" w:fill="auto"/>
            <w:vAlign w:val="bottom"/>
          </w:tcPr>
          <w:p w14:paraId="5A1B266C" w14:textId="77777777" w:rsidR="00960BB8" w:rsidRDefault="00960BB8">
            <w:pPr>
              <w:rPr>
                <w:rFonts w:ascii="宋体"/>
                <w:vanish/>
              </w:rPr>
            </w:pPr>
          </w:p>
        </w:tc>
        <w:tc>
          <w:tcPr>
            <w:tcW w:w="0" w:type="auto"/>
            <w:shd w:val="clear" w:color="auto" w:fill="auto"/>
            <w:vAlign w:val="bottom"/>
          </w:tcPr>
          <w:p w14:paraId="5A1B266D" w14:textId="77777777" w:rsidR="00960BB8" w:rsidRDefault="00960BB8">
            <w:pPr>
              <w:rPr>
                <w:rFonts w:ascii="宋体"/>
                <w:vanish/>
              </w:rPr>
            </w:pPr>
          </w:p>
        </w:tc>
      </w:tr>
      <w:tr w:rsidR="00960BB8" w14:paraId="5A1B267E" w14:textId="77777777">
        <w:tc>
          <w:tcPr>
            <w:tcW w:w="0" w:type="auto"/>
            <w:gridSpan w:val="3"/>
            <w:shd w:val="clear" w:color="auto" w:fill="auto"/>
            <w:tcMar>
              <w:top w:w="40" w:type="dxa"/>
              <w:left w:w="155" w:type="dxa"/>
              <w:bottom w:w="40" w:type="dxa"/>
              <w:right w:w="20" w:type="dxa"/>
            </w:tcMar>
            <w:vAlign w:val="bottom"/>
          </w:tcPr>
          <w:p w14:paraId="5A1B266F" w14:textId="77777777" w:rsidR="00960BB8" w:rsidRDefault="00C06650">
            <w:pPr>
              <w:textAlignment w:val="bottom"/>
            </w:pPr>
            <w:r>
              <w:rPr>
                <w:rFonts w:ascii="Arial" w:eastAsia="宋体" w:hAnsi="Arial" w:cs="Arial"/>
                <w:color w:val="262626"/>
                <w:sz w:val="18"/>
                <w:szCs w:val="18"/>
              </w:rPr>
              <w:t xml:space="preserve">1.60%, </w:t>
            </w:r>
            <w:r>
              <w:rPr>
                <w:rFonts w:ascii="Arial" w:eastAsia="宋体" w:hAnsi="Arial" w:cs="Arial"/>
                <w:color w:val="262626"/>
                <w:sz w:val="18"/>
                <w:szCs w:val="18"/>
              </w:rPr>
              <w:t>due August 2028</w:t>
            </w:r>
          </w:p>
        </w:tc>
        <w:tc>
          <w:tcPr>
            <w:tcW w:w="0" w:type="auto"/>
            <w:gridSpan w:val="3"/>
            <w:shd w:val="clear" w:color="auto" w:fill="auto"/>
            <w:tcMar>
              <w:top w:w="0" w:type="dxa"/>
              <w:left w:w="20" w:type="dxa"/>
              <w:bottom w:w="0" w:type="dxa"/>
              <w:right w:w="20" w:type="dxa"/>
            </w:tcMar>
            <w:vAlign w:val="bottom"/>
          </w:tcPr>
          <w:p w14:paraId="5A1B267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71" w14:textId="77777777" w:rsidR="00960BB8" w:rsidRDefault="00C06650">
            <w:pPr>
              <w:jc w:val="center"/>
              <w:textAlignment w:val="bottom"/>
            </w:pPr>
            <w:r>
              <w:rPr>
                <w:rFonts w:ascii="Arial" w:eastAsia="宋体" w:hAnsi="Arial" w:cs="Arial"/>
                <w:color w:val="0068B5"/>
                <w:sz w:val="18"/>
                <w:szCs w:val="18"/>
              </w:rPr>
              <w:t>1.67%</w:t>
            </w:r>
          </w:p>
        </w:tc>
        <w:tc>
          <w:tcPr>
            <w:tcW w:w="0" w:type="auto"/>
            <w:gridSpan w:val="3"/>
            <w:shd w:val="clear" w:color="auto" w:fill="auto"/>
            <w:tcMar>
              <w:top w:w="0" w:type="dxa"/>
              <w:left w:w="20" w:type="dxa"/>
              <w:bottom w:w="0" w:type="dxa"/>
              <w:right w:w="20" w:type="dxa"/>
            </w:tcMar>
            <w:vAlign w:val="bottom"/>
          </w:tcPr>
          <w:p w14:paraId="5A1B267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73" w14:textId="77777777" w:rsidR="00960BB8" w:rsidRDefault="00C06650">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5A1B267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75" w14:textId="77777777" w:rsidR="00960BB8" w:rsidRDefault="00960BB8">
            <w:pPr>
              <w:rPr>
                <w:rFonts w:ascii="宋体"/>
              </w:rPr>
            </w:pPr>
          </w:p>
        </w:tc>
        <w:tc>
          <w:tcPr>
            <w:tcW w:w="0" w:type="auto"/>
            <w:shd w:val="clear" w:color="auto" w:fill="auto"/>
            <w:vAlign w:val="bottom"/>
          </w:tcPr>
          <w:p w14:paraId="5A1B2676" w14:textId="77777777" w:rsidR="00960BB8" w:rsidRDefault="00960BB8">
            <w:pPr>
              <w:rPr>
                <w:rFonts w:ascii="宋体"/>
                <w:vanish/>
              </w:rPr>
            </w:pPr>
          </w:p>
        </w:tc>
        <w:tc>
          <w:tcPr>
            <w:tcW w:w="0" w:type="auto"/>
            <w:shd w:val="clear" w:color="auto" w:fill="auto"/>
            <w:vAlign w:val="bottom"/>
          </w:tcPr>
          <w:p w14:paraId="5A1B267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78" w14:textId="77777777" w:rsidR="00960BB8" w:rsidRDefault="00C06650">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5A1B2679" w14:textId="77777777" w:rsidR="00960BB8" w:rsidRDefault="00960BB8">
            <w:pPr>
              <w:jc w:val="right"/>
              <w:rPr>
                <w:rFonts w:ascii="宋体"/>
              </w:rPr>
            </w:pPr>
          </w:p>
        </w:tc>
        <w:tc>
          <w:tcPr>
            <w:tcW w:w="0" w:type="auto"/>
            <w:shd w:val="clear" w:color="auto" w:fill="auto"/>
            <w:vAlign w:val="bottom"/>
          </w:tcPr>
          <w:p w14:paraId="5A1B267A" w14:textId="77777777" w:rsidR="00960BB8" w:rsidRDefault="00960BB8">
            <w:pPr>
              <w:rPr>
                <w:rFonts w:ascii="宋体"/>
                <w:vanish/>
              </w:rPr>
            </w:pPr>
          </w:p>
        </w:tc>
        <w:tc>
          <w:tcPr>
            <w:tcW w:w="0" w:type="auto"/>
            <w:shd w:val="clear" w:color="auto" w:fill="auto"/>
            <w:vAlign w:val="bottom"/>
          </w:tcPr>
          <w:p w14:paraId="5A1B267B" w14:textId="77777777" w:rsidR="00960BB8" w:rsidRDefault="00960BB8">
            <w:pPr>
              <w:rPr>
                <w:rFonts w:ascii="宋体"/>
                <w:vanish/>
              </w:rPr>
            </w:pPr>
          </w:p>
        </w:tc>
        <w:tc>
          <w:tcPr>
            <w:tcW w:w="0" w:type="auto"/>
            <w:shd w:val="clear" w:color="auto" w:fill="auto"/>
            <w:vAlign w:val="bottom"/>
          </w:tcPr>
          <w:p w14:paraId="5A1B267C" w14:textId="77777777" w:rsidR="00960BB8" w:rsidRDefault="00960BB8">
            <w:pPr>
              <w:rPr>
                <w:rFonts w:ascii="宋体"/>
                <w:vanish/>
              </w:rPr>
            </w:pPr>
          </w:p>
        </w:tc>
        <w:tc>
          <w:tcPr>
            <w:tcW w:w="0" w:type="auto"/>
            <w:shd w:val="clear" w:color="auto" w:fill="auto"/>
            <w:vAlign w:val="bottom"/>
          </w:tcPr>
          <w:p w14:paraId="5A1B267D" w14:textId="77777777" w:rsidR="00960BB8" w:rsidRDefault="00960BB8">
            <w:pPr>
              <w:rPr>
                <w:rFonts w:ascii="宋体"/>
                <w:vanish/>
              </w:rPr>
            </w:pPr>
          </w:p>
        </w:tc>
      </w:tr>
      <w:tr w:rsidR="00960BB8" w14:paraId="5A1B268E" w14:textId="77777777">
        <w:tc>
          <w:tcPr>
            <w:tcW w:w="0" w:type="auto"/>
            <w:gridSpan w:val="3"/>
            <w:shd w:val="clear" w:color="auto" w:fill="auto"/>
            <w:tcMar>
              <w:top w:w="40" w:type="dxa"/>
              <w:left w:w="155" w:type="dxa"/>
              <w:bottom w:w="40" w:type="dxa"/>
              <w:right w:w="20" w:type="dxa"/>
            </w:tcMar>
            <w:vAlign w:val="bottom"/>
          </w:tcPr>
          <w:p w14:paraId="5A1B267F" w14:textId="77777777" w:rsidR="00960BB8" w:rsidRDefault="00C06650">
            <w:pPr>
              <w:textAlignment w:val="bottom"/>
            </w:pPr>
            <w:r>
              <w:rPr>
                <w:rFonts w:ascii="Arial" w:eastAsia="宋体" w:hAnsi="Arial" w:cs="Arial"/>
                <w:color w:val="262626"/>
                <w:sz w:val="18"/>
                <w:szCs w:val="18"/>
              </w:rPr>
              <w:t>4.00%, due August 2029</w:t>
            </w:r>
          </w:p>
        </w:tc>
        <w:tc>
          <w:tcPr>
            <w:tcW w:w="0" w:type="auto"/>
            <w:gridSpan w:val="3"/>
            <w:shd w:val="clear" w:color="auto" w:fill="auto"/>
            <w:tcMar>
              <w:top w:w="0" w:type="dxa"/>
              <w:left w:w="20" w:type="dxa"/>
              <w:bottom w:w="0" w:type="dxa"/>
              <w:right w:w="20" w:type="dxa"/>
            </w:tcMar>
            <w:vAlign w:val="bottom"/>
          </w:tcPr>
          <w:p w14:paraId="5A1B268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81" w14:textId="77777777" w:rsidR="00960BB8" w:rsidRDefault="00C06650">
            <w:pPr>
              <w:jc w:val="center"/>
              <w:textAlignment w:val="bottom"/>
            </w:pPr>
            <w:r>
              <w:rPr>
                <w:rFonts w:ascii="Arial" w:eastAsia="宋体" w:hAnsi="Arial" w:cs="Arial"/>
                <w:color w:val="0068B5"/>
                <w:sz w:val="18"/>
                <w:szCs w:val="18"/>
              </w:rPr>
              <w:t>4.05%</w:t>
            </w:r>
          </w:p>
        </w:tc>
        <w:tc>
          <w:tcPr>
            <w:tcW w:w="0" w:type="auto"/>
            <w:gridSpan w:val="3"/>
            <w:shd w:val="clear" w:color="auto" w:fill="auto"/>
            <w:tcMar>
              <w:top w:w="0" w:type="dxa"/>
              <w:left w:w="20" w:type="dxa"/>
              <w:bottom w:w="0" w:type="dxa"/>
              <w:right w:w="20" w:type="dxa"/>
            </w:tcMar>
            <w:vAlign w:val="bottom"/>
          </w:tcPr>
          <w:p w14:paraId="5A1B268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83" w14:textId="77777777" w:rsidR="00960BB8" w:rsidRDefault="00C06650">
            <w:pPr>
              <w:jc w:val="right"/>
              <w:textAlignment w:val="bottom"/>
            </w:pPr>
            <w:r>
              <w:rPr>
                <w:rFonts w:ascii="Arial" w:eastAsia="宋体" w:hAnsi="Arial" w:cs="Arial"/>
                <w:color w:val="0068B5"/>
                <w:sz w:val="18"/>
                <w:szCs w:val="18"/>
              </w:rPr>
              <w:t>850 </w:t>
            </w:r>
          </w:p>
        </w:tc>
        <w:tc>
          <w:tcPr>
            <w:tcW w:w="0" w:type="auto"/>
            <w:shd w:val="clear" w:color="auto" w:fill="auto"/>
            <w:tcMar>
              <w:top w:w="40" w:type="dxa"/>
              <w:left w:w="0" w:type="dxa"/>
              <w:bottom w:w="40" w:type="dxa"/>
              <w:right w:w="20" w:type="dxa"/>
            </w:tcMar>
            <w:vAlign w:val="bottom"/>
          </w:tcPr>
          <w:p w14:paraId="5A1B268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85" w14:textId="77777777" w:rsidR="00960BB8" w:rsidRDefault="00960BB8">
            <w:pPr>
              <w:rPr>
                <w:rFonts w:ascii="宋体"/>
              </w:rPr>
            </w:pPr>
          </w:p>
        </w:tc>
        <w:tc>
          <w:tcPr>
            <w:tcW w:w="0" w:type="auto"/>
            <w:shd w:val="clear" w:color="auto" w:fill="auto"/>
            <w:vAlign w:val="bottom"/>
          </w:tcPr>
          <w:p w14:paraId="5A1B2686" w14:textId="77777777" w:rsidR="00960BB8" w:rsidRDefault="00960BB8">
            <w:pPr>
              <w:rPr>
                <w:rFonts w:ascii="宋体"/>
                <w:vanish/>
              </w:rPr>
            </w:pPr>
          </w:p>
        </w:tc>
        <w:tc>
          <w:tcPr>
            <w:tcW w:w="0" w:type="auto"/>
            <w:shd w:val="clear" w:color="auto" w:fill="auto"/>
            <w:vAlign w:val="bottom"/>
          </w:tcPr>
          <w:p w14:paraId="5A1B268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88"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5A1B2689" w14:textId="77777777" w:rsidR="00960BB8" w:rsidRDefault="00960BB8">
            <w:pPr>
              <w:jc w:val="right"/>
              <w:rPr>
                <w:rFonts w:ascii="宋体"/>
              </w:rPr>
            </w:pPr>
          </w:p>
        </w:tc>
        <w:tc>
          <w:tcPr>
            <w:tcW w:w="0" w:type="auto"/>
            <w:shd w:val="clear" w:color="auto" w:fill="auto"/>
            <w:vAlign w:val="bottom"/>
          </w:tcPr>
          <w:p w14:paraId="5A1B268A" w14:textId="77777777" w:rsidR="00960BB8" w:rsidRDefault="00960BB8">
            <w:pPr>
              <w:rPr>
                <w:rFonts w:ascii="宋体"/>
                <w:vanish/>
              </w:rPr>
            </w:pPr>
          </w:p>
        </w:tc>
        <w:tc>
          <w:tcPr>
            <w:tcW w:w="0" w:type="auto"/>
            <w:shd w:val="clear" w:color="auto" w:fill="auto"/>
            <w:vAlign w:val="bottom"/>
          </w:tcPr>
          <w:p w14:paraId="5A1B268B" w14:textId="77777777" w:rsidR="00960BB8" w:rsidRDefault="00960BB8">
            <w:pPr>
              <w:rPr>
                <w:rFonts w:ascii="宋体"/>
                <w:vanish/>
              </w:rPr>
            </w:pPr>
          </w:p>
        </w:tc>
        <w:tc>
          <w:tcPr>
            <w:tcW w:w="0" w:type="auto"/>
            <w:shd w:val="clear" w:color="auto" w:fill="auto"/>
            <w:vAlign w:val="bottom"/>
          </w:tcPr>
          <w:p w14:paraId="5A1B268C" w14:textId="77777777" w:rsidR="00960BB8" w:rsidRDefault="00960BB8">
            <w:pPr>
              <w:rPr>
                <w:rFonts w:ascii="宋体"/>
                <w:vanish/>
              </w:rPr>
            </w:pPr>
          </w:p>
        </w:tc>
        <w:tc>
          <w:tcPr>
            <w:tcW w:w="0" w:type="auto"/>
            <w:shd w:val="clear" w:color="auto" w:fill="auto"/>
            <w:vAlign w:val="bottom"/>
          </w:tcPr>
          <w:p w14:paraId="5A1B268D" w14:textId="77777777" w:rsidR="00960BB8" w:rsidRDefault="00960BB8">
            <w:pPr>
              <w:rPr>
                <w:rFonts w:ascii="宋体"/>
                <w:vanish/>
              </w:rPr>
            </w:pPr>
          </w:p>
        </w:tc>
      </w:tr>
      <w:tr w:rsidR="00960BB8" w14:paraId="5A1B269E" w14:textId="77777777">
        <w:tc>
          <w:tcPr>
            <w:tcW w:w="0" w:type="auto"/>
            <w:gridSpan w:val="3"/>
            <w:shd w:val="clear" w:color="auto" w:fill="auto"/>
            <w:tcMar>
              <w:top w:w="40" w:type="dxa"/>
              <w:left w:w="155" w:type="dxa"/>
              <w:bottom w:w="40" w:type="dxa"/>
              <w:right w:w="20" w:type="dxa"/>
            </w:tcMar>
            <w:vAlign w:val="bottom"/>
          </w:tcPr>
          <w:p w14:paraId="5A1B268F" w14:textId="77777777" w:rsidR="00960BB8" w:rsidRDefault="00C06650">
            <w:pPr>
              <w:textAlignment w:val="bottom"/>
            </w:pPr>
            <w:r>
              <w:rPr>
                <w:rFonts w:ascii="Arial" w:eastAsia="宋体" w:hAnsi="Arial" w:cs="Arial"/>
                <w:color w:val="262626"/>
                <w:sz w:val="18"/>
                <w:szCs w:val="18"/>
              </w:rPr>
              <w:t>2.45%, due November 2029</w:t>
            </w:r>
          </w:p>
        </w:tc>
        <w:tc>
          <w:tcPr>
            <w:tcW w:w="0" w:type="auto"/>
            <w:gridSpan w:val="3"/>
            <w:shd w:val="clear" w:color="auto" w:fill="auto"/>
            <w:tcMar>
              <w:top w:w="0" w:type="dxa"/>
              <w:left w:w="20" w:type="dxa"/>
              <w:bottom w:w="0" w:type="dxa"/>
              <w:right w:w="20" w:type="dxa"/>
            </w:tcMar>
            <w:vAlign w:val="bottom"/>
          </w:tcPr>
          <w:p w14:paraId="5A1B269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91" w14:textId="77777777" w:rsidR="00960BB8" w:rsidRDefault="00C06650">
            <w:pPr>
              <w:jc w:val="center"/>
              <w:textAlignment w:val="bottom"/>
            </w:pPr>
            <w:r>
              <w:rPr>
                <w:rFonts w:ascii="Arial" w:eastAsia="宋体" w:hAnsi="Arial" w:cs="Arial"/>
                <w:color w:val="0068B5"/>
                <w:sz w:val="18"/>
                <w:szCs w:val="18"/>
              </w:rPr>
              <w:t>2.38%</w:t>
            </w:r>
          </w:p>
        </w:tc>
        <w:tc>
          <w:tcPr>
            <w:tcW w:w="0" w:type="auto"/>
            <w:gridSpan w:val="3"/>
            <w:shd w:val="clear" w:color="auto" w:fill="auto"/>
            <w:tcMar>
              <w:top w:w="0" w:type="dxa"/>
              <w:left w:w="20" w:type="dxa"/>
              <w:bottom w:w="0" w:type="dxa"/>
              <w:right w:w="20" w:type="dxa"/>
            </w:tcMar>
            <w:vAlign w:val="bottom"/>
          </w:tcPr>
          <w:p w14:paraId="5A1B269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93" w14:textId="77777777" w:rsidR="00960BB8" w:rsidRDefault="00C06650">
            <w:pPr>
              <w:jc w:val="right"/>
              <w:textAlignment w:val="bottom"/>
            </w:pPr>
            <w:r>
              <w:rPr>
                <w:rFonts w:ascii="Arial" w:eastAsia="宋体" w:hAnsi="Arial" w:cs="Arial"/>
                <w:color w:val="0068B5"/>
                <w:sz w:val="18"/>
                <w:szCs w:val="18"/>
              </w:rPr>
              <w:t>2,000 </w:t>
            </w:r>
          </w:p>
        </w:tc>
        <w:tc>
          <w:tcPr>
            <w:tcW w:w="0" w:type="auto"/>
            <w:shd w:val="clear" w:color="auto" w:fill="auto"/>
            <w:tcMar>
              <w:top w:w="40" w:type="dxa"/>
              <w:left w:w="0" w:type="dxa"/>
              <w:bottom w:w="40" w:type="dxa"/>
              <w:right w:w="20" w:type="dxa"/>
            </w:tcMar>
            <w:vAlign w:val="bottom"/>
          </w:tcPr>
          <w:p w14:paraId="5A1B269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95" w14:textId="77777777" w:rsidR="00960BB8" w:rsidRDefault="00960BB8">
            <w:pPr>
              <w:rPr>
                <w:rFonts w:ascii="宋体"/>
              </w:rPr>
            </w:pPr>
          </w:p>
        </w:tc>
        <w:tc>
          <w:tcPr>
            <w:tcW w:w="0" w:type="auto"/>
            <w:shd w:val="clear" w:color="auto" w:fill="auto"/>
            <w:vAlign w:val="bottom"/>
          </w:tcPr>
          <w:p w14:paraId="5A1B2696" w14:textId="77777777" w:rsidR="00960BB8" w:rsidRDefault="00960BB8">
            <w:pPr>
              <w:rPr>
                <w:rFonts w:ascii="宋体"/>
                <w:vanish/>
              </w:rPr>
            </w:pPr>
          </w:p>
        </w:tc>
        <w:tc>
          <w:tcPr>
            <w:tcW w:w="0" w:type="auto"/>
            <w:shd w:val="clear" w:color="auto" w:fill="auto"/>
            <w:vAlign w:val="bottom"/>
          </w:tcPr>
          <w:p w14:paraId="5A1B269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98" w14:textId="77777777" w:rsidR="00960BB8" w:rsidRDefault="00C06650">
            <w:pPr>
              <w:jc w:val="right"/>
              <w:textAlignment w:val="bottom"/>
            </w:pPr>
            <w:r>
              <w:rPr>
                <w:rFonts w:ascii="Arial" w:eastAsia="宋体" w:hAnsi="Arial" w:cs="Arial"/>
                <w:color w:val="000000"/>
                <w:sz w:val="18"/>
                <w:szCs w:val="18"/>
              </w:rPr>
              <w:t>2,000 </w:t>
            </w:r>
          </w:p>
        </w:tc>
        <w:tc>
          <w:tcPr>
            <w:tcW w:w="0" w:type="auto"/>
            <w:shd w:val="clear" w:color="auto" w:fill="auto"/>
            <w:tcMar>
              <w:top w:w="40" w:type="dxa"/>
              <w:left w:w="0" w:type="dxa"/>
              <w:bottom w:w="40" w:type="dxa"/>
              <w:right w:w="20" w:type="dxa"/>
            </w:tcMar>
            <w:vAlign w:val="bottom"/>
          </w:tcPr>
          <w:p w14:paraId="5A1B2699" w14:textId="77777777" w:rsidR="00960BB8" w:rsidRDefault="00960BB8">
            <w:pPr>
              <w:jc w:val="right"/>
              <w:rPr>
                <w:rFonts w:ascii="宋体"/>
              </w:rPr>
            </w:pPr>
          </w:p>
        </w:tc>
        <w:tc>
          <w:tcPr>
            <w:tcW w:w="0" w:type="auto"/>
            <w:shd w:val="clear" w:color="auto" w:fill="auto"/>
            <w:vAlign w:val="bottom"/>
          </w:tcPr>
          <w:p w14:paraId="5A1B269A" w14:textId="77777777" w:rsidR="00960BB8" w:rsidRDefault="00960BB8">
            <w:pPr>
              <w:rPr>
                <w:rFonts w:ascii="宋体"/>
                <w:vanish/>
              </w:rPr>
            </w:pPr>
          </w:p>
        </w:tc>
        <w:tc>
          <w:tcPr>
            <w:tcW w:w="0" w:type="auto"/>
            <w:shd w:val="clear" w:color="auto" w:fill="auto"/>
            <w:vAlign w:val="bottom"/>
          </w:tcPr>
          <w:p w14:paraId="5A1B269B" w14:textId="77777777" w:rsidR="00960BB8" w:rsidRDefault="00960BB8">
            <w:pPr>
              <w:rPr>
                <w:rFonts w:ascii="宋体"/>
                <w:vanish/>
              </w:rPr>
            </w:pPr>
          </w:p>
        </w:tc>
        <w:tc>
          <w:tcPr>
            <w:tcW w:w="0" w:type="auto"/>
            <w:shd w:val="clear" w:color="auto" w:fill="auto"/>
            <w:vAlign w:val="bottom"/>
          </w:tcPr>
          <w:p w14:paraId="5A1B269C" w14:textId="77777777" w:rsidR="00960BB8" w:rsidRDefault="00960BB8">
            <w:pPr>
              <w:rPr>
                <w:rFonts w:ascii="宋体"/>
                <w:vanish/>
              </w:rPr>
            </w:pPr>
          </w:p>
        </w:tc>
        <w:tc>
          <w:tcPr>
            <w:tcW w:w="0" w:type="auto"/>
            <w:shd w:val="clear" w:color="auto" w:fill="auto"/>
            <w:vAlign w:val="bottom"/>
          </w:tcPr>
          <w:p w14:paraId="5A1B269D" w14:textId="77777777" w:rsidR="00960BB8" w:rsidRDefault="00960BB8">
            <w:pPr>
              <w:rPr>
                <w:rFonts w:ascii="宋体"/>
                <w:vanish/>
              </w:rPr>
            </w:pPr>
          </w:p>
        </w:tc>
      </w:tr>
      <w:tr w:rsidR="00960BB8" w14:paraId="5A1B26AE" w14:textId="77777777">
        <w:tc>
          <w:tcPr>
            <w:tcW w:w="0" w:type="auto"/>
            <w:gridSpan w:val="3"/>
            <w:shd w:val="clear" w:color="auto" w:fill="auto"/>
            <w:tcMar>
              <w:top w:w="40" w:type="dxa"/>
              <w:left w:w="155" w:type="dxa"/>
              <w:bottom w:w="40" w:type="dxa"/>
              <w:right w:w="20" w:type="dxa"/>
            </w:tcMar>
            <w:vAlign w:val="bottom"/>
          </w:tcPr>
          <w:p w14:paraId="5A1B269F" w14:textId="77777777" w:rsidR="00960BB8" w:rsidRDefault="00C06650">
            <w:pPr>
              <w:textAlignment w:val="bottom"/>
            </w:pPr>
            <w:r>
              <w:rPr>
                <w:rFonts w:ascii="Arial" w:eastAsia="宋体" w:hAnsi="Arial" w:cs="Arial"/>
                <w:color w:val="262626"/>
                <w:sz w:val="18"/>
                <w:szCs w:val="18"/>
              </w:rPr>
              <w:t xml:space="preserve">3.90%, </w:t>
            </w:r>
            <w:r>
              <w:rPr>
                <w:rFonts w:ascii="Arial" w:eastAsia="宋体" w:hAnsi="Arial" w:cs="Arial"/>
                <w:color w:val="262626"/>
                <w:sz w:val="18"/>
                <w:szCs w:val="18"/>
              </w:rPr>
              <w:t>due March 2030</w:t>
            </w:r>
          </w:p>
        </w:tc>
        <w:tc>
          <w:tcPr>
            <w:tcW w:w="0" w:type="auto"/>
            <w:gridSpan w:val="3"/>
            <w:shd w:val="clear" w:color="auto" w:fill="auto"/>
            <w:tcMar>
              <w:top w:w="0" w:type="dxa"/>
              <w:left w:w="20" w:type="dxa"/>
              <w:bottom w:w="0" w:type="dxa"/>
              <w:right w:w="20" w:type="dxa"/>
            </w:tcMar>
            <w:vAlign w:val="bottom"/>
          </w:tcPr>
          <w:p w14:paraId="5A1B26A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A1" w14:textId="77777777" w:rsidR="00960BB8" w:rsidRDefault="00C06650">
            <w:pPr>
              <w:jc w:val="center"/>
              <w:textAlignment w:val="bottom"/>
            </w:pPr>
            <w:r>
              <w:rPr>
                <w:rFonts w:ascii="Arial" w:eastAsia="宋体" w:hAnsi="Arial" w:cs="Arial"/>
                <w:color w:val="0068B5"/>
                <w:sz w:val="18"/>
                <w:szCs w:val="18"/>
              </w:rPr>
              <w:t>3.92%</w:t>
            </w:r>
          </w:p>
        </w:tc>
        <w:tc>
          <w:tcPr>
            <w:tcW w:w="0" w:type="auto"/>
            <w:gridSpan w:val="3"/>
            <w:shd w:val="clear" w:color="auto" w:fill="auto"/>
            <w:tcMar>
              <w:top w:w="0" w:type="dxa"/>
              <w:left w:w="20" w:type="dxa"/>
              <w:bottom w:w="0" w:type="dxa"/>
              <w:right w:w="20" w:type="dxa"/>
            </w:tcMar>
            <w:vAlign w:val="bottom"/>
          </w:tcPr>
          <w:p w14:paraId="5A1B26A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A3" w14:textId="77777777" w:rsidR="00960BB8" w:rsidRDefault="00C06650">
            <w:pPr>
              <w:jc w:val="right"/>
              <w:textAlignment w:val="bottom"/>
            </w:pPr>
            <w:r>
              <w:rPr>
                <w:rFonts w:ascii="Arial" w:eastAsia="宋体" w:hAnsi="Arial" w:cs="Arial"/>
                <w:color w:val="0068B5"/>
                <w:sz w:val="18"/>
                <w:szCs w:val="18"/>
              </w:rPr>
              <w:t>1,500 </w:t>
            </w:r>
          </w:p>
        </w:tc>
        <w:tc>
          <w:tcPr>
            <w:tcW w:w="0" w:type="auto"/>
            <w:shd w:val="clear" w:color="auto" w:fill="auto"/>
            <w:tcMar>
              <w:top w:w="40" w:type="dxa"/>
              <w:left w:w="0" w:type="dxa"/>
              <w:bottom w:w="40" w:type="dxa"/>
              <w:right w:w="20" w:type="dxa"/>
            </w:tcMar>
            <w:vAlign w:val="bottom"/>
          </w:tcPr>
          <w:p w14:paraId="5A1B26A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A5" w14:textId="77777777" w:rsidR="00960BB8" w:rsidRDefault="00960BB8">
            <w:pPr>
              <w:rPr>
                <w:rFonts w:ascii="宋体"/>
              </w:rPr>
            </w:pPr>
          </w:p>
        </w:tc>
        <w:tc>
          <w:tcPr>
            <w:tcW w:w="0" w:type="auto"/>
            <w:shd w:val="clear" w:color="auto" w:fill="auto"/>
            <w:vAlign w:val="bottom"/>
          </w:tcPr>
          <w:p w14:paraId="5A1B26A6" w14:textId="77777777" w:rsidR="00960BB8" w:rsidRDefault="00960BB8">
            <w:pPr>
              <w:rPr>
                <w:rFonts w:ascii="宋体"/>
                <w:vanish/>
              </w:rPr>
            </w:pPr>
          </w:p>
        </w:tc>
        <w:tc>
          <w:tcPr>
            <w:tcW w:w="0" w:type="auto"/>
            <w:shd w:val="clear" w:color="auto" w:fill="auto"/>
            <w:vAlign w:val="bottom"/>
          </w:tcPr>
          <w:p w14:paraId="5A1B26A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A8" w14:textId="77777777" w:rsidR="00960BB8" w:rsidRDefault="00C06650">
            <w:pPr>
              <w:jc w:val="right"/>
              <w:textAlignment w:val="bottom"/>
            </w:pPr>
            <w:r>
              <w:rPr>
                <w:rFonts w:ascii="Arial" w:eastAsia="宋体" w:hAnsi="Arial" w:cs="Arial"/>
                <w:color w:val="000000"/>
                <w:sz w:val="18"/>
                <w:szCs w:val="18"/>
              </w:rPr>
              <w:t>1,500 </w:t>
            </w:r>
          </w:p>
        </w:tc>
        <w:tc>
          <w:tcPr>
            <w:tcW w:w="0" w:type="auto"/>
            <w:shd w:val="clear" w:color="auto" w:fill="auto"/>
            <w:tcMar>
              <w:top w:w="40" w:type="dxa"/>
              <w:left w:w="0" w:type="dxa"/>
              <w:bottom w:w="40" w:type="dxa"/>
              <w:right w:w="20" w:type="dxa"/>
            </w:tcMar>
            <w:vAlign w:val="bottom"/>
          </w:tcPr>
          <w:p w14:paraId="5A1B26A9" w14:textId="77777777" w:rsidR="00960BB8" w:rsidRDefault="00960BB8">
            <w:pPr>
              <w:jc w:val="right"/>
              <w:rPr>
                <w:rFonts w:ascii="宋体"/>
              </w:rPr>
            </w:pPr>
          </w:p>
        </w:tc>
        <w:tc>
          <w:tcPr>
            <w:tcW w:w="0" w:type="auto"/>
            <w:shd w:val="clear" w:color="auto" w:fill="auto"/>
            <w:vAlign w:val="bottom"/>
          </w:tcPr>
          <w:p w14:paraId="5A1B26AA" w14:textId="77777777" w:rsidR="00960BB8" w:rsidRDefault="00960BB8">
            <w:pPr>
              <w:rPr>
                <w:rFonts w:ascii="宋体"/>
                <w:vanish/>
              </w:rPr>
            </w:pPr>
          </w:p>
        </w:tc>
        <w:tc>
          <w:tcPr>
            <w:tcW w:w="0" w:type="auto"/>
            <w:shd w:val="clear" w:color="auto" w:fill="auto"/>
            <w:vAlign w:val="bottom"/>
          </w:tcPr>
          <w:p w14:paraId="5A1B26AB" w14:textId="77777777" w:rsidR="00960BB8" w:rsidRDefault="00960BB8">
            <w:pPr>
              <w:rPr>
                <w:rFonts w:ascii="宋体"/>
                <w:vanish/>
              </w:rPr>
            </w:pPr>
          </w:p>
        </w:tc>
        <w:tc>
          <w:tcPr>
            <w:tcW w:w="0" w:type="auto"/>
            <w:shd w:val="clear" w:color="auto" w:fill="auto"/>
            <w:vAlign w:val="bottom"/>
          </w:tcPr>
          <w:p w14:paraId="5A1B26AC" w14:textId="77777777" w:rsidR="00960BB8" w:rsidRDefault="00960BB8">
            <w:pPr>
              <w:rPr>
                <w:rFonts w:ascii="宋体"/>
                <w:vanish/>
              </w:rPr>
            </w:pPr>
          </w:p>
        </w:tc>
        <w:tc>
          <w:tcPr>
            <w:tcW w:w="0" w:type="auto"/>
            <w:shd w:val="clear" w:color="auto" w:fill="auto"/>
            <w:vAlign w:val="bottom"/>
          </w:tcPr>
          <w:p w14:paraId="5A1B26AD" w14:textId="77777777" w:rsidR="00960BB8" w:rsidRDefault="00960BB8">
            <w:pPr>
              <w:rPr>
                <w:rFonts w:ascii="宋体"/>
                <w:vanish/>
              </w:rPr>
            </w:pPr>
          </w:p>
        </w:tc>
      </w:tr>
      <w:tr w:rsidR="00960BB8" w14:paraId="5A1B26BE" w14:textId="77777777">
        <w:tc>
          <w:tcPr>
            <w:tcW w:w="0" w:type="auto"/>
            <w:gridSpan w:val="3"/>
            <w:shd w:val="clear" w:color="auto" w:fill="auto"/>
            <w:tcMar>
              <w:top w:w="40" w:type="dxa"/>
              <w:left w:w="155" w:type="dxa"/>
              <w:bottom w:w="40" w:type="dxa"/>
              <w:right w:w="20" w:type="dxa"/>
            </w:tcMar>
            <w:vAlign w:val="bottom"/>
          </w:tcPr>
          <w:p w14:paraId="5A1B26AF" w14:textId="77777777" w:rsidR="00960BB8" w:rsidRDefault="00C06650">
            <w:pPr>
              <w:textAlignment w:val="bottom"/>
            </w:pPr>
            <w:r>
              <w:rPr>
                <w:rFonts w:ascii="Arial" w:eastAsia="宋体" w:hAnsi="Arial" w:cs="Arial"/>
                <w:color w:val="262626"/>
                <w:sz w:val="18"/>
                <w:szCs w:val="18"/>
              </w:rPr>
              <w:t xml:space="preserve">2.00%, </w:t>
            </w:r>
            <w:r>
              <w:rPr>
                <w:rFonts w:ascii="Arial" w:eastAsia="宋体" w:hAnsi="Arial" w:cs="Arial"/>
                <w:color w:val="262626"/>
                <w:sz w:val="18"/>
                <w:szCs w:val="18"/>
              </w:rPr>
              <w:t>due August 2031</w:t>
            </w:r>
          </w:p>
        </w:tc>
        <w:tc>
          <w:tcPr>
            <w:tcW w:w="0" w:type="auto"/>
            <w:gridSpan w:val="3"/>
            <w:shd w:val="clear" w:color="auto" w:fill="auto"/>
            <w:tcMar>
              <w:top w:w="0" w:type="dxa"/>
              <w:left w:w="20" w:type="dxa"/>
              <w:bottom w:w="0" w:type="dxa"/>
              <w:right w:w="20" w:type="dxa"/>
            </w:tcMar>
            <w:vAlign w:val="bottom"/>
          </w:tcPr>
          <w:p w14:paraId="5A1B26B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B1" w14:textId="77777777" w:rsidR="00960BB8" w:rsidRDefault="00C06650">
            <w:pPr>
              <w:jc w:val="center"/>
              <w:textAlignment w:val="bottom"/>
            </w:pPr>
            <w:r>
              <w:rPr>
                <w:rFonts w:ascii="Arial" w:eastAsia="宋体" w:hAnsi="Arial" w:cs="Arial"/>
                <w:color w:val="0068B5"/>
                <w:sz w:val="18"/>
                <w:szCs w:val="18"/>
              </w:rPr>
              <w:t>2.02%</w:t>
            </w:r>
          </w:p>
        </w:tc>
        <w:tc>
          <w:tcPr>
            <w:tcW w:w="0" w:type="auto"/>
            <w:gridSpan w:val="3"/>
            <w:shd w:val="clear" w:color="auto" w:fill="auto"/>
            <w:tcMar>
              <w:top w:w="0" w:type="dxa"/>
              <w:left w:w="20" w:type="dxa"/>
              <w:bottom w:w="0" w:type="dxa"/>
              <w:right w:w="20" w:type="dxa"/>
            </w:tcMar>
            <w:vAlign w:val="bottom"/>
          </w:tcPr>
          <w:p w14:paraId="5A1B26B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B3" w14:textId="77777777" w:rsidR="00960BB8" w:rsidRDefault="00C06650">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5A1B26B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B5" w14:textId="77777777" w:rsidR="00960BB8" w:rsidRDefault="00960BB8">
            <w:pPr>
              <w:rPr>
                <w:rFonts w:ascii="宋体"/>
              </w:rPr>
            </w:pPr>
          </w:p>
        </w:tc>
        <w:tc>
          <w:tcPr>
            <w:tcW w:w="0" w:type="auto"/>
            <w:shd w:val="clear" w:color="auto" w:fill="auto"/>
            <w:vAlign w:val="bottom"/>
          </w:tcPr>
          <w:p w14:paraId="5A1B26B6" w14:textId="77777777" w:rsidR="00960BB8" w:rsidRDefault="00960BB8">
            <w:pPr>
              <w:rPr>
                <w:rFonts w:ascii="宋体"/>
                <w:vanish/>
              </w:rPr>
            </w:pPr>
          </w:p>
        </w:tc>
        <w:tc>
          <w:tcPr>
            <w:tcW w:w="0" w:type="auto"/>
            <w:shd w:val="clear" w:color="auto" w:fill="auto"/>
            <w:vAlign w:val="bottom"/>
          </w:tcPr>
          <w:p w14:paraId="5A1B26B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B8" w14:textId="77777777" w:rsidR="00960BB8" w:rsidRDefault="00C06650">
            <w:pPr>
              <w:jc w:val="right"/>
              <w:textAlignment w:val="bottom"/>
            </w:pPr>
            <w:r>
              <w:rPr>
                <w:rFonts w:ascii="Arial" w:eastAsia="宋体" w:hAnsi="Arial" w:cs="Arial"/>
                <w:color w:val="000000"/>
                <w:sz w:val="18"/>
                <w:szCs w:val="18"/>
              </w:rPr>
              <w:t>1,250 </w:t>
            </w:r>
          </w:p>
        </w:tc>
        <w:tc>
          <w:tcPr>
            <w:tcW w:w="0" w:type="auto"/>
            <w:shd w:val="clear" w:color="auto" w:fill="auto"/>
            <w:tcMar>
              <w:top w:w="40" w:type="dxa"/>
              <w:left w:w="0" w:type="dxa"/>
              <w:bottom w:w="40" w:type="dxa"/>
              <w:right w:w="20" w:type="dxa"/>
            </w:tcMar>
            <w:vAlign w:val="bottom"/>
          </w:tcPr>
          <w:p w14:paraId="5A1B26B9" w14:textId="77777777" w:rsidR="00960BB8" w:rsidRDefault="00960BB8">
            <w:pPr>
              <w:jc w:val="right"/>
              <w:rPr>
                <w:rFonts w:ascii="宋体"/>
              </w:rPr>
            </w:pPr>
          </w:p>
        </w:tc>
        <w:tc>
          <w:tcPr>
            <w:tcW w:w="0" w:type="auto"/>
            <w:shd w:val="clear" w:color="auto" w:fill="auto"/>
            <w:vAlign w:val="bottom"/>
          </w:tcPr>
          <w:p w14:paraId="5A1B26BA" w14:textId="77777777" w:rsidR="00960BB8" w:rsidRDefault="00960BB8">
            <w:pPr>
              <w:rPr>
                <w:rFonts w:ascii="宋体"/>
                <w:vanish/>
              </w:rPr>
            </w:pPr>
          </w:p>
        </w:tc>
        <w:tc>
          <w:tcPr>
            <w:tcW w:w="0" w:type="auto"/>
            <w:shd w:val="clear" w:color="auto" w:fill="auto"/>
            <w:vAlign w:val="bottom"/>
          </w:tcPr>
          <w:p w14:paraId="5A1B26BB" w14:textId="77777777" w:rsidR="00960BB8" w:rsidRDefault="00960BB8">
            <w:pPr>
              <w:rPr>
                <w:rFonts w:ascii="宋体"/>
                <w:vanish/>
              </w:rPr>
            </w:pPr>
          </w:p>
        </w:tc>
        <w:tc>
          <w:tcPr>
            <w:tcW w:w="0" w:type="auto"/>
            <w:shd w:val="clear" w:color="auto" w:fill="auto"/>
            <w:vAlign w:val="bottom"/>
          </w:tcPr>
          <w:p w14:paraId="5A1B26BC" w14:textId="77777777" w:rsidR="00960BB8" w:rsidRDefault="00960BB8">
            <w:pPr>
              <w:rPr>
                <w:rFonts w:ascii="宋体"/>
                <w:vanish/>
              </w:rPr>
            </w:pPr>
          </w:p>
        </w:tc>
        <w:tc>
          <w:tcPr>
            <w:tcW w:w="0" w:type="auto"/>
            <w:shd w:val="clear" w:color="auto" w:fill="auto"/>
            <w:vAlign w:val="bottom"/>
          </w:tcPr>
          <w:p w14:paraId="5A1B26BD" w14:textId="77777777" w:rsidR="00960BB8" w:rsidRDefault="00960BB8">
            <w:pPr>
              <w:rPr>
                <w:rFonts w:ascii="宋体"/>
                <w:vanish/>
              </w:rPr>
            </w:pPr>
          </w:p>
        </w:tc>
      </w:tr>
      <w:tr w:rsidR="00960BB8" w14:paraId="5A1B26CE" w14:textId="77777777">
        <w:tc>
          <w:tcPr>
            <w:tcW w:w="0" w:type="auto"/>
            <w:gridSpan w:val="3"/>
            <w:shd w:val="clear" w:color="auto" w:fill="auto"/>
            <w:tcMar>
              <w:top w:w="40" w:type="dxa"/>
              <w:left w:w="155" w:type="dxa"/>
              <w:bottom w:w="40" w:type="dxa"/>
              <w:right w:w="20" w:type="dxa"/>
            </w:tcMar>
            <w:vAlign w:val="bottom"/>
          </w:tcPr>
          <w:p w14:paraId="5A1B26BF" w14:textId="77777777" w:rsidR="00960BB8" w:rsidRDefault="00C06650">
            <w:pPr>
              <w:textAlignment w:val="bottom"/>
            </w:pPr>
            <w:r>
              <w:rPr>
                <w:rFonts w:ascii="Arial" w:eastAsia="宋体" w:hAnsi="Arial" w:cs="Arial"/>
                <w:color w:val="262626"/>
                <w:sz w:val="18"/>
                <w:szCs w:val="18"/>
              </w:rPr>
              <w:t xml:space="preserve">4.15%, </w:t>
            </w:r>
            <w:r>
              <w:rPr>
                <w:rFonts w:ascii="Arial" w:eastAsia="宋体" w:hAnsi="Arial" w:cs="Arial"/>
                <w:color w:val="262626"/>
                <w:sz w:val="18"/>
                <w:szCs w:val="18"/>
              </w:rPr>
              <w:t>due August 2032</w:t>
            </w:r>
          </w:p>
        </w:tc>
        <w:tc>
          <w:tcPr>
            <w:tcW w:w="0" w:type="auto"/>
            <w:gridSpan w:val="3"/>
            <w:shd w:val="clear" w:color="auto" w:fill="auto"/>
            <w:tcMar>
              <w:top w:w="0" w:type="dxa"/>
              <w:left w:w="20" w:type="dxa"/>
              <w:bottom w:w="0" w:type="dxa"/>
              <w:right w:w="20" w:type="dxa"/>
            </w:tcMar>
            <w:vAlign w:val="bottom"/>
          </w:tcPr>
          <w:p w14:paraId="5A1B26C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C1" w14:textId="77777777" w:rsidR="00960BB8" w:rsidRDefault="00C06650">
            <w:pPr>
              <w:jc w:val="center"/>
              <w:textAlignment w:val="bottom"/>
            </w:pPr>
            <w:r>
              <w:rPr>
                <w:rFonts w:ascii="Arial" w:eastAsia="宋体" w:hAnsi="Arial" w:cs="Arial"/>
                <w:color w:val="0068B5"/>
                <w:sz w:val="18"/>
                <w:szCs w:val="18"/>
              </w:rPr>
              <w:t>4.17%</w:t>
            </w:r>
          </w:p>
        </w:tc>
        <w:tc>
          <w:tcPr>
            <w:tcW w:w="0" w:type="auto"/>
            <w:gridSpan w:val="3"/>
            <w:shd w:val="clear" w:color="auto" w:fill="auto"/>
            <w:tcMar>
              <w:top w:w="0" w:type="dxa"/>
              <w:left w:w="20" w:type="dxa"/>
              <w:bottom w:w="0" w:type="dxa"/>
              <w:right w:w="20" w:type="dxa"/>
            </w:tcMar>
            <w:vAlign w:val="bottom"/>
          </w:tcPr>
          <w:p w14:paraId="5A1B26C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C3" w14:textId="77777777" w:rsidR="00960BB8" w:rsidRDefault="00C06650">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5A1B26C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C5" w14:textId="77777777" w:rsidR="00960BB8" w:rsidRDefault="00960BB8">
            <w:pPr>
              <w:rPr>
                <w:rFonts w:ascii="宋体"/>
              </w:rPr>
            </w:pPr>
          </w:p>
        </w:tc>
        <w:tc>
          <w:tcPr>
            <w:tcW w:w="0" w:type="auto"/>
            <w:shd w:val="clear" w:color="auto" w:fill="auto"/>
            <w:vAlign w:val="bottom"/>
          </w:tcPr>
          <w:p w14:paraId="5A1B26C6" w14:textId="77777777" w:rsidR="00960BB8" w:rsidRDefault="00960BB8">
            <w:pPr>
              <w:rPr>
                <w:rFonts w:ascii="宋体"/>
                <w:vanish/>
              </w:rPr>
            </w:pPr>
          </w:p>
        </w:tc>
        <w:tc>
          <w:tcPr>
            <w:tcW w:w="0" w:type="auto"/>
            <w:shd w:val="clear" w:color="auto" w:fill="auto"/>
            <w:vAlign w:val="bottom"/>
          </w:tcPr>
          <w:p w14:paraId="5A1B26C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C8"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5A1B26C9" w14:textId="77777777" w:rsidR="00960BB8" w:rsidRDefault="00960BB8">
            <w:pPr>
              <w:jc w:val="right"/>
              <w:rPr>
                <w:rFonts w:ascii="宋体"/>
              </w:rPr>
            </w:pPr>
          </w:p>
        </w:tc>
        <w:tc>
          <w:tcPr>
            <w:tcW w:w="0" w:type="auto"/>
            <w:shd w:val="clear" w:color="auto" w:fill="auto"/>
            <w:vAlign w:val="bottom"/>
          </w:tcPr>
          <w:p w14:paraId="5A1B26CA" w14:textId="77777777" w:rsidR="00960BB8" w:rsidRDefault="00960BB8">
            <w:pPr>
              <w:rPr>
                <w:rFonts w:ascii="宋体"/>
                <w:vanish/>
              </w:rPr>
            </w:pPr>
          </w:p>
        </w:tc>
        <w:tc>
          <w:tcPr>
            <w:tcW w:w="0" w:type="auto"/>
            <w:shd w:val="clear" w:color="auto" w:fill="auto"/>
            <w:vAlign w:val="bottom"/>
          </w:tcPr>
          <w:p w14:paraId="5A1B26CB" w14:textId="77777777" w:rsidR="00960BB8" w:rsidRDefault="00960BB8">
            <w:pPr>
              <w:rPr>
                <w:rFonts w:ascii="宋体"/>
                <w:vanish/>
              </w:rPr>
            </w:pPr>
          </w:p>
        </w:tc>
        <w:tc>
          <w:tcPr>
            <w:tcW w:w="0" w:type="auto"/>
            <w:shd w:val="clear" w:color="auto" w:fill="auto"/>
            <w:vAlign w:val="bottom"/>
          </w:tcPr>
          <w:p w14:paraId="5A1B26CC" w14:textId="77777777" w:rsidR="00960BB8" w:rsidRDefault="00960BB8">
            <w:pPr>
              <w:rPr>
                <w:rFonts w:ascii="宋体"/>
                <w:vanish/>
              </w:rPr>
            </w:pPr>
          </w:p>
        </w:tc>
        <w:tc>
          <w:tcPr>
            <w:tcW w:w="0" w:type="auto"/>
            <w:shd w:val="clear" w:color="auto" w:fill="auto"/>
            <w:vAlign w:val="bottom"/>
          </w:tcPr>
          <w:p w14:paraId="5A1B26CD" w14:textId="77777777" w:rsidR="00960BB8" w:rsidRDefault="00960BB8">
            <w:pPr>
              <w:rPr>
                <w:rFonts w:ascii="宋体"/>
                <w:vanish/>
              </w:rPr>
            </w:pPr>
          </w:p>
        </w:tc>
      </w:tr>
      <w:tr w:rsidR="00960BB8" w14:paraId="5A1B26DE" w14:textId="77777777">
        <w:tc>
          <w:tcPr>
            <w:tcW w:w="0" w:type="auto"/>
            <w:gridSpan w:val="3"/>
            <w:shd w:val="clear" w:color="auto" w:fill="auto"/>
            <w:tcMar>
              <w:top w:w="40" w:type="dxa"/>
              <w:left w:w="155" w:type="dxa"/>
              <w:bottom w:w="40" w:type="dxa"/>
              <w:right w:w="20" w:type="dxa"/>
            </w:tcMar>
            <w:vAlign w:val="bottom"/>
          </w:tcPr>
          <w:p w14:paraId="5A1B26CF" w14:textId="77777777" w:rsidR="00960BB8" w:rsidRDefault="00C06650">
            <w:pPr>
              <w:textAlignment w:val="bottom"/>
            </w:pPr>
            <w:r>
              <w:rPr>
                <w:rFonts w:ascii="Arial" w:eastAsia="宋体" w:hAnsi="Arial" w:cs="Arial"/>
                <w:color w:val="262626"/>
                <w:sz w:val="18"/>
                <w:szCs w:val="18"/>
              </w:rPr>
              <w:t>4.00%, due December 2032</w:t>
            </w:r>
          </w:p>
        </w:tc>
        <w:tc>
          <w:tcPr>
            <w:tcW w:w="0" w:type="auto"/>
            <w:gridSpan w:val="3"/>
            <w:shd w:val="clear" w:color="auto" w:fill="auto"/>
            <w:tcMar>
              <w:top w:w="0" w:type="dxa"/>
              <w:left w:w="20" w:type="dxa"/>
              <w:bottom w:w="0" w:type="dxa"/>
              <w:right w:w="20" w:type="dxa"/>
            </w:tcMar>
            <w:vAlign w:val="bottom"/>
          </w:tcPr>
          <w:p w14:paraId="5A1B26D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D1" w14:textId="77777777" w:rsidR="00960BB8" w:rsidRDefault="00C06650">
            <w:pPr>
              <w:jc w:val="center"/>
              <w:textAlignment w:val="bottom"/>
            </w:pPr>
            <w:r>
              <w:rPr>
                <w:rFonts w:ascii="Arial" w:eastAsia="宋体" w:hAnsi="Arial" w:cs="Arial"/>
                <w:color w:val="0068B5"/>
                <w:sz w:val="18"/>
                <w:szCs w:val="18"/>
              </w:rPr>
              <w:t>2.20%</w:t>
            </w:r>
          </w:p>
        </w:tc>
        <w:tc>
          <w:tcPr>
            <w:tcW w:w="0" w:type="auto"/>
            <w:gridSpan w:val="3"/>
            <w:shd w:val="clear" w:color="auto" w:fill="auto"/>
            <w:tcMar>
              <w:top w:w="0" w:type="dxa"/>
              <w:left w:w="20" w:type="dxa"/>
              <w:bottom w:w="0" w:type="dxa"/>
              <w:right w:w="20" w:type="dxa"/>
            </w:tcMar>
            <w:vAlign w:val="bottom"/>
          </w:tcPr>
          <w:p w14:paraId="5A1B26D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D3" w14:textId="77777777" w:rsidR="00960BB8" w:rsidRDefault="00C06650">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5A1B26D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D5" w14:textId="77777777" w:rsidR="00960BB8" w:rsidRDefault="00960BB8">
            <w:pPr>
              <w:rPr>
                <w:rFonts w:ascii="宋体"/>
              </w:rPr>
            </w:pPr>
          </w:p>
        </w:tc>
        <w:tc>
          <w:tcPr>
            <w:tcW w:w="0" w:type="auto"/>
            <w:shd w:val="clear" w:color="auto" w:fill="auto"/>
            <w:vAlign w:val="bottom"/>
          </w:tcPr>
          <w:p w14:paraId="5A1B26D6" w14:textId="77777777" w:rsidR="00960BB8" w:rsidRDefault="00960BB8">
            <w:pPr>
              <w:rPr>
                <w:rFonts w:ascii="宋体"/>
                <w:vanish/>
              </w:rPr>
            </w:pPr>
          </w:p>
        </w:tc>
        <w:tc>
          <w:tcPr>
            <w:tcW w:w="0" w:type="auto"/>
            <w:shd w:val="clear" w:color="auto" w:fill="auto"/>
            <w:vAlign w:val="bottom"/>
          </w:tcPr>
          <w:p w14:paraId="5A1B26D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D8" w14:textId="77777777" w:rsidR="00960BB8" w:rsidRDefault="00C06650">
            <w:pPr>
              <w:jc w:val="right"/>
              <w:textAlignment w:val="bottom"/>
            </w:pPr>
            <w:r>
              <w:rPr>
                <w:rFonts w:ascii="Arial" w:eastAsia="宋体" w:hAnsi="Arial" w:cs="Arial"/>
                <w:color w:val="000000"/>
                <w:sz w:val="18"/>
                <w:szCs w:val="18"/>
              </w:rPr>
              <w:t>750 </w:t>
            </w:r>
          </w:p>
        </w:tc>
        <w:tc>
          <w:tcPr>
            <w:tcW w:w="0" w:type="auto"/>
            <w:shd w:val="clear" w:color="auto" w:fill="auto"/>
            <w:tcMar>
              <w:top w:w="40" w:type="dxa"/>
              <w:left w:w="0" w:type="dxa"/>
              <w:bottom w:w="40" w:type="dxa"/>
              <w:right w:w="20" w:type="dxa"/>
            </w:tcMar>
            <w:vAlign w:val="bottom"/>
          </w:tcPr>
          <w:p w14:paraId="5A1B26D9" w14:textId="77777777" w:rsidR="00960BB8" w:rsidRDefault="00960BB8">
            <w:pPr>
              <w:jc w:val="right"/>
              <w:rPr>
                <w:rFonts w:ascii="宋体"/>
              </w:rPr>
            </w:pPr>
          </w:p>
        </w:tc>
        <w:tc>
          <w:tcPr>
            <w:tcW w:w="0" w:type="auto"/>
            <w:shd w:val="clear" w:color="auto" w:fill="auto"/>
            <w:vAlign w:val="bottom"/>
          </w:tcPr>
          <w:p w14:paraId="5A1B26DA" w14:textId="77777777" w:rsidR="00960BB8" w:rsidRDefault="00960BB8">
            <w:pPr>
              <w:rPr>
                <w:rFonts w:ascii="宋体"/>
                <w:vanish/>
              </w:rPr>
            </w:pPr>
          </w:p>
        </w:tc>
        <w:tc>
          <w:tcPr>
            <w:tcW w:w="0" w:type="auto"/>
            <w:shd w:val="clear" w:color="auto" w:fill="auto"/>
            <w:vAlign w:val="bottom"/>
          </w:tcPr>
          <w:p w14:paraId="5A1B26DB" w14:textId="77777777" w:rsidR="00960BB8" w:rsidRDefault="00960BB8">
            <w:pPr>
              <w:rPr>
                <w:rFonts w:ascii="宋体"/>
                <w:vanish/>
              </w:rPr>
            </w:pPr>
          </w:p>
        </w:tc>
        <w:tc>
          <w:tcPr>
            <w:tcW w:w="0" w:type="auto"/>
            <w:shd w:val="clear" w:color="auto" w:fill="auto"/>
            <w:vAlign w:val="bottom"/>
          </w:tcPr>
          <w:p w14:paraId="5A1B26DC" w14:textId="77777777" w:rsidR="00960BB8" w:rsidRDefault="00960BB8">
            <w:pPr>
              <w:rPr>
                <w:rFonts w:ascii="宋体"/>
                <w:vanish/>
              </w:rPr>
            </w:pPr>
          </w:p>
        </w:tc>
        <w:tc>
          <w:tcPr>
            <w:tcW w:w="0" w:type="auto"/>
            <w:shd w:val="clear" w:color="auto" w:fill="auto"/>
            <w:vAlign w:val="bottom"/>
          </w:tcPr>
          <w:p w14:paraId="5A1B26DD" w14:textId="77777777" w:rsidR="00960BB8" w:rsidRDefault="00960BB8">
            <w:pPr>
              <w:rPr>
                <w:rFonts w:ascii="宋体"/>
                <w:vanish/>
              </w:rPr>
            </w:pPr>
          </w:p>
        </w:tc>
      </w:tr>
      <w:tr w:rsidR="00960BB8" w14:paraId="5A1B26EE" w14:textId="77777777">
        <w:tc>
          <w:tcPr>
            <w:tcW w:w="0" w:type="auto"/>
            <w:gridSpan w:val="3"/>
            <w:shd w:val="clear" w:color="auto" w:fill="auto"/>
            <w:tcMar>
              <w:top w:w="40" w:type="dxa"/>
              <w:left w:w="155" w:type="dxa"/>
              <w:bottom w:w="40" w:type="dxa"/>
              <w:right w:w="20" w:type="dxa"/>
            </w:tcMar>
            <w:vAlign w:val="bottom"/>
          </w:tcPr>
          <w:p w14:paraId="5A1B26DF" w14:textId="77777777" w:rsidR="00960BB8" w:rsidRDefault="00C06650">
            <w:pPr>
              <w:textAlignment w:val="bottom"/>
            </w:pPr>
            <w:r>
              <w:rPr>
                <w:rFonts w:ascii="Arial" w:eastAsia="宋体" w:hAnsi="Arial" w:cs="Arial"/>
                <w:color w:val="262626"/>
                <w:sz w:val="18"/>
                <w:szCs w:val="18"/>
              </w:rPr>
              <w:t xml:space="preserve">4.60%, </w:t>
            </w:r>
            <w:r>
              <w:rPr>
                <w:rFonts w:ascii="Arial" w:eastAsia="宋体" w:hAnsi="Arial" w:cs="Arial"/>
                <w:color w:val="262626"/>
                <w:sz w:val="18"/>
                <w:szCs w:val="18"/>
              </w:rPr>
              <w:t>due March 2040</w:t>
            </w:r>
          </w:p>
        </w:tc>
        <w:tc>
          <w:tcPr>
            <w:tcW w:w="0" w:type="auto"/>
            <w:gridSpan w:val="3"/>
            <w:shd w:val="clear" w:color="auto" w:fill="auto"/>
            <w:tcMar>
              <w:top w:w="0" w:type="dxa"/>
              <w:left w:w="20" w:type="dxa"/>
              <w:bottom w:w="0" w:type="dxa"/>
              <w:right w:w="20" w:type="dxa"/>
            </w:tcMar>
            <w:vAlign w:val="bottom"/>
          </w:tcPr>
          <w:p w14:paraId="5A1B26E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E1" w14:textId="77777777" w:rsidR="00960BB8" w:rsidRDefault="00C06650">
            <w:pPr>
              <w:jc w:val="center"/>
              <w:textAlignment w:val="bottom"/>
            </w:pPr>
            <w:r>
              <w:rPr>
                <w:rFonts w:ascii="Arial" w:eastAsia="宋体" w:hAnsi="Arial" w:cs="Arial"/>
                <w:color w:val="0068B5"/>
                <w:sz w:val="18"/>
                <w:szCs w:val="18"/>
              </w:rPr>
              <w:t>4.59%</w:t>
            </w:r>
          </w:p>
        </w:tc>
        <w:tc>
          <w:tcPr>
            <w:tcW w:w="0" w:type="auto"/>
            <w:gridSpan w:val="3"/>
            <w:shd w:val="clear" w:color="auto" w:fill="auto"/>
            <w:tcMar>
              <w:top w:w="0" w:type="dxa"/>
              <w:left w:w="20" w:type="dxa"/>
              <w:bottom w:w="0" w:type="dxa"/>
              <w:right w:w="20" w:type="dxa"/>
            </w:tcMar>
            <w:vAlign w:val="bottom"/>
          </w:tcPr>
          <w:p w14:paraId="5A1B26E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E3" w14:textId="77777777" w:rsidR="00960BB8" w:rsidRDefault="00C06650">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5A1B26E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E5" w14:textId="77777777" w:rsidR="00960BB8" w:rsidRDefault="00960BB8">
            <w:pPr>
              <w:rPr>
                <w:rFonts w:ascii="宋体"/>
              </w:rPr>
            </w:pPr>
          </w:p>
        </w:tc>
        <w:tc>
          <w:tcPr>
            <w:tcW w:w="0" w:type="auto"/>
            <w:shd w:val="clear" w:color="auto" w:fill="auto"/>
            <w:vAlign w:val="bottom"/>
          </w:tcPr>
          <w:p w14:paraId="5A1B26E6" w14:textId="77777777" w:rsidR="00960BB8" w:rsidRDefault="00960BB8">
            <w:pPr>
              <w:rPr>
                <w:rFonts w:ascii="宋体"/>
                <w:vanish/>
              </w:rPr>
            </w:pPr>
          </w:p>
        </w:tc>
        <w:tc>
          <w:tcPr>
            <w:tcW w:w="0" w:type="auto"/>
            <w:shd w:val="clear" w:color="auto" w:fill="auto"/>
            <w:vAlign w:val="bottom"/>
          </w:tcPr>
          <w:p w14:paraId="5A1B26E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E8" w14:textId="77777777" w:rsidR="00960BB8" w:rsidRDefault="00C06650">
            <w:pPr>
              <w:jc w:val="right"/>
              <w:textAlignment w:val="bottom"/>
            </w:pPr>
            <w:r>
              <w:rPr>
                <w:rFonts w:ascii="Arial" w:eastAsia="宋体" w:hAnsi="Arial" w:cs="Arial"/>
                <w:color w:val="000000"/>
                <w:sz w:val="18"/>
                <w:szCs w:val="18"/>
              </w:rPr>
              <w:t>750 </w:t>
            </w:r>
          </w:p>
        </w:tc>
        <w:tc>
          <w:tcPr>
            <w:tcW w:w="0" w:type="auto"/>
            <w:shd w:val="clear" w:color="auto" w:fill="auto"/>
            <w:tcMar>
              <w:top w:w="40" w:type="dxa"/>
              <w:left w:w="0" w:type="dxa"/>
              <w:bottom w:w="40" w:type="dxa"/>
              <w:right w:w="20" w:type="dxa"/>
            </w:tcMar>
            <w:vAlign w:val="bottom"/>
          </w:tcPr>
          <w:p w14:paraId="5A1B26E9" w14:textId="77777777" w:rsidR="00960BB8" w:rsidRDefault="00960BB8">
            <w:pPr>
              <w:jc w:val="right"/>
              <w:rPr>
                <w:rFonts w:ascii="宋体"/>
              </w:rPr>
            </w:pPr>
          </w:p>
        </w:tc>
        <w:tc>
          <w:tcPr>
            <w:tcW w:w="0" w:type="auto"/>
            <w:shd w:val="clear" w:color="auto" w:fill="auto"/>
            <w:vAlign w:val="bottom"/>
          </w:tcPr>
          <w:p w14:paraId="5A1B26EA" w14:textId="77777777" w:rsidR="00960BB8" w:rsidRDefault="00960BB8">
            <w:pPr>
              <w:rPr>
                <w:rFonts w:ascii="宋体"/>
                <w:vanish/>
              </w:rPr>
            </w:pPr>
          </w:p>
        </w:tc>
        <w:tc>
          <w:tcPr>
            <w:tcW w:w="0" w:type="auto"/>
            <w:shd w:val="clear" w:color="auto" w:fill="auto"/>
            <w:vAlign w:val="bottom"/>
          </w:tcPr>
          <w:p w14:paraId="5A1B26EB" w14:textId="77777777" w:rsidR="00960BB8" w:rsidRDefault="00960BB8">
            <w:pPr>
              <w:rPr>
                <w:rFonts w:ascii="宋体"/>
                <w:vanish/>
              </w:rPr>
            </w:pPr>
          </w:p>
        </w:tc>
        <w:tc>
          <w:tcPr>
            <w:tcW w:w="0" w:type="auto"/>
            <w:shd w:val="clear" w:color="auto" w:fill="auto"/>
            <w:vAlign w:val="bottom"/>
          </w:tcPr>
          <w:p w14:paraId="5A1B26EC" w14:textId="77777777" w:rsidR="00960BB8" w:rsidRDefault="00960BB8">
            <w:pPr>
              <w:rPr>
                <w:rFonts w:ascii="宋体"/>
                <w:vanish/>
              </w:rPr>
            </w:pPr>
          </w:p>
        </w:tc>
        <w:tc>
          <w:tcPr>
            <w:tcW w:w="0" w:type="auto"/>
            <w:shd w:val="clear" w:color="auto" w:fill="auto"/>
            <w:vAlign w:val="bottom"/>
          </w:tcPr>
          <w:p w14:paraId="5A1B26ED" w14:textId="77777777" w:rsidR="00960BB8" w:rsidRDefault="00960BB8">
            <w:pPr>
              <w:rPr>
                <w:rFonts w:ascii="宋体"/>
                <w:vanish/>
              </w:rPr>
            </w:pPr>
          </w:p>
        </w:tc>
      </w:tr>
      <w:tr w:rsidR="00960BB8" w14:paraId="5A1B26FE" w14:textId="77777777">
        <w:tc>
          <w:tcPr>
            <w:tcW w:w="0" w:type="auto"/>
            <w:gridSpan w:val="3"/>
            <w:shd w:val="clear" w:color="auto" w:fill="auto"/>
            <w:tcMar>
              <w:top w:w="40" w:type="dxa"/>
              <w:left w:w="155" w:type="dxa"/>
              <w:bottom w:w="40" w:type="dxa"/>
              <w:right w:w="20" w:type="dxa"/>
            </w:tcMar>
            <w:vAlign w:val="bottom"/>
          </w:tcPr>
          <w:p w14:paraId="5A1B26EF" w14:textId="77777777" w:rsidR="00960BB8" w:rsidRDefault="00C06650">
            <w:pPr>
              <w:textAlignment w:val="bottom"/>
            </w:pPr>
            <w:r>
              <w:rPr>
                <w:rFonts w:ascii="Arial" w:eastAsia="宋体" w:hAnsi="Arial" w:cs="Arial"/>
                <w:color w:val="262626"/>
                <w:sz w:val="18"/>
                <w:szCs w:val="18"/>
              </w:rPr>
              <w:t xml:space="preserve">2.80%, </w:t>
            </w:r>
            <w:r>
              <w:rPr>
                <w:rFonts w:ascii="Arial" w:eastAsia="宋体" w:hAnsi="Arial" w:cs="Arial"/>
                <w:color w:val="262626"/>
                <w:sz w:val="18"/>
                <w:szCs w:val="18"/>
              </w:rPr>
              <w:t>due August 2041</w:t>
            </w:r>
          </w:p>
        </w:tc>
        <w:tc>
          <w:tcPr>
            <w:tcW w:w="0" w:type="auto"/>
            <w:gridSpan w:val="3"/>
            <w:shd w:val="clear" w:color="auto" w:fill="auto"/>
            <w:tcMar>
              <w:top w:w="0" w:type="dxa"/>
              <w:left w:w="20" w:type="dxa"/>
              <w:bottom w:w="0" w:type="dxa"/>
              <w:right w:w="20" w:type="dxa"/>
            </w:tcMar>
            <w:vAlign w:val="bottom"/>
          </w:tcPr>
          <w:p w14:paraId="5A1B26F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6F1" w14:textId="77777777" w:rsidR="00960BB8" w:rsidRDefault="00C06650">
            <w:pPr>
              <w:jc w:val="center"/>
              <w:textAlignment w:val="bottom"/>
            </w:pPr>
            <w:r>
              <w:rPr>
                <w:rFonts w:ascii="Arial" w:eastAsia="宋体" w:hAnsi="Arial" w:cs="Arial"/>
                <w:color w:val="0068B5"/>
                <w:sz w:val="18"/>
                <w:szCs w:val="18"/>
              </w:rPr>
              <w:t>2.81%</w:t>
            </w:r>
          </w:p>
        </w:tc>
        <w:tc>
          <w:tcPr>
            <w:tcW w:w="0" w:type="auto"/>
            <w:gridSpan w:val="3"/>
            <w:shd w:val="clear" w:color="auto" w:fill="auto"/>
            <w:tcMar>
              <w:top w:w="0" w:type="dxa"/>
              <w:left w:w="20" w:type="dxa"/>
              <w:bottom w:w="0" w:type="dxa"/>
              <w:right w:w="20" w:type="dxa"/>
            </w:tcMar>
            <w:vAlign w:val="bottom"/>
          </w:tcPr>
          <w:p w14:paraId="5A1B26F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6F3" w14:textId="77777777" w:rsidR="00960BB8" w:rsidRDefault="00C06650">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5A1B26F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6F5" w14:textId="77777777" w:rsidR="00960BB8" w:rsidRDefault="00960BB8">
            <w:pPr>
              <w:rPr>
                <w:rFonts w:ascii="宋体"/>
              </w:rPr>
            </w:pPr>
          </w:p>
        </w:tc>
        <w:tc>
          <w:tcPr>
            <w:tcW w:w="0" w:type="auto"/>
            <w:shd w:val="clear" w:color="auto" w:fill="auto"/>
            <w:vAlign w:val="bottom"/>
          </w:tcPr>
          <w:p w14:paraId="5A1B26F6" w14:textId="77777777" w:rsidR="00960BB8" w:rsidRDefault="00960BB8">
            <w:pPr>
              <w:rPr>
                <w:rFonts w:ascii="宋体"/>
                <w:vanish/>
              </w:rPr>
            </w:pPr>
          </w:p>
        </w:tc>
        <w:tc>
          <w:tcPr>
            <w:tcW w:w="0" w:type="auto"/>
            <w:shd w:val="clear" w:color="auto" w:fill="auto"/>
            <w:vAlign w:val="bottom"/>
          </w:tcPr>
          <w:p w14:paraId="5A1B26F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6F8" w14:textId="77777777" w:rsidR="00960BB8" w:rsidRDefault="00C06650">
            <w:pPr>
              <w:jc w:val="right"/>
              <w:textAlignment w:val="bottom"/>
            </w:pPr>
            <w:r>
              <w:rPr>
                <w:rFonts w:ascii="Arial" w:eastAsia="宋体" w:hAnsi="Arial" w:cs="Arial"/>
                <w:color w:val="000000"/>
                <w:sz w:val="18"/>
                <w:szCs w:val="18"/>
              </w:rPr>
              <w:t>750 </w:t>
            </w:r>
          </w:p>
        </w:tc>
        <w:tc>
          <w:tcPr>
            <w:tcW w:w="0" w:type="auto"/>
            <w:shd w:val="clear" w:color="auto" w:fill="auto"/>
            <w:tcMar>
              <w:top w:w="40" w:type="dxa"/>
              <w:left w:w="0" w:type="dxa"/>
              <w:bottom w:w="40" w:type="dxa"/>
              <w:right w:w="20" w:type="dxa"/>
            </w:tcMar>
            <w:vAlign w:val="bottom"/>
          </w:tcPr>
          <w:p w14:paraId="5A1B26F9" w14:textId="77777777" w:rsidR="00960BB8" w:rsidRDefault="00960BB8">
            <w:pPr>
              <w:jc w:val="right"/>
              <w:rPr>
                <w:rFonts w:ascii="宋体"/>
              </w:rPr>
            </w:pPr>
          </w:p>
        </w:tc>
        <w:tc>
          <w:tcPr>
            <w:tcW w:w="0" w:type="auto"/>
            <w:shd w:val="clear" w:color="auto" w:fill="auto"/>
            <w:vAlign w:val="bottom"/>
          </w:tcPr>
          <w:p w14:paraId="5A1B26FA" w14:textId="77777777" w:rsidR="00960BB8" w:rsidRDefault="00960BB8">
            <w:pPr>
              <w:rPr>
                <w:rFonts w:ascii="宋体"/>
                <w:vanish/>
              </w:rPr>
            </w:pPr>
          </w:p>
        </w:tc>
        <w:tc>
          <w:tcPr>
            <w:tcW w:w="0" w:type="auto"/>
            <w:shd w:val="clear" w:color="auto" w:fill="auto"/>
            <w:vAlign w:val="bottom"/>
          </w:tcPr>
          <w:p w14:paraId="5A1B26FB" w14:textId="77777777" w:rsidR="00960BB8" w:rsidRDefault="00960BB8">
            <w:pPr>
              <w:rPr>
                <w:rFonts w:ascii="宋体"/>
                <w:vanish/>
              </w:rPr>
            </w:pPr>
          </w:p>
        </w:tc>
        <w:tc>
          <w:tcPr>
            <w:tcW w:w="0" w:type="auto"/>
            <w:shd w:val="clear" w:color="auto" w:fill="auto"/>
            <w:vAlign w:val="bottom"/>
          </w:tcPr>
          <w:p w14:paraId="5A1B26FC" w14:textId="77777777" w:rsidR="00960BB8" w:rsidRDefault="00960BB8">
            <w:pPr>
              <w:rPr>
                <w:rFonts w:ascii="宋体"/>
                <w:vanish/>
              </w:rPr>
            </w:pPr>
          </w:p>
        </w:tc>
        <w:tc>
          <w:tcPr>
            <w:tcW w:w="0" w:type="auto"/>
            <w:shd w:val="clear" w:color="auto" w:fill="auto"/>
            <w:vAlign w:val="bottom"/>
          </w:tcPr>
          <w:p w14:paraId="5A1B26FD" w14:textId="77777777" w:rsidR="00960BB8" w:rsidRDefault="00960BB8">
            <w:pPr>
              <w:rPr>
                <w:rFonts w:ascii="宋体"/>
                <w:vanish/>
              </w:rPr>
            </w:pPr>
          </w:p>
        </w:tc>
      </w:tr>
      <w:tr w:rsidR="00960BB8" w14:paraId="5A1B270E" w14:textId="77777777">
        <w:tc>
          <w:tcPr>
            <w:tcW w:w="0" w:type="auto"/>
            <w:gridSpan w:val="3"/>
            <w:shd w:val="clear" w:color="auto" w:fill="auto"/>
            <w:tcMar>
              <w:top w:w="40" w:type="dxa"/>
              <w:left w:w="155" w:type="dxa"/>
              <w:bottom w:w="40" w:type="dxa"/>
              <w:right w:w="20" w:type="dxa"/>
            </w:tcMar>
            <w:vAlign w:val="bottom"/>
          </w:tcPr>
          <w:p w14:paraId="5A1B26FF" w14:textId="77777777" w:rsidR="00960BB8" w:rsidRDefault="00C06650">
            <w:pPr>
              <w:textAlignment w:val="bottom"/>
            </w:pPr>
            <w:r>
              <w:rPr>
                <w:rFonts w:ascii="Arial" w:eastAsia="宋体" w:hAnsi="Arial" w:cs="Arial"/>
                <w:color w:val="262626"/>
                <w:sz w:val="18"/>
                <w:szCs w:val="18"/>
              </w:rPr>
              <w:t xml:space="preserve">4.80%, </w:t>
            </w:r>
            <w:r>
              <w:rPr>
                <w:rFonts w:ascii="Arial" w:eastAsia="宋体" w:hAnsi="Arial" w:cs="Arial"/>
                <w:color w:val="262626"/>
                <w:sz w:val="18"/>
                <w:szCs w:val="18"/>
              </w:rPr>
              <w:t>due October 2041</w:t>
            </w:r>
          </w:p>
        </w:tc>
        <w:tc>
          <w:tcPr>
            <w:tcW w:w="0" w:type="auto"/>
            <w:gridSpan w:val="3"/>
            <w:shd w:val="clear" w:color="auto" w:fill="auto"/>
            <w:tcMar>
              <w:top w:w="0" w:type="dxa"/>
              <w:left w:w="20" w:type="dxa"/>
              <w:bottom w:w="0" w:type="dxa"/>
              <w:right w:w="20" w:type="dxa"/>
            </w:tcMar>
            <w:vAlign w:val="bottom"/>
          </w:tcPr>
          <w:p w14:paraId="5A1B270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01" w14:textId="77777777" w:rsidR="00960BB8" w:rsidRDefault="00C06650">
            <w:pPr>
              <w:jc w:val="center"/>
              <w:textAlignment w:val="bottom"/>
            </w:pPr>
            <w:r>
              <w:rPr>
                <w:rFonts w:ascii="Arial" w:eastAsia="宋体" w:hAnsi="Arial" w:cs="Arial"/>
                <w:color w:val="0068B5"/>
                <w:sz w:val="18"/>
                <w:szCs w:val="18"/>
              </w:rPr>
              <w:t>3.70%</w:t>
            </w:r>
          </w:p>
        </w:tc>
        <w:tc>
          <w:tcPr>
            <w:tcW w:w="0" w:type="auto"/>
            <w:gridSpan w:val="3"/>
            <w:shd w:val="clear" w:color="auto" w:fill="auto"/>
            <w:tcMar>
              <w:top w:w="0" w:type="dxa"/>
              <w:left w:w="20" w:type="dxa"/>
              <w:bottom w:w="0" w:type="dxa"/>
              <w:right w:w="20" w:type="dxa"/>
            </w:tcMar>
            <w:vAlign w:val="bottom"/>
          </w:tcPr>
          <w:p w14:paraId="5A1B270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03" w14:textId="77777777" w:rsidR="00960BB8" w:rsidRDefault="00C06650">
            <w:pPr>
              <w:jc w:val="right"/>
              <w:textAlignment w:val="bottom"/>
            </w:pPr>
            <w:r>
              <w:rPr>
                <w:rFonts w:ascii="Arial" w:eastAsia="宋体" w:hAnsi="Arial" w:cs="Arial"/>
                <w:color w:val="0068B5"/>
                <w:sz w:val="18"/>
                <w:szCs w:val="18"/>
              </w:rPr>
              <w:t>802 </w:t>
            </w:r>
          </w:p>
        </w:tc>
        <w:tc>
          <w:tcPr>
            <w:tcW w:w="0" w:type="auto"/>
            <w:shd w:val="clear" w:color="auto" w:fill="auto"/>
            <w:tcMar>
              <w:top w:w="40" w:type="dxa"/>
              <w:left w:w="0" w:type="dxa"/>
              <w:bottom w:w="40" w:type="dxa"/>
              <w:right w:w="20" w:type="dxa"/>
            </w:tcMar>
            <w:vAlign w:val="bottom"/>
          </w:tcPr>
          <w:p w14:paraId="5A1B270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05" w14:textId="77777777" w:rsidR="00960BB8" w:rsidRDefault="00960BB8">
            <w:pPr>
              <w:rPr>
                <w:rFonts w:ascii="宋体"/>
              </w:rPr>
            </w:pPr>
          </w:p>
        </w:tc>
        <w:tc>
          <w:tcPr>
            <w:tcW w:w="0" w:type="auto"/>
            <w:shd w:val="clear" w:color="auto" w:fill="auto"/>
            <w:vAlign w:val="bottom"/>
          </w:tcPr>
          <w:p w14:paraId="5A1B2706" w14:textId="77777777" w:rsidR="00960BB8" w:rsidRDefault="00960BB8">
            <w:pPr>
              <w:rPr>
                <w:rFonts w:ascii="宋体"/>
                <w:vanish/>
              </w:rPr>
            </w:pPr>
          </w:p>
        </w:tc>
        <w:tc>
          <w:tcPr>
            <w:tcW w:w="0" w:type="auto"/>
            <w:shd w:val="clear" w:color="auto" w:fill="auto"/>
            <w:vAlign w:val="bottom"/>
          </w:tcPr>
          <w:p w14:paraId="5A1B270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08" w14:textId="77777777" w:rsidR="00960BB8" w:rsidRDefault="00C06650">
            <w:pPr>
              <w:jc w:val="right"/>
              <w:textAlignment w:val="bottom"/>
            </w:pPr>
            <w:r>
              <w:rPr>
                <w:rFonts w:ascii="Arial" w:eastAsia="宋体" w:hAnsi="Arial" w:cs="Arial"/>
                <w:color w:val="000000"/>
                <w:sz w:val="18"/>
                <w:szCs w:val="18"/>
              </w:rPr>
              <w:t>802 </w:t>
            </w:r>
          </w:p>
        </w:tc>
        <w:tc>
          <w:tcPr>
            <w:tcW w:w="0" w:type="auto"/>
            <w:shd w:val="clear" w:color="auto" w:fill="auto"/>
            <w:tcMar>
              <w:top w:w="40" w:type="dxa"/>
              <w:left w:w="0" w:type="dxa"/>
              <w:bottom w:w="40" w:type="dxa"/>
              <w:right w:w="20" w:type="dxa"/>
            </w:tcMar>
            <w:vAlign w:val="bottom"/>
          </w:tcPr>
          <w:p w14:paraId="5A1B2709" w14:textId="77777777" w:rsidR="00960BB8" w:rsidRDefault="00960BB8">
            <w:pPr>
              <w:jc w:val="right"/>
              <w:rPr>
                <w:rFonts w:ascii="宋体"/>
              </w:rPr>
            </w:pPr>
          </w:p>
        </w:tc>
        <w:tc>
          <w:tcPr>
            <w:tcW w:w="0" w:type="auto"/>
            <w:shd w:val="clear" w:color="auto" w:fill="auto"/>
            <w:vAlign w:val="bottom"/>
          </w:tcPr>
          <w:p w14:paraId="5A1B270A" w14:textId="77777777" w:rsidR="00960BB8" w:rsidRDefault="00960BB8">
            <w:pPr>
              <w:rPr>
                <w:rFonts w:ascii="宋体"/>
                <w:vanish/>
              </w:rPr>
            </w:pPr>
          </w:p>
        </w:tc>
        <w:tc>
          <w:tcPr>
            <w:tcW w:w="0" w:type="auto"/>
            <w:shd w:val="clear" w:color="auto" w:fill="auto"/>
            <w:vAlign w:val="bottom"/>
          </w:tcPr>
          <w:p w14:paraId="5A1B270B" w14:textId="77777777" w:rsidR="00960BB8" w:rsidRDefault="00960BB8">
            <w:pPr>
              <w:rPr>
                <w:rFonts w:ascii="宋体"/>
                <w:vanish/>
              </w:rPr>
            </w:pPr>
          </w:p>
        </w:tc>
        <w:tc>
          <w:tcPr>
            <w:tcW w:w="0" w:type="auto"/>
            <w:shd w:val="clear" w:color="auto" w:fill="auto"/>
            <w:vAlign w:val="bottom"/>
          </w:tcPr>
          <w:p w14:paraId="5A1B270C" w14:textId="77777777" w:rsidR="00960BB8" w:rsidRDefault="00960BB8">
            <w:pPr>
              <w:rPr>
                <w:rFonts w:ascii="宋体"/>
                <w:vanish/>
              </w:rPr>
            </w:pPr>
          </w:p>
        </w:tc>
        <w:tc>
          <w:tcPr>
            <w:tcW w:w="0" w:type="auto"/>
            <w:shd w:val="clear" w:color="auto" w:fill="auto"/>
            <w:vAlign w:val="bottom"/>
          </w:tcPr>
          <w:p w14:paraId="5A1B270D" w14:textId="77777777" w:rsidR="00960BB8" w:rsidRDefault="00960BB8">
            <w:pPr>
              <w:rPr>
                <w:rFonts w:ascii="宋体"/>
                <w:vanish/>
              </w:rPr>
            </w:pPr>
          </w:p>
        </w:tc>
      </w:tr>
      <w:tr w:rsidR="00960BB8" w14:paraId="5A1B271E" w14:textId="77777777">
        <w:tc>
          <w:tcPr>
            <w:tcW w:w="0" w:type="auto"/>
            <w:gridSpan w:val="3"/>
            <w:shd w:val="clear" w:color="auto" w:fill="auto"/>
            <w:tcMar>
              <w:top w:w="40" w:type="dxa"/>
              <w:left w:w="155" w:type="dxa"/>
              <w:bottom w:w="40" w:type="dxa"/>
              <w:right w:w="20" w:type="dxa"/>
            </w:tcMar>
            <w:vAlign w:val="bottom"/>
          </w:tcPr>
          <w:p w14:paraId="5A1B270F" w14:textId="77777777" w:rsidR="00960BB8" w:rsidRDefault="00C06650">
            <w:pPr>
              <w:textAlignment w:val="bottom"/>
            </w:pPr>
            <w:r>
              <w:rPr>
                <w:rFonts w:ascii="Arial" w:eastAsia="宋体" w:hAnsi="Arial" w:cs="Arial"/>
                <w:color w:val="262626"/>
                <w:sz w:val="18"/>
                <w:szCs w:val="18"/>
              </w:rPr>
              <w:t xml:space="preserve">4.25%, </w:t>
            </w:r>
            <w:r>
              <w:rPr>
                <w:rFonts w:ascii="Arial" w:eastAsia="宋体" w:hAnsi="Arial" w:cs="Arial"/>
                <w:color w:val="262626"/>
                <w:sz w:val="18"/>
                <w:szCs w:val="18"/>
              </w:rPr>
              <w:t>due December 2042</w:t>
            </w:r>
          </w:p>
        </w:tc>
        <w:tc>
          <w:tcPr>
            <w:tcW w:w="0" w:type="auto"/>
            <w:gridSpan w:val="3"/>
            <w:shd w:val="clear" w:color="auto" w:fill="auto"/>
            <w:tcMar>
              <w:top w:w="0" w:type="dxa"/>
              <w:left w:w="20" w:type="dxa"/>
              <w:bottom w:w="0" w:type="dxa"/>
              <w:right w:w="20" w:type="dxa"/>
            </w:tcMar>
            <w:vAlign w:val="bottom"/>
          </w:tcPr>
          <w:p w14:paraId="5A1B271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11" w14:textId="77777777" w:rsidR="00960BB8" w:rsidRDefault="00C06650">
            <w:pPr>
              <w:jc w:val="center"/>
              <w:textAlignment w:val="bottom"/>
            </w:pPr>
            <w:r>
              <w:rPr>
                <w:rFonts w:ascii="Arial" w:eastAsia="宋体" w:hAnsi="Arial" w:cs="Arial"/>
                <w:color w:val="0068B5"/>
                <w:sz w:val="18"/>
                <w:szCs w:val="18"/>
              </w:rPr>
              <w:t>2.32%</w:t>
            </w:r>
          </w:p>
        </w:tc>
        <w:tc>
          <w:tcPr>
            <w:tcW w:w="0" w:type="auto"/>
            <w:gridSpan w:val="3"/>
            <w:shd w:val="clear" w:color="auto" w:fill="auto"/>
            <w:tcMar>
              <w:top w:w="0" w:type="dxa"/>
              <w:left w:w="20" w:type="dxa"/>
              <w:bottom w:w="0" w:type="dxa"/>
              <w:right w:w="20" w:type="dxa"/>
            </w:tcMar>
            <w:vAlign w:val="bottom"/>
          </w:tcPr>
          <w:p w14:paraId="5A1B271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13" w14:textId="77777777" w:rsidR="00960BB8" w:rsidRDefault="00C06650">
            <w:pPr>
              <w:jc w:val="right"/>
              <w:textAlignment w:val="bottom"/>
            </w:pPr>
            <w:r>
              <w:rPr>
                <w:rFonts w:ascii="Arial" w:eastAsia="宋体" w:hAnsi="Arial" w:cs="Arial"/>
                <w:color w:val="0068B5"/>
                <w:sz w:val="18"/>
                <w:szCs w:val="18"/>
              </w:rPr>
              <w:t>567 </w:t>
            </w:r>
          </w:p>
        </w:tc>
        <w:tc>
          <w:tcPr>
            <w:tcW w:w="0" w:type="auto"/>
            <w:shd w:val="clear" w:color="auto" w:fill="auto"/>
            <w:tcMar>
              <w:top w:w="40" w:type="dxa"/>
              <w:left w:w="0" w:type="dxa"/>
              <w:bottom w:w="40" w:type="dxa"/>
              <w:right w:w="20" w:type="dxa"/>
            </w:tcMar>
            <w:vAlign w:val="bottom"/>
          </w:tcPr>
          <w:p w14:paraId="5A1B271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15" w14:textId="77777777" w:rsidR="00960BB8" w:rsidRDefault="00960BB8">
            <w:pPr>
              <w:rPr>
                <w:rFonts w:ascii="宋体"/>
              </w:rPr>
            </w:pPr>
          </w:p>
        </w:tc>
        <w:tc>
          <w:tcPr>
            <w:tcW w:w="0" w:type="auto"/>
            <w:shd w:val="clear" w:color="auto" w:fill="auto"/>
            <w:vAlign w:val="bottom"/>
          </w:tcPr>
          <w:p w14:paraId="5A1B2716" w14:textId="77777777" w:rsidR="00960BB8" w:rsidRDefault="00960BB8">
            <w:pPr>
              <w:rPr>
                <w:rFonts w:ascii="宋体"/>
                <w:vanish/>
              </w:rPr>
            </w:pPr>
          </w:p>
        </w:tc>
        <w:tc>
          <w:tcPr>
            <w:tcW w:w="0" w:type="auto"/>
            <w:shd w:val="clear" w:color="auto" w:fill="auto"/>
            <w:vAlign w:val="bottom"/>
          </w:tcPr>
          <w:p w14:paraId="5A1B271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18" w14:textId="77777777" w:rsidR="00960BB8" w:rsidRDefault="00C06650">
            <w:pPr>
              <w:jc w:val="right"/>
              <w:textAlignment w:val="bottom"/>
            </w:pPr>
            <w:r>
              <w:rPr>
                <w:rFonts w:ascii="Arial" w:eastAsia="宋体" w:hAnsi="Arial" w:cs="Arial"/>
                <w:color w:val="000000"/>
                <w:sz w:val="18"/>
                <w:szCs w:val="18"/>
              </w:rPr>
              <w:t>567 </w:t>
            </w:r>
          </w:p>
        </w:tc>
        <w:tc>
          <w:tcPr>
            <w:tcW w:w="0" w:type="auto"/>
            <w:shd w:val="clear" w:color="auto" w:fill="auto"/>
            <w:tcMar>
              <w:top w:w="40" w:type="dxa"/>
              <w:left w:w="0" w:type="dxa"/>
              <w:bottom w:w="40" w:type="dxa"/>
              <w:right w:w="20" w:type="dxa"/>
            </w:tcMar>
            <w:vAlign w:val="bottom"/>
          </w:tcPr>
          <w:p w14:paraId="5A1B2719" w14:textId="77777777" w:rsidR="00960BB8" w:rsidRDefault="00960BB8">
            <w:pPr>
              <w:jc w:val="right"/>
              <w:rPr>
                <w:rFonts w:ascii="宋体"/>
              </w:rPr>
            </w:pPr>
          </w:p>
        </w:tc>
        <w:tc>
          <w:tcPr>
            <w:tcW w:w="0" w:type="auto"/>
            <w:shd w:val="clear" w:color="auto" w:fill="auto"/>
            <w:vAlign w:val="bottom"/>
          </w:tcPr>
          <w:p w14:paraId="5A1B271A" w14:textId="77777777" w:rsidR="00960BB8" w:rsidRDefault="00960BB8">
            <w:pPr>
              <w:rPr>
                <w:rFonts w:ascii="宋体"/>
                <w:vanish/>
              </w:rPr>
            </w:pPr>
          </w:p>
        </w:tc>
        <w:tc>
          <w:tcPr>
            <w:tcW w:w="0" w:type="auto"/>
            <w:shd w:val="clear" w:color="auto" w:fill="auto"/>
            <w:vAlign w:val="bottom"/>
          </w:tcPr>
          <w:p w14:paraId="5A1B271B" w14:textId="77777777" w:rsidR="00960BB8" w:rsidRDefault="00960BB8">
            <w:pPr>
              <w:rPr>
                <w:rFonts w:ascii="宋体"/>
                <w:vanish/>
              </w:rPr>
            </w:pPr>
          </w:p>
        </w:tc>
        <w:tc>
          <w:tcPr>
            <w:tcW w:w="0" w:type="auto"/>
            <w:shd w:val="clear" w:color="auto" w:fill="auto"/>
            <w:vAlign w:val="bottom"/>
          </w:tcPr>
          <w:p w14:paraId="5A1B271C" w14:textId="77777777" w:rsidR="00960BB8" w:rsidRDefault="00960BB8">
            <w:pPr>
              <w:rPr>
                <w:rFonts w:ascii="宋体"/>
                <w:vanish/>
              </w:rPr>
            </w:pPr>
          </w:p>
        </w:tc>
        <w:tc>
          <w:tcPr>
            <w:tcW w:w="0" w:type="auto"/>
            <w:shd w:val="clear" w:color="auto" w:fill="auto"/>
            <w:vAlign w:val="bottom"/>
          </w:tcPr>
          <w:p w14:paraId="5A1B271D" w14:textId="77777777" w:rsidR="00960BB8" w:rsidRDefault="00960BB8">
            <w:pPr>
              <w:rPr>
                <w:rFonts w:ascii="宋体"/>
                <w:vanish/>
              </w:rPr>
            </w:pPr>
          </w:p>
        </w:tc>
      </w:tr>
      <w:tr w:rsidR="00960BB8" w14:paraId="5A1B272E" w14:textId="77777777">
        <w:tc>
          <w:tcPr>
            <w:tcW w:w="0" w:type="auto"/>
            <w:gridSpan w:val="3"/>
            <w:shd w:val="clear" w:color="auto" w:fill="auto"/>
            <w:tcMar>
              <w:top w:w="40" w:type="dxa"/>
              <w:left w:w="155" w:type="dxa"/>
              <w:bottom w:w="40" w:type="dxa"/>
              <w:right w:w="20" w:type="dxa"/>
            </w:tcMar>
            <w:vAlign w:val="bottom"/>
          </w:tcPr>
          <w:p w14:paraId="5A1B271F" w14:textId="77777777" w:rsidR="00960BB8" w:rsidRDefault="00C06650">
            <w:pPr>
              <w:textAlignment w:val="bottom"/>
            </w:pPr>
            <w:r>
              <w:rPr>
                <w:rFonts w:ascii="Arial" w:eastAsia="宋体" w:hAnsi="Arial" w:cs="Arial"/>
                <w:color w:val="262626"/>
                <w:sz w:val="18"/>
                <w:szCs w:val="18"/>
              </w:rPr>
              <w:t>4.90%, due July 2045</w:t>
            </w:r>
          </w:p>
        </w:tc>
        <w:tc>
          <w:tcPr>
            <w:tcW w:w="0" w:type="auto"/>
            <w:gridSpan w:val="3"/>
            <w:shd w:val="clear" w:color="auto" w:fill="auto"/>
            <w:tcMar>
              <w:top w:w="0" w:type="dxa"/>
              <w:left w:w="20" w:type="dxa"/>
              <w:bottom w:w="0" w:type="dxa"/>
              <w:right w:w="20" w:type="dxa"/>
            </w:tcMar>
            <w:vAlign w:val="bottom"/>
          </w:tcPr>
          <w:p w14:paraId="5A1B272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21" w14:textId="77777777" w:rsidR="00960BB8" w:rsidRDefault="00C06650">
            <w:pPr>
              <w:jc w:val="center"/>
              <w:textAlignment w:val="bottom"/>
            </w:pPr>
            <w:r>
              <w:rPr>
                <w:rFonts w:ascii="Arial" w:eastAsia="宋体" w:hAnsi="Arial" w:cs="Arial"/>
                <w:color w:val="0068B5"/>
                <w:sz w:val="18"/>
                <w:szCs w:val="18"/>
              </w:rPr>
              <w:t>3.80%</w:t>
            </w:r>
          </w:p>
        </w:tc>
        <w:tc>
          <w:tcPr>
            <w:tcW w:w="0" w:type="auto"/>
            <w:gridSpan w:val="3"/>
            <w:shd w:val="clear" w:color="auto" w:fill="auto"/>
            <w:tcMar>
              <w:top w:w="0" w:type="dxa"/>
              <w:left w:w="20" w:type="dxa"/>
              <w:bottom w:w="0" w:type="dxa"/>
              <w:right w:w="20" w:type="dxa"/>
            </w:tcMar>
            <w:vAlign w:val="bottom"/>
          </w:tcPr>
          <w:p w14:paraId="5A1B272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23" w14:textId="77777777" w:rsidR="00960BB8" w:rsidRDefault="00C06650">
            <w:pPr>
              <w:jc w:val="right"/>
              <w:textAlignment w:val="bottom"/>
            </w:pPr>
            <w:r>
              <w:rPr>
                <w:rFonts w:ascii="Arial" w:eastAsia="宋体" w:hAnsi="Arial" w:cs="Arial"/>
                <w:color w:val="0068B5"/>
                <w:sz w:val="18"/>
                <w:szCs w:val="18"/>
              </w:rPr>
              <w:t>772 </w:t>
            </w:r>
          </w:p>
        </w:tc>
        <w:tc>
          <w:tcPr>
            <w:tcW w:w="0" w:type="auto"/>
            <w:shd w:val="clear" w:color="auto" w:fill="auto"/>
            <w:tcMar>
              <w:top w:w="40" w:type="dxa"/>
              <w:left w:w="0" w:type="dxa"/>
              <w:bottom w:w="40" w:type="dxa"/>
              <w:right w:w="20" w:type="dxa"/>
            </w:tcMar>
            <w:vAlign w:val="bottom"/>
          </w:tcPr>
          <w:p w14:paraId="5A1B272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25" w14:textId="77777777" w:rsidR="00960BB8" w:rsidRDefault="00960BB8">
            <w:pPr>
              <w:rPr>
                <w:rFonts w:ascii="宋体"/>
              </w:rPr>
            </w:pPr>
          </w:p>
        </w:tc>
        <w:tc>
          <w:tcPr>
            <w:tcW w:w="0" w:type="auto"/>
            <w:shd w:val="clear" w:color="auto" w:fill="auto"/>
            <w:vAlign w:val="bottom"/>
          </w:tcPr>
          <w:p w14:paraId="5A1B2726" w14:textId="77777777" w:rsidR="00960BB8" w:rsidRDefault="00960BB8">
            <w:pPr>
              <w:rPr>
                <w:rFonts w:ascii="宋体"/>
                <w:vanish/>
              </w:rPr>
            </w:pPr>
          </w:p>
        </w:tc>
        <w:tc>
          <w:tcPr>
            <w:tcW w:w="0" w:type="auto"/>
            <w:shd w:val="clear" w:color="auto" w:fill="auto"/>
            <w:vAlign w:val="bottom"/>
          </w:tcPr>
          <w:p w14:paraId="5A1B272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28" w14:textId="77777777" w:rsidR="00960BB8" w:rsidRDefault="00C06650">
            <w:pPr>
              <w:jc w:val="right"/>
              <w:textAlignment w:val="bottom"/>
            </w:pPr>
            <w:r>
              <w:rPr>
                <w:rFonts w:ascii="Arial" w:eastAsia="宋体" w:hAnsi="Arial" w:cs="Arial"/>
                <w:color w:val="000000"/>
                <w:sz w:val="18"/>
                <w:szCs w:val="18"/>
              </w:rPr>
              <w:t>772 </w:t>
            </w:r>
          </w:p>
        </w:tc>
        <w:tc>
          <w:tcPr>
            <w:tcW w:w="0" w:type="auto"/>
            <w:shd w:val="clear" w:color="auto" w:fill="auto"/>
            <w:tcMar>
              <w:top w:w="40" w:type="dxa"/>
              <w:left w:w="0" w:type="dxa"/>
              <w:bottom w:w="40" w:type="dxa"/>
              <w:right w:w="20" w:type="dxa"/>
            </w:tcMar>
            <w:vAlign w:val="bottom"/>
          </w:tcPr>
          <w:p w14:paraId="5A1B2729" w14:textId="77777777" w:rsidR="00960BB8" w:rsidRDefault="00960BB8">
            <w:pPr>
              <w:jc w:val="right"/>
              <w:rPr>
                <w:rFonts w:ascii="宋体"/>
              </w:rPr>
            </w:pPr>
          </w:p>
        </w:tc>
        <w:tc>
          <w:tcPr>
            <w:tcW w:w="0" w:type="auto"/>
            <w:shd w:val="clear" w:color="auto" w:fill="auto"/>
            <w:vAlign w:val="bottom"/>
          </w:tcPr>
          <w:p w14:paraId="5A1B272A" w14:textId="77777777" w:rsidR="00960BB8" w:rsidRDefault="00960BB8">
            <w:pPr>
              <w:rPr>
                <w:rFonts w:ascii="宋体"/>
                <w:vanish/>
              </w:rPr>
            </w:pPr>
          </w:p>
        </w:tc>
        <w:tc>
          <w:tcPr>
            <w:tcW w:w="0" w:type="auto"/>
            <w:shd w:val="clear" w:color="auto" w:fill="auto"/>
            <w:vAlign w:val="bottom"/>
          </w:tcPr>
          <w:p w14:paraId="5A1B272B" w14:textId="77777777" w:rsidR="00960BB8" w:rsidRDefault="00960BB8">
            <w:pPr>
              <w:rPr>
                <w:rFonts w:ascii="宋体"/>
                <w:vanish/>
              </w:rPr>
            </w:pPr>
          </w:p>
        </w:tc>
        <w:tc>
          <w:tcPr>
            <w:tcW w:w="0" w:type="auto"/>
            <w:shd w:val="clear" w:color="auto" w:fill="auto"/>
            <w:vAlign w:val="bottom"/>
          </w:tcPr>
          <w:p w14:paraId="5A1B272C" w14:textId="77777777" w:rsidR="00960BB8" w:rsidRDefault="00960BB8">
            <w:pPr>
              <w:rPr>
                <w:rFonts w:ascii="宋体"/>
                <w:vanish/>
              </w:rPr>
            </w:pPr>
          </w:p>
        </w:tc>
        <w:tc>
          <w:tcPr>
            <w:tcW w:w="0" w:type="auto"/>
            <w:shd w:val="clear" w:color="auto" w:fill="auto"/>
            <w:vAlign w:val="bottom"/>
          </w:tcPr>
          <w:p w14:paraId="5A1B272D" w14:textId="77777777" w:rsidR="00960BB8" w:rsidRDefault="00960BB8">
            <w:pPr>
              <w:rPr>
                <w:rFonts w:ascii="宋体"/>
                <w:vanish/>
              </w:rPr>
            </w:pPr>
          </w:p>
        </w:tc>
      </w:tr>
      <w:tr w:rsidR="00960BB8" w14:paraId="5A1B273E" w14:textId="77777777">
        <w:tc>
          <w:tcPr>
            <w:tcW w:w="0" w:type="auto"/>
            <w:gridSpan w:val="3"/>
            <w:shd w:val="clear" w:color="auto" w:fill="auto"/>
            <w:tcMar>
              <w:top w:w="40" w:type="dxa"/>
              <w:left w:w="155" w:type="dxa"/>
              <w:bottom w:w="40" w:type="dxa"/>
              <w:right w:w="20" w:type="dxa"/>
            </w:tcMar>
            <w:vAlign w:val="bottom"/>
          </w:tcPr>
          <w:p w14:paraId="5A1B272F" w14:textId="77777777" w:rsidR="00960BB8" w:rsidRDefault="00C06650">
            <w:pPr>
              <w:textAlignment w:val="bottom"/>
            </w:pPr>
            <w:r>
              <w:rPr>
                <w:rFonts w:ascii="Arial" w:eastAsia="宋体" w:hAnsi="Arial" w:cs="Arial"/>
                <w:color w:val="262626"/>
                <w:sz w:val="18"/>
                <w:szCs w:val="18"/>
              </w:rPr>
              <w:t xml:space="preserve">4.10%, </w:t>
            </w:r>
            <w:r>
              <w:rPr>
                <w:rFonts w:ascii="Arial" w:eastAsia="宋体" w:hAnsi="Arial" w:cs="Arial"/>
                <w:color w:val="262626"/>
                <w:sz w:val="18"/>
                <w:szCs w:val="18"/>
              </w:rPr>
              <w:t>due May 2046</w:t>
            </w:r>
          </w:p>
        </w:tc>
        <w:tc>
          <w:tcPr>
            <w:tcW w:w="0" w:type="auto"/>
            <w:gridSpan w:val="3"/>
            <w:shd w:val="clear" w:color="auto" w:fill="auto"/>
            <w:tcMar>
              <w:top w:w="0" w:type="dxa"/>
              <w:left w:w="20" w:type="dxa"/>
              <w:bottom w:w="0" w:type="dxa"/>
              <w:right w:w="20" w:type="dxa"/>
            </w:tcMar>
            <w:vAlign w:val="bottom"/>
          </w:tcPr>
          <w:p w14:paraId="5A1B273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31" w14:textId="77777777" w:rsidR="00960BB8" w:rsidRDefault="00C06650">
            <w:pPr>
              <w:jc w:val="center"/>
              <w:textAlignment w:val="bottom"/>
            </w:pPr>
            <w:r>
              <w:rPr>
                <w:rFonts w:ascii="Arial" w:eastAsia="宋体" w:hAnsi="Arial" w:cs="Arial"/>
                <w:color w:val="0068B5"/>
                <w:sz w:val="18"/>
                <w:szCs w:val="18"/>
              </w:rPr>
              <w:t>3.03%</w:t>
            </w:r>
          </w:p>
        </w:tc>
        <w:tc>
          <w:tcPr>
            <w:tcW w:w="0" w:type="auto"/>
            <w:gridSpan w:val="3"/>
            <w:shd w:val="clear" w:color="auto" w:fill="auto"/>
            <w:tcMar>
              <w:top w:w="0" w:type="dxa"/>
              <w:left w:w="20" w:type="dxa"/>
              <w:bottom w:w="0" w:type="dxa"/>
              <w:right w:w="20" w:type="dxa"/>
            </w:tcMar>
            <w:vAlign w:val="bottom"/>
          </w:tcPr>
          <w:p w14:paraId="5A1B273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33" w14:textId="77777777" w:rsidR="00960BB8" w:rsidRDefault="00C06650">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5A1B273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35" w14:textId="77777777" w:rsidR="00960BB8" w:rsidRDefault="00960BB8">
            <w:pPr>
              <w:rPr>
                <w:rFonts w:ascii="宋体"/>
              </w:rPr>
            </w:pPr>
          </w:p>
        </w:tc>
        <w:tc>
          <w:tcPr>
            <w:tcW w:w="0" w:type="auto"/>
            <w:shd w:val="clear" w:color="auto" w:fill="auto"/>
            <w:vAlign w:val="bottom"/>
          </w:tcPr>
          <w:p w14:paraId="5A1B2736" w14:textId="77777777" w:rsidR="00960BB8" w:rsidRDefault="00960BB8">
            <w:pPr>
              <w:rPr>
                <w:rFonts w:ascii="宋体"/>
                <w:vanish/>
              </w:rPr>
            </w:pPr>
          </w:p>
        </w:tc>
        <w:tc>
          <w:tcPr>
            <w:tcW w:w="0" w:type="auto"/>
            <w:shd w:val="clear" w:color="auto" w:fill="auto"/>
            <w:vAlign w:val="bottom"/>
          </w:tcPr>
          <w:p w14:paraId="5A1B273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38" w14:textId="77777777" w:rsidR="00960BB8" w:rsidRDefault="00C06650">
            <w:pPr>
              <w:jc w:val="right"/>
              <w:textAlignment w:val="bottom"/>
            </w:pPr>
            <w:r>
              <w:rPr>
                <w:rFonts w:ascii="Arial" w:eastAsia="宋体" w:hAnsi="Arial" w:cs="Arial"/>
                <w:color w:val="000000"/>
                <w:sz w:val="18"/>
                <w:szCs w:val="18"/>
              </w:rPr>
              <w:t>1,250 </w:t>
            </w:r>
          </w:p>
        </w:tc>
        <w:tc>
          <w:tcPr>
            <w:tcW w:w="0" w:type="auto"/>
            <w:shd w:val="clear" w:color="auto" w:fill="auto"/>
            <w:tcMar>
              <w:top w:w="40" w:type="dxa"/>
              <w:left w:w="0" w:type="dxa"/>
              <w:bottom w:w="40" w:type="dxa"/>
              <w:right w:w="20" w:type="dxa"/>
            </w:tcMar>
            <w:vAlign w:val="bottom"/>
          </w:tcPr>
          <w:p w14:paraId="5A1B2739" w14:textId="77777777" w:rsidR="00960BB8" w:rsidRDefault="00960BB8">
            <w:pPr>
              <w:jc w:val="right"/>
              <w:rPr>
                <w:rFonts w:ascii="宋体"/>
              </w:rPr>
            </w:pPr>
          </w:p>
        </w:tc>
        <w:tc>
          <w:tcPr>
            <w:tcW w:w="0" w:type="auto"/>
            <w:shd w:val="clear" w:color="auto" w:fill="auto"/>
            <w:vAlign w:val="bottom"/>
          </w:tcPr>
          <w:p w14:paraId="5A1B273A" w14:textId="77777777" w:rsidR="00960BB8" w:rsidRDefault="00960BB8">
            <w:pPr>
              <w:rPr>
                <w:rFonts w:ascii="宋体"/>
                <w:vanish/>
              </w:rPr>
            </w:pPr>
          </w:p>
        </w:tc>
        <w:tc>
          <w:tcPr>
            <w:tcW w:w="0" w:type="auto"/>
            <w:shd w:val="clear" w:color="auto" w:fill="auto"/>
            <w:vAlign w:val="bottom"/>
          </w:tcPr>
          <w:p w14:paraId="5A1B273B" w14:textId="77777777" w:rsidR="00960BB8" w:rsidRDefault="00960BB8">
            <w:pPr>
              <w:rPr>
                <w:rFonts w:ascii="宋体"/>
                <w:vanish/>
              </w:rPr>
            </w:pPr>
          </w:p>
        </w:tc>
        <w:tc>
          <w:tcPr>
            <w:tcW w:w="0" w:type="auto"/>
            <w:shd w:val="clear" w:color="auto" w:fill="auto"/>
            <w:vAlign w:val="bottom"/>
          </w:tcPr>
          <w:p w14:paraId="5A1B273C" w14:textId="77777777" w:rsidR="00960BB8" w:rsidRDefault="00960BB8">
            <w:pPr>
              <w:rPr>
                <w:rFonts w:ascii="宋体"/>
                <w:vanish/>
              </w:rPr>
            </w:pPr>
          </w:p>
        </w:tc>
        <w:tc>
          <w:tcPr>
            <w:tcW w:w="0" w:type="auto"/>
            <w:shd w:val="clear" w:color="auto" w:fill="auto"/>
            <w:vAlign w:val="bottom"/>
          </w:tcPr>
          <w:p w14:paraId="5A1B273D" w14:textId="77777777" w:rsidR="00960BB8" w:rsidRDefault="00960BB8">
            <w:pPr>
              <w:rPr>
                <w:rFonts w:ascii="宋体"/>
                <w:vanish/>
              </w:rPr>
            </w:pPr>
          </w:p>
        </w:tc>
      </w:tr>
      <w:tr w:rsidR="00960BB8" w14:paraId="5A1B274E" w14:textId="77777777">
        <w:tc>
          <w:tcPr>
            <w:tcW w:w="0" w:type="auto"/>
            <w:gridSpan w:val="3"/>
            <w:shd w:val="clear" w:color="auto" w:fill="auto"/>
            <w:tcMar>
              <w:top w:w="40" w:type="dxa"/>
              <w:left w:w="155" w:type="dxa"/>
              <w:bottom w:w="40" w:type="dxa"/>
              <w:right w:w="20" w:type="dxa"/>
            </w:tcMar>
            <w:vAlign w:val="bottom"/>
          </w:tcPr>
          <w:p w14:paraId="5A1B273F" w14:textId="77777777" w:rsidR="00960BB8" w:rsidRDefault="00C06650">
            <w:pPr>
              <w:textAlignment w:val="bottom"/>
            </w:pPr>
            <w:r>
              <w:rPr>
                <w:rFonts w:ascii="Arial" w:eastAsia="宋体" w:hAnsi="Arial" w:cs="Arial"/>
                <w:color w:val="262626"/>
                <w:sz w:val="18"/>
                <w:szCs w:val="18"/>
              </w:rPr>
              <w:t xml:space="preserve">4.10%, </w:t>
            </w:r>
            <w:r>
              <w:rPr>
                <w:rFonts w:ascii="Arial" w:eastAsia="宋体" w:hAnsi="Arial" w:cs="Arial"/>
                <w:color w:val="262626"/>
                <w:sz w:val="18"/>
                <w:szCs w:val="18"/>
              </w:rPr>
              <w:t>due May 2047</w:t>
            </w:r>
          </w:p>
        </w:tc>
        <w:tc>
          <w:tcPr>
            <w:tcW w:w="0" w:type="auto"/>
            <w:gridSpan w:val="3"/>
            <w:shd w:val="clear" w:color="auto" w:fill="auto"/>
            <w:tcMar>
              <w:top w:w="0" w:type="dxa"/>
              <w:left w:w="20" w:type="dxa"/>
              <w:bottom w:w="0" w:type="dxa"/>
              <w:right w:w="20" w:type="dxa"/>
            </w:tcMar>
            <w:vAlign w:val="bottom"/>
          </w:tcPr>
          <w:p w14:paraId="5A1B274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41" w14:textId="77777777" w:rsidR="00960BB8" w:rsidRDefault="00C06650">
            <w:pPr>
              <w:jc w:val="center"/>
              <w:textAlignment w:val="bottom"/>
            </w:pPr>
            <w:r>
              <w:rPr>
                <w:rFonts w:ascii="Arial" w:eastAsia="宋体" w:hAnsi="Arial" w:cs="Arial"/>
                <w:color w:val="0068B5"/>
                <w:sz w:val="18"/>
                <w:szCs w:val="18"/>
              </w:rPr>
              <w:t>3.00%</w:t>
            </w:r>
          </w:p>
        </w:tc>
        <w:tc>
          <w:tcPr>
            <w:tcW w:w="0" w:type="auto"/>
            <w:gridSpan w:val="3"/>
            <w:shd w:val="clear" w:color="auto" w:fill="auto"/>
            <w:tcMar>
              <w:top w:w="0" w:type="dxa"/>
              <w:left w:w="20" w:type="dxa"/>
              <w:bottom w:w="0" w:type="dxa"/>
              <w:right w:w="20" w:type="dxa"/>
            </w:tcMar>
            <w:vAlign w:val="bottom"/>
          </w:tcPr>
          <w:p w14:paraId="5A1B274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43" w14:textId="77777777" w:rsidR="00960BB8" w:rsidRDefault="00C06650">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5A1B274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45" w14:textId="77777777" w:rsidR="00960BB8" w:rsidRDefault="00960BB8">
            <w:pPr>
              <w:rPr>
                <w:rFonts w:ascii="宋体"/>
              </w:rPr>
            </w:pPr>
          </w:p>
        </w:tc>
        <w:tc>
          <w:tcPr>
            <w:tcW w:w="0" w:type="auto"/>
            <w:shd w:val="clear" w:color="auto" w:fill="auto"/>
            <w:vAlign w:val="bottom"/>
          </w:tcPr>
          <w:p w14:paraId="5A1B2746" w14:textId="77777777" w:rsidR="00960BB8" w:rsidRDefault="00960BB8">
            <w:pPr>
              <w:rPr>
                <w:rFonts w:ascii="宋体"/>
                <w:vanish/>
              </w:rPr>
            </w:pPr>
          </w:p>
        </w:tc>
        <w:tc>
          <w:tcPr>
            <w:tcW w:w="0" w:type="auto"/>
            <w:shd w:val="clear" w:color="auto" w:fill="auto"/>
            <w:vAlign w:val="bottom"/>
          </w:tcPr>
          <w:p w14:paraId="5A1B274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48" w14:textId="77777777" w:rsidR="00960BB8" w:rsidRDefault="00C06650">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5A1B2749" w14:textId="77777777" w:rsidR="00960BB8" w:rsidRDefault="00960BB8">
            <w:pPr>
              <w:jc w:val="right"/>
              <w:rPr>
                <w:rFonts w:ascii="宋体"/>
              </w:rPr>
            </w:pPr>
          </w:p>
        </w:tc>
        <w:tc>
          <w:tcPr>
            <w:tcW w:w="0" w:type="auto"/>
            <w:shd w:val="clear" w:color="auto" w:fill="auto"/>
            <w:vAlign w:val="bottom"/>
          </w:tcPr>
          <w:p w14:paraId="5A1B274A" w14:textId="77777777" w:rsidR="00960BB8" w:rsidRDefault="00960BB8">
            <w:pPr>
              <w:rPr>
                <w:rFonts w:ascii="宋体"/>
                <w:vanish/>
              </w:rPr>
            </w:pPr>
          </w:p>
        </w:tc>
        <w:tc>
          <w:tcPr>
            <w:tcW w:w="0" w:type="auto"/>
            <w:shd w:val="clear" w:color="auto" w:fill="auto"/>
            <w:vAlign w:val="bottom"/>
          </w:tcPr>
          <w:p w14:paraId="5A1B274B" w14:textId="77777777" w:rsidR="00960BB8" w:rsidRDefault="00960BB8">
            <w:pPr>
              <w:rPr>
                <w:rFonts w:ascii="宋体"/>
                <w:vanish/>
              </w:rPr>
            </w:pPr>
          </w:p>
        </w:tc>
        <w:tc>
          <w:tcPr>
            <w:tcW w:w="0" w:type="auto"/>
            <w:shd w:val="clear" w:color="auto" w:fill="auto"/>
            <w:vAlign w:val="bottom"/>
          </w:tcPr>
          <w:p w14:paraId="5A1B274C" w14:textId="77777777" w:rsidR="00960BB8" w:rsidRDefault="00960BB8">
            <w:pPr>
              <w:rPr>
                <w:rFonts w:ascii="宋体"/>
                <w:vanish/>
              </w:rPr>
            </w:pPr>
          </w:p>
        </w:tc>
        <w:tc>
          <w:tcPr>
            <w:tcW w:w="0" w:type="auto"/>
            <w:shd w:val="clear" w:color="auto" w:fill="auto"/>
            <w:vAlign w:val="bottom"/>
          </w:tcPr>
          <w:p w14:paraId="5A1B274D" w14:textId="77777777" w:rsidR="00960BB8" w:rsidRDefault="00960BB8">
            <w:pPr>
              <w:rPr>
                <w:rFonts w:ascii="宋体"/>
                <w:vanish/>
              </w:rPr>
            </w:pPr>
          </w:p>
        </w:tc>
      </w:tr>
      <w:tr w:rsidR="00960BB8" w14:paraId="5A1B275E" w14:textId="77777777">
        <w:tc>
          <w:tcPr>
            <w:tcW w:w="0" w:type="auto"/>
            <w:gridSpan w:val="3"/>
            <w:shd w:val="clear" w:color="auto" w:fill="auto"/>
            <w:tcMar>
              <w:top w:w="40" w:type="dxa"/>
              <w:left w:w="155" w:type="dxa"/>
              <w:bottom w:w="40" w:type="dxa"/>
              <w:right w:w="20" w:type="dxa"/>
            </w:tcMar>
            <w:vAlign w:val="bottom"/>
          </w:tcPr>
          <w:p w14:paraId="5A1B274F" w14:textId="77777777" w:rsidR="00960BB8" w:rsidRDefault="00C06650">
            <w:pPr>
              <w:textAlignment w:val="bottom"/>
            </w:pPr>
            <w:r>
              <w:rPr>
                <w:rFonts w:ascii="Arial" w:eastAsia="宋体" w:hAnsi="Arial" w:cs="Arial"/>
                <w:color w:val="262626"/>
                <w:sz w:val="18"/>
                <w:szCs w:val="18"/>
              </w:rPr>
              <w:t xml:space="preserve">4.10%, </w:t>
            </w:r>
            <w:r>
              <w:rPr>
                <w:rFonts w:ascii="Arial" w:eastAsia="宋体" w:hAnsi="Arial" w:cs="Arial"/>
                <w:color w:val="262626"/>
                <w:sz w:val="18"/>
                <w:szCs w:val="18"/>
              </w:rPr>
              <w:t>due August 2047</w:t>
            </w:r>
          </w:p>
        </w:tc>
        <w:tc>
          <w:tcPr>
            <w:tcW w:w="0" w:type="auto"/>
            <w:gridSpan w:val="3"/>
            <w:shd w:val="clear" w:color="auto" w:fill="auto"/>
            <w:tcMar>
              <w:top w:w="0" w:type="dxa"/>
              <w:left w:w="20" w:type="dxa"/>
              <w:bottom w:w="0" w:type="dxa"/>
              <w:right w:w="20" w:type="dxa"/>
            </w:tcMar>
            <w:vAlign w:val="bottom"/>
          </w:tcPr>
          <w:p w14:paraId="5A1B275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51" w14:textId="77777777" w:rsidR="00960BB8" w:rsidRDefault="00C06650">
            <w:pPr>
              <w:jc w:val="center"/>
              <w:textAlignment w:val="bottom"/>
            </w:pPr>
            <w:r>
              <w:rPr>
                <w:rFonts w:ascii="Arial" w:eastAsia="宋体" w:hAnsi="Arial" w:cs="Arial"/>
                <w:color w:val="0068B5"/>
                <w:sz w:val="18"/>
                <w:szCs w:val="18"/>
              </w:rPr>
              <w:t>2.54%</w:t>
            </w:r>
          </w:p>
        </w:tc>
        <w:tc>
          <w:tcPr>
            <w:tcW w:w="0" w:type="auto"/>
            <w:gridSpan w:val="3"/>
            <w:shd w:val="clear" w:color="auto" w:fill="auto"/>
            <w:tcMar>
              <w:top w:w="0" w:type="dxa"/>
              <w:left w:w="20" w:type="dxa"/>
              <w:bottom w:w="0" w:type="dxa"/>
              <w:right w:w="20" w:type="dxa"/>
            </w:tcMar>
            <w:vAlign w:val="bottom"/>
          </w:tcPr>
          <w:p w14:paraId="5A1B275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53" w14:textId="77777777" w:rsidR="00960BB8" w:rsidRDefault="00C06650">
            <w:pPr>
              <w:jc w:val="right"/>
              <w:textAlignment w:val="bottom"/>
            </w:pPr>
            <w:r>
              <w:rPr>
                <w:rFonts w:ascii="Arial" w:eastAsia="宋体" w:hAnsi="Arial" w:cs="Arial"/>
                <w:color w:val="0068B5"/>
                <w:sz w:val="18"/>
                <w:szCs w:val="18"/>
              </w:rPr>
              <w:t>640 </w:t>
            </w:r>
          </w:p>
        </w:tc>
        <w:tc>
          <w:tcPr>
            <w:tcW w:w="0" w:type="auto"/>
            <w:shd w:val="clear" w:color="auto" w:fill="auto"/>
            <w:tcMar>
              <w:top w:w="40" w:type="dxa"/>
              <w:left w:w="0" w:type="dxa"/>
              <w:bottom w:w="40" w:type="dxa"/>
              <w:right w:w="20" w:type="dxa"/>
            </w:tcMar>
            <w:vAlign w:val="bottom"/>
          </w:tcPr>
          <w:p w14:paraId="5A1B275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55" w14:textId="77777777" w:rsidR="00960BB8" w:rsidRDefault="00960BB8">
            <w:pPr>
              <w:rPr>
                <w:rFonts w:ascii="宋体"/>
              </w:rPr>
            </w:pPr>
          </w:p>
        </w:tc>
        <w:tc>
          <w:tcPr>
            <w:tcW w:w="0" w:type="auto"/>
            <w:shd w:val="clear" w:color="auto" w:fill="auto"/>
            <w:vAlign w:val="bottom"/>
          </w:tcPr>
          <w:p w14:paraId="5A1B2756" w14:textId="77777777" w:rsidR="00960BB8" w:rsidRDefault="00960BB8">
            <w:pPr>
              <w:rPr>
                <w:rFonts w:ascii="宋体"/>
                <w:vanish/>
              </w:rPr>
            </w:pPr>
          </w:p>
        </w:tc>
        <w:tc>
          <w:tcPr>
            <w:tcW w:w="0" w:type="auto"/>
            <w:shd w:val="clear" w:color="auto" w:fill="auto"/>
            <w:vAlign w:val="bottom"/>
          </w:tcPr>
          <w:p w14:paraId="5A1B275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58" w14:textId="77777777" w:rsidR="00960BB8" w:rsidRDefault="00C06650">
            <w:pPr>
              <w:jc w:val="right"/>
              <w:textAlignment w:val="bottom"/>
            </w:pPr>
            <w:r>
              <w:rPr>
                <w:rFonts w:ascii="Arial" w:eastAsia="宋体" w:hAnsi="Arial" w:cs="Arial"/>
                <w:color w:val="000000"/>
                <w:sz w:val="18"/>
                <w:szCs w:val="18"/>
              </w:rPr>
              <w:t>640 </w:t>
            </w:r>
          </w:p>
        </w:tc>
        <w:tc>
          <w:tcPr>
            <w:tcW w:w="0" w:type="auto"/>
            <w:shd w:val="clear" w:color="auto" w:fill="auto"/>
            <w:tcMar>
              <w:top w:w="40" w:type="dxa"/>
              <w:left w:w="0" w:type="dxa"/>
              <w:bottom w:w="40" w:type="dxa"/>
              <w:right w:w="20" w:type="dxa"/>
            </w:tcMar>
            <w:vAlign w:val="bottom"/>
          </w:tcPr>
          <w:p w14:paraId="5A1B2759" w14:textId="77777777" w:rsidR="00960BB8" w:rsidRDefault="00960BB8">
            <w:pPr>
              <w:jc w:val="right"/>
              <w:rPr>
                <w:rFonts w:ascii="宋体"/>
              </w:rPr>
            </w:pPr>
          </w:p>
        </w:tc>
        <w:tc>
          <w:tcPr>
            <w:tcW w:w="0" w:type="auto"/>
            <w:shd w:val="clear" w:color="auto" w:fill="auto"/>
            <w:vAlign w:val="bottom"/>
          </w:tcPr>
          <w:p w14:paraId="5A1B275A" w14:textId="77777777" w:rsidR="00960BB8" w:rsidRDefault="00960BB8">
            <w:pPr>
              <w:rPr>
                <w:rFonts w:ascii="宋体"/>
                <w:vanish/>
              </w:rPr>
            </w:pPr>
          </w:p>
        </w:tc>
        <w:tc>
          <w:tcPr>
            <w:tcW w:w="0" w:type="auto"/>
            <w:shd w:val="clear" w:color="auto" w:fill="auto"/>
            <w:vAlign w:val="bottom"/>
          </w:tcPr>
          <w:p w14:paraId="5A1B275B" w14:textId="77777777" w:rsidR="00960BB8" w:rsidRDefault="00960BB8">
            <w:pPr>
              <w:rPr>
                <w:rFonts w:ascii="宋体"/>
                <w:vanish/>
              </w:rPr>
            </w:pPr>
          </w:p>
        </w:tc>
        <w:tc>
          <w:tcPr>
            <w:tcW w:w="0" w:type="auto"/>
            <w:shd w:val="clear" w:color="auto" w:fill="auto"/>
            <w:vAlign w:val="bottom"/>
          </w:tcPr>
          <w:p w14:paraId="5A1B275C" w14:textId="77777777" w:rsidR="00960BB8" w:rsidRDefault="00960BB8">
            <w:pPr>
              <w:rPr>
                <w:rFonts w:ascii="宋体"/>
                <w:vanish/>
              </w:rPr>
            </w:pPr>
          </w:p>
        </w:tc>
        <w:tc>
          <w:tcPr>
            <w:tcW w:w="0" w:type="auto"/>
            <w:shd w:val="clear" w:color="auto" w:fill="auto"/>
            <w:vAlign w:val="bottom"/>
          </w:tcPr>
          <w:p w14:paraId="5A1B275D" w14:textId="77777777" w:rsidR="00960BB8" w:rsidRDefault="00960BB8">
            <w:pPr>
              <w:rPr>
                <w:rFonts w:ascii="宋体"/>
                <w:vanish/>
              </w:rPr>
            </w:pPr>
          </w:p>
        </w:tc>
      </w:tr>
      <w:tr w:rsidR="00960BB8" w14:paraId="5A1B276E" w14:textId="77777777">
        <w:tc>
          <w:tcPr>
            <w:tcW w:w="0" w:type="auto"/>
            <w:gridSpan w:val="3"/>
            <w:shd w:val="clear" w:color="auto" w:fill="auto"/>
            <w:tcMar>
              <w:top w:w="40" w:type="dxa"/>
              <w:left w:w="155" w:type="dxa"/>
              <w:bottom w:w="40" w:type="dxa"/>
              <w:right w:w="20" w:type="dxa"/>
            </w:tcMar>
            <w:vAlign w:val="bottom"/>
          </w:tcPr>
          <w:p w14:paraId="5A1B275F" w14:textId="77777777" w:rsidR="00960BB8" w:rsidRDefault="00C06650">
            <w:pPr>
              <w:textAlignment w:val="bottom"/>
            </w:pPr>
            <w:r>
              <w:rPr>
                <w:rFonts w:ascii="Arial" w:eastAsia="宋体" w:hAnsi="Arial" w:cs="Arial"/>
                <w:color w:val="262626"/>
                <w:sz w:val="18"/>
                <w:szCs w:val="18"/>
              </w:rPr>
              <w:t xml:space="preserve">3.73%, </w:t>
            </w:r>
            <w:r>
              <w:rPr>
                <w:rFonts w:ascii="Arial" w:eastAsia="宋体" w:hAnsi="Arial" w:cs="Arial"/>
                <w:color w:val="262626"/>
                <w:sz w:val="18"/>
                <w:szCs w:val="18"/>
              </w:rPr>
              <w:t xml:space="preserve">due December 2047 </w:t>
            </w:r>
          </w:p>
        </w:tc>
        <w:tc>
          <w:tcPr>
            <w:tcW w:w="0" w:type="auto"/>
            <w:gridSpan w:val="3"/>
            <w:shd w:val="clear" w:color="auto" w:fill="auto"/>
            <w:tcMar>
              <w:top w:w="0" w:type="dxa"/>
              <w:left w:w="20" w:type="dxa"/>
              <w:bottom w:w="0" w:type="dxa"/>
              <w:right w:w="20" w:type="dxa"/>
            </w:tcMar>
            <w:vAlign w:val="bottom"/>
          </w:tcPr>
          <w:p w14:paraId="5A1B276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61" w14:textId="77777777" w:rsidR="00960BB8" w:rsidRDefault="00C06650">
            <w:pPr>
              <w:jc w:val="center"/>
              <w:textAlignment w:val="bottom"/>
            </w:pPr>
            <w:r>
              <w:rPr>
                <w:rFonts w:ascii="Arial" w:eastAsia="宋体" w:hAnsi="Arial" w:cs="Arial"/>
                <w:color w:val="0068B5"/>
                <w:sz w:val="18"/>
                <w:szCs w:val="18"/>
              </w:rPr>
              <w:t>3.31%</w:t>
            </w:r>
          </w:p>
        </w:tc>
        <w:tc>
          <w:tcPr>
            <w:tcW w:w="0" w:type="auto"/>
            <w:gridSpan w:val="3"/>
            <w:shd w:val="clear" w:color="auto" w:fill="auto"/>
            <w:tcMar>
              <w:top w:w="0" w:type="dxa"/>
              <w:left w:w="20" w:type="dxa"/>
              <w:bottom w:w="0" w:type="dxa"/>
              <w:right w:w="20" w:type="dxa"/>
            </w:tcMar>
            <w:vAlign w:val="bottom"/>
          </w:tcPr>
          <w:p w14:paraId="5A1B276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63" w14:textId="77777777" w:rsidR="00960BB8" w:rsidRDefault="00C06650">
            <w:pPr>
              <w:jc w:val="right"/>
              <w:textAlignment w:val="bottom"/>
            </w:pPr>
            <w:r>
              <w:rPr>
                <w:rFonts w:ascii="Arial" w:eastAsia="宋体" w:hAnsi="Arial" w:cs="Arial"/>
                <w:color w:val="0068B5"/>
                <w:sz w:val="18"/>
                <w:szCs w:val="18"/>
              </w:rPr>
              <w:t>1,967 </w:t>
            </w:r>
          </w:p>
        </w:tc>
        <w:tc>
          <w:tcPr>
            <w:tcW w:w="0" w:type="auto"/>
            <w:shd w:val="clear" w:color="auto" w:fill="auto"/>
            <w:tcMar>
              <w:top w:w="40" w:type="dxa"/>
              <w:left w:w="0" w:type="dxa"/>
              <w:bottom w:w="40" w:type="dxa"/>
              <w:right w:w="20" w:type="dxa"/>
            </w:tcMar>
            <w:vAlign w:val="bottom"/>
          </w:tcPr>
          <w:p w14:paraId="5A1B276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65" w14:textId="77777777" w:rsidR="00960BB8" w:rsidRDefault="00960BB8">
            <w:pPr>
              <w:rPr>
                <w:rFonts w:ascii="宋体"/>
              </w:rPr>
            </w:pPr>
          </w:p>
        </w:tc>
        <w:tc>
          <w:tcPr>
            <w:tcW w:w="0" w:type="auto"/>
            <w:shd w:val="clear" w:color="auto" w:fill="auto"/>
            <w:vAlign w:val="bottom"/>
          </w:tcPr>
          <w:p w14:paraId="5A1B2766" w14:textId="77777777" w:rsidR="00960BB8" w:rsidRDefault="00960BB8">
            <w:pPr>
              <w:rPr>
                <w:rFonts w:ascii="宋体"/>
                <w:vanish/>
              </w:rPr>
            </w:pPr>
          </w:p>
        </w:tc>
        <w:tc>
          <w:tcPr>
            <w:tcW w:w="0" w:type="auto"/>
            <w:shd w:val="clear" w:color="auto" w:fill="auto"/>
            <w:vAlign w:val="bottom"/>
          </w:tcPr>
          <w:p w14:paraId="5A1B276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68" w14:textId="77777777" w:rsidR="00960BB8" w:rsidRDefault="00C06650">
            <w:pPr>
              <w:jc w:val="right"/>
              <w:textAlignment w:val="bottom"/>
            </w:pPr>
            <w:r>
              <w:rPr>
                <w:rFonts w:ascii="Arial" w:eastAsia="宋体" w:hAnsi="Arial" w:cs="Arial"/>
                <w:color w:val="000000"/>
                <w:sz w:val="18"/>
                <w:szCs w:val="18"/>
              </w:rPr>
              <w:t>1,967 </w:t>
            </w:r>
          </w:p>
        </w:tc>
        <w:tc>
          <w:tcPr>
            <w:tcW w:w="0" w:type="auto"/>
            <w:shd w:val="clear" w:color="auto" w:fill="auto"/>
            <w:tcMar>
              <w:top w:w="40" w:type="dxa"/>
              <w:left w:w="0" w:type="dxa"/>
              <w:bottom w:w="40" w:type="dxa"/>
              <w:right w:w="20" w:type="dxa"/>
            </w:tcMar>
            <w:vAlign w:val="bottom"/>
          </w:tcPr>
          <w:p w14:paraId="5A1B2769" w14:textId="77777777" w:rsidR="00960BB8" w:rsidRDefault="00960BB8">
            <w:pPr>
              <w:jc w:val="right"/>
              <w:rPr>
                <w:rFonts w:ascii="宋体"/>
              </w:rPr>
            </w:pPr>
          </w:p>
        </w:tc>
        <w:tc>
          <w:tcPr>
            <w:tcW w:w="0" w:type="auto"/>
            <w:shd w:val="clear" w:color="auto" w:fill="auto"/>
            <w:vAlign w:val="bottom"/>
          </w:tcPr>
          <w:p w14:paraId="5A1B276A" w14:textId="77777777" w:rsidR="00960BB8" w:rsidRDefault="00960BB8">
            <w:pPr>
              <w:rPr>
                <w:rFonts w:ascii="宋体"/>
                <w:vanish/>
              </w:rPr>
            </w:pPr>
          </w:p>
        </w:tc>
        <w:tc>
          <w:tcPr>
            <w:tcW w:w="0" w:type="auto"/>
            <w:shd w:val="clear" w:color="auto" w:fill="auto"/>
            <w:vAlign w:val="bottom"/>
          </w:tcPr>
          <w:p w14:paraId="5A1B276B" w14:textId="77777777" w:rsidR="00960BB8" w:rsidRDefault="00960BB8">
            <w:pPr>
              <w:rPr>
                <w:rFonts w:ascii="宋体"/>
                <w:vanish/>
              </w:rPr>
            </w:pPr>
          </w:p>
        </w:tc>
        <w:tc>
          <w:tcPr>
            <w:tcW w:w="0" w:type="auto"/>
            <w:shd w:val="clear" w:color="auto" w:fill="auto"/>
            <w:vAlign w:val="bottom"/>
          </w:tcPr>
          <w:p w14:paraId="5A1B276C" w14:textId="77777777" w:rsidR="00960BB8" w:rsidRDefault="00960BB8">
            <w:pPr>
              <w:rPr>
                <w:rFonts w:ascii="宋体"/>
                <w:vanish/>
              </w:rPr>
            </w:pPr>
          </w:p>
        </w:tc>
        <w:tc>
          <w:tcPr>
            <w:tcW w:w="0" w:type="auto"/>
            <w:shd w:val="clear" w:color="auto" w:fill="auto"/>
            <w:vAlign w:val="bottom"/>
          </w:tcPr>
          <w:p w14:paraId="5A1B276D" w14:textId="77777777" w:rsidR="00960BB8" w:rsidRDefault="00960BB8">
            <w:pPr>
              <w:rPr>
                <w:rFonts w:ascii="宋体"/>
                <w:vanish/>
              </w:rPr>
            </w:pPr>
          </w:p>
        </w:tc>
      </w:tr>
      <w:tr w:rsidR="00960BB8" w14:paraId="5A1B277E" w14:textId="77777777">
        <w:tc>
          <w:tcPr>
            <w:tcW w:w="0" w:type="auto"/>
            <w:gridSpan w:val="3"/>
            <w:shd w:val="clear" w:color="auto" w:fill="auto"/>
            <w:tcMar>
              <w:top w:w="40" w:type="dxa"/>
              <w:left w:w="155" w:type="dxa"/>
              <w:bottom w:w="40" w:type="dxa"/>
              <w:right w:w="20" w:type="dxa"/>
            </w:tcMar>
            <w:vAlign w:val="bottom"/>
          </w:tcPr>
          <w:p w14:paraId="5A1B276F" w14:textId="77777777" w:rsidR="00960BB8" w:rsidRDefault="00C06650">
            <w:pPr>
              <w:textAlignment w:val="bottom"/>
            </w:pPr>
            <w:r>
              <w:rPr>
                <w:rFonts w:ascii="Arial" w:eastAsia="宋体" w:hAnsi="Arial" w:cs="Arial"/>
                <w:color w:val="262626"/>
                <w:sz w:val="18"/>
                <w:szCs w:val="18"/>
              </w:rPr>
              <w:t>3.25%, due November 2049</w:t>
            </w:r>
          </w:p>
        </w:tc>
        <w:tc>
          <w:tcPr>
            <w:tcW w:w="0" w:type="auto"/>
            <w:gridSpan w:val="3"/>
            <w:shd w:val="clear" w:color="auto" w:fill="auto"/>
            <w:tcMar>
              <w:top w:w="0" w:type="dxa"/>
              <w:left w:w="20" w:type="dxa"/>
              <w:bottom w:w="0" w:type="dxa"/>
              <w:right w:w="20" w:type="dxa"/>
            </w:tcMar>
            <w:vAlign w:val="bottom"/>
          </w:tcPr>
          <w:p w14:paraId="5A1B277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71" w14:textId="77777777" w:rsidR="00960BB8" w:rsidRDefault="00C06650">
            <w:pPr>
              <w:jc w:val="center"/>
              <w:textAlignment w:val="bottom"/>
            </w:pPr>
            <w:r>
              <w:rPr>
                <w:rFonts w:ascii="Arial" w:eastAsia="宋体" w:hAnsi="Arial" w:cs="Arial"/>
                <w:color w:val="0068B5"/>
                <w:sz w:val="18"/>
                <w:szCs w:val="18"/>
              </w:rPr>
              <w:t>3.19%</w:t>
            </w:r>
          </w:p>
        </w:tc>
        <w:tc>
          <w:tcPr>
            <w:tcW w:w="0" w:type="auto"/>
            <w:gridSpan w:val="3"/>
            <w:shd w:val="clear" w:color="auto" w:fill="auto"/>
            <w:tcMar>
              <w:top w:w="0" w:type="dxa"/>
              <w:left w:w="20" w:type="dxa"/>
              <w:bottom w:w="0" w:type="dxa"/>
              <w:right w:w="20" w:type="dxa"/>
            </w:tcMar>
            <w:vAlign w:val="bottom"/>
          </w:tcPr>
          <w:p w14:paraId="5A1B277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73" w14:textId="77777777" w:rsidR="00960BB8" w:rsidRDefault="00C06650">
            <w:pPr>
              <w:jc w:val="right"/>
              <w:textAlignment w:val="bottom"/>
            </w:pPr>
            <w:r>
              <w:rPr>
                <w:rFonts w:ascii="Arial" w:eastAsia="宋体" w:hAnsi="Arial" w:cs="Arial"/>
                <w:color w:val="0068B5"/>
                <w:sz w:val="18"/>
                <w:szCs w:val="18"/>
              </w:rPr>
              <w:t>2,000 </w:t>
            </w:r>
          </w:p>
        </w:tc>
        <w:tc>
          <w:tcPr>
            <w:tcW w:w="0" w:type="auto"/>
            <w:shd w:val="clear" w:color="auto" w:fill="auto"/>
            <w:tcMar>
              <w:top w:w="40" w:type="dxa"/>
              <w:left w:w="0" w:type="dxa"/>
              <w:bottom w:w="40" w:type="dxa"/>
              <w:right w:w="20" w:type="dxa"/>
            </w:tcMar>
            <w:vAlign w:val="bottom"/>
          </w:tcPr>
          <w:p w14:paraId="5A1B277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75" w14:textId="77777777" w:rsidR="00960BB8" w:rsidRDefault="00960BB8">
            <w:pPr>
              <w:rPr>
                <w:rFonts w:ascii="宋体"/>
              </w:rPr>
            </w:pPr>
          </w:p>
        </w:tc>
        <w:tc>
          <w:tcPr>
            <w:tcW w:w="0" w:type="auto"/>
            <w:shd w:val="clear" w:color="auto" w:fill="auto"/>
            <w:vAlign w:val="bottom"/>
          </w:tcPr>
          <w:p w14:paraId="5A1B2776" w14:textId="77777777" w:rsidR="00960BB8" w:rsidRDefault="00960BB8">
            <w:pPr>
              <w:rPr>
                <w:rFonts w:ascii="宋体"/>
                <w:vanish/>
              </w:rPr>
            </w:pPr>
          </w:p>
        </w:tc>
        <w:tc>
          <w:tcPr>
            <w:tcW w:w="0" w:type="auto"/>
            <w:shd w:val="clear" w:color="auto" w:fill="auto"/>
            <w:vAlign w:val="bottom"/>
          </w:tcPr>
          <w:p w14:paraId="5A1B277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78" w14:textId="77777777" w:rsidR="00960BB8" w:rsidRDefault="00C06650">
            <w:pPr>
              <w:jc w:val="right"/>
              <w:textAlignment w:val="bottom"/>
            </w:pPr>
            <w:r>
              <w:rPr>
                <w:rFonts w:ascii="Arial" w:eastAsia="宋体" w:hAnsi="Arial" w:cs="Arial"/>
                <w:color w:val="000000"/>
                <w:sz w:val="18"/>
                <w:szCs w:val="18"/>
              </w:rPr>
              <w:t>2,000 </w:t>
            </w:r>
          </w:p>
        </w:tc>
        <w:tc>
          <w:tcPr>
            <w:tcW w:w="0" w:type="auto"/>
            <w:shd w:val="clear" w:color="auto" w:fill="auto"/>
            <w:tcMar>
              <w:top w:w="40" w:type="dxa"/>
              <w:left w:w="0" w:type="dxa"/>
              <w:bottom w:w="40" w:type="dxa"/>
              <w:right w:w="20" w:type="dxa"/>
            </w:tcMar>
            <w:vAlign w:val="bottom"/>
          </w:tcPr>
          <w:p w14:paraId="5A1B2779" w14:textId="77777777" w:rsidR="00960BB8" w:rsidRDefault="00960BB8">
            <w:pPr>
              <w:jc w:val="right"/>
              <w:rPr>
                <w:rFonts w:ascii="宋体"/>
              </w:rPr>
            </w:pPr>
          </w:p>
        </w:tc>
        <w:tc>
          <w:tcPr>
            <w:tcW w:w="0" w:type="auto"/>
            <w:shd w:val="clear" w:color="auto" w:fill="auto"/>
            <w:vAlign w:val="bottom"/>
          </w:tcPr>
          <w:p w14:paraId="5A1B277A" w14:textId="77777777" w:rsidR="00960BB8" w:rsidRDefault="00960BB8">
            <w:pPr>
              <w:rPr>
                <w:rFonts w:ascii="宋体"/>
                <w:vanish/>
              </w:rPr>
            </w:pPr>
          </w:p>
        </w:tc>
        <w:tc>
          <w:tcPr>
            <w:tcW w:w="0" w:type="auto"/>
            <w:shd w:val="clear" w:color="auto" w:fill="auto"/>
            <w:vAlign w:val="bottom"/>
          </w:tcPr>
          <w:p w14:paraId="5A1B277B" w14:textId="77777777" w:rsidR="00960BB8" w:rsidRDefault="00960BB8">
            <w:pPr>
              <w:rPr>
                <w:rFonts w:ascii="宋体"/>
                <w:vanish/>
              </w:rPr>
            </w:pPr>
          </w:p>
        </w:tc>
        <w:tc>
          <w:tcPr>
            <w:tcW w:w="0" w:type="auto"/>
            <w:shd w:val="clear" w:color="auto" w:fill="auto"/>
            <w:vAlign w:val="bottom"/>
          </w:tcPr>
          <w:p w14:paraId="5A1B277C" w14:textId="77777777" w:rsidR="00960BB8" w:rsidRDefault="00960BB8">
            <w:pPr>
              <w:rPr>
                <w:rFonts w:ascii="宋体"/>
                <w:vanish/>
              </w:rPr>
            </w:pPr>
          </w:p>
        </w:tc>
        <w:tc>
          <w:tcPr>
            <w:tcW w:w="0" w:type="auto"/>
            <w:shd w:val="clear" w:color="auto" w:fill="auto"/>
            <w:vAlign w:val="bottom"/>
          </w:tcPr>
          <w:p w14:paraId="5A1B277D" w14:textId="77777777" w:rsidR="00960BB8" w:rsidRDefault="00960BB8">
            <w:pPr>
              <w:rPr>
                <w:rFonts w:ascii="宋体"/>
                <w:vanish/>
              </w:rPr>
            </w:pPr>
          </w:p>
        </w:tc>
      </w:tr>
      <w:tr w:rsidR="00960BB8" w14:paraId="5A1B278E" w14:textId="77777777">
        <w:tc>
          <w:tcPr>
            <w:tcW w:w="0" w:type="auto"/>
            <w:gridSpan w:val="3"/>
            <w:shd w:val="clear" w:color="auto" w:fill="auto"/>
            <w:tcMar>
              <w:top w:w="40" w:type="dxa"/>
              <w:left w:w="155" w:type="dxa"/>
              <w:bottom w:w="40" w:type="dxa"/>
              <w:right w:w="20" w:type="dxa"/>
            </w:tcMar>
            <w:vAlign w:val="bottom"/>
          </w:tcPr>
          <w:p w14:paraId="5A1B277F" w14:textId="77777777" w:rsidR="00960BB8" w:rsidRDefault="00C06650">
            <w:pPr>
              <w:textAlignment w:val="bottom"/>
            </w:pPr>
            <w:r>
              <w:rPr>
                <w:rFonts w:ascii="Arial" w:eastAsia="宋体" w:hAnsi="Arial" w:cs="Arial"/>
                <w:color w:val="262626"/>
                <w:sz w:val="18"/>
                <w:szCs w:val="18"/>
              </w:rPr>
              <w:t xml:space="preserve">4.75%, </w:t>
            </w:r>
            <w:r>
              <w:rPr>
                <w:rFonts w:ascii="Arial" w:eastAsia="宋体" w:hAnsi="Arial" w:cs="Arial"/>
                <w:color w:val="262626"/>
                <w:sz w:val="18"/>
                <w:szCs w:val="18"/>
              </w:rPr>
              <w:t>due March 2050</w:t>
            </w:r>
          </w:p>
        </w:tc>
        <w:tc>
          <w:tcPr>
            <w:tcW w:w="0" w:type="auto"/>
            <w:gridSpan w:val="3"/>
            <w:shd w:val="clear" w:color="auto" w:fill="auto"/>
            <w:tcMar>
              <w:top w:w="0" w:type="dxa"/>
              <w:left w:w="20" w:type="dxa"/>
              <w:bottom w:w="0" w:type="dxa"/>
              <w:right w:w="20" w:type="dxa"/>
            </w:tcMar>
            <w:vAlign w:val="bottom"/>
          </w:tcPr>
          <w:p w14:paraId="5A1B278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81" w14:textId="77777777" w:rsidR="00960BB8" w:rsidRDefault="00C06650">
            <w:pPr>
              <w:jc w:val="center"/>
              <w:textAlignment w:val="bottom"/>
            </w:pPr>
            <w:r>
              <w:rPr>
                <w:rFonts w:ascii="Arial" w:eastAsia="宋体" w:hAnsi="Arial" w:cs="Arial"/>
                <w:color w:val="0068B5"/>
                <w:sz w:val="18"/>
                <w:szCs w:val="18"/>
              </w:rPr>
              <w:t>4.73%</w:t>
            </w:r>
          </w:p>
        </w:tc>
        <w:tc>
          <w:tcPr>
            <w:tcW w:w="0" w:type="auto"/>
            <w:gridSpan w:val="3"/>
            <w:shd w:val="clear" w:color="auto" w:fill="auto"/>
            <w:tcMar>
              <w:top w:w="0" w:type="dxa"/>
              <w:left w:w="20" w:type="dxa"/>
              <w:bottom w:w="0" w:type="dxa"/>
              <w:right w:w="20" w:type="dxa"/>
            </w:tcMar>
            <w:vAlign w:val="bottom"/>
          </w:tcPr>
          <w:p w14:paraId="5A1B278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83" w14:textId="77777777" w:rsidR="00960BB8" w:rsidRDefault="00C06650">
            <w:pPr>
              <w:jc w:val="right"/>
              <w:textAlignment w:val="bottom"/>
            </w:pPr>
            <w:r>
              <w:rPr>
                <w:rFonts w:ascii="Arial" w:eastAsia="宋体" w:hAnsi="Arial" w:cs="Arial"/>
                <w:color w:val="0068B5"/>
                <w:sz w:val="18"/>
                <w:szCs w:val="18"/>
              </w:rPr>
              <w:t>2,250 </w:t>
            </w:r>
          </w:p>
        </w:tc>
        <w:tc>
          <w:tcPr>
            <w:tcW w:w="0" w:type="auto"/>
            <w:shd w:val="clear" w:color="auto" w:fill="auto"/>
            <w:tcMar>
              <w:top w:w="40" w:type="dxa"/>
              <w:left w:w="0" w:type="dxa"/>
              <w:bottom w:w="40" w:type="dxa"/>
              <w:right w:w="20" w:type="dxa"/>
            </w:tcMar>
            <w:vAlign w:val="bottom"/>
          </w:tcPr>
          <w:p w14:paraId="5A1B278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85" w14:textId="77777777" w:rsidR="00960BB8" w:rsidRDefault="00960BB8">
            <w:pPr>
              <w:rPr>
                <w:rFonts w:ascii="宋体"/>
              </w:rPr>
            </w:pPr>
          </w:p>
        </w:tc>
        <w:tc>
          <w:tcPr>
            <w:tcW w:w="0" w:type="auto"/>
            <w:shd w:val="clear" w:color="auto" w:fill="auto"/>
            <w:vAlign w:val="bottom"/>
          </w:tcPr>
          <w:p w14:paraId="5A1B2786" w14:textId="77777777" w:rsidR="00960BB8" w:rsidRDefault="00960BB8">
            <w:pPr>
              <w:rPr>
                <w:rFonts w:ascii="宋体"/>
                <w:vanish/>
              </w:rPr>
            </w:pPr>
          </w:p>
        </w:tc>
        <w:tc>
          <w:tcPr>
            <w:tcW w:w="0" w:type="auto"/>
            <w:shd w:val="clear" w:color="auto" w:fill="auto"/>
            <w:vAlign w:val="bottom"/>
          </w:tcPr>
          <w:p w14:paraId="5A1B278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88" w14:textId="77777777" w:rsidR="00960BB8" w:rsidRDefault="00C06650">
            <w:pPr>
              <w:jc w:val="right"/>
              <w:textAlignment w:val="bottom"/>
            </w:pPr>
            <w:r>
              <w:rPr>
                <w:rFonts w:ascii="Arial" w:eastAsia="宋体" w:hAnsi="Arial" w:cs="Arial"/>
                <w:color w:val="000000"/>
                <w:sz w:val="18"/>
                <w:szCs w:val="18"/>
              </w:rPr>
              <w:t>2,250 </w:t>
            </w:r>
          </w:p>
        </w:tc>
        <w:tc>
          <w:tcPr>
            <w:tcW w:w="0" w:type="auto"/>
            <w:shd w:val="clear" w:color="auto" w:fill="auto"/>
            <w:tcMar>
              <w:top w:w="40" w:type="dxa"/>
              <w:left w:w="0" w:type="dxa"/>
              <w:bottom w:w="40" w:type="dxa"/>
              <w:right w:w="20" w:type="dxa"/>
            </w:tcMar>
            <w:vAlign w:val="bottom"/>
          </w:tcPr>
          <w:p w14:paraId="5A1B2789" w14:textId="77777777" w:rsidR="00960BB8" w:rsidRDefault="00960BB8">
            <w:pPr>
              <w:jc w:val="right"/>
              <w:rPr>
                <w:rFonts w:ascii="宋体"/>
              </w:rPr>
            </w:pPr>
          </w:p>
        </w:tc>
        <w:tc>
          <w:tcPr>
            <w:tcW w:w="0" w:type="auto"/>
            <w:shd w:val="clear" w:color="auto" w:fill="auto"/>
            <w:vAlign w:val="bottom"/>
          </w:tcPr>
          <w:p w14:paraId="5A1B278A" w14:textId="77777777" w:rsidR="00960BB8" w:rsidRDefault="00960BB8">
            <w:pPr>
              <w:rPr>
                <w:rFonts w:ascii="宋体"/>
                <w:vanish/>
              </w:rPr>
            </w:pPr>
          </w:p>
        </w:tc>
        <w:tc>
          <w:tcPr>
            <w:tcW w:w="0" w:type="auto"/>
            <w:shd w:val="clear" w:color="auto" w:fill="auto"/>
            <w:vAlign w:val="bottom"/>
          </w:tcPr>
          <w:p w14:paraId="5A1B278B" w14:textId="77777777" w:rsidR="00960BB8" w:rsidRDefault="00960BB8">
            <w:pPr>
              <w:rPr>
                <w:rFonts w:ascii="宋体"/>
                <w:vanish/>
              </w:rPr>
            </w:pPr>
          </w:p>
        </w:tc>
        <w:tc>
          <w:tcPr>
            <w:tcW w:w="0" w:type="auto"/>
            <w:shd w:val="clear" w:color="auto" w:fill="auto"/>
            <w:vAlign w:val="bottom"/>
          </w:tcPr>
          <w:p w14:paraId="5A1B278C" w14:textId="77777777" w:rsidR="00960BB8" w:rsidRDefault="00960BB8">
            <w:pPr>
              <w:rPr>
                <w:rFonts w:ascii="宋体"/>
                <w:vanish/>
              </w:rPr>
            </w:pPr>
          </w:p>
        </w:tc>
        <w:tc>
          <w:tcPr>
            <w:tcW w:w="0" w:type="auto"/>
            <w:shd w:val="clear" w:color="auto" w:fill="auto"/>
            <w:vAlign w:val="bottom"/>
          </w:tcPr>
          <w:p w14:paraId="5A1B278D" w14:textId="77777777" w:rsidR="00960BB8" w:rsidRDefault="00960BB8">
            <w:pPr>
              <w:rPr>
                <w:rFonts w:ascii="宋体"/>
                <w:vanish/>
              </w:rPr>
            </w:pPr>
          </w:p>
        </w:tc>
      </w:tr>
      <w:tr w:rsidR="00960BB8" w14:paraId="5A1B279E" w14:textId="77777777">
        <w:tc>
          <w:tcPr>
            <w:tcW w:w="0" w:type="auto"/>
            <w:gridSpan w:val="3"/>
            <w:shd w:val="clear" w:color="auto" w:fill="auto"/>
            <w:tcMar>
              <w:top w:w="40" w:type="dxa"/>
              <w:left w:w="155" w:type="dxa"/>
              <w:bottom w:w="40" w:type="dxa"/>
              <w:right w:w="20" w:type="dxa"/>
            </w:tcMar>
            <w:vAlign w:val="bottom"/>
          </w:tcPr>
          <w:p w14:paraId="5A1B278F" w14:textId="77777777" w:rsidR="00960BB8" w:rsidRDefault="00C06650">
            <w:pPr>
              <w:textAlignment w:val="bottom"/>
            </w:pPr>
            <w:r>
              <w:rPr>
                <w:rFonts w:ascii="Arial" w:eastAsia="宋体" w:hAnsi="Arial" w:cs="Arial"/>
                <w:color w:val="262626"/>
                <w:sz w:val="18"/>
                <w:szCs w:val="18"/>
              </w:rPr>
              <w:t xml:space="preserve">3.05%, </w:t>
            </w:r>
            <w:r>
              <w:rPr>
                <w:rFonts w:ascii="Arial" w:eastAsia="宋体" w:hAnsi="Arial" w:cs="Arial"/>
                <w:color w:val="262626"/>
                <w:sz w:val="18"/>
                <w:szCs w:val="18"/>
              </w:rPr>
              <w:t>due August 2051</w:t>
            </w:r>
          </w:p>
        </w:tc>
        <w:tc>
          <w:tcPr>
            <w:tcW w:w="0" w:type="auto"/>
            <w:gridSpan w:val="3"/>
            <w:shd w:val="clear" w:color="auto" w:fill="auto"/>
            <w:tcMar>
              <w:top w:w="0" w:type="dxa"/>
              <w:left w:w="20" w:type="dxa"/>
              <w:bottom w:w="0" w:type="dxa"/>
              <w:right w:w="20" w:type="dxa"/>
            </w:tcMar>
            <w:vAlign w:val="bottom"/>
          </w:tcPr>
          <w:p w14:paraId="5A1B279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91" w14:textId="77777777" w:rsidR="00960BB8" w:rsidRDefault="00C06650">
            <w:pPr>
              <w:jc w:val="center"/>
              <w:textAlignment w:val="bottom"/>
            </w:pPr>
            <w:r>
              <w:rPr>
                <w:rFonts w:ascii="Arial" w:eastAsia="宋体" w:hAnsi="Arial" w:cs="Arial"/>
                <w:color w:val="0068B5"/>
                <w:sz w:val="18"/>
                <w:szCs w:val="18"/>
              </w:rPr>
              <w:t>3.06%</w:t>
            </w:r>
          </w:p>
        </w:tc>
        <w:tc>
          <w:tcPr>
            <w:tcW w:w="0" w:type="auto"/>
            <w:gridSpan w:val="3"/>
            <w:shd w:val="clear" w:color="auto" w:fill="auto"/>
            <w:tcMar>
              <w:top w:w="0" w:type="dxa"/>
              <w:left w:w="20" w:type="dxa"/>
              <w:bottom w:w="0" w:type="dxa"/>
              <w:right w:w="20" w:type="dxa"/>
            </w:tcMar>
            <w:vAlign w:val="bottom"/>
          </w:tcPr>
          <w:p w14:paraId="5A1B279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93" w14:textId="77777777" w:rsidR="00960BB8" w:rsidRDefault="00C06650">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5A1B279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95" w14:textId="77777777" w:rsidR="00960BB8" w:rsidRDefault="00960BB8">
            <w:pPr>
              <w:rPr>
                <w:rFonts w:ascii="宋体"/>
              </w:rPr>
            </w:pPr>
          </w:p>
        </w:tc>
        <w:tc>
          <w:tcPr>
            <w:tcW w:w="0" w:type="auto"/>
            <w:shd w:val="clear" w:color="auto" w:fill="auto"/>
            <w:vAlign w:val="bottom"/>
          </w:tcPr>
          <w:p w14:paraId="5A1B2796" w14:textId="77777777" w:rsidR="00960BB8" w:rsidRDefault="00960BB8">
            <w:pPr>
              <w:rPr>
                <w:rFonts w:ascii="宋体"/>
                <w:vanish/>
              </w:rPr>
            </w:pPr>
          </w:p>
        </w:tc>
        <w:tc>
          <w:tcPr>
            <w:tcW w:w="0" w:type="auto"/>
            <w:shd w:val="clear" w:color="auto" w:fill="auto"/>
            <w:vAlign w:val="bottom"/>
          </w:tcPr>
          <w:p w14:paraId="5A1B279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98" w14:textId="77777777" w:rsidR="00960BB8" w:rsidRDefault="00C06650">
            <w:pPr>
              <w:jc w:val="right"/>
              <w:textAlignment w:val="bottom"/>
            </w:pPr>
            <w:r>
              <w:rPr>
                <w:rFonts w:ascii="Arial" w:eastAsia="宋体" w:hAnsi="Arial" w:cs="Arial"/>
                <w:color w:val="000000"/>
                <w:sz w:val="18"/>
                <w:szCs w:val="18"/>
              </w:rPr>
              <w:t>1,250 </w:t>
            </w:r>
          </w:p>
        </w:tc>
        <w:tc>
          <w:tcPr>
            <w:tcW w:w="0" w:type="auto"/>
            <w:shd w:val="clear" w:color="auto" w:fill="auto"/>
            <w:tcMar>
              <w:top w:w="40" w:type="dxa"/>
              <w:left w:w="0" w:type="dxa"/>
              <w:bottom w:w="40" w:type="dxa"/>
              <w:right w:w="20" w:type="dxa"/>
            </w:tcMar>
            <w:vAlign w:val="bottom"/>
          </w:tcPr>
          <w:p w14:paraId="5A1B2799" w14:textId="77777777" w:rsidR="00960BB8" w:rsidRDefault="00960BB8">
            <w:pPr>
              <w:jc w:val="right"/>
              <w:rPr>
                <w:rFonts w:ascii="宋体"/>
              </w:rPr>
            </w:pPr>
          </w:p>
        </w:tc>
        <w:tc>
          <w:tcPr>
            <w:tcW w:w="0" w:type="auto"/>
            <w:shd w:val="clear" w:color="auto" w:fill="auto"/>
            <w:vAlign w:val="bottom"/>
          </w:tcPr>
          <w:p w14:paraId="5A1B279A" w14:textId="77777777" w:rsidR="00960BB8" w:rsidRDefault="00960BB8">
            <w:pPr>
              <w:rPr>
                <w:rFonts w:ascii="宋体"/>
                <w:vanish/>
              </w:rPr>
            </w:pPr>
          </w:p>
        </w:tc>
        <w:tc>
          <w:tcPr>
            <w:tcW w:w="0" w:type="auto"/>
            <w:shd w:val="clear" w:color="auto" w:fill="auto"/>
            <w:vAlign w:val="bottom"/>
          </w:tcPr>
          <w:p w14:paraId="5A1B279B" w14:textId="77777777" w:rsidR="00960BB8" w:rsidRDefault="00960BB8">
            <w:pPr>
              <w:rPr>
                <w:rFonts w:ascii="宋体"/>
                <w:vanish/>
              </w:rPr>
            </w:pPr>
          </w:p>
        </w:tc>
        <w:tc>
          <w:tcPr>
            <w:tcW w:w="0" w:type="auto"/>
            <w:shd w:val="clear" w:color="auto" w:fill="auto"/>
            <w:vAlign w:val="bottom"/>
          </w:tcPr>
          <w:p w14:paraId="5A1B279C" w14:textId="77777777" w:rsidR="00960BB8" w:rsidRDefault="00960BB8">
            <w:pPr>
              <w:rPr>
                <w:rFonts w:ascii="宋体"/>
                <w:vanish/>
              </w:rPr>
            </w:pPr>
          </w:p>
        </w:tc>
        <w:tc>
          <w:tcPr>
            <w:tcW w:w="0" w:type="auto"/>
            <w:shd w:val="clear" w:color="auto" w:fill="auto"/>
            <w:vAlign w:val="bottom"/>
          </w:tcPr>
          <w:p w14:paraId="5A1B279D" w14:textId="77777777" w:rsidR="00960BB8" w:rsidRDefault="00960BB8">
            <w:pPr>
              <w:rPr>
                <w:rFonts w:ascii="宋体"/>
                <w:vanish/>
              </w:rPr>
            </w:pPr>
          </w:p>
        </w:tc>
      </w:tr>
      <w:tr w:rsidR="00960BB8" w14:paraId="5A1B27AE" w14:textId="77777777">
        <w:tc>
          <w:tcPr>
            <w:tcW w:w="0" w:type="auto"/>
            <w:gridSpan w:val="3"/>
            <w:shd w:val="clear" w:color="auto" w:fill="auto"/>
            <w:tcMar>
              <w:top w:w="40" w:type="dxa"/>
              <w:left w:w="155" w:type="dxa"/>
              <w:bottom w:w="40" w:type="dxa"/>
              <w:right w:w="20" w:type="dxa"/>
            </w:tcMar>
            <w:vAlign w:val="bottom"/>
          </w:tcPr>
          <w:p w14:paraId="5A1B279F" w14:textId="77777777" w:rsidR="00960BB8" w:rsidRDefault="00C06650">
            <w:pPr>
              <w:textAlignment w:val="bottom"/>
            </w:pPr>
            <w:r>
              <w:rPr>
                <w:rFonts w:ascii="Arial" w:eastAsia="宋体" w:hAnsi="Arial" w:cs="Arial"/>
                <w:color w:val="262626"/>
                <w:sz w:val="18"/>
                <w:szCs w:val="18"/>
              </w:rPr>
              <w:t xml:space="preserve">4.90%, </w:t>
            </w:r>
            <w:r>
              <w:rPr>
                <w:rFonts w:ascii="Arial" w:eastAsia="宋体" w:hAnsi="Arial" w:cs="Arial"/>
                <w:color w:val="262626"/>
                <w:sz w:val="18"/>
                <w:szCs w:val="18"/>
              </w:rPr>
              <w:t>due August 2052</w:t>
            </w:r>
          </w:p>
        </w:tc>
        <w:tc>
          <w:tcPr>
            <w:tcW w:w="0" w:type="auto"/>
            <w:gridSpan w:val="3"/>
            <w:shd w:val="clear" w:color="auto" w:fill="auto"/>
            <w:tcMar>
              <w:top w:w="0" w:type="dxa"/>
              <w:left w:w="20" w:type="dxa"/>
              <w:bottom w:w="0" w:type="dxa"/>
              <w:right w:w="20" w:type="dxa"/>
            </w:tcMar>
            <w:vAlign w:val="bottom"/>
          </w:tcPr>
          <w:p w14:paraId="5A1B27A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A1" w14:textId="77777777" w:rsidR="00960BB8" w:rsidRDefault="00C06650">
            <w:pPr>
              <w:jc w:val="center"/>
              <w:textAlignment w:val="bottom"/>
            </w:pPr>
            <w:r>
              <w:rPr>
                <w:rFonts w:ascii="Arial" w:eastAsia="宋体" w:hAnsi="Arial" w:cs="Arial"/>
                <w:color w:val="0068B5"/>
                <w:sz w:val="18"/>
                <w:szCs w:val="18"/>
              </w:rPr>
              <w:t>4.88%</w:t>
            </w:r>
          </w:p>
        </w:tc>
        <w:tc>
          <w:tcPr>
            <w:tcW w:w="0" w:type="auto"/>
            <w:gridSpan w:val="3"/>
            <w:shd w:val="clear" w:color="auto" w:fill="auto"/>
            <w:tcMar>
              <w:top w:w="0" w:type="dxa"/>
              <w:left w:w="20" w:type="dxa"/>
              <w:bottom w:w="0" w:type="dxa"/>
              <w:right w:w="20" w:type="dxa"/>
            </w:tcMar>
            <w:vAlign w:val="bottom"/>
          </w:tcPr>
          <w:p w14:paraId="5A1B27A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A3" w14:textId="77777777" w:rsidR="00960BB8" w:rsidRDefault="00C06650">
            <w:pPr>
              <w:jc w:val="right"/>
              <w:textAlignment w:val="bottom"/>
            </w:pPr>
            <w:r>
              <w:rPr>
                <w:rFonts w:ascii="Arial" w:eastAsia="宋体" w:hAnsi="Arial" w:cs="Arial"/>
                <w:color w:val="0068B5"/>
                <w:sz w:val="18"/>
                <w:szCs w:val="18"/>
              </w:rPr>
              <w:t>1,750 </w:t>
            </w:r>
          </w:p>
        </w:tc>
        <w:tc>
          <w:tcPr>
            <w:tcW w:w="0" w:type="auto"/>
            <w:shd w:val="clear" w:color="auto" w:fill="auto"/>
            <w:tcMar>
              <w:top w:w="40" w:type="dxa"/>
              <w:left w:w="0" w:type="dxa"/>
              <w:bottom w:w="40" w:type="dxa"/>
              <w:right w:w="20" w:type="dxa"/>
            </w:tcMar>
            <w:vAlign w:val="bottom"/>
          </w:tcPr>
          <w:p w14:paraId="5A1B27A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A5" w14:textId="77777777" w:rsidR="00960BB8" w:rsidRDefault="00960BB8">
            <w:pPr>
              <w:rPr>
                <w:rFonts w:ascii="宋体"/>
              </w:rPr>
            </w:pPr>
          </w:p>
        </w:tc>
        <w:tc>
          <w:tcPr>
            <w:tcW w:w="0" w:type="auto"/>
            <w:shd w:val="clear" w:color="auto" w:fill="auto"/>
            <w:vAlign w:val="bottom"/>
          </w:tcPr>
          <w:p w14:paraId="5A1B27A6" w14:textId="77777777" w:rsidR="00960BB8" w:rsidRDefault="00960BB8">
            <w:pPr>
              <w:rPr>
                <w:rFonts w:ascii="宋体"/>
                <w:vanish/>
              </w:rPr>
            </w:pPr>
          </w:p>
        </w:tc>
        <w:tc>
          <w:tcPr>
            <w:tcW w:w="0" w:type="auto"/>
            <w:shd w:val="clear" w:color="auto" w:fill="auto"/>
            <w:vAlign w:val="bottom"/>
          </w:tcPr>
          <w:p w14:paraId="5A1B27A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A8"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5A1B27A9" w14:textId="77777777" w:rsidR="00960BB8" w:rsidRDefault="00960BB8">
            <w:pPr>
              <w:jc w:val="right"/>
              <w:rPr>
                <w:rFonts w:ascii="宋体"/>
              </w:rPr>
            </w:pPr>
          </w:p>
        </w:tc>
        <w:tc>
          <w:tcPr>
            <w:tcW w:w="0" w:type="auto"/>
            <w:shd w:val="clear" w:color="auto" w:fill="auto"/>
            <w:vAlign w:val="bottom"/>
          </w:tcPr>
          <w:p w14:paraId="5A1B27AA" w14:textId="77777777" w:rsidR="00960BB8" w:rsidRDefault="00960BB8">
            <w:pPr>
              <w:rPr>
                <w:rFonts w:ascii="宋体"/>
                <w:vanish/>
              </w:rPr>
            </w:pPr>
          </w:p>
        </w:tc>
        <w:tc>
          <w:tcPr>
            <w:tcW w:w="0" w:type="auto"/>
            <w:shd w:val="clear" w:color="auto" w:fill="auto"/>
            <w:vAlign w:val="bottom"/>
          </w:tcPr>
          <w:p w14:paraId="5A1B27AB" w14:textId="77777777" w:rsidR="00960BB8" w:rsidRDefault="00960BB8">
            <w:pPr>
              <w:rPr>
                <w:rFonts w:ascii="宋体"/>
                <w:vanish/>
              </w:rPr>
            </w:pPr>
          </w:p>
        </w:tc>
        <w:tc>
          <w:tcPr>
            <w:tcW w:w="0" w:type="auto"/>
            <w:shd w:val="clear" w:color="auto" w:fill="auto"/>
            <w:vAlign w:val="bottom"/>
          </w:tcPr>
          <w:p w14:paraId="5A1B27AC" w14:textId="77777777" w:rsidR="00960BB8" w:rsidRDefault="00960BB8">
            <w:pPr>
              <w:rPr>
                <w:rFonts w:ascii="宋体"/>
                <w:vanish/>
              </w:rPr>
            </w:pPr>
          </w:p>
        </w:tc>
        <w:tc>
          <w:tcPr>
            <w:tcW w:w="0" w:type="auto"/>
            <w:shd w:val="clear" w:color="auto" w:fill="auto"/>
            <w:vAlign w:val="bottom"/>
          </w:tcPr>
          <w:p w14:paraId="5A1B27AD" w14:textId="77777777" w:rsidR="00960BB8" w:rsidRDefault="00960BB8">
            <w:pPr>
              <w:rPr>
                <w:rFonts w:ascii="宋体"/>
                <w:vanish/>
              </w:rPr>
            </w:pPr>
          </w:p>
        </w:tc>
      </w:tr>
      <w:tr w:rsidR="00960BB8" w14:paraId="5A1B27BE" w14:textId="77777777">
        <w:tc>
          <w:tcPr>
            <w:tcW w:w="0" w:type="auto"/>
            <w:gridSpan w:val="3"/>
            <w:shd w:val="clear" w:color="auto" w:fill="auto"/>
            <w:tcMar>
              <w:top w:w="40" w:type="dxa"/>
              <w:left w:w="155" w:type="dxa"/>
              <w:bottom w:w="40" w:type="dxa"/>
              <w:right w:w="20" w:type="dxa"/>
            </w:tcMar>
            <w:vAlign w:val="bottom"/>
          </w:tcPr>
          <w:p w14:paraId="5A1B27AF" w14:textId="77777777" w:rsidR="00960BB8" w:rsidRDefault="00C06650">
            <w:pPr>
              <w:textAlignment w:val="bottom"/>
            </w:pPr>
            <w:r>
              <w:rPr>
                <w:rFonts w:ascii="Arial" w:eastAsia="宋体" w:hAnsi="Arial" w:cs="Arial"/>
                <w:color w:val="262626"/>
                <w:sz w:val="18"/>
                <w:szCs w:val="18"/>
              </w:rPr>
              <w:t xml:space="preserve">3.10%, </w:t>
            </w:r>
            <w:r>
              <w:rPr>
                <w:rFonts w:ascii="Arial" w:eastAsia="宋体" w:hAnsi="Arial" w:cs="Arial"/>
                <w:color w:val="262626"/>
                <w:sz w:val="18"/>
                <w:szCs w:val="18"/>
              </w:rPr>
              <w:t>due February 2060</w:t>
            </w:r>
          </w:p>
        </w:tc>
        <w:tc>
          <w:tcPr>
            <w:tcW w:w="0" w:type="auto"/>
            <w:gridSpan w:val="3"/>
            <w:shd w:val="clear" w:color="auto" w:fill="auto"/>
            <w:tcMar>
              <w:top w:w="0" w:type="dxa"/>
              <w:left w:w="20" w:type="dxa"/>
              <w:bottom w:w="0" w:type="dxa"/>
              <w:right w:w="20" w:type="dxa"/>
            </w:tcMar>
            <w:vAlign w:val="bottom"/>
          </w:tcPr>
          <w:p w14:paraId="5A1B27B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B1" w14:textId="77777777" w:rsidR="00960BB8" w:rsidRDefault="00C06650">
            <w:pPr>
              <w:jc w:val="center"/>
              <w:textAlignment w:val="bottom"/>
            </w:pPr>
            <w:r>
              <w:rPr>
                <w:rFonts w:ascii="Arial" w:eastAsia="宋体" w:hAnsi="Arial" w:cs="Arial"/>
                <w:color w:val="0068B5"/>
                <w:sz w:val="18"/>
                <w:szCs w:val="18"/>
              </w:rPr>
              <w:t>3.10%</w:t>
            </w:r>
          </w:p>
        </w:tc>
        <w:tc>
          <w:tcPr>
            <w:tcW w:w="0" w:type="auto"/>
            <w:gridSpan w:val="3"/>
            <w:shd w:val="clear" w:color="auto" w:fill="auto"/>
            <w:tcMar>
              <w:top w:w="0" w:type="dxa"/>
              <w:left w:w="20" w:type="dxa"/>
              <w:bottom w:w="0" w:type="dxa"/>
              <w:right w:w="20" w:type="dxa"/>
            </w:tcMar>
            <w:vAlign w:val="bottom"/>
          </w:tcPr>
          <w:p w14:paraId="5A1B27B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B3" w14:textId="77777777" w:rsidR="00960BB8" w:rsidRDefault="00C06650">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5A1B27B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B5" w14:textId="77777777" w:rsidR="00960BB8" w:rsidRDefault="00960BB8">
            <w:pPr>
              <w:rPr>
                <w:rFonts w:ascii="宋体"/>
              </w:rPr>
            </w:pPr>
          </w:p>
        </w:tc>
        <w:tc>
          <w:tcPr>
            <w:tcW w:w="0" w:type="auto"/>
            <w:shd w:val="clear" w:color="auto" w:fill="auto"/>
            <w:vAlign w:val="bottom"/>
          </w:tcPr>
          <w:p w14:paraId="5A1B27B6" w14:textId="77777777" w:rsidR="00960BB8" w:rsidRDefault="00960BB8">
            <w:pPr>
              <w:rPr>
                <w:rFonts w:ascii="宋体"/>
                <w:vanish/>
              </w:rPr>
            </w:pPr>
          </w:p>
        </w:tc>
        <w:tc>
          <w:tcPr>
            <w:tcW w:w="0" w:type="auto"/>
            <w:shd w:val="clear" w:color="auto" w:fill="auto"/>
            <w:vAlign w:val="bottom"/>
          </w:tcPr>
          <w:p w14:paraId="5A1B27B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B8" w14:textId="77777777" w:rsidR="00960BB8" w:rsidRDefault="00C06650">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5A1B27B9" w14:textId="77777777" w:rsidR="00960BB8" w:rsidRDefault="00960BB8">
            <w:pPr>
              <w:jc w:val="right"/>
              <w:rPr>
                <w:rFonts w:ascii="宋体"/>
              </w:rPr>
            </w:pPr>
          </w:p>
        </w:tc>
        <w:tc>
          <w:tcPr>
            <w:tcW w:w="0" w:type="auto"/>
            <w:shd w:val="clear" w:color="auto" w:fill="auto"/>
            <w:vAlign w:val="bottom"/>
          </w:tcPr>
          <w:p w14:paraId="5A1B27BA" w14:textId="77777777" w:rsidR="00960BB8" w:rsidRDefault="00960BB8">
            <w:pPr>
              <w:rPr>
                <w:rFonts w:ascii="宋体"/>
                <w:vanish/>
              </w:rPr>
            </w:pPr>
          </w:p>
        </w:tc>
        <w:tc>
          <w:tcPr>
            <w:tcW w:w="0" w:type="auto"/>
            <w:shd w:val="clear" w:color="auto" w:fill="auto"/>
            <w:vAlign w:val="bottom"/>
          </w:tcPr>
          <w:p w14:paraId="5A1B27BB" w14:textId="77777777" w:rsidR="00960BB8" w:rsidRDefault="00960BB8">
            <w:pPr>
              <w:rPr>
                <w:rFonts w:ascii="宋体"/>
                <w:vanish/>
              </w:rPr>
            </w:pPr>
          </w:p>
        </w:tc>
        <w:tc>
          <w:tcPr>
            <w:tcW w:w="0" w:type="auto"/>
            <w:shd w:val="clear" w:color="auto" w:fill="auto"/>
            <w:vAlign w:val="bottom"/>
          </w:tcPr>
          <w:p w14:paraId="5A1B27BC" w14:textId="77777777" w:rsidR="00960BB8" w:rsidRDefault="00960BB8">
            <w:pPr>
              <w:rPr>
                <w:rFonts w:ascii="宋体"/>
                <w:vanish/>
              </w:rPr>
            </w:pPr>
          </w:p>
        </w:tc>
        <w:tc>
          <w:tcPr>
            <w:tcW w:w="0" w:type="auto"/>
            <w:shd w:val="clear" w:color="auto" w:fill="auto"/>
            <w:vAlign w:val="bottom"/>
          </w:tcPr>
          <w:p w14:paraId="5A1B27BD" w14:textId="77777777" w:rsidR="00960BB8" w:rsidRDefault="00960BB8">
            <w:pPr>
              <w:rPr>
                <w:rFonts w:ascii="宋体"/>
                <w:vanish/>
              </w:rPr>
            </w:pPr>
          </w:p>
        </w:tc>
      </w:tr>
      <w:tr w:rsidR="00960BB8" w14:paraId="5A1B27CE" w14:textId="77777777">
        <w:tc>
          <w:tcPr>
            <w:tcW w:w="0" w:type="auto"/>
            <w:gridSpan w:val="3"/>
            <w:shd w:val="clear" w:color="auto" w:fill="auto"/>
            <w:tcMar>
              <w:top w:w="40" w:type="dxa"/>
              <w:left w:w="155" w:type="dxa"/>
              <w:bottom w:w="40" w:type="dxa"/>
              <w:right w:w="20" w:type="dxa"/>
            </w:tcMar>
            <w:vAlign w:val="bottom"/>
          </w:tcPr>
          <w:p w14:paraId="5A1B27BF" w14:textId="77777777" w:rsidR="00960BB8" w:rsidRDefault="00C06650">
            <w:pPr>
              <w:textAlignment w:val="bottom"/>
            </w:pPr>
            <w:r>
              <w:rPr>
                <w:rFonts w:ascii="Arial" w:eastAsia="宋体" w:hAnsi="Arial" w:cs="Arial"/>
                <w:color w:val="262626"/>
                <w:sz w:val="18"/>
                <w:szCs w:val="18"/>
              </w:rPr>
              <w:t>4.95%, due March 2060</w:t>
            </w:r>
          </w:p>
        </w:tc>
        <w:tc>
          <w:tcPr>
            <w:tcW w:w="0" w:type="auto"/>
            <w:gridSpan w:val="3"/>
            <w:shd w:val="clear" w:color="auto" w:fill="auto"/>
            <w:tcMar>
              <w:top w:w="0" w:type="dxa"/>
              <w:left w:w="20" w:type="dxa"/>
              <w:bottom w:w="0" w:type="dxa"/>
              <w:right w:w="20" w:type="dxa"/>
            </w:tcMar>
            <w:vAlign w:val="bottom"/>
          </w:tcPr>
          <w:p w14:paraId="5A1B27C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C1" w14:textId="77777777" w:rsidR="00960BB8" w:rsidRDefault="00C06650">
            <w:pPr>
              <w:jc w:val="center"/>
              <w:textAlignment w:val="bottom"/>
            </w:pPr>
            <w:r>
              <w:rPr>
                <w:rFonts w:ascii="Arial" w:eastAsia="宋体" w:hAnsi="Arial" w:cs="Arial"/>
                <w:color w:val="0068B5"/>
                <w:sz w:val="18"/>
                <w:szCs w:val="18"/>
              </w:rPr>
              <w:t>4.98%</w:t>
            </w:r>
          </w:p>
        </w:tc>
        <w:tc>
          <w:tcPr>
            <w:tcW w:w="0" w:type="auto"/>
            <w:gridSpan w:val="3"/>
            <w:shd w:val="clear" w:color="auto" w:fill="auto"/>
            <w:tcMar>
              <w:top w:w="0" w:type="dxa"/>
              <w:left w:w="20" w:type="dxa"/>
              <w:bottom w:w="0" w:type="dxa"/>
              <w:right w:w="20" w:type="dxa"/>
            </w:tcMar>
            <w:vAlign w:val="bottom"/>
          </w:tcPr>
          <w:p w14:paraId="5A1B27C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C3" w14:textId="77777777" w:rsidR="00960BB8" w:rsidRDefault="00C06650">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5A1B27C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C5" w14:textId="77777777" w:rsidR="00960BB8" w:rsidRDefault="00960BB8">
            <w:pPr>
              <w:rPr>
                <w:rFonts w:ascii="宋体"/>
              </w:rPr>
            </w:pPr>
          </w:p>
        </w:tc>
        <w:tc>
          <w:tcPr>
            <w:tcW w:w="0" w:type="auto"/>
            <w:shd w:val="clear" w:color="auto" w:fill="auto"/>
            <w:vAlign w:val="bottom"/>
          </w:tcPr>
          <w:p w14:paraId="5A1B27C6" w14:textId="77777777" w:rsidR="00960BB8" w:rsidRDefault="00960BB8">
            <w:pPr>
              <w:rPr>
                <w:rFonts w:ascii="宋体"/>
                <w:vanish/>
              </w:rPr>
            </w:pPr>
          </w:p>
        </w:tc>
        <w:tc>
          <w:tcPr>
            <w:tcW w:w="0" w:type="auto"/>
            <w:shd w:val="clear" w:color="auto" w:fill="auto"/>
            <w:vAlign w:val="bottom"/>
          </w:tcPr>
          <w:p w14:paraId="5A1B27C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C8" w14:textId="77777777" w:rsidR="00960BB8" w:rsidRDefault="00C06650">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5A1B27C9" w14:textId="77777777" w:rsidR="00960BB8" w:rsidRDefault="00960BB8">
            <w:pPr>
              <w:jc w:val="right"/>
              <w:rPr>
                <w:rFonts w:ascii="宋体"/>
              </w:rPr>
            </w:pPr>
          </w:p>
        </w:tc>
        <w:tc>
          <w:tcPr>
            <w:tcW w:w="0" w:type="auto"/>
            <w:shd w:val="clear" w:color="auto" w:fill="auto"/>
            <w:vAlign w:val="bottom"/>
          </w:tcPr>
          <w:p w14:paraId="5A1B27CA" w14:textId="77777777" w:rsidR="00960BB8" w:rsidRDefault="00960BB8">
            <w:pPr>
              <w:rPr>
                <w:rFonts w:ascii="宋体"/>
                <w:vanish/>
              </w:rPr>
            </w:pPr>
          </w:p>
        </w:tc>
        <w:tc>
          <w:tcPr>
            <w:tcW w:w="0" w:type="auto"/>
            <w:shd w:val="clear" w:color="auto" w:fill="auto"/>
            <w:vAlign w:val="bottom"/>
          </w:tcPr>
          <w:p w14:paraId="5A1B27CB" w14:textId="77777777" w:rsidR="00960BB8" w:rsidRDefault="00960BB8">
            <w:pPr>
              <w:rPr>
                <w:rFonts w:ascii="宋体"/>
                <w:vanish/>
              </w:rPr>
            </w:pPr>
          </w:p>
        </w:tc>
        <w:tc>
          <w:tcPr>
            <w:tcW w:w="0" w:type="auto"/>
            <w:shd w:val="clear" w:color="auto" w:fill="auto"/>
            <w:vAlign w:val="bottom"/>
          </w:tcPr>
          <w:p w14:paraId="5A1B27CC" w14:textId="77777777" w:rsidR="00960BB8" w:rsidRDefault="00960BB8">
            <w:pPr>
              <w:rPr>
                <w:rFonts w:ascii="宋体"/>
                <w:vanish/>
              </w:rPr>
            </w:pPr>
          </w:p>
        </w:tc>
        <w:tc>
          <w:tcPr>
            <w:tcW w:w="0" w:type="auto"/>
            <w:shd w:val="clear" w:color="auto" w:fill="auto"/>
            <w:vAlign w:val="bottom"/>
          </w:tcPr>
          <w:p w14:paraId="5A1B27CD" w14:textId="77777777" w:rsidR="00960BB8" w:rsidRDefault="00960BB8">
            <w:pPr>
              <w:rPr>
                <w:rFonts w:ascii="宋体"/>
                <w:vanish/>
              </w:rPr>
            </w:pPr>
          </w:p>
        </w:tc>
      </w:tr>
      <w:tr w:rsidR="00960BB8" w14:paraId="5A1B27DE" w14:textId="77777777">
        <w:tc>
          <w:tcPr>
            <w:tcW w:w="0" w:type="auto"/>
            <w:gridSpan w:val="3"/>
            <w:shd w:val="clear" w:color="auto" w:fill="auto"/>
            <w:tcMar>
              <w:top w:w="40" w:type="dxa"/>
              <w:left w:w="155" w:type="dxa"/>
              <w:bottom w:w="40" w:type="dxa"/>
              <w:right w:w="20" w:type="dxa"/>
            </w:tcMar>
            <w:vAlign w:val="bottom"/>
          </w:tcPr>
          <w:p w14:paraId="5A1B27CF" w14:textId="77777777" w:rsidR="00960BB8" w:rsidRDefault="00C06650">
            <w:pPr>
              <w:textAlignment w:val="bottom"/>
            </w:pPr>
            <w:r>
              <w:rPr>
                <w:rFonts w:ascii="Arial" w:eastAsia="宋体" w:hAnsi="Arial" w:cs="Arial"/>
                <w:color w:val="262626"/>
                <w:sz w:val="18"/>
                <w:szCs w:val="18"/>
              </w:rPr>
              <w:t xml:space="preserve">3.20%, </w:t>
            </w:r>
            <w:r>
              <w:rPr>
                <w:rFonts w:ascii="Arial" w:eastAsia="宋体" w:hAnsi="Arial" w:cs="Arial"/>
                <w:color w:val="262626"/>
                <w:sz w:val="18"/>
                <w:szCs w:val="18"/>
              </w:rPr>
              <w:t>due August 2061</w:t>
            </w:r>
          </w:p>
        </w:tc>
        <w:tc>
          <w:tcPr>
            <w:tcW w:w="0" w:type="auto"/>
            <w:gridSpan w:val="3"/>
            <w:shd w:val="clear" w:color="auto" w:fill="auto"/>
            <w:tcMar>
              <w:top w:w="0" w:type="dxa"/>
              <w:left w:w="20" w:type="dxa"/>
              <w:bottom w:w="0" w:type="dxa"/>
              <w:right w:w="20" w:type="dxa"/>
            </w:tcMar>
            <w:vAlign w:val="bottom"/>
          </w:tcPr>
          <w:p w14:paraId="5A1B27D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D1" w14:textId="77777777" w:rsidR="00960BB8" w:rsidRDefault="00C06650">
            <w:pPr>
              <w:jc w:val="center"/>
              <w:textAlignment w:val="bottom"/>
            </w:pPr>
            <w:r>
              <w:rPr>
                <w:rFonts w:ascii="Arial" w:eastAsia="宋体" w:hAnsi="Arial" w:cs="Arial"/>
                <w:color w:val="0068B5"/>
                <w:sz w:val="18"/>
                <w:szCs w:val="18"/>
              </w:rPr>
              <w:t>3.20%</w:t>
            </w:r>
          </w:p>
        </w:tc>
        <w:tc>
          <w:tcPr>
            <w:tcW w:w="0" w:type="auto"/>
            <w:gridSpan w:val="3"/>
            <w:shd w:val="clear" w:color="auto" w:fill="auto"/>
            <w:tcMar>
              <w:top w:w="0" w:type="dxa"/>
              <w:left w:w="20" w:type="dxa"/>
              <w:bottom w:w="0" w:type="dxa"/>
              <w:right w:w="20" w:type="dxa"/>
            </w:tcMar>
            <w:vAlign w:val="bottom"/>
          </w:tcPr>
          <w:p w14:paraId="5A1B27D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D3" w14:textId="77777777" w:rsidR="00960BB8" w:rsidRDefault="00C06650">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5A1B27D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D5" w14:textId="77777777" w:rsidR="00960BB8" w:rsidRDefault="00960BB8">
            <w:pPr>
              <w:rPr>
                <w:rFonts w:ascii="宋体"/>
              </w:rPr>
            </w:pPr>
          </w:p>
        </w:tc>
        <w:tc>
          <w:tcPr>
            <w:tcW w:w="0" w:type="auto"/>
            <w:shd w:val="clear" w:color="auto" w:fill="auto"/>
            <w:vAlign w:val="bottom"/>
          </w:tcPr>
          <w:p w14:paraId="5A1B27D6" w14:textId="77777777" w:rsidR="00960BB8" w:rsidRDefault="00960BB8">
            <w:pPr>
              <w:rPr>
                <w:rFonts w:ascii="宋体"/>
                <w:vanish/>
              </w:rPr>
            </w:pPr>
          </w:p>
        </w:tc>
        <w:tc>
          <w:tcPr>
            <w:tcW w:w="0" w:type="auto"/>
            <w:shd w:val="clear" w:color="auto" w:fill="auto"/>
            <w:vAlign w:val="bottom"/>
          </w:tcPr>
          <w:p w14:paraId="5A1B27D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D8" w14:textId="77777777" w:rsidR="00960BB8" w:rsidRDefault="00C06650">
            <w:pPr>
              <w:jc w:val="right"/>
              <w:textAlignment w:val="bottom"/>
            </w:pPr>
            <w:r>
              <w:rPr>
                <w:rFonts w:ascii="Arial" w:eastAsia="宋体" w:hAnsi="Arial" w:cs="Arial"/>
                <w:color w:val="000000"/>
                <w:sz w:val="18"/>
                <w:szCs w:val="18"/>
              </w:rPr>
              <w:t>750 </w:t>
            </w:r>
          </w:p>
        </w:tc>
        <w:tc>
          <w:tcPr>
            <w:tcW w:w="0" w:type="auto"/>
            <w:shd w:val="clear" w:color="auto" w:fill="auto"/>
            <w:tcMar>
              <w:top w:w="40" w:type="dxa"/>
              <w:left w:w="0" w:type="dxa"/>
              <w:bottom w:w="40" w:type="dxa"/>
              <w:right w:w="20" w:type="dxa"/>
            </w:tcMar>
            <w:vAlign w:val="bottom"/>
          </w:tcPr>
          <w:p w14:paraId="5A1B27D9" w14:textId="77777777" w:rsidR="00960BB8" w:rsidRDefault="00960BB8">
            <w:pPr>
              <w:jc w:val="right"/>
              <w:rPr>
                <w:rFonts w:ascii="宋体"/>
              </w:rPr>
            </w:pPr>
          </w:p>
        </w:tc>
        <w:tc>
          <w:tcPr>
            <w:tcW w:w="0" w:type="auto"/>
            <w:shd w:val="clear" w:color="auto" w:fill="auto"/>
            <w:vAlign w:val="bottom"/>
          </w:tcPr>
          <w:p w14:paraId="5A1B27DA" w14:textId="77777777" w:rsidR="00960BB8" w:rsidRDefault="00960BB8">
            <w:pPr>
              <w:rPr>
                <w:rFonts w:ascii="宋体"/>
                <w:vanish/>
              </w:rPr>
            </w:pPr>
          </w:p>
        </w:tc>
        <w:tc>
          <w:tcPr>
            <w:tcW w:w="0" w:type="auto"/>
            <w:shd w:val="clear" w:color="auto" w:fill="auto"/>
            <w:vAlign w:val="bottom"/>
          </w:tcPr>
          <w:p w14:paraId="5A1B27DB" w14:textId="77777777" w:rsidR="00960BB8" w:rsidRDefault="00960BB8">
            <w:pPr>
              <w:rPr>
                <w:rFonts w:ascii="宋体"/>
                <w:vanish/>
              </w:rPr>
            </w:pPr>
          </w:p>
        </w:tc>
        <w:tc>
          <w:tcPr>
            <w:tcW w:w="0" w:type="auto"/>
            <w:shd w:val="clear" w:color="auto" w:fill="auto"/>
            <w:vAlign w:val="bottom"/>
          </w:tcPr>
          <w:p w14:paraId="5A1B27DC" w14:textId="77777777" w:rsidR="00960BB8" w:rsidRDefault="00960BB8">
            <w:pPr>
              <w:rPr>
                <w:rFonts w:ascii="宋体"/>
                <w:vanish/>
              </w:rPr>
            </w:pPr>
          </w:p>
        </w:tc>
        <w:tc>
          <w:tcPr>
            <w:tcW w:w="0" w:type="auto"/>
            <w:shd w:val="clear" w:color="auto" w:fill="auto"/>
            <w:vAlign w:val="bottom"/>
          </w:tcPr>
          <w:p w14:paraId="5A1B27DD" w14:textId="77777777" w:rsidR="00960BB8" w:rsidRDefault="00960BB8">
            <w:pPr>
              <w:rPr>
                <w:rFonts w:ascii="宋体"/>
                <w:vanish/>
              </w:rPr>
            </w:pPr>
          </w:p>
        </w:tc>
      </w:tr>
      <w:tr w:rsidR="00960BB8" w14:paraId="5A1B27EE" w14:textId="77777777">
        <w:tc>
          <w:tcPr>
            <w:tcW w:w="0" w:type="auto"/>
            <w:gridSpan w:val="3"/>
            <w:shd w:val="clear" w:color="auto" w:fill="auto"/>
            <w:tcMar>
              <w:top w:w="40" w:type="dxa"/>
              <w:left w:w="155" w:type="dxa"/>
              <w:bottom w:w="40" w:type="dxa"/>
              <w:right w:w="20" w:type="dxa"/>
            </w:tcMar>
            <w:vAlign w:val="bottom"/>
          </w:tcPr>
          <w:p w14:paraId="5A1B27DF" w14:textId="77777777" w:rsidR="00960BB8" w:rsidRDefault="00C06650">
            <w:pPr>
              <w:textAlignment w:val="bottom"/>
            </w:pPr>
            <w:r>
              <w:rPr>
                <w:rFonts w:ascii="Arial" w:eastAsia="宋体" w:hAnsi="Arial" w:cs="Arial"/>
                <w:color w:val="262626"/>
                <w:sz w:val="18"/>
                <w:szCs w:val="18"/>
              </w:rPr>
              <w:t xml:space="preserve">5.05%, </w:t>
            </w:r>
            <w:r>
              <w:rPr>
                <w:rFonts w:ascii="Arial" w:eastAsia="宋体" w:hAnsi="Arial" w:cs="Arial"/>
                <w:color w:val="262626"/>
                <w:sz w:val="18"/>
                <w:szCs w:val="18"/>
              </w:rPr>
              <w:t>due August 2062</w:t>
            </w:r>
          </w:p>
        </w:tc>
        <w:tc>
          <w:tcPr>
            <w:tcW w:w="0" w:type="auto"/>
            <w:gridSpan w:val="3"/>
            <w:shd w:val="clear" w:color="auto" w:fill="auto"/>
            <w:tcMar>
              <w:top w:w="0" w:type="dxa"/>
              <w:left w:w="20" w:type="dxa"/>
              <w:bottom w:w="0" w:type="dxa"/>
              <w:right w:w="20" w:type="dxa"/>
            </w:tcMar>
            <w:vAlign w:val="bottom"/>
          </w:tcPr>
          <w:p w14:paraId="5A1B27E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7E1" w14:textId="77777777" w:rsidR="00960BB8" w:rsidRDefault="00C06650">
            <w:pPr>
              <w:jc w:val="center"/>
              <w:textAlignment w:val="bottom"/>
            </w:pPr>
            <w:r>
              <w:rPr>
                <w:rFonts w:ascii="Arial" w:eastAsia="宋体" w:hAnsi="Arial" w:cs="Arial"/>
                <w:color w:val="0068B5"/>
                <w:sz w:val="18"/>
                <w:szCs w:val="18"/>
              </w:rPr>
              <w:t>5.03%</w:t>
            </w:r>
          </w:p>
        </w:tc>
        <w:tc>
          <w:tcPr>
            <w:tcW w:w="0" w:type="auto"/>
            <w:gridSpan w:val="3"/>
            <w:shd w:val="clear" w:color="auto" w:fill="auto"/>
            <w:tcMar>
              <w:top w:w="0" w:type="dxa"/>
              <w:left w:w="20" w:type="dxa"/>
              <w:bottom w:w="0" w:type="dxa"/>
              <w:right w:w="20" w:type="dxa"/>
            </w:tcMar>
            <w:vAlign w:val="bottom"/>
          </w:tcPr>
          <w:p w14:paraId="5A1B27E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7E3" w14:textId="77777777" w:rsidR="00960BB8" w:rsidRDefault="00C06650">
            <w:pPr>
              <w:jc w:val="right"/>
              <w:textAlignment w:val="bottom"/>
            </w:pPr>
            <w:r>
              <w:rPr>
                <w:rFonts w:ascii="Arial" w:eastAsia="宋体" w:hAnsi="Arial" w:cs="Arial"/>
                <w:color w:val="0068B5"/>
                <w:sz w:val="18"/>
                <w:szCs w:val="18"/>
              </w:rPr>
              <w:t>900 </w:t>
            </w:r>
          </w:p>
        </w:tc>
        <w:tc>
          <w:tcPr>
            <w:tcW w:w="0" w:type="auto"/>
            <w:shd w:val="clear" w:color="auto" w:fill="auto"/>
            <w:tcMar>
              <w:top w:w="40" w:type="dxa"/>
              <w:left w:w="0" w:type="dxa"/>
              <w:bottom w:w="40" w:type="dxa"/>
              <w:right w:w="20" w:type="dxa"/>
            </w:tcMar>
            <w:vAlign w:val="bottom"/>
          </w:tcPr>
          <w:p w14:paraId="5A1B27E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7E5" w14:textId="77777777" w:rsidR="00960BB8" w:rsidRDefault="00960BB8">
            <w:pPr>
              <w:rPr>
                <w:rFonts w:ascii="宋体"/>
              </w:rPr>
            </w:pPr>
          </w:p>
        </w:tc>
        <w:tc>
          <w:tcPr>
            <w:tcW w:w="0" w:type="auto"/>
            <w:shd w:val="clear" w:color="auto" w:fill="auto"/>
            <w:vAlign w:val="bottom"/>
          </w:tcPr>
          <w:p w14:paraId="5A1B27E6" w14:textId="77777777" w:rsidR="00960BB8" w:rsidRDefault="00960BB8">
            <w:pPr>
              <w:rPr>
                <w:rFonts w:ascii="宋体"/>
                <w:vanish/>
              </w:rPr>
            </w:pPr>
          </w:p>
        </w:tc>
        <w:tc>
          <w:tcPr>
            <w:tcW w:w="0" w:type="auto"/>
            <w:shd w:val="clear" w:color="auto" w:fill="auto"/>
            <w:vAlign w:val="bottom"/>
          </w:tcPr>
          <w:p w14:paraId="5A1B27E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7E8"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5A1B27E9" w14:textId="77777777" w:rsidR="00960BB8" w:rsidRDefault="00960BB8">
            <w:pPr>
              <w:jc w:val="right"/>
              <w:rPr>
                <w:rFonts w:ascii="宋体"/>
              </w:rPr>
            </w:pPr>
          </w:p>
        </w:tc>
        <w:tc>
          <w:tcPr>
            <w:tcW w:w="0" w:type="auto"/>
            <w:shd w:val="clear" w:color="auto" w:fill="auto"/>
            <w:vAlign w:val="bottom"/>
          </w:tcPr>
          <w:p w14:paraId="5A1B27EA" w14:textId="77777777" w:rsidR="00960BB8" w:rsidRDefault="00960BB8">
            <w:pPr>
              <w:rPr>
                <w:rFonts w:ascii="宋体"/>
                <w:vanish/>
              </w:rPr>
            </w:pPr>
          </w:p>
        </w:tc>
        <w:tc>
          <w:tcPr>
            <w:tcW w:w="0" w:type="auto"/>
            <w:shd w:val="clear" w:color="auto" w:fill="auto"/>
            <w:vAlign w:val="bottom"/>
          </w:tcPr>
          <w:p w14:paraId="5A1B27EB" w14:textId="77777777" w:rsidR="00960BB8" w:rsidRDefault="00960BB8">
            <w:pPr>
              <w:rPr>
                <w:rFonts w:ascii="宋体"/>
                <w:vanish/>
              </w:rPr>
            </w:pPr>
          </w:p>
        </w:tc>
        <w:tc>
          <w:tcPr>
            <w:tcW w:w="0" w:type="auto"/>
            <w:shd w:val="clear" w:color="auto" w:fill="auto"/>
            <w:vAlign w:val="bottom"/>
          </w:tcPr>
          <w:p w14:paraId="5A1B27EC" w14:textId="77777777" w:rsidR="00960BB8" w:rsidRDefault="00960BB8">
            <w:pPr>
              <w:rPr>
                <w:rFonts w:ascii="宋体"/>
                <w:vanish/>
              </w:rPr>
            </w:pPr>
          </w:p>
        </w:tc>
        <w:tc>
          <w:tcPr>
            <w:tcW w:w="0" w:type="auto"/>
            <w:shd w:val="clear" w:color="auto" w:fill="auto"/>
            <w:vAlign w:val="bottom"/>
          </w:tcPr>
          <w:p w14:paraId="5A1B27ED" w14:textId="77777777" w:rsidR="00960BB8" w:rsidRDefault="00960BB8">
            <w:pPr>
              <w:rPr>
                <w:rFonts w:ascii="宋体"/>
                <w:vanish/>
              </w:rPr>
            </w:pPr>
          </w:p>
        </w:tc>
      </w:tr>
    </w:tbl>
    <w:p w14:paraId="5A1B27EF" w14:textId="77777777" w:rsidR="00960BB8" w:rsidRDefault="00960BB8">
      <w:pPr>
        <w:spacing w:after="20"/>
      </w:pPr>
    </w:p>
    <w:p w14:paraId="5A1B27F0" w14:textId="77777777" w:rsidR="00960BB8" w:rsidRDefault="00960BB8">
      <w:pPr>
        <w:spacing w:after="20"/>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27FD" w14:textId="77777777">
        <w:tc>
          <w:tcPr>
            <w:tcW w:w="50" w:type="pct"/>
            <w:shd w:val="clear" w:color="auto" w:fill="auto"/>
            <w:vAlign w:val="bottom"/>
          </w:tcPr>
          <w:p w14:paraId="5A1B27F1" w14:textId="77777777" w:rsidR="00960BB8" w:rsidRDefault="00960BB8">
            <w:pPr>
              <w:rPr>
                <w:rFonts w:ascii="宋体"/>
              </w:rPr>
            </w:pPr>
          </w:p>
        </w:tc>
        <w:tc>
          <w:tcPr>
            <w:tcW w:w="276" w:type="pct"/>
            <w:shd w:val="clear" w:color="auto" w:fill="auto"/>
            <w:vAlign w:val="bottom"/>
          </w:tcPr>
          <w:p w14:paraId="5A1B27F2" w14:textId="77777777" w:rsidR="00960BB8" w:rsidRDefault="00960BB8">
            <w:pPr>
              <w:rPr>
                <w:rFonts w:ascii="宋体"/>
              </w:rPr>
            </w:pPr>
          </w:p>
        </w:tc>
        <w:tc>
          <w:tcPr>
            <w:tcW w:w="5" w:type="pct"/>
            <w:shd w:val="clear" w:color="auto" w:fill="auto"/>
            <w:vAlign w:val="bottom"/>
          </w:tcPr>
          <w:p w14:paraId="5A1B27F3" w14:textId="77777777" w:rsidR="00960BB8" w:rsidRDefault="00960BB8">
            <w:pPr>
              <w:rPr>
                <w:rFonts w:ascii="宋体"/>
              </w:rPr>
            </w:pPr>
          </w:p>
        </w:tc>
        <w:tc>
          <w:tcPr>
            <w:tcW w:w="50" w:type="pct"/>
            <w:shd w:val="clear" w:color="auto" w:fill="auto"/>
            <w:vAlign w:val="bottom"/>
          </w:tcPr>
          <w:p w14:paraId="5A1B27F4" w14:textId="77777777" w:rsidR="00960BB8" w:rsidRDefault="00960BB8">
            <w:pPr>
              <w:rPr>
                <w:rFonts w:ascii="宋体"/>
              </w:rPr>
            </w:pPr>
          </w:p>
        </w:tc>
        <w:tc>
          <w:tcPr>
            <w:tcW w:w="940" w:type="pct"/>
            <w:shd w:val="clear" w:color="auto" w:fill="auto"/>
            <w:vAlign w:val="bottom"/>
          </w:tcPr>
          <w:p w14:paraId="5A1B27F5" w14:textId="77777777" w:rsidR="00960BB8" w:rsidRDefault="00960BB8">
            <w:pPr>
              <w:rPr>
                <w:rFonts w:ascii="宋体"/>
              </w:rPr>
            </w:pPr>
          </w:p>
        </w:tc>
        <w:tc>
          <w:tcPr>
            <w:tcW w:w="5" w:type="pct"/>
            <w:shd w:val="clear" w:color="auto" w:fill="auto"/>
            <w:vAlign w:val="bottom"/>
          </w:tcPr>
          <w:p w14:paraId="5A1B27F6" w14:textId="77777777" w:rsidR="00960BB8" w:rsidRDefault="00960BB8">
            <w:pPr>
              <w:rPr>
                <w:rFonts w:ascii="宋体"/>
              </w:rPr>
            </w:pPr>
          </w:p>
        </w:tc>
        <w:tc>
          <w:tcPr>
            <w:tcW w:w="50" w:type="pct"/>
            <w:shd w:val="clear" w:color="auto" w:fill="auto"/>
            <w:vAlign w:val="bottom"/>
          </w:tcPr>
          <w:p w14:paraId="5A1B27F7" w14:textId="77777777" w:rsidR="00960BB8" w:rsidRDefault="00960BB8">
            <w:pPr>
              <w:rPr>
                <w:rFonts w:ascii="宋体"/>
              </w:rPr>
            </w:pPr>
          </w:p>
        </w:tc>
        <w:tc>
          <w:tcPr>
            <w:tcW w:w="1837" w:type="pct"/>
            <w:shd w:val="clear" w:color="auto" w:fill="auto"/>
            <w:vAlign w:val="bottom"/>
          </w:tcPr>
          <w:p w14:paraId="5A1B27F8" w14:textId="77777777" w:rsidR="00960BB8" w:rsidRDefault="00960BB8">
            <w:pPr>
              <w:rPr>
                <w:rFonts w:ascii="宋体"/>
              </w:rPr>
            </w:pPr>
          </w:p>
        </w:tc>
        <w:tc>
          <w:tcPr>
            <w:tcW w:w="5" w:type="pct"/>
            <w:shd w:val="clear" w:color="auto" w:fill="auto"/>
            <w:vAlign w:val="bottom"/>
          </w:tcPr>
          <w:p w14:paraId="5A1B27F9" w14:textId="77777777" w:rsidR="00960BB8" w:rsidRDefault="00960BB8">
            <w:pPr>
              <w:rPr>
                <w:rFonts w:ascii="宋体"/>
              </w:rPr>
            </w:pPr>
          </w:p>
        </w:tc>
        <w:tc>
          <w:tcPr>
            <w:tcW w:w="50" w:type="pct"/>
            <w:shd w:val="clear" w:color="auto" w:fill="auto"/>
            <w:vAlign w:val="bottom"/>
          </w:tcPr>
          <w:p w14:paraId="5A1B27FA" w14:textId="77777777" w:rsidR="00960BB8" w:rsidRDefault="00960BB8">
            <w:pPr>
              <w:rPr>
                <w:rFonts w:ascii="宋体"/>
              </w:rPr>
            </w:pPr>
          </w:p>
        </w:tc>
        <w:tc>
          <w:tcPr>
            <w:tcW w:w="1724" w:type="pct"/>
            <w:shd w:val="clear" w:color="auto" w:fill="auto"/>
            <w:vAlign w:val="bottom"/>
          </w:tcPr>
          <w:p w14:paraId="5A1B27FB" w14:textId="77777777" w:rsidR="00960BB8" w:rsidRDefault="00960BB8">
            <w:pPr>
              <w:rPr>
                <w:rFonts w:ascii="宋体"/>
              </w:rPr>
            </w:pPr>
          </w:p>
        </w:tc>
        <w:tc>
          <w:tcPr>
            <w:tcW w:w="5" w:type="pct"/>
            <w:shd w:val="clear" w:color="auto" w:fill="auto"/>
            <w:vAlign w:val="bottom"/>
          </w:tcPr>
          <w:p w14:paraId="5A1B27FC" w14:textId="77777777" w:rsidR="00960BB8" w:rsidRDefault="00960BB8">
            <w:pPr>
              <w:rPr>
                <w:rFonts w:ascii="宋体"/>
              </w:rPr>
            </w:pPr>
          </w:p>
        </w:tc>
      </w:tr>
      <w:tr w:rsidR="00960BB8" w14:paraId="5A1B2802"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7FE"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B1" wp14:editId="5A1B44B2">
                  <wp:extent cx="304800" cy="304800"/>
                  <wp:effectExtent l="0" t="0" r="0" b="0"/>
                  <wp:docPr id="176" name="图片 29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9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7FF"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2800"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801" w14:textId="77777777" w:rsidR="00960BB8" w:rsidRDefault="00C06650">
            <w:pPr>
              <w:jc w:val="right"/>
              <w:textAlignment w:val="center"/>
            </w:pPr>
            <w:r>
              <w:rPr>
                <w:rFonts w:ascii="Arial" w:eastAsia="宋体" w:hAnsi="Arial" w:cs="Arial"/>
                <w:color w:val="262626"/>
                <w:sz w:val="16"/>
                <w:szCs w:val="16"/>
              </w:rPr>
              <w:t>101</w:t>
            </w:r>
          </w:p>
        </w:tc>
      </w:tr>
    </w:tbl>
    <w:p w14:paraId="5A1B2803" w14:textId="77777777" w:rsidR="00960BB8" w:rsidRDefault="00C06650">
      <w:r>
        <w:pict w14:anchorId="5A1B44B3">
          <v:rect id="_x0000_i1127" style="width:415.3pt;height:1.5pt" o:hralign="center" o:hrstd="t" o:hr="t" fillcolor="#a0a0a0" stroked="f"/>
        </w:pict>
      </w:r>
    </w:p>
    <w:p w14:paraId="5A1B2804" w14:textId="77777777" w:rsidR="00960BB8" w:rsidRDefault="00C06650">
      <w:pPr>
        <w:jc w:val="right"/>
      </w:pPr>
      <w:hyperlink r:id="rId150" w:anchor="i8aaa7b4dbd2e419ca0f5c30af85a11aa_16" w:history="1">
        <w:r>
          <w:rPr>
            <w:rStyle w:val="a5"/>
            <w:rFonts w:ascii="Arial" w:eastAsia="宋体" w:hAnsi="Arial" w:cs="Arial"/>
            <w:b/>
            <w:bCs/>
            <w:sz w:val="16"/>
            <w:szCs w:val="16"/>
          </w:rPr>
          <w:t>Table of Contents</w:t>
        </w:r>
      </w:hyperlink>
    </w:p>
    <w:p w14:paraId="5A1B2805" w14:textId="77777777" w:rsidR="00960BB8" w:rsidRDefault="00960BB8">
      <w:pPr>
        <w:jc w:val="right"/>
      </w:pPr>
    </w:p>
    <w:p w14:paraId="5A1B2806" w14:textId="77777777" w:rsidR="00960BB8" w:rsidRDefault="00C06650">
      <w:pPr>
        <w:spacing w:after="180"/>
      </w:pPr>
      <w:r>
        <w:rPr>
          <w:rFonts w:ascii="Arial" w:eastAsia="宋体" w:hAnsi="Arial" w:cs="Arial"/>
          <w:color w:val="0068B5"/>
        </w:rPr>
        <w:t>Long-Term Debt</w:t>
      </w:r>
    </w:p>
    <w:tbl>
      <w:tblPr>
        <w:tblW w:w="5000" w:type="pct"/>
        <w:tblCellMar>
          <w:top w:w="15" w:type="dxa"/>
          <w:left w:w="15" w:type="dxa"/>
          <w:bottom w:w="15" w:type="dxa"/>
          <w:right w:w="15" w:type="dxa"/>
        </w:tblCellMar>
        <w:tblLook w:val="04A0" w:firstRow="1" w:lastRow="0" w:firstColumn="1" w:lastColumn="0" w:noHBand="0" w:noVBand="1"/>
      </w:tblPr>
      <w:tblGrid>
        <w:gridCol w:w="43"/>
        <w:gridCol w:w="5018"/>
        <w:gridCol w:w="38"/>
        <w:gridCol w:w="36"/>
        <w:gridCol w:w="36"/>
        <w:gridCol w:w="36"/>
        <w:gridCol w:w="67"/>
        <w:gridCol w:w="792"/>
        <w:gridCol w:w="36"/>
        <w:gridCol w:w="36"/>
        <w:gridCol w:w="36"/>
        <w:gridCol w:w="36"/>
        <w:gridCol w:w="121"/>
        <w:gridCol w:w="816"/>
        <w:gridCol w:w="36"/>
        <w:gridCol w:w="36"/>
        <w:gridCol w:w="36"/>
        <w:gridCol w:w="36"/>
        <w:gridCol w:w="36"/>
        <w:gridCol w:w="36"/>
        <w:gridCol w:w="121"/>
        <w:gridCol w:w="816"/>
        <w:gridCol w:w="36"/>
      </w:tblGrid>
      <w:tr w:rsidR="00960BB8" w14:paraId="5A1B281E" w14:textId="77777777">
        <w:tc>
          <w:tcPr>
            <w:tcW w:w="50" w:type="pct"/>
            <w:shd w:val="clear" w:color="auto" w:fill="auto"/>
            <w:vAlign w:val="bottom"/>
          </w:tcPr>
          <w:p w14:paraId="5A1B2807" w14:textId="77777777" w:rsidR="00960BB8" w:rsidRDefault="00960BB8">
            <w:pPr>
              <w:rPr>
                <w:rFonts w:ascii="宋体"/>
              </w:rPr>
            </w:pPr>
          </w:p>
        </w:tc>
        <w:tc>
          <w:tcPr>
            <w:tcW w:w="3059" w:type="pct"/>
            <w:shd w:val="clear" w:color="auto" w:fill="auto"/>
            <w:vAlign w:val="bottom"/>
          </w:tcPr>
          <w:p w14:paraId="5A1B2808" w14:textId="77777777" w:rsidR="00960BB8" w:rsidRDefault="00960BB8">
            <w:pPr>
              <w:rPr>
                <w:rFonts w:ascii="宋体"/>
              </w:rPr>
            </w:pPr>
          </w:p>
        </w:tc>
        <w:tc>
          <w:tcPr>
            <w:tcW w:w="5" w:type="pct"/>
            <w:shd w:val="clear" w:color="auto" w:fill="auto"/>
            <w:vAlign w:val="bottom"/>
          </w:tcPr>
          <w:p w14:paraId="5A1B2809" w14:textId="77777777" w:rsidR="00960BB8" w:rsidRDefault="00960BB8">
            <w:pPr>
              <w:rPr>
                <w:rFonts w:ascii="宋体"/>
              </w:rPr>
            </w:pPr>
          </w:p>
        </w:tc>
        <w:tc>
          <w:tcPr>
            <w:tcW w:w="5" w:type="pct"/>
            <w:shd w:val="clear" w:color="auto" w:fill="auto"/>
            <w:vAlign w:val="bottom"/>
          </w:tcPr>
          <w:p w14:paraId="5A1B280A" w14:textId="77777777" w:rsidR="00960BB8" w:rsidRDefault="00960BB8">
            <w:pPr>
              <w:rPr>
                <w:rFonts w:ascii="宋体"/>
              </w:rPr>
            </w:pPr>
          </w:p>
        </w:tc>
        <w:tc>
          <w:tcPr>
            <w:tcW w:w="24" w:type="pct"/>
            <w:shd w:val="clear" w:color="auto" w:fill="auto"/>
            <w:vAlign w:val="bottom"/>
          </w:tcPr>
          <w:p w14:paraId="5A1B280B" w14:textId="77777777" w:rsidR="00960BB8" w:rsidRDefault="00960BB8">
            <w:pPr>
              <w:rPr>
                <w:rFonts w:ascii="宋体"/>
              </w:rPr>
            </w:pPr>
          </w:p>
        </w:tc>
        <w:tc>
          <w:tcPr>
            <w:tcW w:w="5" w:type="pct"/>
            <w:shd w:val="clear" w:color="auto" w:fill="auto"/>
            <w:vAlign w:val="bottom"/>
          </w:tcPr>
          <w:p w14:paraId="5A1B280C" w14:textId="77777777" w:rsidR="00960BB8" w:rsidRDefault="00960BB8">
            <w:pPr>
              <w:rPr>
                <w:rFonts w:ascii="宋体"/>
              </w:rPr>
            </w:pPr>
          </w:p>
        </w:tc>
        <w:tc>
          <w:tcPr>
            <w:tcW w:w="50" w:type="pct"/>
            <w:shd w:val="clear" w:color="auto" w:fill="auto"/>
            <w:vAlign w:val="bottom"/>
          </w:tcPr>
          <w:p w14:paraId="5A1B280D" w14:textId="77777777" w:rsidR="00960BB8" w:rsidRDefault="00960BB8">
            <w:pPr>
              <w:rPr>
                <w:rFonts w:ascii="宋体"/>
              </w:rPr>
            </w:pPr>
          </w:p>
        </w:tc>
        <w:tc>
          <w:tcPr>
            <w:tcW w:w="539" w:type="pct"/>
            <w:shd w:val="clear" w:color="auto" w:fill="auto"/>
            <w:vAlign w:val="bottom"/>
          </w:tcPr>
          <w:p w14:paraId="5A1B280E" w14:textId="77777777" w:rsidR="00960BB8" w:rsidRDefault="00960BB8">
            <w:pPr>
              <w:rPr>
                <w:rFonts w:ascii="宋体"/>
              </w:rPr>
            </w:pPr>
          </w:p>
        </w:tc>
        <w:tc>
          <w:tcPr>
            <w:tcW w:w="5" w:type="pct"/>
            <w:shd w:val="clear" w:color="auto" w:fill="auto"/>
            <w:vAlign w:val="bottom"/>
          </w:tcPr>
          <w:p w14:paraId="5A1B280F" w14:textId="77777777" w:rsidR="00960BB8" w:rsidRDefault="00960BB8">
            <w:pPr>
              <w:rPr>
                <w:rFonts w:ascii="宋体"/>
              </w:rPr>
            </w:pPr>
          </w:p>
        </w:tc>
        <w:tc>
          <w:tcPr>
            <w:tcW w:w="5" w:type="pct"/>
            <w:shd w:val="clear" w:color="auto" w:fill="auto"/>
            <w:vAlign w:val="bottom"/>
          </w:tcPr>
          <w:p w14:paraId="5A1B2810" w14:textId="77777777" w:rsidR="00960BB8" w:rsidRDefault="00960BB8">
            <w:pPr>
              <w:rPr>
                <w:rFonts w:ascii="宋体"/>
              </w:rPr>
            </w:pPr>
          </w:p>
        </w:tc>
        <w:tc>
          <w:tcPr>
            <w:tcW w:w="24" w:type="pct"/>
            <w:shd w:val="clear" w:color="auto" w:fill="auto"/>
            <w:vAlign w:val="bottom"/>
          </w:tcPr>
          <w:p w14:paraId="5A1B2811" w14:textId="77777777" w:rsidR="00960BB8" w:rsidRDefault="00960BB8">
            <w:pPr>
              <w:rPr>
                <w:rFonts w:ascii="宋体"/>
              </w:rPr>
            </w:pPr>
          </w:p>
        </w:tc>
        <w:tc>
          <w:tcPr>
            <w:tcW w:w="5" w:type="pct"/>
            <w:shd w:val="clear" w:color="auto" w:fill="auto"/>
            <w:vAlign w:val="bottom"/>
          </w:tcPr>
          <w:p w14:paraId="5A1B2812" w14:textId="77777777" w:rsidR="00960BB8" w:rsidRDefault="00960BB8">
            <w:pPr>
              <w:rPr>
                <w:rFonts w:ascii="宋体"/>
              </w:rPr>
            </w:pPr>
          </w:p>
        </w:tc>
        <w:tc>
          <w:tcPr>
            <w:tcW w:w="50" w:type="pct"/>
            <w:shd w:val="clear" w:color="auto" w:fill="auto"/>
            <w:vAlign w:val="bottom"/>
          </w:tcPr>
          <w:p w14:paraId="5A1B2813" w14:textId="77777777" w:rsidR="00960BB8" w:rsidRDefault="00960BB8">
            <w:pPr>
              <w:rPr>
                <w:rFonts w:ascii="宋体"/>
              </w:rPr>
            </w:pPr>
          </w:p>
        </w:tc>
        <w:tc>
          <w:tcPr>
            <w:tcW w:w="539" w:type="pct"/>
            <w:shd w:val="clear" w:color="auto" w:fill="auto"/>
            <w:vAlign w:val="bottom"/>
          </w:tcPr>
          <w:p w14:paraId="5A1B2814" w14:textId="77777777" w:rsidR="00960BB8" w:rsidRDefault="00960BB8">
            <w:pPr>
              <w:rPr>
                <w:rFonts w:ascii="宋体"/>
              </w:rPr>
            </w:pPr>
          </w:p>
        </w:tc>
        <w:tc>
          <w:tcPr>
            <w:tcW w:w="5" w:type="pct"/>
            <w:shd w:val="clear" w:color="auto" w:fill="auto"/>
            <w:vAlign w:val="bottom"/>
          </w:tcPr>
          <w:p w14:paraId="5A1B2815" w14:textId="77777777" w:rsidR="00960BB8" w:rsidRDefault="00960BB8">
            <w:pPr>
              <w:rPr>
                <w:rFonts w:ascii="宋体"/>
              </w:rPr>
            </w:pPr>
          </w:p>
        </w:tc>
        <w:tc>
          <w:tcPr>
            <w:tcW w:w="5" w:type="pct"/>
            <w:shd w:val="clear" w:color="auto" w:fill="auto"/>
            <w:vAlign w:val="bottom"/>
          </w:tcPr>
          <w:p w14:paraId="5A1B2816" w14:textId="77777777" w:rsidR="00960BB8" w:rsidRDefault="00960BB8">
            <w:pPr>
              <w:rPr>
                <w:rFonts w:ascii="宋体"/>
              </w:rPr>
            </w:pPr>
          </w:p>
        </w:tc>
        <w:tc>
          <w:tcPr>
            <w:tcW w:w="24" w:type="pct"/>
            <w:shd w:val="clear" w:color="auto" w:fill="auto"/>
            <w:vAlign w:val="bottom"/>
          </w:tcPr>
          <w:p w14:paraId="5A1B2817" w14:textId="77777777" w:rsidR="00960BB8" w:rsidRDefault="00960BB8">
            <w:pPr>
              <w:rPr>
                <w:rFonts w:ascii="宋体"/>
              </w:rPr>
            </w:pPr>
          </w:p>
        </w:tc>
        <w:tc>
          <w:tcPr>
            <w:tcW w:w="5" w:type="pct"/>
            <w:shd w:val="clear" w:color="auto" w:fill="auto"/>
            <w:vAlign w:val="bottom"/>
          </w:tcPr>
          <w:p w14:paraId="5A1B2818" w14:textId="77777777" w:rsidR="00960BB8" w:rsidRDefault="00960BB8">
            <w:pPr>
              <w:rPr>
                <w:rFonts w:ascii="宋体"/>
              </w:rPr>
            </w:pPr>
          </w:p>
        </w:tc>
        <w:tc>
          <w:tcPr>
            <w:tcW w:w="0" w:type="auto"/>
            <w:shd w:val="clear" w:color="auto" w:fill="auto"/>
            <w:vAlign w:val="bottom"/>
          </w:tcPr>
          <w:p w14:paraId="5A1B2819" w14:textId="77777777" w:rsidR="00960BB8" w:rsidRDefault="00960BB8">
            <w:pPr>
              <w:rPr>
                <w:rFonts w:ascii="宋体"/>
                <w:vanish/>
              </w:rPr>
            </w:pPr>
          </w:p>
        </w:tc>
        <w:tc>
          <w:tcPr>
            <w:tcW w:w="0" w:type="auto"/>
            <w:shd w:val="clear" w:color="auto" w:fill="auto"/>
            <w:vAlign w:val="bottom"/>
          </w:tcPr>
          <w:p w14:paraId="5A1B281A" w14:textId="77777777" w:rsidR="00960BB8" w:rsidRDefault="00960BB8">
            <w:pPr>
              <w:rPr>
                <w:rFonts w:ascii="宋体"/>
                <w:vanish/>
              </w:rPr>
            </w:pPr>
          </w:p>
        </w:tc>
        <w:tc>
          <w:tcPr>
            <w:tcW w:w="50" w:type="pct"/>
            <w:shd w:val="clear" w:color="auto" w:fill="auto"/>
            <w:vAlign w:val="bottom"/>
          </w:tcPr>
          <w:p w14:paraId="5A1B281B" w14:textId="77777777" w:rsidR="00960BB8" w:rsidRDefault="00960BB8">
            <w:pPr>
              <w:rPr>
                <w:rFonts w:ascii="宋体"/>
              </w:rPr>
            </w:pPr>
          </w:p>
        </w:tc>
        <w:tc>
          <w:tcPr>
            <w:tcW w:w="539" w:type="pct"/>
            <w:shd w:val="clear" w:color="auto" w:fill="auto"/>
            <w:vAlign w:val="bottom"/>
          </w:tcPr>
          <w:p w14:paraId="5A1B281C" w14:textId="77777777" w:rsidR="00960BB8" w:rsidRDefault="00960BB8">
            <w:pPr>
              <w:rPr>
                <w:rFonts w:ascii="宋体"/>
              </w:rPr>
            </w:pPr>
          </w:p>
        </w:tc>
        <w:tc>
          <w:tcPr>
            <w:tcW w:w="5" w:type="pct"/>
            <w:shd w:val="clear" w:color="auto" w:fill="auto"/>
            <w:vAlign w:val="bottom"/>
          </w:tcPr>
          <w:p w14:paraId="5A1B281D" w14:textId="77777777" w:rsidR="00960BB8" w:rsidRDefault="00960BB8">
            <w:pPr>
              <w:rPr>
                <w:rFonts w:ascii="宋体"/>
              </w:rPr>
            </w:pPr>
          </w:p>
        </w:tc>
      </w:tr>
      <w:tr w:rsidR="00960BB8" w14:paraId="5A1B2826" w14:textId="77777777">
        <w:tc>
          <w:tcPr>
            <w:tcW w:w="0" w:type="auto"/>
            <w:gridSpan w:val="3"/>
            <w:shd w:val="clear" w:color="auto" w:fill="auto"/>
            <w:tcMar>
              <w:top w:w="0" w:type="dxa"/>
              <w:left w:w="20" w:type="dxa"/>
              <w:bottom w:w="0" w:type="dxa"/>
              <w:right w:w="20" w:type="dxa"/>
            </w:tcMar>
            <w:vAlign w:val="bottom"/>
          </w:tcPr>
          <w:p w14:paraId="5A1B281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20"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vAlign w:val="bottom"/>
          </w:tcPr>
          <w:p w14:paraId="5A1B2821"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2822" w14:textId="77777777" w:rsidR="00960BB8" w:rsidRDefault="00960BB8">
            <w:pPr>
              <w:rPr>
                <w:rFonts w:ascii="宋体"/>
              </w:rPr>
            </w:pPr>
          </w:p>
        </w:tc>
        <w:tc>
          <w:tcPr>
            <w:tcW w:w="0" w:type="auto"/>
            <w:shd w:val="clear" w:color="auto" w:fill="auto"/>
            <w:vAlign w:val="bottom"/>
          </w:tcPr>
          <w:p w14:paraId="5A1B2823" w14:textId="77777777" w:rsidR="00960BB8" w:rsidRDefault="00960BB8">
            <w:pPr>
              <w:rPr>
                <w:rFonts w:ascii="宋体"/>
                <w:vanish/>
              </w:rPr>
            </w:pPr>
          </w:p>
        </w:tc>
        <w:tc>
          <w:tcPr>
            <w:tcW w:w="0" w:type="auto"/>
            <w:shd w:val="clear" w:color="auto" w:fill="auto"/>
            <w:vAlign w:val="bottom"/>
          </w:tcPr>
          <w:p w14:paraId="5A1B2824"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bottom"/>
          </w:tcPr>
          <w:p w14:paraId="5A1B2825"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2830" w14:textId="77777777">
        <w:tc>
          <w:tcPr>
            <w:tcW w:w="0" w:type="auto"/>
            <w:gridSpan w:val="3"/>
            <w:shd w:val="clear" w:color="auto" w:fill="auto"/>
            <w:tcMar>
              <w:top w:w="40" w:type="dxa"/>
              <w:left w:w="20" w:type="dxa"/>
              <w:bottom w:w="40" w:type="dxa"/>
              <w:right w:w="20" w:type="dxa"/>
            </w:tcMar>
            <w:vAlign w:val="bottom"/>
          </w:tcPr>
          <w:p w14:paraId="5A1B2827"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2828"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829" w14:textId="77777777" w:rsidR="00960BB8" w:rsidRDefault="00C06650">
            <w:pPr>
              <w:jc w:val="center"/>
              <w:textAlignment w:val="bottom"/>
            </w:pPr>
            <w:r>
              <w:rPr>
                <w:rFonts w:ascii="Arial" w:eastAsia="宋体" w:hAnsi="Arial" w:cs="Arial"/>
                <w:b/>
                <w:bCs/>
                <w:color w:val="262626"/>
                <w:sz w:val="18"/>
                <w:szCs w:val="18"/>
              </w:rPr>
              <w:t>Effective Interest Rate</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82A"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82B" w14:textId="77777777" w:rsidR="00960BB8" w:rsidRDefault="00C06650">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vAlign w:val="bottom"/>
          </w:tcPr>
          <w:p w14:paraId="5A1B282C" w14:textId="77777777" w:rsidR="00960BB8" w:rsidRDefault="00960BB8">
            <w:pPr>
              <w:rPr>
                <w:rFonts w:ascii="宋体"/>
              </w:rPr>
            </w:pPr>
          </w:p>
        </w:tc>
        <w:tc>
          <w:tcPr>
            <w:tcW w:w="0" w:type="auto"/>
            <w:shd w:val="clear" w:color="auto" w:fill="auto"/>
            <w:vAlign w:val="bottom"/>
          </w:tcPr>
          <w:p w14:paraId="5A1B282D" w14:textId="77777777" w:rsidR="00960BB8" w:rsidRDefault="00960BB8">
            <w:pPr>
              <w:rPr>
                <w:rFonts w:ascii="宋体"/>
                <w:vanish/>
              </w:rPr>
            </w:pPr>
          </w:p>
        </w:tc>
        <w:tc>
          <w:tcPr>
            <w:tcW w:w="0" w:type="auto"/>
            <w:shd w:val="clear" w:color="auto" w:fill="auto"/>
            <w:vAlign w:val="bottom"/>
          </w:tcPr>
          <w:p w14:paraId="5A1B282E" w14:textId="77777777" w:rsidR="00960BB8" w:rsidRDefault="00960BB8">
            <w:pPr>
              <w:rPr>
                <w:rFonts w:ascii="宋体"/>
                <w:vanish/>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82F" w14:textId="77777777" w:rsidR="00960BB8" w:rsidRDefault="00C06650">
            <w:pPr>
              <w:jc w:val="center"/>
              <w:textAlignment w:val="bottom"/>
            </w:pPr>
            <w:r>
              <w:rPr>
                <w:rFonts w:ascii="Arial" w:eastAsia="宋体" w:hAnsi="Arial" w:cs="Arial"/>
                <w:b/>
                <w:bCs/>
                <w:color w:val="262626"/>
                <w:sz w:val="18"/>
                <w:szCs w:val="18"/>
              </w:rPr>
              <w:t>Amount</w:t>
            </w:r>
          </w:p>
        </w:tc>
      </w:tr>
      <w:tr w:rsidR="00960BB8" w14:paraId="5A1B283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831" w14:textId="77777777" w:rsidR="00960BB8" w:rsidRDefault="00C06650">
            <w:pPr>
              <w:textAlignment w:val="bottom"/>
            </w:pPr>
            <w:r>
              <w:rPr>
                <w:rFonts w:ascii="Arial" w:eastAsia="宋体" w:hAnsi="Arial" w:cs="Arial"/>
                <w:color w:val="262626"/>
                <w:sz w:val="18"/>
                <w:szCs w:val="18"/>
              </w:rPr>
              <w:t>Oregon and Arizona bonds:</w:t>
            </w:r>
          </w:p>
        </w:tc>
        <w:tc>
          <w:tcPr>
            <w:tcW w:w="0" w:type="auto"/>
            <w:gridSpan w:val="3"/>
            <w:shd w:val="clear" w:color="auto" w:fill="auto"/>
            <w:tcMar>
              <w:top w:w="0" w:type="dxa"/>
              <w:left w:w="20" w:type="dxa"/>
              <w:bottom w:w="0" w:type="dxa"/>
              <w:right w:w="20" w:type="dxa"/>
            </w:tcMar>
            <w:vAlign w:val="bottom"/>
          </w:tcPr>
          <w:p w14:paraId="5A1B2832"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83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34"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83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36" w14:textId="77777777" w:rsidR="00960BB8" w:rsidRDefault="00960BB8">
            <w:pPr>
              <w:rPr>
                <w:rFonts w:ascii="宋体"/>
              </w:rPr>
            </w:pPr>
          </w:p>
        </w:tc>
        <w:tc>
          <w:tcPr>
            <w:tcW w:w="0" w:type="auto"/>
            <w:shd w:val="clear" w:color="auto" w:fill="auto"/>
            <w:vAlign w:val="bottom"/>
          </w:tcPr>
          <w:p w14:paraId="5A1B2837" w14:textId="77777777" w:rsidR="00960BB8" w:rsidRDefault="00960BB8">
            <w:pPr>
              <w:rPr>
                <w:rFonts w:ascii="宋体"/>
                <w:vanish/>
              </w:rPr>
            </w:pPr>
          </w:p>
        </w:tc>
        <w:tc>
          <w:tcPr>
            <w:tcW w:w="0" w:type="auto"/>
            <w:shd w:val="clear" w:color="auto" w:fill="auto"/>
            <w:vAlign w:val="bottom"/>
          </w:tcPr>
          <w:p w14:paraId="5A1B2838" w14:textId="77777777" w:rsidR="00960BB8" w:rsidRDefault="00960BB8">
            <w:pPr>
              <w:rPr>
                <w:rFonts w:ascii="宋体"/>
                <w:vanish/>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839" w14:textId="77777777" w:rsidR="00960BB8" w:rsidRDefault="00960BB8">
            <w:pPr>
              <w:rPr>
                <w:rFonts w:ascii="宋体"/>
              </w:rPr>
            </w:pPr>
          </w:p>
        </w:tc>
      </w:tr>
      <w:tr w:rsidR="00960BB8" w14:paraId="5A1B2848" w14:textId="77777777">
        <w:tc>
          <w:tcPr>
            <w:tcW w:w="0" w:type="auto"/>
            <w:gridSpan w:val="3"/>
            <w:shd w:val="clear" w:color="auto" w:fill="auto"/>
            <w:tcMar>
              <w:top w:w="40" w:type="dxa"/>
              <w:left w:w="155" w:type="dxa"/>
              <w:bottom w:w="40" w:type="dxa"/>
              <w:right w:w="20" w:type="dxa"/>
            </w:tcMar>
            <w:vAlign w:val="bottom"/>
          </w:tcPr>
          <w:p w14:paraId="5A1B283B" w14:textId="77777777" w:rsidR="00960BB8" w:rsidRDefault="00C06650">
            <w:pPr>
              <w:textAlignment w:val="bottom"/>
            </w:pPr>
            <w:r>
              <w:rPr>
                <w:rFonts w:ascii="Arial" w:eastAsia="宋体" w:hAnsi="Arial" w:cs="Arial"/>
                <w:color w:val="262626"/>
                <w:sz w:val="18"/>
                <w:szCs w:val="18"/>
              </w:rPr>
              <w:t>2.40% - 2.70%, due December 2035 - 2040</w:t>
            </w:r>
          </w:p>
        </w:tc>
        <w:tc>
          <w:tcPr>
            <w:tcW w:w="0" w:type="auto"/>
            <w:gridSpan w:val="3"/>
            <w:shd w:val="clear" w:color="auto" w:fill="auto"/>
            <w:tcMar>
              <w:top w:w="0" w:type="dxa"/>
              <w:left w:w="20" w:type="dxa"/>
              <w:bottom w:w="0" w:type="dxa"/>
              <w:right w:w="20" w:type="dxa"/>
            </w:tcMar>
            <w:vAlign w:val="bottom"/>
          </w:tcPr>
          <w:p w14:paraId="5A1B283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83D" w14:textId="77777777" w:rsidR="00960BB8" w:rsidRDefault="00C06650">
            <w:pPr>
              <w:jc w:val="center"/>
              <w:textAlignment w:val="bottom"/>
            </w:pPr>
            <w:r>
              <w:rPr>
                <w:rFonts w:ascii="Arial" w:eastAsia="宋体" w:hAnsi="Arial" w:cs="Arial"/>
                <w:color w:val="0068B5"/>
                <w:sz w:val="18"/>
                <w:szCs w:val="18"/>
              </w:rPr>
              <w:t>2.49%</w:t>
            </w:r>
          </w:p>
        </w:tc>
        <w:tc>
          <w:tcPr>
            <w:tcW w:w="0" w:type="auto"/>
            <w:gridSpan w:val="3"/>
            <w:shd w:val="clear" w:color="auto" w:fill="auto"/>
            <w:tcMar>
              <w:top w:w="0" w:type="dxa"/>
              <w:left w:w="20" w:type="dxa"/>
              <w:bottom w:w="0" w:type="dxa"/>
              <w:right w:w="20" w:type="dxa"/>
            </w:tcMar>
            <w:vAlign w:val="bottom"/>
          </w:tcPr>
          <w:p w14:paraId="5A1B283E"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83F"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840" w14:textId="77777777" w:rsidR="00960BB8" w:rsidRDefault="00C06650">
            <w:pPr>
              <w:jc w:val="right"/>
              <w:textAlignment w:val="bottom"/>
            </w:pPr>
            <w:r>
              <w:rPr>
                <w:rFonts w:ascii="Arial" w:eastAsia="宋体" w:hAnsi="Arial" w:cs="Arial"/>
                <w:color w:val="0068B5"/>
                <w:sz w:val="18"/>
                <w:szCs w:val="18"/>
              </w:rPr>
              <w:t>423 </w:t>
            </w:r>
          </w:p>
        </w:tc>
        <w:tc>
          <w:tcPr>
            <w:tcW w:w="0" w:type="auto"/>
            <w:shd w:val="clear" w:color="auto" w:fill="auto"/>
            <w:tcMar>
              <w:top w:w="40" w:type="dxa"/>
              <w:left w:w="0" w:type="dxa"/>
              <w:bottom w:w="40" w:type="dxa"/>
              <w:right w:w="20" w:type="dxa"/>
            </w:tcMar>
            <w:vAlign w:val="bottom"/>
          </w:tcPr>
          <w:p w14:paraId="5A1B284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842" w14:textId="77777777" w:rsidR="00960BB8" w:rsidRDefault="00960BB8">
            <w:pPr>
              <w:rPr>
                <w:rFonts w:ascii="宋体"/>
              </w:rPr>
            </w:pPr>
          </w:p>
        </w:tc>
        <w:tc>
          <w:tcPr>
            <w:tcW w:w="0" w:type="auto"/>
            <w:shd w:val="clear" w:color="auto" w:fill="auto"/>
            <w:vAlign w:val="bottom"/>
          </w:tcPr>
          <w:p w14:paraId="5A1B2843" w14:textId="77777777" w:rsidR="00960BB8" w:rsidRDefault="00960BB8">
            <w:pPr>
              <w:rPr>
                <w:rFonts w:ascii="宋体"/>
                <w:vanish/>
              </w:rPr>
            </w:pPr>
          </w:p>
        </w:tc>
        <w:tc>
          <w:tcPr>
            <w:tcW w:w="0" w:type="auto"/>
            <w:shd w:val="clear" w:color="auto" w:fill="auto"/>
            <w:vAlign w:val="bottom"/>
          </w:tcPr>
          <w:p w14:paraId="5A1B2844" w14:textId="77777777" w:rsidR="00960BB8" w:rsidRDefault="00960BB8">
            <w:pPr>
              <w:rPr>
                <w:rFonts w:ascii="宋体"/>
                <w:vanish/>
              </w:rPr>
            </w:pPr>
          </w:p>
        </w:tc>
        <w:tc>
          <w:tcPr>
            <w:tcW w:w="0" w:type="auto"/>
            <w:shd w:val="clear" w:color="auto" w:fill="auto"/>
            <w:tcMar>
              <w:top w:w="40" w:type="dxa"/>
              <w:left w:w="20" w:type="dxa"/>
              <w:bottom w:w="40" w:type="dxa"/>
              <w:right w:w="0" w:type="dxa"/>
            </w:tcMar>
            <w:vAlign w:val="bottom"/>
          </w:tcPr>
          <w:p w14:paraId="5A1B2845" w14:textId="77777777" w:rsidR="00960BB8" w:rsidRDefault="00C06650">
            <w:pPr>
              <w:textAlignment w:val="bottom"/>
            </w:pPr>
            <w:r>
              <w:rPr>
                <w:rFonts w:ascii="Arial" w:eastAsia="宋体" w:hAnsi="Arial" w:cs="Arial"/>
                <w:color w:val="000000"/>
                <w:sz w:val="18"/>
                <w:szCs w:val="18"/>
              </w:rPr>
              <w:t>$</w:t>
            </w:r>
          </w:p>
        </w:tc>
        <w:tc>
          <w:tcPr>
            <w:tcW w:w="0" w:type="auto"/>
            <w:shd w:val="clear" w:color="auto" w:fill="auto"/>
            <w:tcMar>
              <w:top w:w="40" w:type="dxa"/>
              <w:left w:w="0" w:type="dxa"/>
              <w:bottom w:w="40" w:type="dxa"/>
              <w:right w:w="0" w:type="dxa"/>
            </w:tcMar>
            <w:vAlign w:val="bottom"/>
          </w:tcPr>
          <w:p w14:paraId="5A1B2846" w14:textId="77777777" w:rsidR="00960BB8" w:rsidRDefault="00C06650">
            <w:pPr>
              <w:jc w:val="right"/>
              <w:textAlignment w:val="bottom"/>
            </w:pPr>
            <w:r>
              <w:rPr>
                <w:rFonts w:ascii="Arial" w:eastAsia="宋体" w:hAnsi="Arial" w:cs="Arial"/>
                <w:color w:val="000000"/>
                <w:sz w:val="18"/>
                <w:szCs w:val="18"/>
              </w:rPr>
              <w:t>423 </w:t>
            </w:r>
          </w:p>
        </w:tc>
        <w:tc>
          <w:tcPr>
            <w:tcW w:w="0" w:type="auto"/>
            <w:shd w:val="clear" w:color="auto" w:fill="auto"/>
            <w:tcMar>
              <w:top w:w="40" w:type="dxa"/>
              <w:left w:w="0" w:type="dxa"/>
              <w:bottom w:w="40" w:type="dxa"/>
              <w:right w:w="20" w:type="dxa"/>
            </w:tcMar>
            <w:vAlign w:val="bottom"/>
          </w:tcPr>
          <w:p w14:paraId="5A1B2847" w14:textId="77777777" w:rsidR="00960BB8" w:rsidRDefault="00960BB8">
            <w:pPr>
              <w:jc w:val="right"/>
              <w:rPr>
                <w:rFonts w:ascii="宋体"/>
              </w:rPr>
            </w:pPr>
          </w:p>
        </w:tc>
      </w:tr>
      <w:tr w:rsidR="00960BB8" w14:paraId="5A1B2854" w14:textId="77777777">
        <w:tc>
          <w:tcPr>
            <w:tcW w:w="0" w:type="auto"/>
            <w:gridSpan w:val="3"/>
            <w:shd w:val="clear" w:color="auto" w:fill="auto"/>
            <w:tcMar>
              <w:top w:w="40" w:type="dxa"/>
              <w:left w:w="155" w:type="dxa"/>
              <w:bottom w:w="40" w:type="dxa"/>
              <w:right w:w="20" w:type="dxa"/>
            </w:tcMar>
            <w:vAlign w:val="bottom"/>
          </w:tcPr>
          <w:p w14:paraId="5A1B2849" w14:textId="77777777" w:rsidR="00960BB8" w:rsidRDefault="00C06650">
            <w:pPr>
              <w:textAlignment w:val="bottom"/>
            </w:pPr>
            <w:r>
              <w:rPr>
                <w:rFonts w:ascii="Arial" w:eastAsia="宋体" w:hAnsi="Arial" w:cs="Arial"/>
                <w:color w:val="262626"/>
                <w:sz w:val="18"/>
                <w:szCs w:val="18"/>
              </w:rPr>
              <w:t>5.00%, due September 2042</w:t>
            </w:r>
          </w:p>
        </w:tc>
        <w:tc>
          <w:tcPr>
            <w:tcW w:w="0" w:type="auto"/>
            <w:gridSpan w:val="3"/>
            <w:shd w:val="clear" w:color="auto" w:fill="auto"/>
            <w:tcMar>
              <w:top w:w="0" w:type="dxa"/>
              <w:left w:w="20" w:type="dxa"/>
              <w:bottom w:w="0" w:type="dxa"/>
              <w:right w:w="20" w:type="dxa"/>
            </w:tcMar>
            <w:vAlign w:val="bottom"/>
          </w:tcPr>
          <w:p w14:paraId="5A1B284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84B" w14:textId="77777777" w:rsidR="00960BB8" w:rsidRDefault="00C06650">
            <w:pPr>
              <w:jc w:val="center"/>
              <w:textAlignment w:val="bottom"/>
            </w:pPr>
            <w:r>
              <w:rPr>
                <w:rFonts w:ascii="Arial" w:eastAsia="宋体" w:hAnsi="Arial" w:cs="Arial"/>
                <w:color w:val="0068B5"/>
                <w:sz w:val="18"/>
                <w:szCs w:val="18"/>
              </w:rPr>
              <w:t>3.41%</w:t>
            </w:r>
          </w:p>
        </w:tc>
        <w:tc>
          <w:tcPr>
            <w:tcW w:w="0" w:type="auto"/>
            <w:gridSpan w:val="3"/>
            <w:shd w:val="clear" w:color="auto" w:fill="auto"/>
            <w:tcMar>
              <w:top w:w="0" w:type="dxa"/>
              <w:left w:w="20" w:type="dxa"/>
              <w:bottom w:w="0" w:type="dxa"/>
              <w:right w:w="20" w:type="dxa"/>
            </w:tcMar>
            <w:vAlign w:val="bottom"/>
          </w:tcPr>
          <w:p w14:paraId="5A1B284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84D" w14:textId="77777777" w:rsidR="00960BB8" w:rsidRDefault="00C06650">
            <w:pPr>
              <w:jc w:val="right"/>
              <w:textAlignment w:val="bottom"/>
            </w:pPr>
            <w:r>
              <w:rPr>
                <w:rFonts w:ascii="Arial" w:eastAsia="宋体" w:hAnsi="Arial" w:cs="Arial"/>
                <w:color w:val="0068B5"/>
                <w:sz w:val="18"/>
                <w:szCs w:val="18"/>
              </w:rPr>
              <w:t>131 </w:t>
            </w:r>
          </w:p>
        </w:tc>
        <w:tc>
          <w:tcPr>
            <w:tcW w:w="0" w:type="auto"/>
            <w:shd w:val="clear" w:color="auto" w:fill="auto"/>
            <w:tcMar>
              <w:top w:w="40" w:type="dxa"/>
              <w:left w:w="0" w:type="dxa"/>
              <w:bottom w:w="40" w:type="dxa"/>
              <w:right w:w="20" w:type="dxa"/>
            </w:tcMar>
            <w:vAlign w:val="bottom"/>
          </w:tcPr>
          <w:p w14:paraId="5A1B284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84F" w14:textId="77777777" w:rsidR="00960BB8" w:rsidRDefault="00960BB8">
            <w:pPr>
              <w:rPr>
                <w:rFonts w:ascii="宋体"/>
              </w:rPr>
            </w:pPr>
          </w:p>
        </w:tc>
        <w:tc>
          <w:tcPr>
            <w:tcW w:w="0" w:type="auto"/>
            <w:shd w:val="clear" w:color="auto" w:fill="auto"/>
            <w:vAlign w:val="bottom"/>
          </w:tcPr>
          <w:p w14:paraId="5A1B2850" w14:textId="77777777" w:rsidR="00960BB8" w:rsidRDefault="00960BB8">
            <w:pPr>
              <w:rPr>
                <w:rFonts w:ascii="宋体"/>
                <w:vanish/>
              </w:rPr>
            </w:pPr>
          </w:p>
        </w:tc>
        <w:tc>
          <w:tcPr>
            <w:tcW w:w="0" w:type="auto"/>
            <w:shd w:val="clear" w:color="auto" w:fill="auto"/>
            <w:vAlign w:val="bottom"/>
          </w:tcPr>
          <w:p w14:paraId="5A1B2851"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852" w14:textId="77777777" w:rsidR="00960BB8" w:rsidRDefault="00C06650">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5A1B2853" w14:textId="77777777" w:rsidR="00960BB8" w:rsidRDefault="00960BB8">
            <w:pPr>
              <w:jc w:val="right"/>
              <w:rPr>
                <w:rFonts w:ascii="宋体"/>
              </w:rPr>
            </w:pPr>
          </w:p>
        </w:tc>
      </w:tr>
      <w:tr w:rsidR="00960BB8" w14:paraId="5A1B2860" w14:textId="77777777">
        <w:tc>
          <w:tcPr>
            <w:tcW w:w="0" w:type="auto"/>
            <w:gridSpan w:val="3"/>
            <w:shd w:val="clear" w:color="auto" w:fill="auto"/>
            <w:tcMar>
              <w:top w:w="40" w:type="dxa"/>
              <w:left w:w="155" w:type="dxa"/>
              <w:bottom w:w="40" w:type="dxa"/>
              <w:right w:w="20" w:type="dxa"/>
            </w:tcMar>
            <w:vAlign w:val="bottom"/>
          </w:tcPr>
          <w:p w14:paraId="5A1B2855" w14:textId="77777777" w:rsidR="00960BB8" w:rsidRDefault="00C06650">
            <w:pPr>
              <w:textAlignment w:val="bottom"/>
            </w:pPr>
            <w:r>
              <w:rPr>
                <w:rFonts w:ascii="Arial" w:eastAsia="宋体" w:hAnsi="Arial" w:cs="Arial"/>
                <w:color w:val="262626"/>
                <w:sz w:val="18"/>
                <w:szCs w:val="18"/>
              </w:rPr>
              <w:t>5.00%, due March 2049</w:t>
            </w:r>
          </w:p>
        </w:tc>
        <w:tc>
          <w:tcPr>
            <w:tcW w:w="0" w:type="auto"/>
            <w:gridSpan w:val="3"/>
            <w:shd w:val="clear" w:color="auto" w:fill="auto"/>
            <w:tcMar>
              <w:top w:w="0" w:type="dxa"/>
              <w:left w:w="20" w:type="dxa"/>
              <w:bottom w:w="0" w:type="dxa"/>
              <w:right w:w="20" w:type="dxa"/>
            </w:tcMar>
            <w:vAlign w:val="bottom"/>
          </w:tcPr>
          <w:p w14:paraId="5A1B285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857" w14:textId="77777777" w:rsidR="00960BB8" w:rsidRDefault="00C06650">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285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859"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85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85B" w14:textId="77777777" w:rsidR="00960BB8" w:rsidRDefault="00960BB8">
            <w:pPr>
              <w:rPr>
                <w:rFonts w:ascii="宋体"/>
              </w:rPr>
            </w:pPr>
          </w:p>
        </w:tc>
        <w:tc>
          <w:tcPr>
            <w:tcW w:w="0" w:type="auto"/>
            <w:shd w:val="clear" w:color="auto" w:fill="auto"/>
            <w:vAlign w:val="bottom"/>
          </w:tcPr>
          <w:p w14:paraId="5A1B285C" w14:textId="77777777" w:rsidR="00960BB8" w:rsidRDefault="00960BB8">
            <w:pPr>
              <w:rPr>
                <w:rFonts w:ascii="宋体"/>
                <w:vanish/>
              </w:rPr>
            </w:pPr>
          </w:p>
        </w:tc>
        <w:tc>
          <w:tcPr>
            <w:tcW w:w="0" w:type="auto"/>
            <w:shd w:val="clear" w:color="auto" w:fill="auto"/>
            <w:vAlign w:val="bottom"/>
          </w:tcPr>
          <w:p w14:paraId="5A1B285D"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85E" w14:textId="77777777" w:rsidR="00960BB8" w:rsidRDefault="00C06650">
            <w:pPr>
              <w:jc w:val="right"/>
              <w:textAlignment w:val="bottom"/>
            </w:pPr>
            <w:r>
              <w:rPr>
                <w:rFonts w:ascii="Arial" w:eastAsia="宋体" w:hAnsi="Arial" w:cs="Arial"/>
                <w:color w:val="000000"/>
                <w:sz w:val="18"/>
                <w:szCs w:val="18"/>
              </w:rPr>
              <w:t>138 </w:t>
            </w:r>
          </w:p>
        </w:tc>
        <w:tc>
          <w:tcPr>
            <w:tcW w:w="0" w:type="auto"/>
            <w:shd w:val="clear" w:color="auto" w:fill="auto"/>
            <w:tcMar>
              <w:top w:w="40" w:type="dxa"/>
              <w:left w:w="0" w:type="dxa"/>
              <w:bottom w:w="40" w:type="dxa"/>
              <w:right w:w="20" w:type="dxa"/>
            </w:tcMar>
            <w:vAlign w:val="bottom"/>
          </w:tcPr>
          <w:p w14:paraId="5A1B285F" w14:textId="77777777" w:rsidR="00960BB8" w:rsidRDefault="00960BB8">
            <w:pPr>
              <w:jc w:val="right"/>
              <w:rPr>
                <w:rFonts w:ascii="宋体"/>
              </w:rPr>
            </w:pPr>
          </w:p>
        </w:tc>
      </w:tr>
      <w:tr w:rsidR="00960BB8" w14:paraId="5A1B286C" w14:textId="77777777">
        <w:tc>
          <w:tcPr>
            <w:tcW w:w="0" w:type="auto"/>
            <w:gridSpan w:val="3"/>
            <w:shd w:val="clear" w:color="auto" w:fill="auto"/>
            <w:tcMar>
              <w:top w:w="40" w:type="dxa"/>
              <w:left w:w="155" w:type="dxa"/>
              <w:bottom w:w="40" w:type="dxa"/>
              <w:right w:w="20" w:type="dxa"/>
            </w:tcMar>
            <w:vAlign w:val="bottom"/>
          </w:tcPr>
          <w:p w14:paraId="5A1B2861" w14:textId="77777777" w:rsidR="00960BB8" w:rsidRDefault="00C06650">
            <w:pPr>
              <w:textAlignment w:val="bottom"/>
            </w:pPr>
            <w:r>
              <w:rPr>
                <w:rFonts w:ascii="Arial" w:eastAsia="宋体" w:hAnsi="Arial" w:cs="Arial"/>
                <w:color w:val="262626"/>
                <w:sz w:val="18"/>
                <w:szCs w:val="18"/>
              </w:rPr>
              <w:t>5.00%, due June 2049</w:t>
            </w:r>
          </w:p>
        </w:tc>
        <w:tc>
          <w:tcPr>
            <w:tcW w:w="0" w:type="auto"/>
            <w:gridSpan w:val="3"/>
            <w:shd w:val="clear" w:color="auto" w:fill="auto"/>
            <w:tcMar>
              <w:top w:w="0" w:type="dxa"/>
              <w:left w:w="20" w:type="dxa"/>
              <w:bottom w:w="0" w:type="dxa"/>
              <w:right w:w="20" w:type="dxa"/>
            </w:tcMar>
            <w:vAlign w:val="bottom"/>
          </w:tcPr>
          <w:p w14:paraId="5A1B286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863" w14:textId="77777777" w:rsidR="00960BB8" w:rsidRDefault="00C06650">
            <w:pPr>
              <w:jc w:val="center"/>
              <w:textAlignment w:val="bottom"/>
            </w:pPr>
            <w:r>
              <w:rPr>
                <w:rFonts w:ascii="Arial" w:eastAsia="宋体" w:hAnsi="Arial" w:cs="Arial"/>
                <w:color w:val="0068B5"/>
                <w:sz w:val="18"/>
                <w:szCs w:val="18"/>
              </w:rPr>
              <w:t>2.15%</w:t>
            </w:r>
          </w:p>
        </w:tc>
        <w:tc>
          <w:tcPr>
            <w:tcW w:w="0" w:type="auto"/>
            <w:gridSpan w:val="3"/>
            <w:shd w:val="clear" w:color="auto" w:fill="auto"/>
            <w:tcMar>
              <w:top w:w="0" w:type="dxa"/>
              <w:left w:w="20" w:type="dxa"/>
              <w:bottom w:w="0" w:type="dxa"/>
              <w:right w:w="20" w:type="dxa"/>
            </w:tcMar>
            <w:vAlign w:val="bottom"/>
          </w:tcPr>
          <w:p w14:paraId="5A1B286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865" w14:textId="77777777" w:rsidR="00960BB8" w:rsidRDefault="00C06650">
            <w:pPr>
              <w:jc w:val="right"/>
              <w:textAlignment w:val="bottom"/>
            </w:pPr>
            <w:r>
              <w:rPr>
                <w:rFonts w:ascii="Arial" w:eastAsia="宋体" w:hAnsi="Arial" w:cs="Arial"/>
                <w:color w:val="0068B5"/>
                <w:sz w:val="18"/>
                <w:szCs w:val="18"/>
              </w:rPr>
              <w:t>438 </w:t>
            </w:r>
          </w:p>
        </w:tc>
        <w:tc>
          <w:tcPr>
            <w:tcW w:w="0" w:type="auto"/>
            <w:shd w:val="clear" w:color="auto" w:fill="auto"/>
            <w:tcMar>
              <w:top w:w="40" w:type="dxa"/>
              <w:left w:w="0" w:type="dxa"/>
              <w:bottom w:w="40" w:type="dxa"/>
              <w:right w:w="20" w:type="dxa"/>
            </w:tcMar>
            <w:vAlign w:val="bottom"/>
          </w:tcPr>
          <w:p w14:paraId="5A1B286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867" w14:textId="77777777" w:rsidR="00960BB8" w:rsidRDefault="00960BB8">
            <w:pPr>
              <w:rPr>
                <w:rFonts w:ascii="宋体"/>
              </w:rPr>
            </w:pPr>
          </w:p>
        </w:tc>
        <w:tc>
          <w:tcPr>
            <w:tcW w:w="0" w:type="auto"/>
            <w:shd w:val="clear" w:color="auto" w:fill="auto"/>
            <w:vAlign w:val="bottom"/>
          </w:tcPr>
          <w:p w14:paraId="5A1B2868" w14:textId="77777777" w:rsidR="00960BB8" w:rsidRDefault="00960BB8">
            <w:pPr>
              <w:rPr>
                <w:rFonts w:ascii="宋体"/>
                <w:vanish/>
              </w:rPr>
            </w:pPr>
          </w:p>
        </w:tc>
        <w:tc>
          <w:tcPr>
            <w:tcW w:w="0" w:type="auto"/>
            <w:shd w:val="clear" w:color="auto" w:fill="auto"/>
            <w:vAlign w:val="bottom"/>
          </w:tcPr>
          <w:p w14:paraId="5A1B2869"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86A" w14:textId="77777777" w:rsidR="00960BB8" w:rsidRDefault="00C06650">
            <w:pPr>
              <w:jc w:val="right"/>
              <w:textAlignment w:val="bottom"/>
            </w:pPr>
            <w:r>
              <w:rPr>
                <w:rFonts w:ascii="Arial" w:eastAsia="宋体" w:hAnsi="Arial" w:cs="Arial"/>
                <w:color w:val="000000"/>
                <w:sz w:val="18"/>
                <w:szCs w:val="18"/>
              </w:rPr>
              <w:t>438 </w:t>
            </w:r>
          </w:p>
        </w:tc>
        <w:tc>
          <w:tcPr>
            <w:tcW w:w="0" w:type="auto"/>
            <w:shd w:val="clear" w:color="auto" w:fill="auto"/>
            <w:tcMar>
              <w:top w:w="40" w:type="dxa"/>
              <w:left w:w="0" w:type="dxa"/>
              <w:bottom w:w="40" w:type="dxa"/>
              <w:right w:w="20" w:type="dxa"/>
            </w:tcMar>
            <w:vAlign w:val="bottom"/>
          </w:tcPr>
          <w:p w14:paraId="5A1B286B" w14:textId="77777777" w:rsidR="00960BB8" w:rsidRDefault="00960BB8">
            <w:pPr>
              <w:jc w:val="right"/>
              <w:rPr>
                <w:rFonts w:ascii="宋体"/>
              </w:rPr>
            </w:pPr>
          </w:p>
        </w:tc>
      </w:tr>
      <w:tr w:rsidR="00960BB8" w14:paraId="5A1B2878" w14:textId="77777777">
        <w:tc>
          <w:tcPr>
            <w:tcW w:w="0" w:type="auto"/>
            <w:gridSpan w:val="3"/>
            <w:shd w:val="clear" w:color="auto" w:fill="auto"/>
            <w:tcMar>
              <w:top w:w="40" w:type="dxa"/>
              <w:left w:w="155" w:type="dxa"/>
              <w:bottom w:w="40" w:type="dxa"/>
              <w:right w:w="20" w:type="dxa"/>
            </w:tcMar>
            <w:vAlign w:val="bottom"/>
          </w:tcPr>
          <w:p w14:paraId="5A1B286D" w14:textId="77777777" w:rsidR="00960BB8" w:rsidRDefault="00C06650">
            <w:pPr>
              <w:textAlignment w:val="bottom"/>
            </w:pPr>
            <w:r>
              <w:rPr>
                <w:rFonts w:ascii="Arial" w:eastAsia="宋体" w:hAnsi="Arial" w:cs="Arial"/>
                <w:color w:val="262626"/>
                <w:sz w:val="18"/>
                <w:szCs w:val="18"/>
              </w:rPr>
              <w:t>5.00%, due September 2052</w:t>
            </w:r>
          </w:p>
        </w:tc>
        <w:tc>
          <w:tcPr>
            <w:tcW w:w="0" w:type="auto"/>
            <w:gridSpan w:val="3"/>
            <w:shd w:val="clear" w:color="auto" w:fill="auto"/>
            <w:tcMar>
              <w:top w:w="0" w:type="dxa"/>
              <w:left w:w="20" w:type="dxa"/>
              <w:bottom w:w="0" w:type="dxa"/>
              <w:right w:w="20" w:type="dxa"/>
            </w:tcMar>
            <w:vAlign w:val="bottom"/>
          </w:tcPr>
          <w:p w14:paraId="5A1B286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86F" w14:textId="77777777" w:rsidR="00960BB8" w:rsidRDefault="00C06650">
            <w:pPr>
              <w:jc w:val="center"/>
              <w:textAlignment w:val="bottom"/>
            </w:pPr>
            <w:r>
              <w:rPr>
                <w:rFonts w:ascii="Arial" w:eastAsia="宋体" w:hAnsi="Arial" w:cs="Arial"/>
                <w:color w:val="0068B5"/>
                <w:sz w:val="18"/>
                <w:szCs w:val="18"/>
              </w:rPr>
              <w:t>3.17%</w:t>
            </w:r>
          </w:p>
        </w:tc>
        <w:tc>
          <w:tcPr>
            <w:tcW w:w="0" w:type="auto"/>
            <w:gridSpan w:val="3"/>
            <w:shd w:val="clear" w:color="auto" w:fill="auto"/>
            <w:tcMar>
              <w:top w:w="0" w:type="dxa"/>
              <w:left w:w="20" w:type="dxa"/>
              <w:bottom w:w="0" w:type="dxa"/>
              <w:right w:w="20" w:type="dxa"/>
            </w:tcMar>
            <w:vAlign w:val="bottom"/>
          </w:tcPr>
          <w:p w14:paraId="5A1B287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871" w14:textId="77777777" w:rsidR="00960BB8" w:rsidRDefault="00C06650">
            <w:pPr>
              <w:jc w:val="right"/>
              <w:textAlignment w:val="bottom"/>
            </w:pPr>
            <w:r>
              <w:rPr>
                <w:rFonts w:ascii="Arial" w:eastAsia="宋体" w:hAnsi="Arial" w:cs="Arial"/>
                <w:color w:val="0068B5"/>
                <w:sz w:val="18"/>
                <w:szCs w:val="18"/>
              </w:rPr>
              <w:t>445 </w:t>
            </w:r>
          </w:p>
        </w:tc>
        <w:tc>
          <w:tcPr>
            <w:tcW w:w="0" w:type="auto"/>
            <w:shd w:val="clear" w:color="auto" w:fill="auto"/>
            <w:tcMar>
              <w:top w:w="40" w:type="dxa"/>
              <w:left w:w="0" w:type="dxa"/>
              <w:bottom w:w="40" w:type="dxa"/>
              <w:right w:w="20" w:type="dxa"/>
            </w:tcMar>
            <w:vAlign w:val="bottom"/>
          </w:tcPr>
          <w:p w14:paraId="5A1B287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873" w14:textId="77777777" w:rsidR="00960BB8" w:rsidRDefault="00960BB8">
            <w:pPr>
              <w:rPr>
                <w:rFonts w:ascii="宋体"/>
              </w:rPr>
            </w:pPr>
          </w:p>
        </w:tc>
        <w:tc>
          <w:tcPr>
            <w:tcW w:w="0" w:type="auto"/>
            <w:shd w:val="clear" w:color="auto" w:fill="auto"/>
            <w:vAlign w:val="bottom"/>
          </w:tcPr>
          <w:p w14:paraId="5A1B2874" w14:textId="77777777" w:rsidR="00960BB8" w:rsidRDefault="00960BB8">
            <w:pPr>
              <w:rPr>
                <w:rFonts w:ascii="宋体"/>
                <w:vanish/>
              </w:rPr>
            </w:pPr>
          </w:p>
        </w:tc>
        <w:tc>
          <w:tcPr>
            <w:tcW w:w="0" w:type="auto"/>
            <w:shd w:val="clear" w:color="auto" w:fill="auto"/>
            <w:vAlign w:val="bottom"/>
          </w:tcPr>
          <w:p w14:paraId="5A1B2875" w14:textId="77777777" w:rsidR="00960BB8" w:rsidRDefault="00960BB8">
            <w:pPr>
              <w:rPr>
                <w:rFonts w:ascii="宋体"/>
                <w:vanish/>
              </w:rPr>
            </w:pPr>
          </w:p>
        </w:tc>
        <w:tc>
          <w:tcPr>
            <w:tcW w:w="0" w:type="auto"/>
            <w:gridSpan w:val="2"/>
            <w:tcBorders>
              <w:top w:val="single" w:sz="8" w:space="0" w:color="FFFFFF"/>
            </w:tcBorders>
            <w:shd w:val="clear" w:color="auto" w:fill="auto"/>
            <w:tcMar>
              <w:top w:w="40" w:type="dxa"/>
              <w:left w:w="20" w:type="dxa"/>
              <w:bottom w:w="40" w:type="dxa"/>
              <w:right w:w="0" w:type="dxa"/>
            </w:tcMar>
            <w:vAlign w:val="bottom"/>
          </w:tcPr>
          <w:p w14:paraId="5A1B2876" w14:textId="77777777" w:rsidR="00960BB8" w:rsidRDefault="00C06650">
            <w:pPr>
              <w:jc w:val="right"/>
              <w:textAlignment w:val="bottom"/>
            </w:pPr>
            <w:r>
              <w:rPr>
                <w:rFonts w:ascii="Arial" w:eastAsia="宋体" w:hAnsi="Arial" w:cs="Arial"/>
                <w:color w:val="000000"/>
                <w:sz w:val="18"/>
                <w:szCs w:val="18"/>
              </w:rPr>
              <w:t>— </w:t>
            </w:r>
          </w:p>
        </w:tc>
        <w:tc>
          <w:tcPr>
            <w:tcW w:w="0" w:type="auto"/>
            <w:tcBorders>
              <w:top w:val="single" w:sz="8" w:space="0" w:color="FFFFFF"/>
            </w:tcBorders>
            <w:shd w:val="clear" w:color="auto" w:fill="auto"/>
            <w:tcMar>
              <w:top w:w="40" w:type="dxa"/>
              <w:left w:w="0" w:type="dxa"/>
              <w:bottom w:w="40" w:type="dxa"/>
              <w:right w:w="20" w:type="dxa"/>
            </w:tcMar>
            <w:vAlign w:val="bottom"/>
          </w:tcPr>
          <w:p w14:paraId="5A1B2877" w14:textId="77777777" w:rsidR="00960BB8" w:rsidRDefault="00960BB8">
            <w:pPr>
              <w:jc w:val="right"/>
              <w:rPr>
                <w:rFonts w:ascii="宋体"/>
              </w:rPr>
            </w:pPr>
          </w:p>
        </w:tc>
      </w:tr>
      <w:tr w:rsidR="00960BB8" w14:paraId="5A1B2884" w14:textId="77777777">
        <w:tc>
          <w:tcPr>
            <w:tcW w:w="0" w:type="auto"/>
            <w:gridSpan w:val="3"/>
            <w:shd w:val="clear" w:color="auto" w:fill="auto"/>
            <w:tcMar>
              <w:top w:w="40" w:type="dxa"/>
              <w:left w:w="20" w:type="dxa"/>
              <w:bottom w:w="40" w:type="dxa"/>
              <w:right w:w="20" w:type="dxa"/>
            </w:tcMar>
            <w:vAlign w:val="bottom"/>
          </w:tcPr>
          <w:p w14:paraId="5A1B2879" w14:textId="77777777" w:rsidR="00960BB8" w:rsidRDefault="00C06650">
            <w:pPr>
              <w:textAlignment w:val="bottom"/>
            </w:pPr>
            <w:r>
              <w:rPr>
                <w:rFonts w:ascii="Arial" w:eastAsia="宋体" w:hAnsi="Arial" w:cs="Arial"/>
                <w:b/>
                <w:bCs/>
                <w:color w:val="262626"/>
                <w:sz w:val="18"/>
                <w:szCs w:val="18"/>
              </w:rPr>
              <w:t>Total senior notes and other borrowings</w:t>
            </w:r>
          </w:p>
        </w:tc>
        <w:tc>
          <w:tcPr>
            <w:tcW w:w="0" w:type="auto"/>
            <w:gridSpan w:val="3"/>
            <w:shd w:val="clear" w:color="auto" w:fill="auto"/>
            <w:tcMar>
              <w:top w:w="0" w:type="dxa"/>
              <w:left w:w="20" w:type="dxa"/>
              <w:bottom w:w="0" w:type="dxa"/>
              <w:right w:w="20" w:type="dxa"/>
            </w:tcMar>
            <w:vAlign w:val="bottom"/>
          </w:tcPr>
          <w:p w14:paraId="5A1B287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7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7C" w14:textId="77777777" w:rsidR="00960BB8" w:rsidRDefault="00960BB8">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5A1B287D" w14:textId="77777777" w:rsidR="00960BB8" w:rsidRDefault="00C06650">
            <w:pPr>
              <w:jc w:val="right"/>
              <w:textAlignment w:val="bottom"/>
            </w:pPr>
            <w:r>
              <w:rPr>
                <w:rFonts w:ascii="Arial" w:eastAsia="宋体" w:hAnsi="Arial" w:cs="Arial"/>
                <w:b/>
                <w:bCs/>
                <w:color w:val="0068B5"/>
                <w:sz w:val="18"/>
                <w:szCs w:val="18"/>
              </w:rPr>
              <w:t>39,285</w:t>
            </w:r>
            <w:r>
              <w:rPr>
                <w:rFonts w:ascii="Arial" w:eastAsia="宋体" w:hAnsi="Arial" w:cs="Arial"/>
                <w:color w:val="0068B5"/>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5A1B287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87F" w14:textId="77777777" w:rsidR="00960BB8" w:rsidRDefault="00960BB8">
            <w:pPr>
              <w:rPr>
                <w:rFonts w:ascii="宋体"/>
              </w:rPr>
            </w:pPr>
          </w:p>
        </w:tc>
        <w:tc>
          <w:tcPr>
            <w:tcW w:w="0" w:type="auto"/>
            <w:shd w:val="clear" w:color="auto" w:fill="auto"/>
            <w:vAlign w:val="bottom"/>
          </w:tcPr>
          <w:p w14:paraId="5A1B2880" w14:textId="77777777" w:rsidR="00960BB8" w:rsidRDefault="00960BB8">
            <w:pPr>
              <w:rPr>
                <w:rFonts w:ascii="宋体"/>
                <w:vanish/>
              </w:rPr>
            </w:pPr>
          </w:p>
        </w:tc>
        <w:tc>
          <w:tcPr>
            <w:tcW w:w="0" w:type="auto"/>
            <w:shd w:val="clear" w:color="auto" w:fill="auto"/>
            <w:vAlign w:val="bottom"/>
          </w:tcPr>
          <w:p w14:paraId="5A1B2881" w14:textId="77777777" w:rsidR="00960BB8" w:rsidRDefault="00960BB8">
            <w:pPr>
              <w:rPr>
                <w:rFonts w:ascii="宋体"/>
                <w:vanish/>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5A1B2882" w14:textId="77777777" w:rsidR="00960BB8" w:rsidRDefault="00C06650">
            <w:pPr>
              <w:jc w:val="right"/>
              <w:textAlignment w:val="bottom"/>
            </w:pPr>
            <w:r>
              <w:rPr>
                <w:rFonts w:ascii="Arial" w:eastAsia="宋体" w:hAnsi="Arial" w:cs="Arial"/>
                <w:b/>
                <w:bCs/>
                <w:color w:val="000000"/>
                <w:sz w:val="18"/>
                <w:szCs w:val="18"/>
              </w:rPr>
              <w:t>37,695</w:t>
            </w:r>
            <w:r>
              <w:rPr>
                <w:rFonts w:ascii="Arial" w:eastAsia="宋体" w:hAnsi="Arial" w:cs="Arial"/>
                <w:color w:val="000000"/>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5A1B2883" w14:textId="77777777" w:rsidR="00960BB8" w:rsidRDefault="00960BB8">
            <w:pPr>
              <w:jc w:val="right"/>
              <w:rPr>
                <w:rFonts w:ascii="宋体"/>
              </w:rPr>
            </w:pPr>
          </w:p>
        </w:tc>
      </w:tr>
      <w:tr w:rsidR="00960BB8" w14:paraId="5A1B2890" w14:textId="77777777">
        <w:tc>
          <w:tcPr>
            <w:tcW w:w="0" w:type="auto"/>
            <w:gridSpan w:val="3"/>
            <w:shd w:val="clear" w:color="auto" w:fill="auto"/>
            <w:tcMar>
              <w:top w:w="40" w:type="dxa"/>
              <w:left w:w="155" w:type="dxa"/>
              <w:bottom w:w="40" w:type="dxa"/>
              <w:right w:w="20" w:type="dxa"/>
            </w:tcMar>
          </w:tcPr>
          <w:p w14:paraId="5A1B2885" w14:textId="77777777" w:rsidR="00960BB8" w:rsidRDefault="00C06650">
            <w:pPr>
              <w:textAlignment w:val="top"/>
            </w:pPr>
            <w:r>
              <w:rPr>
                <w:rFonts w:ascii="Arial" w:eastAsia="宋体" w:hAnsi="Arial" w:cs="Arial"/>
                <w:color w:val="262626"/>
                <w:sz w:val="18"/>
                <w:szCs w:val="18"/>
              </w:rPr>
              <w:t>Unamortized premium/discount and issuance costs</w:t>
            </w:r>
          </w:p>
        </w:tc>
        <w:tc>
          <w:tcPr>
            <w:tcW w:w="0" w:type="auto"/>
            <w:gridSpan w:val="3"/>
            <w:shd w:val="clear" w:color="auto" w:fill="auto"/>
            <w:tcMar>
              <w:top w:w="0" w:type="dxa"/>
              <w:left w:w="20" w:type="dxa"/>
              <w:bottom w:w="0" w:type="dxa"/>
              <w:right w:w="20" w:type="dxa"/>
            </w:tcMar>
            <w:vAlign w:val="bottom"/>
          </w:tcPr>
          <w:p w14:paraId="5A1B288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8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88" w14:textId="77777777" w:rsidR="00960BB8" w:rsidRDefault="00960BB8">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5A1B2889" w14:textId="77777777" w:rsidR="00960BB8" w:rsidRDefault="00C06650">
            <w:pPr>
              <w:jc w:val="right"/>
              <w:textAlignment w:val="bottom"/>
            </w:pPr>
            <w:r>
              <w:rPr>
                <w:rFonts w:ascii="Arial" w:eastAsia="宋体" w:hAnsi="Arial" w:cs="Arial"/>
                <w:color w:val="0068B5"/>
                <w:sz w:val="18"/>
                <w:szCs w:val="18"/>
              </w:rPr>
              <w:t>(417)</w:t>
            </w:r>
          </w:p>
        </w:tc>
        <w:tc>
          <w:tcPr>
            <w:tcW w:w="0" w:type="auto"/>
            <w:tcBorders>
              <w:top w:val="single" w:sz="4" w:space="0" w:color="000000"/>
            </w:tcBorders>
            <w:shd w:val="clear" w:color="auto" w:fill="auto"/>
            <w:tcMar>
              <w:top w:w="40" w:type="dxa"/>
              <w:left w:w="0" w:type="dxa"/>
              <w:bottom w:w="40" w:type="dxa"/>
              <w:right w:w="20" w:type="dxa"/>
            </w:tcMar>
            <w:vAlign w:val="bottom"/>
          </w:tcPr>
          <w:p w14:paraId="5A1B288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88B" w14:textId="77777777" w:rsidR="00960BB8" w:rsidRDefault="00960BB8">
            <w:pPr>
              <w:rPr>
                <w:rFonts w:ascii="宋体"/>
              </w:rPr>
            </w:pPr>
          </w:p>
        </w:tc>
        <w:tc>
          <w:tcPr>
            <w:tcW w:w="0" w:type="auto"/>
            <w:shd w:val="clear" w:color="auto" w:fill="auto"/>
            <w:vAlign w:val="bottom"/>
          </w:tcPr>
          <w:p w14:paraId="5A1B288C" w14:textId="77777777" w:rsidR="00960BB8" w:rsidRDefault="00960BB8">
            <w:pPr>
              <w:rPr>
                <w:rFonts w:ascii="宋体"/>
                <w:vanish/>
              </w:rPr>
            </w:pPr>
          </w:p>
        </w:tc>
        <w:tc>
          <w:tcPr>
            <w:tcW w:w="0" w:type="auto"/>
            <w:shd w:val="clear" w:color="auto" w:fill="auto"/>
            <w:vAlign w:val="bottom"/>
          </w:tcPr>
          <w:p w14:paraId="5A1B288D" w14:textId="77777777" w:rsidR="00960BB8" w:rsidRDefault="00960BB8">
            <w:pPr>
              <w:rPr>
                <w:rFonts w:ascii="宋体"/>
                <w:vanish/>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5A1B288E" w14:textId="77777777" w:rsidR="00960BB8" w:rsidRDefault="00C06650">
            <w:pPr>
              <w:jc w:val="right"/>
              <w:textAlignment w:val="bottom"/>
            </w:pPr>
            <w:r>
              <w:rPr>
                <w:rFonts w:ascii="Arial" w:eastAsia="宋体" w:hAnsi="Arial" w:cs="Arial"/>
                <w:color w:val="262626"/>
                <w:sz w:val="18"/>
                <w:szCs w:val="18"/>
              </w:rPr>
              <w:t>(405)</w:t>
            </w:r>
          </w:p>
        </w:tc>
        <w:tc>
          <w:tcPr>
            <w:tcW w:w="0" w:type="auto"/>
            <w:tcBorders>
              <w:top w:val="single" w:sz="4" w:space="0" w:color="000000"/>
            </w:tcBorders>
            <w:shd w:val="clear" w:color="auto" w:fill="auto"/>
            <w:tcMar>
              <w:top w:w="40" w:type="dxa"/>
              <w:left w:w="0" w:type="dxa"/>
              <w:bottom w:w="40" w:type="dxa"/>
              <w:right w:w="20" w:type="dxa"/>
            </w:tcMar>
            <w:vAlign w:val="bottom"/>
          </w:tcPr>
          <w:p w14:paraId="5A1B288F" w14:textId="77777777" w:rsidR="00960BB8" w:rsidRDefault="00960BB8">
            <w:pPr>
              <w:jc w:val="right"/>
              <w:rPr>
                <w:rFonts w:ascii="宋体"/>
              </w:rPr>
            </w:pPr>
          </w:p>
        </w:tc>
      </w:tr>
      <w:tr w:rsidR="00960BB8" w14:paraId="5A1B289C" w14:textId="77777777">
        <w:tc>
          <w:tcPr>
            <w:tcW w:w="0" w:type="auto"/>
            <w:gridSpan w:val="3"/>
            <w:shd w:val="clear" w:color="auto" w:fill="auto"/>
            <w:tcMar>
              <w:top w:w="40" w:type="dxa"/>
              <w:left w:w="155" w:type="dxa"/>
              <w:bottom w:w="40" w:type="dxa"/>
              <w:right w:w="20" w:type="dxa"/>
            </w:tcMar>
          </w:tcPr>
          <w:p w14:paraId="5A1B2891" w14:textId="77777777" w:rsidR="00960BB8" w:rsidRDefault="00C06650">
            <w:pPr>
              <w:textAlignment w:val="top"/>
            </w:pPr>
            <w:r>
              <w:rPr>
                <w:rFonts w:ascii="Arial" w:eastAsia="宋体" w:hAnsi="Arial" w:cs="Arial"/>
                <w:color w:val="262626"/>
                <w:sz w:val="18"/>
                <w:szCs w:val="18"/>
              </w:rPr>
              <w:t>Hedge accounting fair value adjustments</w:t>
            </w:r>
          </w:p>
        </w:tc>
        <w:tc>
          <w:tcPr>
            <w:tcW w:w="0" w:type="auto"/>
            <w:gridSpan w:val="3"/>
            <w:shd w:val="clear" w:color="auto" w:fill="auto"/>
            <w:tcMar>
              <w:top w:w="0" w:type="dxa"/>
              <w:left w:w="20" w:type="dxa"/>
              <w:bottom w:w="0" w:type="dxa"/>
              <w:right w:w="20" w:type="dxa"/>
            </w:tcMar>
            <w:vAlign w:val="bottom"/>
          </w:tcPr>
          <w:p w14:paraId="5A1B289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9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9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895" w14:textId="77777777" w:rsidR="00960BB8" w:rsidRDefault="00C06650">
            <w:pPr>
              <w:jc w:val="right"/>
              <w:textAlignment w:val="bottom"/>
            </w:pPr>
            <w:r>
              <w:rPr>
                <w:rFonts w:ascii="Arial" w:eastAsia="宋体" w:hAnsi="Arial" w:cs="Arial"/>
                <w:color w:val="0068B5"/>
                <w:sz w:val="18"/>
                <w:szCs w:val="18"/>
              </w:rPr>
              <w:t>(761)</w:t>
            </w:r>
          </w:p>
        </w:tc>
        <w:tc>
          <w:tcPr>
            <w:tcW w:w="0" w:type="auto"/>
            <w:shd w:val="clear" w:color="auto" w:fill="auto"/>
            <w:tcMar>
              <w:top w:w="40" w:type="dxa"/>
              <w:left w:w="0" w:type="dxa"/>
              <w:bottom w:w="40" w:type="dxa"/>
              <w:right w:w="20" w:type="dxa"/>
            </w:tcMar>
            <w:vAlign w:val="bottom"/>
          </w:tcPr>
          <w:p w14:paraId="5A1B289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897" w14:textId="77777777" w:rsidR="00960BB8" w:rsidRDefault="00960BB8">
            <w:pPr>
              <w:rPr>
                <w:rFonts w:ascii="宋体"/>
              </w:rPr>
            </w:pPr>
          </w:p>
        </w:tc>
        <w:tc>
          <w:tcPr>
            <w:tcW w:w="0" w:type="auto"/>
            <w:shd w:val="clear" w:color="auto" w:fill="auto"/>
            <w:vAlign w:val="bottom"/>
          </w:tcPr>
          <w:p w14:paraId="5A1B2898" w14:textId="77777777" w:rsidR="00960BB8" w:rsidRDefault="00960BB8">
            <w:pPr>
              <w:rPr>
                <w:rFonts w:ascii="宋体"/>
                <w:vanish/>
              </w:rPr>
            </w:pPr>
          </w:p>
        </w:tc>
        <w:tc>
          <w:tcPr>
            <w:tcW w:w="0" w:type="auto"/>
            <w:shd w:val="clear" w:color="auto" w:fill="auto"/>
            <w:vAlign w:val="bottom"/>
          </w:tcPr>
          <w:p w14:paraId="5A1B2899"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89A" w14:textId="77777777" w:rsidR="00960BB8" w:rsidRDefault="00C06650">
            <w:pPr>
              <w:jc w:val="right"/>
              <w:textAlignment w:val="bottom"/>
            </w:pPr>
            <w:r>
              <w:rPr>
                <w:rFonts w:ascii="Arial" w:eastAsia="宋体" w:hAnsi="Arial" w:cs="Arial"/>
                <w:color w:val="262626"/>
                <w:sz w:val="18"/>
                <w:szCs w:val="18"/>
              </w:rPr>
              <w:t>811 </w:t>
            </w:r>
          </w:p>
        </w:tc>
        <w:tc>
          <w:tcPr>
            <w:tcW w:w="0" w:type="auto"/>
            <w:shd w:val="clear" w:color="auto" w:fill="auto"/>
            <w:tcMar>
              <w:top w:w="40" w:type="dxa"/>
              <w:left w:w="0" w:type="dxa"/>
              <w:bottom w:w="40" w:type="dxa"/>
              <w:right w:w="20" w:type="dxa"/>
            </w:tcMar>
            <w:vAlign w:val="bottom"/>
          </w:tcPr>
          <w:p w14:paraId="5A1B289B" w14:textId="77777777" w:rsidR="00960BB8" w:rsidRDefault="00960BB8">
            <w:pPr>
              <w:jc w:val="right"/>
              <w:rPr>
                <w:rFonts w:ascii="宋体"/>
              </w:rPr>
            </w:pPr>
          </w:p>
        </w:tc>
      </w:tr>
      <w:tr w:rsidR="00960BB8" w14:paraId="5A1B28A8" w14:textId="77777777">
        <w:tc>
          <w:tcPr>
            <w:tcW w:w="0" w:type="auto"/>
            <w:gridSpan w:val="3"/>
            <w:shd w:val="clear" w:color="auto" w:fill="auto"/>
            <w:tcMar>
              <w:top w:w="40" w:type="dxa"/>
              <w:left w:w="20" w:type="dxa"/>
              <w:bottom w:w="40" w:type="dxa"/>
              <w:right w:w="20" w:type="dxa"/>
            </w:tcMar>
          </w:tcPr>
          <w:p w14:paraId="5A1B289D" w14:textId="77777777" w:rsidR="00960BB8" w:rsidRDefault="00C06650">
            <w:pPr>
              <w:textAlignment w:val="top"/>
            </w:pPr>
            <w:r>
              <w:rPr>
                <w:rFonts w:ascii="Arial" w:eastAsia="宋体" w:hAnsi="Arial" w:cs="Arial"/>
                <w:b/>
                <w:bCs/>
                <w:color w:val="262626"/>
                <w:sz w:val="18"/>
                <w:szCs w:val="18"/>
              </w:rPr>
              <w:t>Long-term debt</w:t>
            </w:r>
          </w:p>
        </w:tc>
        <w:tc>
          <w:tcPr>
            <w:tcW w:w="0" w:type="auto"/>
            <w:gridSpan w:val="3"/>
            <w:shd w:val="clear" w:color="auto" w:fill="auto"/>
            <w:tcMar>
              <w:top w:w="0" w:type="dxa"/>
              <w:left w:w="20" w:type="dxa"/>
              <w:bottom w:w="0" w:type="dxa"/>
              <w:right w:w="20" w:type="dxa"/>
            </w:tcMar>
            <w:vAlign w:val="bottom"/>
          </w:tcPr>
          <w:p w14:paraId="5A1B289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9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A0"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8A1" w14:textId="77777777" w:rsidR="00960BB8" w:rsidRDefault="00C06650">
            <w:pPr>
              <w:jc w:val="right"/>
              <w:textAlignment w:val="bottom"/>
            </w:pPr>
            <w:r>
              <w:rPr>
                <w:rFonts w:ascii="Arial" w:eastAsia="宋体" w:hAnsi="Arial" w:cs="Arial"/>
                <w:b/>
                <w:bCs/>
                <w:color w:val="0068B5"/>
                <w:sz w:val="18"/>
                <w:szCs w:val="18"/>
              </w:rPr>
              <w:t>38,107</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8A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8A3" w14:textId="77777777" w:rsidR="00960BB8" w:rsidRDefault="00960BB8">
            <w:pPr>
              <w:rPr>
                <w:rFonts w:ascii="宋体"/>
              </w:rPr>
            </w:pPr>
          </w:p>
        </w:tc>
        <w:tc>
          <w:tcPr>
            <w:tcW w:w="0" w:type="auto"/>
            <w:shd w:val="clear" w:color="auto" w:fill="auto"/>
            <w:vAlign w:val="bottom"/>
          </w:tcPr>
          <w:p w14:paraId="5A1B28A4" w14:textId="77777777" w:rsidR="00960BB8" w:rsidRDefault="00960BB8">
            <w:pPr>
              <w:rPr>
                <w:rFonts w:ascii="宋体"/>
                <w:vanish/>
              </w:rPr>
            </w:pPr>
          </w:p>
        </w:tc>
        <w:tc>
          <w:tcPr>
            <w:tcW w:w="0" w:type="auto"/>
            <w:shd w:val="clear" w:color="auto" w:fill="auto"/>
            <w:vAlign w:val="bottom"/>
          </w:tcPr>
          <w:p w14:paraId="5A1B28A5" w14:textId="77777777" w:rsidR="00960BB8" w:rsidRDefault="00960BB8">
            <w:pPr>
              <w:rPr>
                <w:rFonts w:ascii="宋体"/>
                <w:vanish/>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8A6" w14:textId="77777777" w:rsidR="00960BB8" w:rsidRDefault="00C06650">
            <w:pPr>
              <w:jc w:val="right"/>
              <w:textAlignment w:val="bottom"/>
            </w:pPr>
            <w:r>
              <w:rPr>
                <w:rFonts w:ascii="Arial" w:eastAsia="宋体" w:hAnsi="Arial" w:cs="Arial"/>
                <w:b/>
                <w:bCs/>
                <w:color w:val="262626"/>
                <w:sz w:val="18"/>
                <w:szCs w:val="18"/>
              </w:rPr>
              <w:t>38,101</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8A7" w14:textId="77777777" w:rsidR="00960BB8" w:rsidRDefault="00960BB8">
            <w:pPr>
              <w:jc w:val="right"/>
              <w:rPr>
                <w:rFonts w:ascii="宋体"/>
              </w:rPr>
            </w:pPr>
          </w:p>
        </w:tc>
      </w:tr>
      <w:tr w:rsidR="00960BB8" w14:paraId="5A1B28B4" w14:textId="77777777">
        <w:tc>
          <w:tcPr>
            <w:tcW w:w="0" w:type="auto"/>
            <w:gridSpan w:val="3"/>
            <w:shd w:val="clear" w:color="auto" w:fill="auto"/>
            <w:tcMar>
              <w:top w:w="40" w:type="dxa"/>
              <w:left w:w="155" w:type="dxa"/>
              <w:bottom w:w="40" w:type="dxa"/>
              <w:right w:w="20" w:type="dxa"/>
            </w:tcMar>
          </w:tcPr>
          <w:p w14:paraId="5A1B28A9" w14:textId="77777777" w:rsidR="00960BB8" w:rsidRDefault="00C06650">
            <w:pPr>
              <w:textAlignment w:val="top"/>
            </w:pPr>
            <w:r>
              <w:rPr>
                <w:rFonts w:ascii="Arial" w:eastAsia="宋体" w:hAnsi="Arial" w:cs="Arial"/>
                <w:color w:val="262626"/>
                <w:sz w:val="18"/>
                <w:szCs w:val="18"/>
              </w:rPr>
              <w:t>Current portion of long-term debt</w:t>
            </w:r>
          </w:p>
        </w:tc>
        <w:tc>
          <w:tcPr>
            <w:tcW w:w="0" w:type="auto"/>
            <w:gridSpan w:val="3"/>
            <w:shd w:val="clear" w:color="auto" w:fill="auto"/>
            <w:tcMar>
              <w:top w:w="0" w:type="dxa"/>
              <w:left w:w="20" w:type="dxa"/>
              <w:bottom w:w="0" w:type="dxa"/>
              <w:right w:w="20" w:type="dxa"/>
            </w:tcMar>
            <w:vAlign w:val="bottom"/>
          </w:tcPr>
          <w:p w14:paraId="5A1B28A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A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AC"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8AD" w14:textId="77777777" w:rsidR="00960BB8" w:rsidRDefault="00C06650">
            <w:pPr>
              <w:jc w:val="right"/>
              <w:textAlignment w:val="bottom"/>
            </w:pPr>
            <w:r>
              <w:rPr>
                <w:rFonts w:ascii="Arial" w:eastAsia="宋体" w:hAnsi="Arial" w:cs="Arial"/>
                <w:color w:val="0068B5"/>
                <w:sz w:val="18"/>
                <w:szCs w:val="18"/>
              </w:rPr>
              <w:t>(423)</w:t>
            </w:r>
          </w:p>
        </w:tc>
        <w:tc>
          <w:tcPr>
            <w:tcW w:w="0" w:type="auto"/>
            <w:tcBorders>
              <w:top w:val="single" w:sz="4" w:space="0" w:color="333333"/>
            </w:tcBorders>
            <w:shd w:val="clear" w:color="auto" w:fill="auto"/>
            <w:tcMar>
              <w:top w:w="40" w:type="dxa"/>
              <w:left w:w="0" w:type="dxa"/>
              <w:bottom w:w="40" w:type="dxa"/>
              <w:right w:w="20" w:type="dxa"/>
            </w:tcMar>
            <w:vAlign w:val="bottom"/>
          </w:tcPr>
          <w:p w14:paraId="5A1B28A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8AF" w14:textId="77777777" w:rsidR="00960BB8" w:rsidRDefault="00960BB8">
            <w:pPr>
              <w:rPr>
                <w:rFonts w:ascii="宋体"/>
              </w:rPr>
            </w:pPr>
          </w:p>
        </w:tc>
        <w:tc>
          <w:tcPr>
            <w:tcW w:w="0" w:type="auto"/>
            <w:shd w:val="clear" w:color="auto" w:fill="auto"/>
            <w:vAlign w:val="bottom"/>
          </w:tcPr>
          <w:p w14:paraId="5A1B28B0" w14:textId="77777777" w:rsidR="00960BB8" w:rsidRDefault="00960BB8">
            <w:pPr>
              <w:rPr>
                <w:rFonts w:ascii="宋体"/>
                <w:vanish/>
              </w:rPr>
            </w:pPr>
          </w:p>
        </w:tc>
        <w:tc>
          <w:tcPr>
            <w:tcW w:w="0" w:type="auto"/>
            <w:shd w:val="clear" w:color="auto" w:fill="auto"/>
            <w:vAlign w:val="bottom"/>
          </w:tcPr>
          <w:p w14:paraId="5A1B28B1" w14:textId="77777777" w:rsidR="00960BB8" w:rsidRDefault="00960BB8">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8B2" w14:textId="77777777" w:rsidR="00960BB8" w:rsidRDefault="00C06650">
            <w:pPr>
              <w:jc w:val="right"/>
              <w:textAlignment w:val="bottom"/>
            </w:pPr>
            <w:r>
              <w:rPr>
                <w:rFonts w:ascii="Arial" w:eastAsia="宋体" w:hAnsi="Arial" w:cs="Arial"/>
                <w:color w:val="262626"/>
                <w:sz w:val="18"/>
                <w:szCs w:val="18"/>
              </w:rPr>
              <w:t>(4,591)</w:t>
            </w:r>
          </w:p>
        </w:tc>
        <w:tc>
          <w:tcPr>
            <w:tcW w:w="0" w:type="auto"/>
            <w:tcBorders>
              <w:top w:val="single" w:sz="4" w:space="0" w:color="262626"/>
            </w:tcBorders>
            <w:shd w:val="clear" w:color="auto" w:fill="auto"/>
            <w:tcMar>
              <w:top w:w="40" w:type="dxa"/>
              <w:left w:w="0" w:type="dxa"/>
              <w:bottom w:w="40" w:type="dxa"/>
              <w:right w:w="20" w:type="dxa"/>
            </w:tcMar>
            <w:vAlign w:val="bottom"/>
          </w:tcPr>
          <w:p w14:paraId="5A1B28B3" w14:textId="77777777" w:rsidR="00960BB8" w:rsidRDefault="00960BB8">
            <w:pPr>
              <w:jc w:val="right"/>
              <w:rPr>
                <w:rFonts w:ascii="宋体"/>
              </w:rPr>
            </w:pPr>
          </w:p>
        </w:tc>
      </w:tr>
      <w:tr w:rsidR="00960BB8" w14:paraId="5A1B28C2" w14:textId="77777777">
        <w:tc>
          <w:tcPr>
            <w:tcW w:w="0" w:type="auto"/>
            <w:gridSpan w:val="3"/>
            <w:shd w:val="clear" w:color="auto" w:fill="auto"/>
            <w:tcMar>
              <w:top w:w="40" w:type="dxa"/>
              <w:left w:w="20" w:type="dxa"/>
              <w:bottom w:w="40" w:type="dxa"/>
              <w:right w:w="20" w:type="dxa"/>
            </w:tcMar>
          </w:tcPr>
          <w:p w14:paraId="5A1B28B5" w14:textId="77777777" w:rsidR="00960BB8" w:rsidRDefault="00C06650">
            <w:pPr>
              <w:textAlignment w:val="top"/>
            </w:pPr>
            <w:r>
              <w:rPr>
                <w:rFonts w:ascii="Arial" w:eastAsia="宋体" w:hAnsi="Arial" w:cs="Arial"/>
                <w:b/>
                <w:bCs/>
                <w:color w:val="262626"/>
                <w:sz w:val="18"/>
                <w:szCs w:val="18"/>
              </w:rPr>
              <w:t>Total long-term debt</w:t>
            </w:r>
          </w:p>
        </w:tc>
        <w:tc>
          <w:tcPr>
            <w:tcW w:w="0" w:type="auto"/>
            <w:gridSpan w:val="3"/>
            <w:shd w:val="clear" w:color="auto" w:fill="auto"/>
            <w:tcMar>
              <w:top w:w="0" w:type="dxa"/>
              <w:left w:w="20" w:type="dxa"/>
              <w:bottom w:w="0" w:type="dxa"/>
              <w:right w:w="20" w:type="dxa"/>
            </w:tcMar>
            <w:vAlign w:val="bottom"/>
          </w:tcPr>
          <w:p w14:paraId="5A1B28B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B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8B8"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8B9"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8BA" w14:textId="77777777" w:rsidR="00960BB8" w:rsidRDefault="00C06650">
            <w:pPr>
              <w:jc w:val="right"/>
              <w:textAlignment w:val="bottom"/>
            </w:pPr>
            <w:r>
              <w:rPr>
                <w:rFonts w:ascii="Arial" w:eastAsia="宋体" w:hAnsi="Arial" w:cs="Arial"/>
                <w:b/>
                <w:bCs/>
                <w:color w:val="0068B5"/>
                <w:sz w:val="18"/>
                <w:szCs w:val="18"/>
              </w:rPr>
              <w:t>37,684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8B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8BC" w14:textId="77777777" w:rsidR="00960BB8" w:rsidRDefault="00960BB8">
            <w:pPr>
              <w:rPr>
                <w:rFonts w:ascii="宋体"/>
              </w:rPr>
            </w:pPr>
          </w:p>
        </w:tc>
        <w:tc>
          <w:tcPr>
            <w:tcW w:w="0" w:type="auto"/>
            <w:shd w:val="clear" w:color="auto" w:fill="auto"/>
            <w:vAlign w:val="bottom"/>
          </w:tcPr>
          <w:p w14:paraId="5A1B28BD" w14:textId="77777777" w:rsidR="00960BB8" w:rsidRDefault="00960BB8">
            <w:pPr>
              <w:rPr>
                <w:rFonts w:ascii="宋体"/>
                <w:vanish/>
              </w:rPr>
            </w:pPr>
          </w:p>
        </w:tc>
        <w:tc>
          <w:tcPr>
            <w:tcW w:w="0" w:type="auto"/>
            <w:shd w:val="clear" w:color="auto" w:fill="auto"/>
            <w:vAlign w:val="bottom"/>
          </w:tcPr>
          <w:p w14:paraId="5A1B28BE" w14:textId="77777777" w:rsidR="00960BB8" w:rsidRDefault="00960BB8">
            <w:pPr>
              <w:rPr>
                <w:rFonts w:ascii="宋体"/>
                <w:vanish/>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8BF" w14:textId="77777777" w:rsidR="00960BB8" w:rsidRDefault="00C06650">
            <w:pPr>
              <w:textAlignment w:val="bottom"/>
            </w:pPr>
            <w:r>
              <w:rPr>
                <w:rFonts w:ascii="Arial" w:eastAsia="宋体" w:hAnsi="Arial" w:cs="Arial"/>
                <w:b/>
                <w:bCs/>
                <w:color w:val="000000"/>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8C0" w14:textId="77777777" w:rsidR="00960BB8" w:rsidRDefault="00C06650">
            <w:pPr>
              <w:jc w:val="right"/>
              <w:textAlignment w:val="bottom"/>
            </w:pPr>
            <w:r>
              <w:rPr>
                <w:rFonts w:ascii="Arial" w:eastAsia="宋体" w:hAnsi="Arial" w:cs="Arial"/>
                <w:b/>
                <w:bCs/>
                <w:color w:val="000000"/>
                <w:sz w:val="18"/>
                <w:szCs w:val="18"/>
              </w:rPr>
              <w:t>33,510</w:t>
            </w:r>
            <w:r>
              <w:rPr>
                <w:rFonts w:ascii="Arial" w:eastAsia="宋体" w:hAnsi="Arial" w:cs="Arial"/>
                <w:color w:val="000000"/>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8C1" w14:textId="77777777" w:rsidR="00960BB8" w:rsidRDefault="00960BB8">
            <w:pPr>
              <w:jc w:val="right"/>
              <w:rPr>
                <w:rFonts w:ascii="宋体"/>
              </w:rPr>
            </w:pPr>
          </w:p>
        </w:tc>
      </w:tr>
    </w:tbl>
    <w:p w14:paraId="5A1B28C3" w14:textId="77777777" w:rsidR="00960BB8" w:rsidRDefault="00960BB8"/>
    <w:p w14:paraId="5A1B28C4" w14:textId="77777777" w:rsidR="00960BB8" w:rsidRDefault="00C06650">
      <w:pPr>
        <w:spacing w:after="120"/>
      </w:pPr>
      <w:r>
        <w:rPr>
          <w:rFonts w:ascii="Arial" w:eastAsia="宋体" w:hAnsi="Arial" w:cs="Arial"/>
          <w:color w:val="0068B5"/>
          <w:sz w:val="20"/>
          <w:szCs w:val="20"/>
        </w:rPr>
        <w:t>Senior Notes</w:t>
      </w:r>
    </w:p>
    <w:p w14:paraId="5A1B28C5" w14:textId="77777777" w:rsidR="00960BB8" w:rsidRDefault="00C06650">
      <w:pPr>
        <w:spacing w:after="180"/>
      </w:pPr>
      <w:r>
        <w:rPr>
          <w:rFonts w:ascii="Arial" w:eastAsia="宋体" w:hAnsi="Arial" w:cs="Arial"/>
          <w:color w:val="262626"/>
          <w:sz w:val="18"/>
          <w:szCs w:val="18"/>
        </w:rPr>
        <w:t>In 2022, we issued a total of $6.0 billion aggregate principal amount of senior notes, including our inaugural green bond issuance of $1.3 billion principal amount, and settled in cash $1.6 billion of our senio</w:t>
      </w:r>
      <w:r>
        <w:rPr>
          <w:rFonts w:ascii="Arial" w:eastAsia="宋体" w:hAnsi="Arial" w:cs="Arial"/>
          <w:color w:val="262626"/>
          <w:sz w:val="18"/>
          <w:szCs w:val="18"/>
        </w:rPr>
        <w:t>r notes that matured in May 2022, $1.0 billion of our senior notes that matured in July 2022, and $1.9 billion of our senior notes that matured in December 2022. We also early cash settled $400 million of our senior notes due November 2023.</w:t>
      </w:r>
    </w:p>
    <w:p w14:paraId="5A1B28C6" w14:textId="77777777" w:rsidR="00960BB8" w:rsidRDefault="00C06650">
      <w:pPr>
        <w:spacing w:after="180"/>
      </w:pPr>
      <w:r>
        <w:rPr>
          <w:rFonts w:ascii="Arial" w:eastAsia="宋体" w:hAnsi="Arial" w:cs="Arial"/>
          <w:color w:val="262626"/>
          <w:sz w:val="18"/>
          <w:szCs w:val="18"/>
        </w:rPr>
        <w:t>In 2021, we iss</w:t>
      </w:r>
      <w:r>
        <w:rPr>
          <w:rFonts w:ascii="Arial" w:eastAsia="宋体" w:hAnsi="Arial" w:cs="Arial"/>
          <w:color w:val="262626"/>
          <w:sz w:val="18"/>
          <w:szCs w:val="18"/>
        </w:rPr>
        <w:t xml:space="preserve">ued a total of $5.0 billion aggregate principal amount of senior notes and repaid $500 million of our 1.70% senior notes that matured in May 2021 and $2.0 billion of our 3.30% senior notes that matured in October 2021. </w:t>
      </w:r>
    </w:p>
    <w:p w14:paraId="5A1B28C7" w14:textId="77777777" w:rsidR="00960BB8" w:rsidRDefault="00C06650">
      <w:pPr>
        <w:spacing w:after="180"/>
      </w:pPr>
      <w:r>
        <w:rPr>
          <w:rFonts w:ascii="Arial" w:eastAsia="宋体" w:hAnsi="Arial" w:cs="Arial"/>
          <w:color w:val="262626"/>
          <w:sz w:val="18"/>
          <w:szCs w:val="18"/>
        </w:rPr>
        <w:t>Our fixed-rate senior notes pay inte</w:t>
      </w:r>
      <w:r>
        <w:rPr>
          <w:rFonts w:ascii="Arial" w:eastAsia="宋体" w:hAnsi="Arial" w:cs="Arial"/>
          <w:color w:val="262626"/>
          <w:sz w:val="18"/>
          <w:szCs w:val="18"/>
        </w:rPr>
        <w:t xml:space="preserve">rest semiannually. We may redeem the fixed-rate notes prior to their maturity at our option at specified redemption prices and subject to certain restrictions. The obligations under the notes rank equally in right of payment with all of our other existing </w:t>
      </w:r>
      <w:r>
        <w:rPr>
          <w:rFonts w:ascii="Arial" w:eastAsia="宋体" w:hAnsi="Arial" w:cs="Arial"/>
          <w:color w:val="262626"/>
          <w:sz w:val="18"/>
          <w:szCs w:val="18"/>
        </w:rPr>
        <w:t>and future senior unsecured indebtedness and will effectively rank junior to all liabilities of our subsidiaries.</w:t>
      </w:r>
    </w:p>
    <w:p w14:paraId="5A1B28C8" w14:textId="77777777" w:rsidR="00960BB8" w:rsidRDefault="00C06650">
      <w:pPr>
        <w:spacing w:after="120"/>
      </w:pPr>
      <w:r>
        <w:rPr>
          <w:rFonts w:ascii="Arial" w:eastAsia="宋体" w:hAnsi="Arial" w:cs="Arial"/>
          <w:color w:val="0068B5"/>
          <w:sz w:val="20"/>
          <w:szCs w:val="20"/>
        </w:rPr>
        <w:t>Oregon and Arizona Bonds</w:t>
      </w:r>
    </w:p>
    <w:p w14:paraId="5A1B28C9" w14:textId="77777777" w:rsidR="00960BB8" w:rsidRDefault="00C06650">
      <w:pPr>
        <w:spacing w:after="180"/>
      </w:pPr>
      <w:r>
        <w:rPr>
          <w:rFonts w:ascii="Arial" w:eastAsia="宋体" w:hAnsi="Arial" w:cs="Arial"/>
          <w:color w:val="262626"/>
          <w:sz w:val="18"/>
          <w:szCs w:val="18"/>
        </w:rPr>
        <w:t>In 2022, we received proceeds of $600 million in the aggregate for the sale of bonds issued by the Industrial Develop</w:t>
      </w:r>
      <w:r>
        <w:rPr>
          <w:rFonts w:ascii="Arial" w:eastAsia="宋体" w:hAnsi="Arial" w:cs="Arial"/>
          <w:color w:val="262626"/>
          <w:sz w:val="18"/>
          <w:szCs w:val="18"/>
        </w:rPr>
        <w:t>ment Authority of the City of Chandler, Arizona (CIDA). The bonds are our unsecured general obligations in accordance with the loan with the CIDA. The bonds mature in 2042 and 2052 and carry an interest rate of 5.0%. The bonds are subject to mandatory tend</w:t>
      </w:r>
      <w:r>
        <w:rPr>
          <w:rFonts w:ascii="Arial" w:eastAsia="宋体" w:hAnsi="Arial" w:cs="Arial"/>
          <w:color w:val="262626"/>
          <w:sz w:val="18"/>
          <w:szCs w:val="18"/>
        </w:rPr>
        <w:t>er in September 2027, at which time we can re-market the bonds as either fixed-rate bonds for a specified period or as variable-rate bonds until another fixed-rate period is selected or until their final maturity date. Our other Oregon and Arizona bonds li</w:t>
      </w:r>
      <w:r>
        <w:rPr>
          <w:rFonts w:ascii="Arial" w:eastAsia="宋体" w:hAnsi="Arial" w:cs="Arial"/>
          <w:color w:val="262626"/>
          <w:sz w:val="18"/>
          <w:szCs w:val="18"/>
        </w:rPr>
        <w:t xml:space="preserve">sted in the table above are also subject to periodic mandatory tender. We settled in cash $138 million of bonds issued by the Oregon Business Development Commission in March 2022. </w:t>
      </w:r>
    </w:p>
    <w:p w14:paraId="5A1B28CA" w14:textId="77777777" w:rsidR="00960BB8" w:rsidRDefault="00C06650">
      <w:pPr>
        <w:spacing w:after="120"/>
      </w:pPr>
      <w:r>
        <w:rPr>
          <w:rFonts w:ascii="Arial" w:eastAsia="宋体" w:hAnsi="Arial" w:cs="Arial"/>
          <w:color w:val="0068B5"/>
          <w:sz w:val="20"/>
          <w:szCs w:val="20"/>
        </w:rPr>
        <w:t>Revolving Credit Facilities</w:t>
      </w:r>
    </w:p>
    <w:p w14:paraId="5A1B28CB" w14:textId="77777777" w:rsidR="00960BB8" w:rsidRDefault="00C06650">
      <w:pPr>
        <w:spacing w:after="180"/>
      </w:pPr>
      <w:r>
        <w:rPr>
          <w:rFonts w:ascii="Arial" w:eastAsia="宋体" w:hAnsi="Arial" w:cs="Arial"/>
          <w:color w:val="262626"/>
          <w:sz w:val="18"/>
          <w:szCs w:val="18"/>
        </w:rPr>
        <w:t xml:space="preserve">In 2022, we entered into a </w:t>
      </w:r>
      <w:r>
        <w:rPr>
          <w:rFonts w:ascii="Arial" w:eastAsia="宋体" w:hAnsi="Arial" w:cs="Arial"/>
          <w:color w:val="262626"/>
          <w:sz w:val="18"/>
          <w:szCs w:val="18"/>
        </w:rPr>
        <w:t>$5.0 billion 364-day variable-rate unsecured revolving credit facility that, if drawn, is expected to be used for general corporate purposes. The revolving credit facility matures in November 2023. We also amended our $5.0 billion variable-rate revolving c</w:t>
      </w:r>
      <w:r>
        <w:rPr>
          <w:rFonts w:ascii="Arial" w:eastAsia="宋体" w:hAnsi="Arial" w:cs="Arial"/>
          <w:color w:val="262626"/>
          <w:sz w:val="18"/>
          <w:szCs w:val="18"/>
        </w:rPr>
        <w:t>redit facility agreement that we entered into in 2021, extending the maturity date by one year to March 2027 and transitioning from LIBOR to term SOFR. The revolving credit facilities had no borrowings outstanding as of December 31, 2022.</w:t>
      </w:r>
    </w:p>
    <w:p w14:paraId="5A1B28CC" w14:textId="77777777" w:rsidR="00960BB8" w:rsidRDefault="00C06650">
      <w:pPr>
        <w:spacing w:after="120"/>
      </w:pPr>
      <w:r>
        <w:rPr>
          <w:rFonts w:ascii="Arial" w:eastAsia="宋体" w:hAnsi="Arial" w:cs="Arial"/>
          <w:color w:val="0068B5"/>
          <w:sz w:val="20"/>
          <w:szCs w:val="20"/>
        </w:rPr>
        <w:t>Debt Maturities</w:t>
      </w:r>
    </w:p>
    <w:p w14:paraId="5A1B28CD" w14:textId="77777777" w:rsidR="00960BB8" w:rsidRDefault="00C06650">
      <w:pPr>
        <w:spacing w:after="120"/>
      </w:pPr>
      <w:r>
        <w:rPr>
          <w:rFonts w:ascii="Arial" w:eastAsia="宋体" w:hAnsi="Arial" w:cs="Arial"/>
          <w:color w:val="262626"/>
          <w:sz w:val="18"/>
          <w:szCs w:val="18"/>
        </w:rPr>
        <w:t>Our aggregate debt maturities, excluding commercial paper, based on outstanding principal as of December 31, 2022, by year payable,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974"/>
        <w:gridCol w:w="36"/>
        <w:gridCol w:w="36"/>
        <w:gridCol w:w="36"/>
        <w:gridCol w:w="36"/>
        <w:gridCol w:w="121"/>
        <w:gridCol w:w="495"/>
        <w:gridCol w:w="36"/>
        <w:gridCol w:w="36"/>
        <w:gridCol w:w="36"/>
        <w:gridCol w:w="36"/>
        <w:gridCol w:w="121"/>
        <w:gridCol w:w="501"/>
        <w:gridCol w:w="36"/>
        <w:gridCol w:w="36"/>
        <w:gridCol w:w="36"/>
        <w:gridCol w:w="36"/>
        <w:gridCol w:w="121"/>
        <w:gridCol w:w="501"/>
        <w:gridCol w:w="36"/>
        <w:gridCol w:w="36"/>
        <w:gridCol w:w="36"/>
        <w:gridCol w:w="36"/>
        <w:gridCol w:w="121"/>
        <w:gridCol w:w="501"/>
        <w:gridCol w:w="36"/>
        <w:gridCol w:w="36"/>
        <w:gridCol w:w="36"/>
        <w:gridCol w:w="36"/>
        <w:gridCol w:w="121"/>
        <w:gridCol w:w="501"/>
        <w:gridCol w:w="36"/>
        <w:gridCol w:w="36"/>
        <w:gridCol w:w="36"/>
        <w:gridCol w:w="36"/>
        <w:gridCol w:w="122"/>
        <w:gridCol w:w="1333"/>
        <w:gridCol w:w="36"/>
        <w:gridCol w:w="36"/>
        <w:gridCol w:w="36"/>
        <w:gridCol w:w="36"/>
        <w:gridCol w:w="121"/>
        <w:gridCol w:w="601"/>
        <w:gridCol w:w="36"/>
      </w:tblGrid>
      <w:tr w:rsidR="00960BB8" w14:paraId="5A1B28FB" w14:textId="77777777">
        <w:tc>
          <w:tcPr>
            <w:tcW w:w="50" w:type="pct"/>
            <w:shd w:val="clear" w:color="auto" w:fill="auto"/>
            <w:vAlign w:val="bottom"/>
          </w:tcPr>
          <w:p w14:paraId="5A1B28CE" w14:textId="77777777" w:rsidR="00960BB8" w:rsidRDefault="00960BB8">
            <w:pPr>
              <w:rPr>
                <w:rFonts w:ascii="宋体"/>
              </w:rPr>
            </w:pPr>
          </w:p>
        </w:tc>
        <w:tc>
          <w:tcPr>
            <w:tcW w:w="1229" w:type="pct"/>
            <w:shd w:val="clear" w:color="auto" w:fill="auto"/>
            <w:vAlign w:val="bottom"/>
          </w:tcPr>
          <w:p w14:paraId="5A1B28CF" w14:textId="77777777" w:rsidR="00960BB8" w:rsidRDefault="00960BB8">
            <w:pPr>
              <w:rPr>
                <w:rFonts w:ascii="宋体"/>
              </w:rPr>
            </w:pPr>
          </w:p>
        </w:tc>
        <w:tc>
          <w:tcPr>
            <w:tcW w:w="5" w:type="pct"/>
            <w:shd w:val="clear" w:color="auto" w:fill="auto"/>
            <w:vAlign w:val="bottom"/>
          </w:tcPr>
          <w:p w14:paraId="5A1B28D0" w14:textId="77777777" w:rsidR="00960BB8" w:rsidRDefault="00960BB8">
            <w:pPr>
              <w:rPr>
                <w:rFonts w:ascii="宋体"/>
              </w:rPr>
            </w:pPr>
          </w:p>
        </w:tc>
        <w:tc>
          <w:tcPr>
            <w:tcW w:w="5" w:type="pct"/>
            <w:shd w:val="clear" w:color="auto" w:fill="auto"/>
            <w:vAlign w:val="bottom"/>
          </w:tcPr>
          <w:p w14:paraId="5A1B28D1" w14:textId="77777777" w:rsidR="00960BB8" w:rsidRDefault="00960BB8">
            <w:pPr>
              <w:rPr>
                <w:rFonts w:ascii="宋体"/>
              </w:rPr>
            </w:pPr>
          </w:p>
        </w:tc>
        <w:tc>
          <w:tcPr>
            <w:tcW w:w="24" w:type="pct"/>
            <w:shd w:val="clear" w:color="auto" w:fill="auto"/>
            <w:vAlign w:val="bottom"/>
          </w:tcPr>
          <w:p w14:paraId="5A1B28D2" w14:textId="77777777" w:rsidR="00960BB8" w:rsidRDefault="00960BB8">
            <w:pPr>
              <w:rPr>
                <w:rFonts w:ascii="宋体"/>
              </w:rPr>
            </w:pPr>
          </w:p>
        </w:tc>
        <w:tc>
          <w:tcPr>
            <w:tcW w:w="5" w:type="pct"/>
            <w:shd w:val="clear" w:color="auto" w:fill="auto"/>
            <w:vAlign w:val="bottom"/>
          </w:tcPr>
          <w:p w14:paraId="5A1B28D3" w14:textId="77777777" w:rsidR="00960BB8" w:rsidRDefault="00960BB8">
            <w:pPr>
              <w:rPr>
                <w:rFonts w:ascii="宋体"/>
              </w:rPr>
            </w:pPr>
          </w:p>
        </w:tc>
        <w:tc>
          <w:tcPr>
            <w:tcW w:w="50" w:type="pct"/>
            <w:shd w:val="clear" w:color="auto" w:fill="auto"/>
            <w:vAlign w:val="bottom"/>
          </w:tcPr>
          <w:p w14:paraId="5A1B28D4" w14:textId="77777777" w:rsidR="00960BB8" w:rsidRDefault="00960BB8">
            <w:pPr>
              <w:rPr>
                <w:rFonts w:ascii="宋体"/>
              </w:rPr>
            </w:pPr>
          </w:p>
        </w:tc>
        <w:tc>
          <w:tcPr>
            <w:tcW w:w="368" w:type="pct"/>
            <w:shd w:val="clear" w:color="auto" w:fill="auto"/>
            <w:vAlign w:val="bottom"/>
          </w:tcPr>
          <w:p w14:paraId="5A1B28D5" w14:textId="77777777" w:rsidR="00960BB8" w:rsidRDefault="00960BB8">
            <w:pPr>
              <w:rPr>
                <w:rFonts w:ascii="宋体"/>
              </w:rPr>
            </w:pPr>
          </w:p>
        </w:tc>
        <w:tc>
          <w:tcPr>
            <w:tcW w:w="5" w:type="pct"/>
            <w:shd w:val="clear" w:color="auto" w:fill="auto"/>
            <w:vAlign w:val="bottom"/>
          </w:tcPr>
          <w:p w14:paraId="5A1B28D6" w14:textId="77777777" w:rsidR="00960BB8" w:rsidRDefault="00960BB8">
            <w:pPr>
              <w:rPr>
                <w:rFonts w:ascii="宋体"/>
              </w:rPr>
            </w:pPr>
          </w:p>
        </w:tc>
        <w:tc>
          <w:tcPr>
            <w:tcW w:w="5" w:type="pct"/>
            <w:shd w:val="clear" w:color="auto" w:fill="auto"/>
            <w:vAlign w:val="bottom"/>
          </w:tcPr>
          <w:p w14:paraId="5A1B28D7" w14:textId="77777777" w:rsidR="00960BB8" w:rsidRDefault="00960BB8">
            <w:pPr>
              <w:rPr>
                <w:rFonts w:ascii="宋体"/>
              </w:rPr>
            </w:pPr>
          </w:p>
        </w:tc>
        <w:tc>
          <w:tcPr>
            <w:tcW w:w="24" w:type="pct"/>
            <w:shd w:val="clear" w:color="auto" w:fill="auto"/>
            <w:vAlign w:val="bottom"/>
          </w:tcPr>
          <w:p w14:paraId="5A1B28D8" w14:textId="77777777" w:rsidR="00960BB8" w:rsidRDefault="00960BB8">
            <w:pPr>
              <w:rPr>
                <w:rFonts w:ascii="宋体"/>
              </w:rPr>
            </w:pPr>
          </w:p>
        </w:tc>
        <w:tc>
          <w:tcPr>
            <w:tcW w:w="5" w:type="pct"/>
            <w:shd w:val="clear" w:color="auto" w:fill="auto"/>
            <w:vAlign w:val="bottom"/>
          </w:tcPr>
          <w:p w14:paraId="5A1B28D9" w14:textId="77777777" w:rsidR="00960BB8" w:rsidRDefault="00960BB8">
            <w:pPr>
              <w:rPr>
                <w:rFonts w:ascii="宋体"/>
              </w:rPr>
            </w:pPr>
          </w:p>
        </w:tc>
        <w:tc>
          <w:tcPr>
            <w:tcW w:w="50" w:type="pct"/>
            <w:shd w:val="clear" w:color="auto" w:fill="auto"/>
            <w:vAlign w:val="bottom"/>
          </w:tcPr>
          <w:p w14:paraId="5A1B28DA" w14:textId="77777777" w:rsidR="00960BB8" w:rsidRDefault="00960BB8">
            <w:pPr>
              <w:rPr>
                <w:rFonts w:ascii="宋体"/>
              </w:rPr>
            </w:pPr>
          </w:p>
        </w:tc>
        <w:tc>
          <w:tcPr>
            <w:tcW w:w="368" w:type="pct"/>
            <w:shd w:val="clear" w:color="auto" w:fill="auto"/>
            <w:vAlign w:val="bottom"/>
          </w:tcPr>
          <w:p w14:paraId="5A1B28DB" w14:textId="77777777" w:rsidR="00960BB8" w:rsidRDefault="00960BB8">
            <w:pPr>
              <w:rPr>
                <w:rFonts w:ascii="宋体"/>
              </w:rPr>
            </w:pPr>
          </w:p>
        </w:tc>
        <w:tc>
          <w:tcPr>
            <w:tcW w:w="5" w:type="pct"/>
            <w:shd w:val="clear" w:color="auto" w:fill="auto"/>
            <w:vAlign w:val="bottom"/>
          </w:tcPr>
          <w:p w14:paraId="5A1B28DC" w14:textId="77777777" w:rsidR="00960BB8" w:rsidRDefault="00960BB8">
            <w:pPr>
              <w:rPr>
                <w:rFonts w:ascii="宋体"/>
              </w:rPr>
            </w:pPr>
          </w:p>
        </w:tc>
        <w:tc>
          <w:tcPr>
            <w:tcW w:w="5" w:type="pct"/>
            <w:shd w:val="clear" w:color="auto" w:fill="auto"/>
            <w:vAlign w:val="bottom"/>
          </w:tcPr>
          <w:p w14:paraId="5A1B28DD" w14:textId="77777777" w:rsidR="00960BB8" w:rsidRDefault="00960BB8">
            <w:pPr>
              <w:rPr>
                <w:rFonts w:ascii="宋体"/>
              </w:rPr>
            </w:pPr>
          </w:p>
        </w:tc>
        <w:tc>
          <w:tcPr>
            <w:tcW w:w="24" w:type="pct"/>
            <w:shd w:val="clear" w:color="auto" w:fill="auto"/>
            <w:vAlign w:val="bottom"/>
          </w:tcPr>
          <w:p w14:paraId="5A1B28DE" w14:textId="77777777" w:rsidR="00960BB8" w:rsidRDefault="00960BB8">
            <w:pPr>
              <w:rPr>
                <w:rFonts w:ascii="宋体"/>
              </w:rPr>
            </w:pPr>
          </w:p>
        </w:tc>
        <w:tc>
          <w:tcPr>
            <w:tcW w:w="5" w:type="pct"/>
            <w:shd w:val="clear" w:color="auto" w:fill="auto"/>
            <w:vAlign w:val="bottom"/>
          </w:tcPr>
          <w:p w14:paraId="5A1B28DF" w14:textId="77777777" w:rsidR="00960BB8" w:rsidRDefault="00960BB8">
            <w:pPr>
              <w:rPr>
                <w:rFonts w:ascii="宋体"/>
              </w:rPr>
            </w:pPr>
          </w:p>
        </w:tc>
        <w:tc>
          <w:tcPr>
            <w:tcW w:w="50" w:type="pct"/>
            <w:shd w:val="clear" w:color="auto" w:fill="auto"/>
            <w:vAlign w:val="bottom"/>
          </w:tcPr>
          <w:p w14:paraId="5A1B28E0" w14:textId="77777777" w:rsidR="00960BB8" w:rsidRDefault="00960BB8">
            <w:pPr>
              <w:rPr>
                <w:rFonts w:ascii="宋体"/>
              </w:rPr>
            </w:pPr>
          </w:p>
        </w:tc>
        <w:tc>
          <w:tcPr>
            <w:tcW w:w="368" w:type="pct"/>
            <w:shd w:val="clear" w:color="auto" w:fill="auto"/>
            <w:vAlign w:val="bottom"/>
          </w:tcPr>
          <w:p w14:paraId="5A1B28E1" w14:textId="77777777" w:rsidR="00960BB8" w:rsidRDefault="00960BB8">
            <w:pPr>
              <w:rPr>
                <w:rFonts w:ascii="宋体"/>
              </w:rPr>
            </w:pPr>
          </w:p>
        </w:tc>
        <w:tc>
          <w:tcPr>
            <w:tcW w:w="5" w:type="pct"/>
            <w:shd w:val="clear" w:color="auto" w:fill="auto"/>
            <w:vAlign w:val="bottom"/>
          </w:tcPr>
          <w:p w14:paraId="5A1B28E2" w14:textId="77777777" w:rsidR="00960BB8" w:rsidRDefault="00960BB8">
            <w:pPr>
              <w:rPr>
                <w:rFonts w:ascii="宋体"/>
              </w:rPr>
            </w:pPr>
          </w:p>
        </w:tc>
        <w:tc>
          <w:tcPr>
            <w:tcW w:w="5" w:type="pct"/>
            <w:shd w:val="clear" w:color="auto" w:fill="auto"/>
            <w:vAlign w:val="bottom"/>
          </w:tcPr>
          <w:p w14:paraId="5A1B28E3" w14:textId="77777777" w:rsidR="00960BB8" w:rsidRDefault="00960BB8">
            <w:pPr>
              <w:rPr>
                <w:rFonts w:ascii="宋体"/>
              </w:rPr>
            </w:pPr>
          </w:p>
        </w:tc>
        <w:tc>
          <w:tcPr>
            <w:tcW w:w="24" w:type="pct"/>
            <w:shd w:val="clear" w:color="auto" w:fill="auto"/>
            <w:vAlign w:val="bottom"/>
          </w:tcPr>
          <w:p w14:paraId="5A1B28E4" w14:textId="77777777" w:rsidR="00960BB8" w:rsidRDefault="00960BB8">
            <w:pPr>
              <w:rPr>
                <w:rFonts w:ascii="宋体"/>
              </w:rPr>
            </w:pPr>
          </w:p>
        </w:tc>
        <w:tc>
          <w:tcPr>
            <w:tcW w:w="5" w:type="pct"/>
            <w:shd w:val="clear" w:color="auto" w:fill="auto"/>
            <w:vAlign w:val="bottom"/>
          </w:tcPr>
          <w:p w14:paraId="5A1B28E5" w14:textId="77777777" w:rsidR="00960BB8" w:rsidRDefault="00960BB8">
            <w:pPr>
              <w:rPr>
                <w:rFonts w:ascii="宋体"/>
              </w:rPr>
            </w:pPr>
          </w:p>
        </w:tc>
        <w:tc>
          <w:tcPr>
            <w:tcW w:w="50" w:type="pct"/>
            <w:shd w:val="clear" w:color="auto" w:fill="auto"/>
            <w:vAlign w:val="bottom"/>
          </w:tcPr>
          <w:p w14:paraId="5A1B28E6" w14:textId="77777777" w:rsidR="00960BB8" w:rsidRDefault="00960BB8">
            <w:pPr>
              <w:rPr>
                <w:rFonts w:ascii="宋体"/>
              </w:rPr>
            </w:pPr>
          </w:p>
        </w:tc>
        <w:tc>
          <w:tcPr>
            <w:tcW w:w="368" w:type="pct"/>
            <w:shd w:val="clear" w:color="auto" w:fill="auto"/>
            <w:vAlign w:val="bottom"/>
          </w:tcPr>
          <w:p w14:paraId="5A1B28E7" w14:textId="77777777" w:rsidR="00960BB8" w:rsidRDefault="00960BB8">
            <w:pPr>
              <w:rPr>
                <w:rFonts w:ascii="宋体"/>
              </w:rPr>
            </w:pPr>
          </w:p>
        </w:tc>
        <w:tc>
          <w:tcPr>
            <w:tcW w:w="5" w:type="pct"/>
            <w:shd w:val="clear" w:color="auto" w:fill="auto"/>
            <w:vAlign w:val="bottom"/>
          </w:tcPr>
          <w:p w14:paraId="5A1B28E8" w14:textId="77777777" w:rsidR="00960BB8" w:rsidRDefault="00960BB8">
            <w:pPr>
              <w:rPr>
                <w:rFonts w:ascii="宋体"/>
              </w:rPr>
            </w:pPr>
          </w:p>
        </w:tc>
        <w:tc>
          <w:tcPr>
            <w:tcW w:w="5" w:type="pct"/>
            <w:shd w:val="clear" w:color="auto" w:fill="auto"/>
            <w:vAlign w:val="bottom"/>
          </w:tcPr>
          <w:p w14:paraId="5A1B28E9" w14:textId="77777777" w:rsidR="00960BB8" w:rsidRDefault="00960BB8">
            <w:pPr>
              <w:rPr>
                <w:rFonts w:ascii="宋体"/>
              </w:rPr>
            </w:pPr>
          </w:p>
        </w:tc>
        <w:tc>
          <w:tcPr>
            <w:tcW w:w="24" w:type="pct"/>
            <w:shd w:val="clear" w:color="auto" w:fill="auto"/>
            <w:vAlign w:val="bottom"/>
          </w:tcPr>
          <w:p w14:paraId="5A1B28EA" w14:textId="77777777" w:rsidR="00960BB8" w:rsidRDefault="00960BB8">
            <w:pPr>
              <w:rPr>
                <w:rFonts w:ascii="宋体"/>
              </w:rPr>
            </w:pPr>
          </w:p>
        </w:tc>
        <w:tc>
          <w:tcPr>
            <w:tcW w:w="5" w:type="pct"/>
            <w:shd w:val="clear" w:color="auto" w:fill="auto"/>
            <w:vAlign w:val="bottom"/>
          </w:tcPr>
          <w:p w14:paraId="5A1B28EB" w14:textId="77777777" w:rsidR="00960BB8" w:rsidRDefault="00960BB8">
            <w:pPr>
              <w:rPr>
                <w:rFonts w:ascii="宋体"/>
              </w:rPr>
            </w:pPr>
          </w:p>
        </w:tc>
        <w:tc>
          <w:tcPr>
            <w:tcW w:w="50" w:type="pct"/>
            <w:shd w:val="clear" w:color="auto" w:fill="auto"/>
            <w:vAlign w:val="bottom"/>
          </w:tcPr>
          <w:p w14:paraId="5A1B28EC" w14:textId="77777777" w:rsidR="00960BB8" w:rsidRDefault="00960BB8">
            <w:pPr>
              <w:rPr>
                <w:rFonts w:ascii="宋体"/>
              </w:rPr>
            </w:pPr>
          </w:p>
        </w:tc>
        <w:tc>
          <w:tcPr>
            <w:tcW w:w="368" w:type="pct"/>
            <w:shd w:val="clear" w:color="auto" w:fill="auto"/>
            <w:vAlign w:val="bottom"/>
          </w:tcPr>
          <w:p w14:paraId="5A1B28ED" w14:textId="77777777" w:rsidR="00960BB8" w:rsidRDefault="00960BB8">
            <w:pPr>
              <w:rPr>
                <w:rFonts w:ascii="宋体"/>
              </w:rPr>
            </w:pPr>
          </w:p>
        </w:tc>
        <w:tc>
          <w:tcPr>
            <w:tcW w:w="5" w:type="pct"/>
            <w:shd w:val="clear" w:color="auto" w:fill="auto"/>
            <w:vAlign w:val="bottom"/>
          </w:tcPr>
          <w:p w14:paraId="5A1B28EE" w14:textId="77777777" w:rsidR="00960BB8" w:rsidRDefault="00960BB8">
            <w:pPr>
              <w:rPr>
                <w:rFonts w:ascii="宋体"/>
              </w:rPr>
            </w:pPr>
          </w:p>
        </w:tc>
        <w:tc>
          <w:tcPr>
            <w:tcW w:w="5" w:type="pct"/>
            <w:shd w:val="clear" w:color="auto" w:fill="auto"/>
            <w:vAlign w:val="bottom"/>
          </w:tcPr>
          <w:p w14:paraId="5A1B28EF" w14:textId="77777777" w:rsidR="00960BB8" w:rsidRDefault="00960BB8">
            <w:pPr>
              <w:rPr>
                <w:rFonts w:ascii="宋体"/>
              </w:rPr>
            </w:pPr>
          </w:p>
        </w:tc>
        <w:tc>
          <w:tcPr>
            <w:tcW w:w="24" w:type="pct"/>
            <w:shd w:val="clear" w:color="auto" w:fill="auto"/>
            <w:vAlign w:val="bottom"/>
          </w:tcPr>
          <w:p w14:paraId="5A1B28F0" w14:textId="77777777" w:rsidR="00960BB8" w:rsidRDefault="00960BB8">
            <w:pPr>
              <w:rPr>
                <w:rFonts w:ascii="宋体"/>
              </w:rPr>
            </w:pPr>
          </w:p>
        </w:tc>
        <w:tc>
          <w:tcPr>
            <w:tcW w:w="5" w:type="pct"/>
            <w:shd w:val="clear" w:color="auto" w:fill="auto"/>
            <w:vAlign w:val="bottom"/>
          </w:tcPr>
          <w:p w14:paraId="5A1B28F1" w14:textId="77777777" w:rsidR="00960BB8" w:rsidRDefault="00960BB8">
            <w:pPr>
              <w:rPr>
                <w:rFonts w:ascii="宋体"/>
              </w:rPr>
            </w:pPr>
          </w:p>
        </w:tc>
        <w:tc>
          <w:tcPr>
            <w:tcW w:w="50" w:type="pct"/>
            <w:shd w:val="clear" w:color="auto" w:fill="auto"/>
            <w:vAlign w:val="bottom"/>
          </w:tcPr>
          <w:p w14:paraId="5A1B28F2" w14:textId="77777777" w:rsidR="00960BB8" w:rsidRDefault="00960BB8">
            <w:pPr>
              <w:rPr>
                <w:rFonts w:ascii="宋体"/>
              </w:rPr>
            </w:pPr>
          </w:p>
        </w:tc>
        <w:tc>
          <w:tcPr>
            <w:tcW w:w="880" w:type="pct"/>
            <w:shd w:val="clear" w:color="auto" w:fill="auto"/>
            <w:vAlign w:val="bottom"/>
          </w:tcPr>
          <w:p w14:paraId="5A1B28F3" w14:textId="77777777" w:rsidR="00960BB8" w:rsidRDefault="00960BB8">
            <w:pPr>
              <w:rPr>
                <w:rFonts w:ascii="宋体"/>
              </w:rPr>
            </w:pPr>
          </w:p>
        </w:tc>
        <w:tc>
          <w:tcPr>
            <w:tcW w:w="5" w:type="pct"/>
            <w:shd w:val="clear" w:color="auto" w:fill="auto"/>
            <w:vAlign w:val="bottom"/>
          </w:tcPr>
          <w:p w14:paraId="5A1B28F4" w14:textId="77777777" w:rsidR="00960BB8" w:rsidRDefault="00960BB8">
            <w:pPr>
              <w:rPr>
                <w:rFonts w:ascii="宋体"/>
              </w:rPr>
            </w:pPr>
          </w:p>
        </w:tc>
        <w:tc>
          <w:tcPr>
            <w:tcW w:w="5" w:type="pct"/>
            <w:shd w:val="clear" w:color="auto" w:fill="auto"/>
            <w:vAlign w:val="bottom"/>
          </w:tcPr>
          <w:p w14:paraId="5A1B28F5" w14:textId="77777777" w:rsidR="00960BB8" w:rsidRDefault="00960BB8">
            <w:pPr>
              <w:rPr>
                <w:rFonts w:ascii="宋体"/>
              </w:rPr>
            </w:pPr>
          </w:p>
        </w:tc>
        <w:tc>
          <w:tcPr>
            <w:tcW w:w="24" w:type="pct"/>
            <w:shd w:val="clear" w:color="auto" w:fill="auto"/>
            <w:vAlign w:val="bottom"/>
          </w:tcPr>
          <w:p w14:paraId="5A1B28F6" w14:textId="77777777" w:rsidR="00960BB8" w:rsidRDefault="00960BB8">
            <w:pPr>
              <w:rPr>
                <w:rFonts w:ascii="宋体"/>
              </w:rPr>
            </w:pPr>
          </w:p>
        </w:tc>
        <w:tc>
          <w:tcPr>
            <w:tcW w:w="5" w:type="pct"/>
            <w:shd w:val="clear" w:color="auto" w:fill="auto"/>
            <w:vAlign w:val="bottom"/>
          </w:tcPr>
          <w:p w14:paraId="5A1B28F7" w14:textId="77777777" w:rsidR="00960BB8" w:rsidRDefault="00960BB8">
            <w:pPr>
              <w:rPr>
                <w:rFonts w:ascii="宋体"/>
              </w:rPr>
            </w:pPr>
          </w:p>
        </w:tc>
        <w:tc>
          <w:tcPr>
            <w:tcW w:w="50" w:type="pct"/>
            <w:shd w:val="clear" w:color="auto" w:fill="auto"/>
            <w:vAlign w:val="bottom"/>
          </w:tcPr>
          <w:p w14:paraId="5A1B28F8" w14:textId="77777777" w:rsidR="00960BB8" w:rsidRDefault="00960BB8">
            <w:pPr>
              <w:rPr>
                <w:rFonts w:ascii="宋体"/>
              </w:rPr>
            </w:pPr>
          </w:p>
        </w:tc>
        <w:tc>
          <w:tcPr>
            <w:tcW w:w="368" w:type="pct"/>
            <w:shd w:val="clear" w:color="auto" w:fill="auto"/>
            <w:vAlign w:val="bottom"/>
          </w:tcPr>
          <w:p w14:paraId="5A1B28F9" w14:textId="77777777" w:rsidR="00960BB8" w:rsidRDefault="00960BB8">
            <w:pPr>
              <w:rPr>
                <w:rFonts w:ascii="宋体"/>
              </w:rPr>
            </w:pPr>
          </w:p>
        </w:tc>
        <w:tc>
          <w:tcPr>
            <w:tcW w:w="5" w:type="pct"/>
            <w:shd w:val="clear" w:color="auto" w:fill="auto"/>
            <w:vAlign w:val="bottom"/>
          </w:tcPr>
          <w:p w14:paraId="5A1B28FA" w14:textId="77777777" w:rsidR="00960BB8" w:rsidRDefault="00960BB8">
            <w:pPr>
              <w:rPr>
                <w:rFonts w:ascii="宋体"/>
              </w:rPr>
            </w:pPr>
          </w:p>
        </w:tc>
      </w:tr>
      <w:tr w:rsidR="00960BB8" w14:paraId="5A1B290B" w14:textId="77777777">
        <w:tc>
          <w:tcPr>
            <w:tcW w:w="0" w:type="auto"/>
            <w:gridSpan w:val="3"/>
            <w:shd w:val="clear" w:color="auto" w:fill="auto"/>
            <w:tcMar>
              <w:top w:w="40" w:type="dxa"/>
              <w:left w:w="20" w:type="dxa"/>
              <w:bottom w:w="40" w:type="dxa"/>
              <w:right w:w="20" w:type="dxa"/>
            </w:tcMar>
            <w:vAlign w:val="bottom"/>
          </w:tcPr>
          <w:p w14:paraId="5A1B28FC"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28F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28FE" w14:textId="77777777" w:rsidR="00960BB8" w:rsidRDefault="00C06650">
            <w:pPr>
              <w:jc w:val="right"/>
              <w:textAlignment w:val="top"/>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vAlign w:val="bottom"/>
          </w:tcPr>
          <w:p w14:paraId="5A1B28F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2900" w14:textId="77777777" w:rsidR="00960BB8" w:rsidRDefault="00C06650">
            <w:pPr>
              <w:jc w:val="right"/>
              <w:textAlignment w:val="top"/>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vAlign w:val="bottom"/>
          </w:tcPr>
          <w:p w14:paraId="5A1B290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2902" w14:textId="77777777" w:rsidR="00960BB8" w:rsidRDefault="00C06650">
            <w:pPr>
              <w:jc w:val="right"/>
              <w:textAlignment w:val="top"/>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vAlign w:val="bottom"/>
          </w:tcPr>
          <w:p w14:paraId="5A1B290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2904" w14:textId="77777777" w:rsidR="00960BB8" w:rsidRDefault="00C06650">
            <w:pPr>
              <w:jc w:val="right"/>
              <w:textAlignment w:val="top"/>
            </w:pPr>
            <w:r>
              <w:rPr>
                <w:rFonts w:ascii="Arial" w:eastAsia="宋体" w:hAnsi="Arial" w:cs="Arial"/>
                <w:b/>
                <w:bCs/>
                <w:color w:val="262626"/>
                <w:sz w:val="18"/>
                <w:szCs w:val="18"/>
              </w:rPr>
              <w:t>2026</w:t>
            </w:r>
          </w:p>
        </w:tc>
        <w:tc>
          <w:tcPr>
            <w:tcW w:w="0" w:type="auto"/>
            <w:gridSpan w:val="3"/>
            <w:shd w:val="clear" w:color="auto" w:fill="auto"/>
            <w:tcMar>
              <w:top w:w="0" w:type="dxa"/>
              <w:left w:w="20" w:type="dxa"/>
              <w:bottom w:w="0" w:type="dxa"/>
              <w:right w:w="20" w:type="dxa"/>
            </w:tcMar>
            <w:vAlign w:val="bottom"/>
          </w:tcPr>
          <w:p w14:paraId="5A1B290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2906" w14:textId="77777777" w:rsidR="00960BB8" w:rsidRDefault="00C06650">
            <w:pPr>
              <w:jc w:val="right"/>
              <w:textAlignment w:val="top"/>
            </w:pPr>
            <w:r>
              <w:rPr>
                <w:rFonts w:ascii="Arial" w:eastAsia="宋体" w:hAnsi="Arial" w:cs="Arial"/>
                <w:b/>
                <w:bCs/>
                <w:color w:val="262626"/>
                <w:sz w:val="18"/>
                <w:szCs w:val="18"/>
              </w:rPr>
              <w:t>2027</w:t>
            </w:r>
          </w:p>
        </w:tc>
        <w:tc>
          <w:tcPr>
            <w:tcW w:w="0" w:type="auto"/>
            <w:gridSpan w:val="3"/>
            <w:shd w:val="clear" w:color="auto" w:fill="auto"/>
            <w:tcMar>
              <w:top w:w="0" w:type="dxa"/>
              <w:left w:w="20" w:type="dxa"/>
              <w:bottom w:w="0" w:type="dxa"/>
              <w:right w:w="20" w:type="dxa"/>
            </w:tcMar>
            <w:vAlign w:val="bottom"/>
          </w:tcPr>
          <w:p w14:paraId="5A1B290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2908" w14:textId="77777777" w:rsidR="00960BB8" w:rsidRDefault="00C06650">
            <w:pPr>
              <w:jc w:val="right"/>
              <w:textAlignment w:val="top"/>
            </w:pPr>
            <w:r>
              <w:rPr>
                <w:rFonts w:ascii="Arial" w:eastAsia="宋体" w:hAnsi="Arial" w:cs="Arial"/>
                <w:b/>
                <w:bCs/>
                <w:color w:val="262626"/>
                <w:sz w:val="18"/>
                <w:szCs w:val="18"/>
              </w:rPr>
              <w:t>2028 and thereafter</w:t>
            </w:r>
          </w:p>
        </w:tc>
        <w:tc>
          <w:tcPr>
            <w:tcW w:w="0" w:type="auto"/>
            <w:gridSpan w:val="3"/>
            <w:shd w:val="clear" w:color="auto" w:fill="auto"/>
            <w:tcMar>
              <w:top w:w="0" w:type="dxa"/>
              <w:left w:w="20" w:type="dxa"/>
              <w:bottom w:w="0" w:type="dxa"/>
              <w:right w:w="20" w:type="dxa"/>
            </w:tcMar>
            <w:vAlign w:val="bottom"/>
          </w:tcPr>
          <w:p w14:paraId="5A1B290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290A" w14:textId="77777777" w:rsidR="00960BB8" w:rsidRDefault="00C06650">
            <w:pPr>
              <w:jc w:val="right"/>
              <w:textAlignment w:val="top"/>
            </w:pPr>
            <w:r>
              <w:rPr>
                <w:rFonts w:ascii="Arial" w:eastAsia="宋体" w:hAnsi="Arial" w:cs="Arial"/>
                <w:b/>
                <w:bCs/>
                <w:color w:val="262626"/>
                <w:sz w:val="18"/>
                <w:szCs w:val="18"/>
              </w:rPr>
              <w:t>Total</w:t>
            </w:r>
          </w:p>
        </w:tc>
      </w:tr>
      <w:tr w:rsidR="00960BB8" w14:paraId="5A1B2929"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90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0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90E"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90F" w14:textId="77777777" w:rsidR="00960BB8" w:rsidRDefault="00C06650">
            <w:pPr>
              <w:jc w:val="right"/>
              <w:textAlignment w:val="bottom"/>
            </w:pPr>
            <w:r>
              <w:rPr>
                <w:rFonts w:ascii="Arial" w:eastAsia="宋体" w:hAnsi="Arial" w:cs="Arial"/>
                <w:color w:val="0068B5"/>
                <w:sz w:val="18"/>
                <w:szCs w:val="18"/>
              </w:rPr>
              <w:t>423 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91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11"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912"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913" w14:textId="77777777" w:rsidR="00960BB8" w:rsidRDefault="00C06650">
            <w:pPr>
              <w:jc w:val="right"/>
              <w:textAlignment w:val="bottom"/>
            </w:pPr>
            <w:r>
              <w:rPr>
                <w:rFonts w:ascii="Arial" w:eastAsia="宋体" w:hAnsi="Arial" w:cs="Arial"/>
                <w:color w:val="0068B5"/>
                <w:sz w:val="18"/>
                <w:szCs w:val="18"/>
              </w:rPr>
              <w:t>2,288 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91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15"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916"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917" w14:textId="77777777" w:rsidR="00960BB8" w:rsidRDefault="00C06650">
            <w:pPr>
              <w:jc w:val="right"/>
              <w:textAlignment w:val="bottom"/>
            </w:pPr>
            <w:r>
              <w:rPr>
                <w:rFonts w:ascii="Arial" w:eastAsia="宋体" w:hAnsi="Arial" w:cs="Arial"/>
                <w:color w:val="0068B5"/>
                <w:sz w:val="18"/>
                <w:szCs w:val="18"/>
              </w:rPr>
              <w:t>3,750 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91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19"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91A"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91B" w14:textId="77777777" w:rsidR="00960BB8" w:rsidRDefault="00C06650">
            <w:pPr>
              <w:jc w:val="right"/>
              <w:textAlignment w:val="bottom"/>
            </w:pPr>
            <w:r>
              <w:rPr>
                <w:rFonts w:ascii="Arial" w:eastAsia="宋体" w:hAnsi="Arial" w:cs="Arial"/>
                <w:color w:val="0068B5"/>
                <w:sz w:val="18"/>
                <w:szCs w:val="18"/>
              </w:rPr>
              <w:t>1,000 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91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1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91E"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91F" w14:textId="77777777" w:rsidR="00960BB8" w:rsidRDefault="00C06650">
            <w:pPr>
              <w:jc w:val="right"/>
              <w:textAlignment w:val="bottom"/>
            </w:pPr>
            <w:r>
              <w:rPr>
                <w:rFonts w:ascii="Arial" w:eastAsia="宋体" w:hAnsi="Arial" w:cs="Arial"/>
                <w:color w:val="0068B5"/>
                <w:sz w:val="18"/>
                <w:szCs w:val="18"/>
              </w:rPr>
              <w:t>3,826 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92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21"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922"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923" w14:textId="77777777" w:rsidR="00960BB8" w:rsidRDefault="00C06650">
            <w:pPr>
              <w:jc w:val="right"/>
              <w:textAlignment w:val="bottom"/>
            </w:pPr>
            <w:r>
              <w:rPr>
                <w:rFonts w:ascii="Arial" w:eastAsia="宋体" w:hAnsi="Arial" w:cs="Arial"/>
                <w:color w:val="0068B5"/>
                <w:sz w:val="18"/>
                <w:szCs w:val="18"/>
              </w:rPr>
              <w:t>27,998 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92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25"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926"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927" w14:textId="77777777" w:rsidR="00960BB8" w:rsidRDefault="00C06650">
            <w:pPr>
              <w:jc w:val="right"/>
              <w:textAlignment w:val="bottom"/>
            </w:pPr>
            <w:r>
              <w:rPr>
                <w:rFonts w:ascii="Arial" w:eastAsia="宋体" w:hAnsi="Arial" w:cs="Arial"/>
                <w:b/>
                <w:bCs/>
                <w:color w:val="0068B5"/>
                <w:sz w:val="18"/>
                <w:szCs w:val="18"/>
              </w:rPr>
              <w:t>39,285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928" w14:textId="77777777" w:rsidR="00960BB8" w:rsidRDefault="00960BB8">
            <w:pPr>
              <w:jc w:val="right"/>
              <w:rPr>
                <w:rFonts w:ascii="宋体"/>
              </w:rPr>
            </w:pPr>
          </w:p>
        </w:tc>
      </w:tr>
    </w:tbl>
    <w:p w14:paraId="5A1B292A" w14:textId="77777777" w:rsidR="00960BB8" w:rsidRDefault="00960BB8">
      <w:pPr>
        <w:spacing w:after="180"/>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2937" w14:textId="77777777">
        <w:tc>
          <w:tcPr>
            <w:tcW w:w="50" w:type="pct"/>
            <w:shd w:val="clear" w:color="auto" w:fill="auto"/>
            <w:vAlign w:val="bottom"/>
          </w:tcPr>
          <w:p w14:paraId="5A1B292B" w14:textId="77777777" w:rsidR="00960BB8" w:rsidRDefault="00960BB8">
            <w:pPr>
              <w:rPr>
                <w:rFonts w:ascii="宋体"/>
              </w:rPr>
            </w:pPr>
          </w:p>
        </w:tc>
        <w:tc>
          <w:tcPr>
            <w:tcW w:w="276" w:type="pct"/>
            <w:shd w:val="clear" w:color="auto" w:fill="auto"/>
            <w:vAlign w:val="bottom"/>
          </w:tcPr>
          <w:p w14:paraId="5A1B292C" w14:textId="77777777" w:rsidR="00960BB8" w:rsidRDefault="00960BB8">
            <w:pPr>
              <w:rPr>
                <w:rFonts w:ascii="宋体"/>
              </w:rPr>
            </w:pPr>
          </w:p>
        </w:tc>
        <w:tc>
          <w:tcPr>
            <w:tcW w:w="5" w:type="pct"/>
            <w:shd w:val="clear" w:color="auto" w:fill="auto"/>
            <w:vAlign w:val="bottom"/>
          </w:tcPr>
          <w:p w14:paraId="5A1B292D" w14:textId="77777777" w:rsidR="00960BB8" w:rsidRDefault="00960BB8">
            <w:pPr>
              <w:rPr>
                <w:rFonts w:ascii="宋体"/>
              </w:rPr>
            </w:pPr>
          </w:p>
        </w:tc>
        <w:tc>
          <w:tcPr>
            <w:tcW w:w="50" w:type="pct"/>
            <w:shd w:val="clear" w:color="auto" w:fill="auto"/>
            <w:vAlign w:val="bottom"/>
          </w:tcPr>
          <w:p w14:paraId="5A1B292E" w14:textId="77777777" w:rsidR="00960BB8" w:rsidRDefault="00960BB8">
            <w:pPr>
              <w:rPr>
                <w:rFonts w:ascii="宋体"/>
              </w:rPr>
            </w:pPr>
          </w:p>
        </w:tc>
        <w:tc>
          <w:tcPr>
            <w:tcW w:w="940" w:type="pct"/>
            <w:shd w:val="clear" w:color="auto" w:fill="auto"/>
            <w:vAlign w:val="bottom"/>
          </w:tcPr>
          <w:p w14:paraId="5A1B292F" w14:textId="77777777" w:rsidR="00960BB8" w:rsidRDefault="00960BB8">
            <w:pPr>
              <w:rPr>
                <w:rFonts w:ascii="宋体"/>
              </w:rPr>
            </w:pPr>
          </w:p>
        </w:tc>
        <w:tc>
          <w:tcPr>
            <w:tcW w:w="5" w:type="pct"/>
            <w:shd w:val="clear" w:color="auto" w:fill="auto"/>
            <w:vAlign w:val="bottom"/>
          </w:tcPr>
          <w:p w14:paraId="5A1B2930" w14:textId="77777777" w:rsidR="00960BB8" w:rsidRDefault="00960BB8">
            <w:pPr>
              <w:rPr>
                <w:rFonts w:ascii="宋体"/>
              </w:rPr>
            </w:pPr>
          </w:p>
        </w:tc>
        <w:tc>
          <w:tcPr>
            <w:tcW w:w="50" w:type="pct"/>
            <w:shd w:val="clear" w:color="auto" w:fill="auto"/>
            <w:vAlign w:val="bottom"/>
          </w:tcPr>
          <w:p w14:paraId="5A1B2931" w14:textId="77777777" w:rsidR="00960BB8" w:rsidRDefault="00960BB8">
            <w:pPr>
              <w:rPr>
                <w:rFonts w:ascii="宋体"/>
              </w:rPr>
            </w:pPr>
          </w:p>
        </w:tc>
        <w:tc>
          <w:tcPr>
            <w:tcW w:w="1837" w:type="pct"/>
            <w:shd w:val="clear" w:color="auto" w:fill="auto"/>
            <w:vAlign w:val="bottom"/>
          </w:tcPr>
          <w:p w14:paraId="5A1B2932" w14:textId="77777777" w:rsidR="00960BB8" w:rsidRDefault="00960BB8">
            <w:pPr>
              <w:rPr>
                <w:rFonts w:ascii="宋体"/>
              </w:rPr>
            </w:pPr>
          </w:p>
        </w:tc>
        <w:tc>
          <w:tcPr>
            <w:tcW w:w="5" w:type="pct"/>
            <w:shd w:val="clear" w:color="auto" w:fill="auto"/>
            <w:vAlign w:val="bottom"/>
          </w:tcPr>
          <w:p w14:paraId="5A1B2933" w14:textId="77777777" w:rsidR="00960BB8" w:rsidRDefault="00960BB8">
            <w:pPr>
              <w:rPr>
                <w:rFonts w:ascii="宋体"/>
              </w:rPr>
            </w:pPr>
          </w:p>
        </w:tc>
        <w:tc>
          <w:tcPr>
            <w:tcW w:w="50" w:type="pct"/>
            <w:shd w:val="clear" w:color="auto" w:fill="auto"/>
            <w:vAlign w:val="bottom"/>
          </w:tcPr>
          <w:p w14:paraId="5A1B2934" w14:textId="77777777" w:rsidR="00960BB8" w:rsidRDefault="00960BB8">
            <w:pPr>
              <w:rPr>
                <w:rFonts w:ascii="宋体"/>
              </w:rPr>
            </w:pPr>
          </w:p>
        </w:tc>
        <w:tc>
          <w:tcPr>
            <w:tcW w:w="1724" w:type="pct"/>
            <w:shd w:val="clear" w:color="auto" w:fill="auto"/>
            <w:vAlign w:val="bottom"/>
          </w:tcPr>
          <w:p w14:paraId="5A1B2935" w14:textId="77777777" w:rsidR="00960BB8" w:rsidRDefault="00960BB8">
            <w:pPr>
              <w:rPr>
                <w:rFonts w:ascii="宋体"/>
              </w:rPr>
            </w:pPr>
          </w:p>
        </w:tc>
        <w:tc>
          <w:tcPr>
            <w:tcW w:w="5" w:type="pct"/>
            <w:shd w:val="clear" w:color="auto" w:fill="auto"/>
            <w:vAlign w:val="bottom"/>
          </w:tcPr>
          <w:p w14:paraId="5A1B2936" w14:textId="77777777" w:rsidR="00960BB8" w:rsidRDefault="00960BB8">
            <w:pPr>
              <w:rPr>
                <w:rFonts w:ascii="宋体"/>
              </w:rPr>
            </w:pPr>
          </w:p>
        </w:tc>
      </w:tr>
      <w:tr w:rsidR="00960BB8" w14:paraId="5A1B293C"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938"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B4" wp14:editId="5A1B44B5">
                  <wp:extent cx="304800" cy="304800"/>
                  <wp:effectExtent l="0" t="0" r="0" b="0"/>
                  <wp:docPr id="177" name="图片 29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93"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939"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293A"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93B" w14:textId="77777777" w:rsidR="00960BB8" w:rsidRDefault="00C06650">
            <w:pPr>
              <w:jc w:val="right"/>
              <w:textAlignment w:val="center"/>
            </w:pPr>
            <w:r>
              <w:rPr>
                <w:rFonts w:ascii="Arial" w:eastAsia="宋体" w:hAnsi="Arial" w:cs="Arial"/>
                <w:color w:val="262626"/>
                <w:sz w:val="16"/>
                <w:szCs w:val="16"/>
              </w:rPr>
              <w:t>102</w:t>
            </w:r>
          </w:p>
        </w:tc>
      </w:tr>
    </w:tbl>
    <w:p w14:paraId="5A1B293D" w14:textId="77777777" w:rsidR="00960BB8" w:rsidRDefault="00C06650">
      <w:r>
        <w:pict w14:anchorId="5A1B44B6">
          <v:rect id="_x0000_i1128" style="width:415.3pt;height:1.5pt" o:hralign="center" o:hrstd="t" o:hr="t" fillcolor="#a0a0a0" stroked="f"/>
        </w:pict>
      </w:r>
    </w:p>
    <w:p w14:paraId="5A1B293E" w14:textId="77777777" w:rsidR="00960BB8" w:rsidRDefault="00C06650">
      <w:pPr>
        <w:jc w:val="right"/>
      </w:pPr>
      <w:hyperlink r:id="rId151" w:anchor="i8aaa7b4dbd2e419ca0f5c30af85a11aa_16" w:history="1">
        <w:r>
          <w:rPr>
            <w:rStyle w:val="a5"/>
            <w:rFonts w:ascii="Arial" w:eastAsia="宋体" w:hAnsi="Arial" w:cs="Arial"/>
            <w:b/>
            <w:bCs/>
            <w:sz w:val="16"/>
            <w:szCs w:val="16"/>
          </w:rPr>
          <w:t>Table of Contents</w:t>
        </w:r>
      </w:hyperlink>
    </w:p>
    <w:p w14:paraId="5A1B293F"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960BB8" w14:paraId="5A1B2946" w14:textId="77777777">
        <w:tc>
          <w:tcPr>
            <w:tcW w:w="50" w:type="pct"/>
            <w:shd w:val="clear" w:color="auto" w:fill="auto"/>
            <w:vAlign w:val="bottom"/>
          </w:tcPr>
          <w:p w14:paraId="5A1B2940" w14:textId="77777777" w:rsidR="00960BB8" w:rsidRDefault="00960BB8">
            <w:pPr>
              <w:rPr>
                <w:rFonts w:ascii="宋体"/>
              </w:rPr>
            </w:pPr>
          </w:p>
        </w:tc>
        <w:tc>
          <w:tcPr>
            <w:tcW w:w="539" w:type="pct"/>
            <w:shd w:val="clear" w:color="auto" w:fill="auto"/>
            <w:vAlign w:val="bottom"/>
          </w:tcPr>
          <w:p w14:paraId="5A1B2941" w14:textId="77777777" w:rsidR="00960BB8" w:rsidRDefault="00960BB8">
            <w:pPr>
              <w:rPr>
                <w:rFonts w:ascii="宋体"/>
              </w:rPr>
            </w:pPr>
          </w:p>
        </w:tc>
        <w:tc>
          <w:tcPr>
            <w:tcW w:w="5" w:type="pct"/>
            <w:shd w:val="clear" w:color="auto" w:fill="auto"/>
            <w:vAlign w:val="bottom"/>
          </w:tcPr>
          <w:p w14:paraId="5A1B2942" w14:textId="77777777" w:rsidR="00960BB8" w:rsidRDefault="00960BB8">
            <w:pPr>
              <w:rPr>
                <w:rFonts w:ascii="宋体"/>
              </w:rPr>
            </w:pPr>
          </w:p>
        </w:tc>
        <w:tc>
          <w:tcPr>
            <w:tcW w:w="50" w:type="pct"/>
            <w:shd w:val="clear" w:color="auto" w:fill="auto"/>
            <w:vAlign w:val="bottom"/>
          </w:tcPr>
          <w:p w14:paraId="5A1B2943" w14:textId="77777777" w:rsidR="00960BB8" w:rsidRDefault="00960BB8">
            <w:pPr>
              <w:rPr>
                <w:rFonts w:ascii="宋体"/>
              </w:rPr>
            </w:pPr>
          </w:p>
        </w:tc>
        <w:tc>
          <w:tcPr>
            <w:tcW w:w="4350" w:type="pct"/>
            <w:shd w:val="clear" w:color="auto" w:fill="auto"/>
            <w:vAlign w:val="bottom"/>
          </w:tcPr>
          <w:p w14:paraId="5A1B2944" w14:textId="77777777" w:rsidR="00960BB8" w:rsidRDefault="00960BB8">
            <w:pPr>
              <w:rPr>
                <w:rFonts w:ascii="宋体"/>
              </w:rPr>
            </w:pPr>
          </w:p>
        </w:tc>
        <w:tc>
          <w:tcPr>
            <w:tcW w:w="5" w:type="pct"/>
            <w:shd w:val="clear" w:color="auto" w:fill="auto"/>
            <w:vAlign w:val="bottom"/>
          </w:tcPr>
          <w:p w14:paraId="5A1B2945" w14:textId="77777777" w:rsidR="00960BB8" w:rsidRDefault="00960BB8">
            <w:pPr>
              <w:rPr>
                <w:rFonts w:ascii="宋体"/>
              </w:rPr>
            </w:pPr>
          </w:p>
        </w:tc>
      </w:tr>
      <w:tr w:rsidR="00960BB8" w14:paraId="5A1B2949"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2947" w14:textId="77777777" w:rsidR="00960BB8" w:rsidRDefault="00C06650">
            <w:pPr>
              <w:textAlignment w:val="bottom"/>
            </w:pPr>
            <w:r>
              <w:rPr>
                <w:rFonts w:ascii="Arial" w:eastAsia="宋体" w:hAnsi="Arial" w:cs="Arial"/>
                <w:color w:val="FFFFFF"/>
                <w:sz w:val="28"/>
                <w:szCs w:val="28"/>
              </w:rPr>
              <w:t xml:space="preserve">Note 14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2948" w14:textId="77777777" w:rsidR="00960BB8" w:rsidRDefault="00C06650">
            <w:pPr>
              <w:textAlignment w:val="bottom"/>
            </w:pPr>
            <w:r>
              <w:rPr>
                <w:rFonts w:ascii="Arial" w:eastAsia="宋体" w:hAnsi="Arial" w:cs="Arial"/>
                <w:color w:val="0068B5"/>
                <w:sz w:val="28"/>
                <w:szCs w:val="28"/>
              </w:rPr>
              <w:t>Fair Value</w:t>
            </w:r>
          </w:p>
        </w:tc>
      </w:tr>
    </w:tbl>
    <w:p w14:paraId="5A1B294A" w14:textId="77777777" w:rsidR="00960BB8" w:rsidRDefault="00C06650">
      <w:pPr>
        <w:spacing w:after="180"/>
      </w:pPr>
      <w:r>
        <w:rPr>
          <w:rFonts w:ascii="Arial" w:eastAsia="宋体" w:hAnsi="Arial" w:cs="Arial"/>
          <w:color w:val="0068B5"/>
        </w:rPr>
        <w:t xml:space="preserve">Assets and Liabilities Measured and Recorded at </w:t>
      </w:r>
      <w:r>
        <w:rPr>
          <w:rFonts w:ascii="Arial" w:eastAsia="宋体" w:hAnsi="Arial" w:cs="Arial"/>
          <w:color w:val="0068B5"/>
        </w:rPr>
        <w:t>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57"/>
        <w:gridCol w:w="1834"/>
        <w:gridCol w:w="39"/>
        <w:gridCol w:w="36"/>
        <w:gridCol w:w="36"/>
        <w:gridCol w:w="36"/>
        <w:gridCol w:w="121"/>
        <w:gridCol w:w="501"/>
        <w:gridCol w:w="36"/>
        <w:gridCol w:w="36"/>
        <w:gridCol w:w="36"/>
        <w:gridCol w:w="36"/>
        <w:gridCol w:w="121"/>
        <w:gridCol w:w="601"/>
        <w:gridCol w:w="36"/>
        <w:gridCol w:w="36"/>
        <w:gridCol w:w="36"/>
        <w:gridCol w:w="36"/>
        <w:gridCol w:w="122"/>
        <w:gridCol w:w="438"/>
        <w:gridCol w:w="37"/>
        <w:gridCol w:w="36"/>
        <w:gridCol w:w="36"/>
        <w:gridCol w:w="36"/>
        <w:gridCol w:w="121"/>
        <w:gridCol w:w="601"/>
        <w:gridCol w:w="36"/>
        <w:gridCol w:w="36"/>
        <w:gridCol w:w="36"/>
        <w:gridCol w:w="36"/>
        <w:gridCol w:w="121"/>
        <w:gridCol w:w="501"/>
        <w:gridCol w:w="36"/>
        <w:gridCol w:w="36"/>
        <w:gridCol w:w="36"/>
        <w:gridCol w:w="36"/>
        <w:gridCol w:w="121"/>
        <w:gridCol w:w="601"/>
        <w:gridCol w:w="36"/>
        <w:gridCol w:w="36"/>
        <w:gridCol w:w="36"/>
        <w:gridCol w:w="36"/>
        <w:gridCol w:w="122"/>
        <w:gridCol w:w="439"/>
        <w:gridCol w:w="36"/>
        <w:gridCol w:w="36"/>
        <w:gridCol w:w="36"/>
        <w:gridCol w:w="36"/>
        <w:gridCol w:w="121"/>
        <w:gridCol w:w="601"/>
        <w:gridCol w:w="36"/>
      </w:tblGrid>
      <w:tr w:rsidR="00960BB8" w14:paraId="5A1B297E" w14:textId="77777777">
        <w:tc>
          <w:tcPr>
            <w:tcW w:w="50" w:type="pct"/>
            <w:shd w:val="clear" w:color="auto" w:fill="auto"/>
            <w:vAlign w:val="bottom"/>
          </w:tcPr>
          <w:p w14:paraId="5A1B294B" w14:textId="77777777" w:rsidR="00960BB8" w:rsidRDefault="00960BB8">
            <w:pPr>
              <w:rPr>
                <w:rFonts w:ascii="宋体"/>
              </w:rPr>
            </w:pPr>
          </w:p>
        </w:tc>
        <w:tc>
          <w:tcPr>
            <w:tcW w:w="1201" w:type="pct"/>
            <w:shd w:val="clear" w:color="auto" w:fill="auto"/>
            <w:vAlign w:val="bottom"/>
          </w:tcPr>
          <w:p w14:paraId="5A1B294C" w14:textId="77777777" w:rsidR="00960BB8" w:rsidRDefault="00960BB8">
            <w:pPr>
              <w:rPr>
                <w:rFonts w:ascii="宋体"/>
              </w:rPr>
            </w:pPr>
          </w:p>
        </w:tc>
        <w:tc>
          <w:tcPr>
            <w:tcW w:w="5" w:type="pct"/>
            <w:shd w:val="clear" w:color="auto" w:fill="auto"/>
            <w:vAlign w:val="bottom"/>
          </w:tcPr>
          <w:p w14:paraId="5A1B294D" w14:textId="77777777" w:rsidR="00960BB8" w:rsidRDefault="00960BB8">
            <w:pPr>
              <w:rPr>
                <w:rFonts w:ascii="宋体"/>
              </w:rPr>
            </w:pPr>
          </w:p>
        </w:tc>
        <w:tc>
          <w:tcPr>
            <w:tcW w:w="5" w:type="pct"/>
            <w:shd w:val="clear" w:color="auto" w:fill="auto"/>
            <w:vAlign w:val="bottom"/>
          </w:tcPr>
          <w:p w14:paraId="5A1B294E" w14:textId="77777777" w:rsidR="00960BB8" w:rsidRDefault="00960BB8">
            <w:pPr>
              <w:rPr>
                <w:rFonts w:ascii="宋体"/>
              </w:rPr>
            </w:pPr>
          </w:p>
        </w:tc>
        <w:tc>
          <w:tcPr>
            <w:tcW w:w="24" w:type="pct"/>
            <w:shd w:val="clear" w:color="auto" w:fill="auto"/>
            <w:vAlign w:val="bottom"/>
          </w:tcPr>
          <w:p w14:paraId="5A1B294F" w14:textId="77777777" w:rsidR="00960BB8" w:rsidRDefault="00960BB8">
            <w:pPr>
              <w:rPr>
                <w:rFonts w:ascii="宋体"/>
              </w:rPr>
            </w:pPr>
          </w:p>
        </w:tc>
        <w:tc>
          <w:tcPr>
            <w:tcW w:w="5" w:type="pct"/>
            <w:shd w:val="clear" w:color="auto" w:fill="auto"/>
            <w:vAlign w:val="bottom"/>
          </w:tcPr>
          <w:p w14:paraId="5A1B2950" w14:textId="77777777" w:rsidR="00960BB8" w:rsidRDefault="00960BB8">
            <w:pPr>
              <w:rPr>
                <w:rFonts w:ascii="宋体"/>
              </w:rPr>
            </w:pPr>
          </w:p>
        </w:tc>
        <w:tc>
          <w:tcPr>
            <w:tcW w:w="50" w:type="pct"/>
            <w:shd w:val="clear" w:color="auto" w:fill="auto"/>
            <w:vAlign w:val="bottom"/>
          </w:tcPr>
          <w:p w14:paraId="5A1B2951" w14:textId="77777777" w:rsidR="00960BB8" w:rsidRDefault="00960BB8">
            <w:pPr>
              <w:rPr>
                <w:rFonts w:ascii="宋体"/>
              </w:rPr>
            </w:pPr>
          </w:p>
        </w:tc>
        <w:tc>
          <w:tcPr>
            <w:tcW w:w="388" w:type="pct"/>
            <w:shd w:val="clear" w:color="auto" w:fill="auto"/>
            <w:vAlign w:val="bottom"/>
          </w:tcPr>
          <w:p w14:paraId="5A1B2952" w14:textId="77777777" w:rsidR="00960BB8" w:rsidRDefault="00960BB8">
            <w:pPr>
              <w:rPr>
                <w:rFonts w:ascii="宋体"/>
              </w:rPr>
            </w:pPr>
          </w:p>
        </w:tc>
        <w:tc>
          <w:tcPr>
            <w:tcW w:w="5" w:type="pct"/>
            <w:shd w:val="clear" w:color="auto" w:fill="auto"/>
            <w:vAlign w:val="bottom"/>
          </w:tcPr>
          <w:p w14:paraId="5A1B2953" w14:textId="77777777" w:rsidR="00960BB8" w:rsidRDefault="00960BB8">
            <w:pPr>
              <w:rPr>
                <w:rFonts w:ascii="宋体"/>
              </w:rPr>
            </w:pPr>
          </w:p>
        </w:tc>
        <w:tc>
          <w:tcPr>
            <w:tcW w:w="5" w:type="pct"/>
            <w:shd w:val="clear" w:color="auto" w:fill="auto"/>
            <w:vAlign w:val="bottom"/>
          </w:tcPr>
          <w:p w14:paraId="5A1B2954" w14:textId="77777777" w:rsidR="00960BB8" w:rsidRDefault="00960BB8">
            <w:pPr>
              <w:rPr>
                <w:rFonts w:ascii="宋体"/>
              </w:rPr>
            </w:pPr>
          </w:p>
        </w:tc>
        <w:tc>
          <w:tcPr>
            <w:tcW w:w="24" w:type="pct"/>
            <w:shd w:val="clear" w:color="auto" w:fill="auto"/>
            <w:vAlign w:val="bottom"/>
          </w:tcPr>
          <w:p w14:paraId="5A1B2955" w14:textId="77777777" w:rsidR="00960BB8" w:rsidRDefault="00960BB8">
            <w:pPr>
              <w:rPr>
                <w:rFonts w:ascii="宋体"/>
              </w:rPr>
            </w:pPr>
          </w:p>
        </w:tc>
        <w:tc>
          <w:tcPr>
            <w:tcW w:w="5" w:type="pct"/>
            <w:shd w:val="clear" w:color="auto" w:fill="auto"/>
            <w:vAlign w:val="bottom"/>
          </w:tcPr>
          <w:p w14:paraId="5A1B2956" w14:textId="77777777" w:rsidR="00960BB8" w:rsidRDefault="00960BB8">
            <w:pPr>
              <w:rPr>
                <w:rFonts w:ascii="宋体"/>
              </w:rPr>
            </w:pPr>
          </w:p>
        </w:tc>
        <w:tc>
          <w:tcPr>
            <w:tcW w:w="50" w:type="pct"/>
            <w:shd w:val="clear" w:color="auto" w:fill="auto"/>
            <w:vAlign w:val="bottom"/>
          </w:tcPr>
          <w:p w14:paraId="5A1B2957" w14:textId="77777777" w:rsidR="00960BB8" w:rsidRDefault="00960BB8">
            <w:pPr>
              <w:rPr>
                <w:rFonts w:ascii="宋体"/>
              </w:rPr>
            </w:pPr>
          </w:p>
        </w:tc>
        <w:tc>
          <w:tcPr>
            <w:tcW w:w="388" w:type="pct"/>
            <w:shd w:val="clear" w:color="auto" w:fill="auto"/>
            <w:vAlign w:val="bottom"/>
          </w:tcPr>
          <w:p w14:paraId="5A1B2958" w14:textId="77777777" w:rsidR="00960BB8" w:rsidRDefault="00960BB8">
            <w:pPr>
              <w:rPr>
                <w:rFonts w:ascii="宋体"/>
              </w:rPr>
            </w:pPr>
          </w:p>
        </w:tc>
        <w:tc>
          <w:tcPr>
            <w:tcW w:w="5" w:type="pct"/>
            <w:shd w:val="clear" w:color="auto" w:fill="auto"/>
            <w:vAlign w:val="bottom"/>
          </w:tcPr>
          <w:p w14:paraId="5A1B2959" w14:textId="77777777" w:rsidR="00960BB8" w:rsidRDefault="00960BB8">
            <w:pPr>
              <w:rPr>
                <w:rFonts w:ascii="宋体"/>
              </w:rPr>
            </w:pPr>
          </w:p>
        </w:tc>
        <w:tc>
          <w:tcPr>
            <w:tcW w:w="5" w:type="pct"/>
            <w:shd w:val="clear" w:color="auto" w:fill="auto"/>
            <w:vAlign w:val="bottom"/>
          </w:tcPr>
          <w:p w14:paraId="5A1B295A" w14:textId="77777777" w:rsidR="00960BB8" w:rsidRDefault="00960BB8">
            <w:pPr>
              <w:rPr>
                <w:rFonts w:ascii="宋体"/>
              </w:rPr>
            </w:pPr>
          </w:p>
        </w:tc>
        <w:tc>
          <w:tcPr>
            <w:tcW w:w="24" w:type="pct"/>
            <w:shd w:val="clear" w:color="auto" w:fill="auto"/>
            <w:vAlign w:val="bottom"/>
          </w:tcPr>
          <w:p w14:paraId="5A1B295B" w14:textId="77777777" w:rsidR="00960BB8" w:rsidRDefault="00960BB8">
            <w:pPr>
              <w:rPr>
                <w:rFonts w:ascii="宋体"/>
              </w:rPr>
            </w:pPr>
          </w:p>
        </w:tc>
        <w:tc>
          <w:tcPr>
            <w:tcW w:w="5" w:type="pct"/>
            <w:shd w:val="clear" w:color="auto" w:fill="auto"/>
            <w:vAlign w:val="bottom"/>
          </w:tcPr>
          <w:p w14:paraId="5A1B295C" w14:textId="77777777" w:rsidR="00960BB8" w:rsidRDefault="00960BB8">
            <w:pPr>
              <w:rPr>
                <w:rFonts w:ascii="宋体"/>
              </w:rPr>
            </w:pPr>
          </w:p>
        </w:tc>
        <w:tc>
          <w:tcPr>
            <w:tcW w:w="50" w:type="pct"/>
            <w:shd w:val="clear" w:color="auto" w:fill="auto"/>
            <w:vAlign w:val="bottom"/>
          </w:tcPr>
          <w:p w14:paraId="5A1B295D" w14:textId="77777777" w:rsidR="00960BB8" w:rsidRDefault="00960BB8">
            <w:pPr>
              <w:rPr>
                <w:rFonts w:ascii="宋体"/>
              </w:rPr>
            </w:pPr>
          </w:p>
        </w:tc>
        <w:tc>
          <w:tcPr>
            <w:tcW w:w="388" w:type="pct"/>
            <w:shd w:val="clear" w:color="auto" w:fill="auto"/>
            <w:vAlign w:val="bottom"/>
          </w:tcPr>
          <w:p w14:paraId="5A1B295E" w14:textId="77777777" w:rsidR="00960BB8" w:rsidRDefault="00960BB8">
            <w:pPr>
              <w:rPr>
                <w:rFonts w:ascii="宋体"/>
              </w:rPr>
            </w:pPr>
          </w:p>
        </w:tc>
        <w:tc>
          <w:tcPr>
            <w:tcW w:w="5" w:type="pct"/>
            <w:shd w:val="clear" w:color="auto" w:fill="auto"/>
            <w:vAlign w:val="bottom"/>
          </w:tcPr>
          <w:p w14:paraId="5A1B295F" w14:textId="77777777" w:rsidR="00960BB8" w:rsidRDefault="00960BB8">
            <w:pPr>
              <w:rPr>
                <w:rFonts w:ascii="宋体"/>
              </w:rPr>
            </w:pPr>
          </w:p>
        </w:tc>
        <w:tc>
          <w:tcPr>
            <w:tcW w:w="5" w:type="pct"/>
            <w:shd w:val="clear" w:color="auto" w:fill="auto"/>
            <w:vAlign w:val="bottom"/>
          </w:tcPr>
          <w:p w14:paraId="5A1B2960" w14:textId="77777777" w:rsidR="00960BB8" w:rsidRDefault="00960BB8">
            <w:pPr>
              <w:rPr>
                <w:rFonts w:ascii="宋体"/>
              </w:rPr>
            </w:pPr>
          </w:p>
        </w:tc>
        <w:tc>
          <w:tcPr>
            <w:tcW w:w="24" w:type="pct"/>
            <w:shd w:val="clear" w:color="auto" w:fill="auto"/>
            <w:vAlign w:val="bottom"/>
          </w:tcPr>
          <w:p w14:paraId="5A1B2961" w14:textId="77777777" w:rsidR="00960BB8" w:rsidRDefault="00960BB8">
            <w:pPr>
              <w:rPr>
                <w:rFonts w:ascii="宋体"/>
              </w:rPr>
            </w:pPr>
          </w:p>
        </w:tc>
        <w:tc>
          <w:tcPr>
            <w:tcW w:w="5" w:type="pct"/>
            <w:shd w:val="clear" w:color="auto" w:fill="auto"/>
            <w:vAlign w:val="bottom"/>
          </w:tcPr>
          <w:p w14:paraId="5A1B2962" w14:textId="77777777" w:rsidR="00960BB8" w:rsidRDefault="00960BB8">
            <w:pPr>
              <w:rPr>
                <w:rFonts w:ascii="宋体"/>
              </w:rPr>
            </w:pPr>
          </w:p>
        </w:tc>
        <w:tc>
          <w:tcPr>
            <w:tcW w:w="50" w:type="pct"/>
            <w:shd w:val="clear" w:color="auto" w:fill="auto"/>
            <w:vAlign w:val="bottom"/>
          </w:tcPr>
          <w:p w14:paraId="5A1B2963" w14:textId="77777777" w:rsidR="00960BB8" w:rsidRDefault="00960BB8">
            <w:pPr>
              <w:rPr>
                <w:rFonts w:ascii="宋体"/>
              </w:rPr>
            </w:pPr>
          </w:p>
        </w:tc>
        <w:tc>
          <w:tcPr>
            <w:tcW w:w="348" w:type="pct"/>
            <w:shd w:val="clear" w:color="auto" w:fill="auto"/>
            <w:vAlign w:val="bottom"/>
          </w:tcPr>
          <w:p w14:paraId="5A1B2964" w14:textId="77777777" w:rsidR="00960BB8" w:rsidRDefault="00960BB8">
            <w:pPr>
              <w:rPr>
                <w:rFonts w:ascii="宋体"/>
              </w:rPr>
            </w:pPr>
          </w:p>
        </w:tc>
        <w:tc>
          <w:tcPr>
            <w:tcW w:w="5" w:type="pct"/>
            <w:shd w:val="clear" w:color="auto" w:fill="auto"/>
            <w:vAlign w:val="bottom"/>
          </w:tcPr>
          <w:p w14:paraId="5A1B2965" w14:textId="77777777" w:rsidR="00960BB8" w:rsidRDefault="00960BB8">
            <w:pPr>
              <w:rPr>
                <w:rFonts w:ascii="宋体"/>
              </w:rPr>
            </w:pPr>
          </w:p>
        </w:tc>
        <w:tc>
          <w:tcPr>
            <w:tcW w:w="5" w:type="pct"/>
            <w:shd w:val="clear" w:color="auto" w:fill="auto"/>
            <w:vAlign w:val="bottom"/>
          </w:tcPr>
          <w:p w14:paraId="5A1B2966" w14:textId="77777777" w:rsidR="00960BB8" w:rsidRDefault="00960BB8">
            <w:pPr>
              <w:rPr>
                <w:rFonts w:ascii="宋体"/>
              </w:rPr>
            </w:pPr>
          </w:p>
        </w:tc>
        <w:tc>
          <w:tcPr>
            <w:tcW w:w="24" w:type="pct"/>
            <w:shd w:val="clear" w:color="auto" w:fill="auto"/>
            <w:vAlign w:val="bottom"/>
          </w:tcPr>
          <w:p w14:paraId="5A1B2967" w14:textId="77777777" w:rsidR="00960BB8" w:rsidRDefault="00960BB8">
            <w:pPr>
              <w:rPr>
                <w:rFonts w:ascii="宋体"/>
              </w:rPr>
            </w:pPr>
          </w:p>
        </w:tc>
        <w:tc>
          <w:tcPr>
            <w:tcW w:w="5" w:type="pct"/>
            <w:shd w:val="clear" w:color="auto" w:fill="auto"/>
            <w:vAlign w:val="bottom"/>
          </w:tcPr>
          <w:p w14:paraId="5A1B2968" w14:textId="77777777" w:rsidR="00960BB8" w:rsidRDefault="00960BB8">
            <w:pPr>
              <w:rPr>
                <w:rFonts w:ascii="宋体"/>
              </w:rPr>
            </w:pPr>
          </w:p>
        </w:tc>
        <w:tc>
          <w:tcPr>
            <w:tcW w:w="50" w:type="pct"/>
            <w:shd w:val="clear" w:color="auto" w:fill="auto"/>
            <w:vAlign w:val="bottom"/>
          </w:tcPr>
          <w:p w14:paraId="5A1B2969" w14:textId="77777777" w:rsidR="00960BB8" w:rsidRDefault="00960BB8">
            <w:pPr>
              <w:rPr>
                <w:rFonts w:ascii="宋体"/>
              </w:rPr>
            </w:pPr>
          </w:p>
        </w:tc>
        <w:tc>
          <w:tcPr>
            <w:tcW w:w="388" w:type="pct"/>
            <w:shd w:val="clear" w:color="auto" w:fill="auto"/>
            <w:vAlign w:val="bottom"/>
          </w:tcPr>
          <w:p w14:paraId="5A1B296A" w14:textId="77777777" w:rsidR="00960BB8" w:rsidRDefault="00960BB8">
            <w:pPr>
              <w:rPr>
                <w:rFonts w:ascii="宋体"/>
              </w:rPr>
            </w:pPr>
          </w:p>
        </w:tc>
        <w:tc>
          <w:tcPr>
            <w:tcW w:w="5" w:type="pct"/>
            <w:shd w:val="clear" w:color="auto" w:fill="auto"/>
            <w:vAlign w:val="bottom"/>
          </w:tcPr>
          <w:p w14:paraId="5A1B296B" w14:textId="77777777" w:rsidR="00960BB8" w:rsidRDefault="00960BB8">
            <w:pPr>
              <w:rPr>
                <w:rFonts w:ascii="宋体"/>
              </w:rPr>
            </w:pPr>
          </w:p>
        </w:tc>
        <w:tc>
          <w:tcPr>
            <w:tcW w:w="5" w:type="pct"/>
            <w:shd w:val="clear" w:color="auto" w:fill="auto"/>
            <w:vAlign w:val="bottom"/>
          </w:tcPr>
          <w:p w14:paraId="5A1B296C" w14:textId="77777777" w:rsidR="00960BB8" w:rsidRDefault="00960BB8">
            <w:pPr>
              <w:rPr>
                <w:rFonts w:ascii="宋体"/>
              </w:rPr>
            </w:pPr>
          </w:p>
        </w:tc>
        <w:tc>
          <w:tcPr>
            <w:tcW w:w="24" w:type="pct"/>
            <w:shd w:val="clear" w:color="auto" w:fill="auto"/>
            <w:vAlign w:val="bottom"/>
          </w:tcPr>
          <w:p w14:paraId="5A1B296D" w14:textId="77777777" w:rsidR="00960BB8" w:rsidRDefault="00960BB8">
            <w:pPr>
              <w:rPr>
                <w:rFonts w:ascii="宋体"/>
              </w:rPr>
            </w:pPr>
          </w:p>
        </w:tc>
        <w:tc>
          <w:tcPr>
            <w:tcW w:w="5" w:type="pct"/>
            <w:shd w:val="clear" w:color="auto" w:fill="auto"/>
            <w:vAlign w:val="bottom"/>
          </w:tcPr>
          <w:p w14:paraId="5A1B296E" w14:textId="77777777" w:rsidR="00960BB8" w:rsidRDefault="00960BB8">
            <w:pPr>
              <w:rPr>
                <w:rFonts w:ascii="宋体"/>
              </w:rPr>
            </w:pPr>
          </w:p>
        </w:tc>
        <w:tc>
          <w:tcPr>
            <w:tcW w:w="50" w:type="pct"/>
            <w:shd w:val="clear" w:color="auto" w:fill="auto"/>
            <w:vAlign w:val="bottom"/>
          </w:tcPr>
          <w:p w14:paraId="5A1B296F" w14:textId="77777777" w:rsidR="00960BB8" w:rsidRDefault="00960BB8">
            <w:pPr>
              <w:rPr>
                <w:rFonts w:ascii="宋体"/>
              </w:rPr>
            </w:pPr>
          </w:p>
        </w:tc>
        <w:tc>
          <w:tcPr>
            <w:tcW w:w="388" w:type="pct"/>
            <w:shd w:val="clear" w:color="auto" w:fill="auto"/>
            <w:vAlign w:val="bottom"/>
          </w:tcPr>
          <w:p w14:paraId="5A1B2970" w14:textId="77777777" w:rsidR="00960BB8" w:rsidRDefault="00960BB8">
            <w:pPr>
              <w:rPr>
                <w:rFonts w:ascii="宋体"/>
              </w:rPr>
            </w:pPr>
          </w:p>
        </w:tc>
        <w:tc>
          <w:tcPr>
            <w:tcW w:w="5" w:type="pct"/>
            <w:shd w:val="clear" w:color="auto" w:fill="auto"/>
            <w:vAlign w:val="bottom"/>
          </w:tcPr>
          <w:p w14:paraId="5A1B2971" w14:textId="77777777" w:rsidR="00960BB8" w:rsidRDefault="00960BB8">
            <w:pPr>
              <w:rPr>
                <w:rFonts w:ascii="宋体"/>
              </w:rPr>
            </w:pPr>
          </w:p>
        </w:tc>
        <w:tc>
          <w:tcPr>
            <w:tcW w:w="5" w:type="pct"/>
            <w:shd w:val="clear" w:color="auto" w:fill="auto"/>
            <w:vAlign w:val="bottom"/>
          </w:tcPr>
          <w:p w14:paraId="5A1B2972" w14:textId="77777777" w:rsidR="00960BB8" w:rsidRDefault="00960BB8">
            <w:pPr>
              <w:rPr>
                <w:rFonts w:ascii="宋体"/>
              </w:rPr>
            </w:pPr>
          </w:p>
        </w:tc>
        <w:tc>
          <w:tcPr>
            <w:tcW w:w="24" w:type="pct"/>
            <w:shd w:val="clear" w:color="auto" w:fill="auto"/>
            <w:vAlign w:val="bottom"/>
          </w:tcPr>
          <w:p w14:paraId="5A1B2973" w14:textId="77777777" w:rsidR="00960BB8" w:rsidRDefault="00960BB8">
            <w:pPr>
              <w:rPr>
                <w:rFonts w:ascii="宋体"/>
              </w:rPr>
            </w:pPr>
          </w:p>
        </w:tc>
        <w:tc>
          <w:tcPr>
            <w:tcW w:w="5" w:type="pct"/>
            <w:shd w:val="clear" w:color="auto" w:fill="auto"/>
            <w:vAlign w:val="bottom"/>
          </w:tcPr>
          <w:p w14:paraId="5A1B2974" w14:textId="77777777" w:rsidR="00960BB8" w:rsidRDefault="00960BB8">
            <w:pPr>
              <w:rPr>
                <w:rFonts w:ascii="宋体"/>
              </w:rPr>
            </w:pPr>
          </w:p>
        </w:tc>
        <w:tc>
          <w:tcPr>
            <w:tcW w:w="50" w:type="pct"/>
            <w:shd w:val="clear" w:color="auto" w:fill="auto"/>
            <w:vAlign w:val="bottom"/>
          </w:tcPr>
          <w:p w14:paraId="5A1B2975" w14:textId="77777777" w:rsidR="00960BB8" w:rsidRDefault="00960BB8">
            <w:pPr>
              <w:rPr>
                <w:rFonts w:ascii="宋体"/>
              </w:rPr>
            </w:pPr>
          </w:p>
        </w:tc>
        <w:tc>
          <w:tcPr>
            <w:tcW w:w="388" w:type="pct"/>
            <w:shd w:val="clear" w:color="auto" w:fill="auto"/>
            <w:vAlign w:val="bottom"/>
          </w:tcPr>
          <w:p w14:paraId="5A1B2976" w14:textId="77777777" w:rsidR="00960BB8" w:rsidRDefault="00960BB8">
            <w:pPr>
              <w:rPr>
                <w:rFonts w:ascii="宋体"/>
              </w:rPr>
            </w:pPr>
          </w:p>
        </w:tc>
        <w:tc>
          <w:tcPr>
            <w:tcW w:w="5" w:type="pct"/>
            <w:shd w:val="clear" w:color="auto" w:fill="auto"/>
            <w:vAlign w:val="bottom"/>
          </w:tcPr>
          <w:p w14:paraId="5A1B2977" w14:textId="77777777" w:rsidR="00960BB8" w:rsidRDefault="00960BB8">
            <w:pPr>
              <w:rPr>
                <w:rFonts w:ascii="宋体"/>
              </w:rPr>
            </w:pPr>
          </w:p>
        </w:tc>
        <w:tc>
          <w:tcPr>
            <w:tcW w:w="5" w:type="pct"/>
            <w:shd w:val="clear" w:color="auto" w:fill="auto"/>
            <w:vAlign w:val="bottom"/>
          </w:tcPr>
          <w:p w14:paraId="5A1B2978" w14:textId="77777777" w:rsidR="00960BB8" w:rsidRDefault="00960BB8">
            <w:pPr>
              <w:rPr>
                <w:rFonts w:ascii="宋体"/>
              </w:rPr>
            </w:pPr>
          </w:p>
        </w:tc>
        <w:tc>
          <w:tcPr>
            <w:tcW w:w="24" w:type="pct"/>
            <w:shd w:val="clear" w:color="auto" w:fill="auto"/>
            <w:vAlign w:val="bottom"/>
          </w:tcPr>
          <w:p w14:paraId="5A1B2979" w14:textId="77777777" w:rsidR="00960BB8" w:rsidRDefault="00960BB8">
            <w:pPr>
              <w:rPr>
                <w:rFonts w:ascii="宋体"/>
              </w:rPr>
            </w:pPr>
          </w:p>
        </w:tc>
        <w:tc>
          <w:tcPr>
            <w:tcW w:w="5" w:type="pct"/>
            <w:shd w:val="clear" w:color="auto" w:fill="auto"/>
            <w:vAlign w:val="bottom"/>
          </w:tcPr>
          <w:p w14:paraId="5A1B297A" w14:textId="77777777" w:rsidR="00960BB8" w:rsidRDefault="00960BB8">
            <w:pPr>
              <w:rPr>
                <w:rFonts w:ascii="宋体"/>
              </w:rPr>
            </w:pPr>
          </w:p>
        </w:tc>
        <w:tc>
          <w:tcPr>
            <w:tcW w:w="50" w:type="pct"/>
            <w:shd w:val="clear" w:color="auto" w:fill="auto"/>
            <w:vAlign w:val="bottom"/>
          </w:tcPr>
          <w:p w14:paraId="5A1B297B" w14:textId="77777777" w:rsidR="00960BB8" w:rsidRDefault="00960BB8">
            <w:pPr>
              <w:rPr>
                <w:rFonts w:ascii="宋体"/>
              </w:rPr>
            </w:pPr>
          </w:p>
        </w:tc>
        <w:tc>
          <w:tcPr>
            <w:tcW w:w="348" w:type="pct"/>
            <w:shd w:val="clear" w:color="auto" w:fill="auto"/>
            <w:vAlign w:val="bottom"/>
          </w:tcPr>
          <w:p w14:paraId="5A1B297C" w14:textId="77777777" w:rsidR="00960BB8" w:rsidRDefault="00960BB8">
            <w:pPr>
              <w:rPr>
                <w:rFonts w:ascii="宋体"/>
              </w:rPr>
            </w:pPr>
          </w:p>
        </w:tc>
        <w:tc>
          <w:tcPr>
            <w:tcW w:w="5" w:type="pct"/>
            <w:shd w:val="clear" w:color="auto" w:fill="auto"/>
            <w:vAlign w:val="bottom"/>
          </w:tcPr>
          <w:p w14:paraId="5A1B297D" w14:textId="77777777" w:rsidR="00960BB8" w:rsidRDefault="00960BB8">
            <w:pPr>
              <w:rPr>
                <w:rFonts w:ascii="宋体"/>
              </w:rPr>
            </w:pPr>
          </w:p>
        </w:tc>
      </w:tr>
      <w:tr w:rsidR="00960BB8" w14:paraId="5A1B2984" w14:textId="77777777">
        <w:tc>
          <w:tcPr>
            <w:tcW w:w="0" w:type="auto"/>
            <w:gridSpan w:val="3"/>
            <w:shd w:val="clear" w:color="auto" w:fill="auto"/>
            <w:tcMar>
              <w:top w:w="0" w:type="dxa"/>
              <w:left w:w="20" w:type="dxa"/>
              <w:bottom w:w="0" w:type="dxa"/>
              <w:right w:w="20" w:type="dxa"/>
            </w:tcMar>
            <w:vAlign w:val="bottom"/>
          </w:tcPr>
          <w:p w14:paraId="5A1B297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80" w14:textId="77777777" w:rsidR="00960BB8" w:rsidRDefault="00960BB8">
            <w:pPr>
              <w:rPr>
                <w:rFonts w:ascii="宋体"/>
              </w:rPr>
            </w:pPr>
          </w:p>
        </w:tc>
        <w:tc>
          <w:tcPr>
            <w:tcW w:w="0" w:type="auto"/>
            <w:gridSpan w:val="21"/>
            <w:shd w:val="clear" w:color="auto" w:fill="auto"/>
            <w:tcMar>
              <w:top w:w="40" w:type="dxa"/>
              <w:left w:w="20" w:type="dxa"/>
              <w:bottom w:w="40" w:type="dxa"/>
              <w:right w:w="20" w:type="dxa"/>
            </w:tcMar>
            <w:vAlign w:val="bottom"/>
          </w:tcPr>
          <w:p w14:paraId="5A1B2981" w14:textId="77777777" w:rsidR="00960BB8" w:rsidRDefault="00C06650">
            <w:pPr>
              <w:jc w:val="center"/>
              <w:textAlignment w:val="bottom"/>
            </w:pPr>
            <w:r>
              <w:rPr>
                <w:rFonts w:ascii="Arial" w:eastAsia="宋体" w:hAnsi="Arial" w:cs="Arial"/>
                <w:b/>
                <w:bCs/>
                <w:color w:val="262626"/>
                <w:sz w:val="18"/>
                <w:szCs w:val="18"/>
              </w:rPr>
              <w:t>December 31, 2022</w:t>
            </w:r>
          </w:p>
        </w:tc>
        <w:tc>
          <w:tcPr>
            <w:tcW w:w="0" w:type="auto"/>
            <w:gridSpan w:val="3"/>
            <w:shd w:val="clear" w:color="auto" w:fill="auto"/>
            <w:tcMar>
              <w:top w:w="0" w:type="dxa"/>
              <w:left w:w="20" w:type="dxa"/>
              <w:bottom w:w="0" w:type="dxa"/>
              <w:right w:w="20" w:type="dxa"/>
            </w:tcMar>
            <w:vAlign w:val="bottom"/>
          </w:tcPr>
          <w:p w14:paraId="5A1B2982" w14:textId="77777777" w:rsidR="00960BB8" w:rsidRDefault="00960BB8">
            <w:pPr>
              <w:rPr>
                <w:rFonts w:ascii="宋体"/>
              </w:rPr>
            </w:pPr>
          </w:p>
        </w:tc>
        <w:tc>
          <w:tcPr>
            <w:tcW w:w="0" w:type="auto"/>
            <w:gridSpan w:val="21"/>
            <w:shd w:val="clear" w:color="auto" w:fill="auto"/>
            <w:tcMar>
              <w:top w:w="40" w:type="dxa"/>
              <w:left w:w="20" w:type="dxa"/>
              <w:bottom w:w="40" w:type="dxa"/>
              <w:right w:w="20" w:type="dxa"/>
            </w:tcMar>
            <w:vAlign w:val="bottom"/>
          </w:tcPr>
          <w:p w14:paraId="5A1B2983" w14:textId="77777777" w:rsidR="00960BB8" w:rsidRDefault="00C06650">
            <w:pPr>
              <w:jc w:val="center"/>
              <w:textAlignment w:val="bottom"/>
            </w:pPr>
            <w:r>
              <w:rPr>
                <w:rFonts w:ascii="Arial" w:eastAsia="宋体" w:hAnsi="Arial" w:cs="Arial"/>
                <w:b/>
                <w:bCs/>
                <w:color w:val="262626"/>
                <w:sz w:val="18"/>
                <w:szCs w:val="18"/>
              </w:rPr>
              <w:t>December 25, 2021</w:t>
            </w:r>
          </w:p>
        </w:tc>
      </w:tr>
      <w:tr w:rsidR="00960BB8" w14:paraId="5A1B298F" w14:textId="77777777">
        <w:trPr>
          <w:trHeight w:val="460"/>
        </w:trPr>
        <w:tc>
          <w:tcPr>
            <w:tcW w:w="0" w:type="auto"/>
            <w:gridSpan w:val="3"/>
            <w:shd w:val="clear" w:color="auto" w:fill="auto"/>
            <w:tcMar>
              <w:top w:w="0" w:type="dxa"/>
              <w:left w:w="20" w:type="dxa"/>
              <w:bottom w:w="0" w:type="dxa"/>
              <w:right w:w="20" w:type="dxa"/>
            </w:tcMar>
            <w:vAlign w:val="bottom"/>
          </w:tcPr>
          <w:p w14:paraId="5A1B298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86" w14:textId="77777777" w:rsidR="00960BB8" w:rsidRDefault="00960BB8">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5A1B2987" w14:textId="77777777" w:rsidR="00960BB8" w:rsidRDefault="00C06650">
            <w:pPr>
              <w:jc w:val="center"/>
              <w:textAlignment w:val="bottom"/>
            </w:pPr>
            <w:r>
              <w:rPr>
                <w:rFonts w:ascii="Arial" w:eastAsia="宋体" w:hAnsi="Arial" w:cs="Arial"/>
                <w:b/>
                <w:bCs/>
                <w:color w:val="262626"/>
                <w:sz w:val="18"/>
                <w:szCs w:val="18"/>
              </w:rPr>
              <w:t>Fair Value Measured and</w:t>
            </w:r>
          </w:p>
          <w:p w14:paraId="5A1B2988" w14:textId="77777777" w:rsidR="00960BB8" w:rsidRDefault="00C06650">
            <w:pPr>
              <w:jc w:val="center"/>
              <w:textAlignment w:val="bottom"/>
            </w:pPr>
            <w:r>
              <w:rPr>
                <w:rFonts w:ascii="Arial" w:eastAsia="宋体" w:hAnsi="Arial" w:cs="Arial"/>
                <w:b/>
                <w:bCs/>
                <w:color w:val="262626"/>
                <w:sz w:val="18"/>
                <w:szCs w:val="18"/>
              </w:rPr>
              <w:t>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989" w14:textId="77777777" w:rsidR="00960BB8" w:rsidRDefault="00960BB8">
            <w:pPr>
              <w:rPr>
                <w:rFonts w:ascii="宋体"/>
              </w:rPr>
            </w:pPr>
          </w:p>
        </w:tc>
        <w:tc>
          <w:tcPr>
            <w:tcW w:w="0" w:type="auto"/>
            <w:gridSpan w:val="3"/>
            <w:vMerge w:val="restart"/>
            <w:tcBorders>
              <w:top w:val="single" w:sz="4" w:space="0" w:color="0068B5"/>
            </w:tcBorders>
            <w:shd w:val="clear" w:color="auto" w:fill="auto"/>
            <w:tcMar>
              <w:top w:w="40" w:type="dxa"/>
              <w:left w:w="20" w:type="dxa"/>
              <w:bottom w:w="40" w:type="dxa"/>
              <w:right w:w="20" w:type="dxa"/>
            </w:tcMar>
            <w:vAlign w:val="bottom"/>
          </w:tcPr>
          <w:p w14:paraId="5A1B298A" w14:textId="77777777" w:rsidR="00960BB8" w:rsidRDefault="00C06650">
            <w:pPr>
              <w:jc w:val="center"/>
              <w:textAlignment w:val="bottom"/>
            </w:pPr>
            <w:r>
              <w:rPr>
                <w:rFonts w:ascii="Arial" w:eastAsia="宋体" w:hAnsi="Arial" w:cs="Arial"/>
                <w:b/>
                <w:bCs/>
                <w:color w:val="262626"/>
                <w:sz w:val="18"/>
                <w:szCs w:val="18"/>
              </w:rPr>
              <w:t>Total</w:t>
            </w:r>
          </w:p>
        </w:tc>
        <w:tc>
          <w:tcPr>
            <w:tcW w:w="0" w:type="auto"/>
            <w:gridSpan w:val="3"/>
            <w:vMerge w:val="restart"/>
            <w:shd w:val="clear" w:color="auto" w:fill="auto"/>
            <w:tcMar>
              <w:top w:w="0" w:type="dxa"/>
              <w:left w:w="20" w:type="dxa"/>
              <w:bottom w:w="0" w:type="dxa"/>
              <w:right w:w="20" w:type="dxa"/>
            </w:tcMar>
            <w:vAlign w:val="bottom"/>
          </w:tcPr>
          <w:p w14:paraId="5A1B298B" w14:textId="77777777" w:rsidR="00960BB8" w:rsidRDefault="00960BB8">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5A1B298C" w14:textId="77777777" w:rsidR="00960BB8" w:rsidRDefault="00C06650">
            <w:pPr>
              <w:jc w:val="center"/>
              <w:textAlignment w:val="bottom"/>
            </w:pPr>
            <w:r>
              <w:rPr>
                <w:rFonts w:ascii="Arial" w:eastAsia="宋体" w:hAnsi="Arial" w:cs="Arial"/>
                <w:b/>
                <w:bCs/>
                <w:color w:val="262626"/>
                <w:sz w:val="18"/>
                <w:szCs w:val="18"/>
              </w:rPr>
              <w:t>Fair Value Measured and</w:t>
            </w:r>
            <w:r>
              <w:rPr>
                <w:rFonts w:ascii="Arial" w:eastAsia="宋体" w:hAnsi="Arial" w:cs="Arial"/>
                <w:b/>
                <w:bCs/>
                <w:color w:val="262626"/>
                <w:sz w:val="18"/>
                <w:szCs w:val="18"/>
              </w:rPr>
              <w:br/>
              <w:t>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98D" w14:textId="77777777" w:rsidR="00960BB8" w:rsidRDefault="00960BB8">
            <w:pPr>
              <w:rPr>
                <w:rFonts w:ascii="宋体"/>
              </w:rPr>
            </w:pPr>
          </w:p>
        </w:tc>
        <w:tc>
          <w:tcPr>
            <w:tcW w:w="0" w:type="auto"/>
            <w:gridSpan w:val="3"/>
            <w:vMerge w:val="restart"/>
            <w:tcBorders>
              <w:top w:val="single" w:sz="4" w:space="0" w:color="0068B5"/>
            </w:tcBorders>
            <w:shd w:val="clear" w:color="auto" w:fill="auto"/>
            <w:tcMar>
              <w:top w:w="40" w:type="dxa"/>
              <w:left w:w="20" w:type="dxa"/>
              <w:bottom w:w="40" w:type="dxa"/>
              <w:right w:w="20" w:type="dxa"/>
            </w:tcMar>
            <w:vAlign w:val="bottom"/>
          </w:tcPr>
          <w:p w14:paraId="5A1B298E" w14:textId="77777777" w:rsidR="00960BB8" w:rsidRDefault="00C06650">
            <w:pPr>
              <w:jc w:val="center"/>
              <w:textAlignment w:val="bottom"/>
            </w:pPr>
            <w:r>
              <w:rPr>
                <w:rFonts w:ascii="Arial" w:eastAsia="宋体" w:hAnsi="Arial" w:cs="Arial"/>
                <w:b/>
                <w:bCs/>
                <w:color w:val="262626"/>
                <w:sz w:val="18"/>
                <w:szCs w:val="18"/>
              </w:rPr>
              <w:t>Total</w:t>
            </w:r>
          </w:p>
        </w:tc>
      </w:tr>
      <w:tr w:rsidR="00960BB8" w14:paraId="5A1B29A1" w14:textId="77777777">
        <w:trPr>
          <w:trHeight w:val="280"/>
        </w:trPr>
        <w:tc>
          <w:tcPr>
            <w:tcW w:w="0" w:type="auto"/>
            <w:gridSpan w:val="3"/>
            <w:shd w:val="clear" w:color="auto" w:fill="auto"/>
            <w:tcMar>
              <w:top w:w="40" w:type="dxa"/>
              <w:left w:w="20" w:type="dxa"/>
              <w:bottom w:w="40" w:type="dxa"/>
              <w:right w:w="20" w:type="dxa"/>
            </w:tcMar>
            <w:vAlign w:val="bottom"/>
          </w:tcPr>
          <w:p w14:paraId="5A1B2990"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2991"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992" w14:textId="77777777" w:rsidR="00960BB8" w:rsidRDefault="00C06650">
            <w:pPr>
              <w:jc w:val="center"/>
              <w:textAlignment w:val="bottom"/>
            </w:pPr>
            <w:r>
              <w:rPr>
                <w:rFonts w:ascii="Arial" w:eastAsia="宋体" w:hAnsi="Arial" w:cs="Arial"/>
                <w:b/>
                <w:bCs/>
                <w:color w:val="262626"/>
                <w:sz w:val="18"/>
                <w:szCs w:val="18"/>
              </w:rPr>
              <w:t>Level 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993"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994" w14:textId="77777777" w:rsidR="00960BB8" w:rsidRDefault="00C06650">
            <w:pPr>
              <w:jc w:val="center"/>
              <w:textAlignment w:val="bottom"/>
            </w:pPr>
            <w:r>
              <w:rPr>
                <w:rFonts w:ascii="Arial" w:eastAsia="宋体" w:hAnsi="Arial" w:cs="Arial"/>
                <w:b/>
                <w:bCs/>
                <w:color w:val="262626"/>
                <w:sz w:val="18"/>
                <w:szCs w:val="18"/>
              </w:rPr>
              <w:t>Level 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995"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996" w14:textId="77777777" w:rsidR="00960BB8" w:rsidRDefault="00C06650">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5A1B2997" w14:textId="77777777" w:rsidR="00960BB8" w:rsidRDefault="00960BB8">
            <w:pPr>
              <w:rPr>
                <w:rFonts w:ascii="宋体"/>
              </w:rPr>
            </w:pPr>
          </w:p>
        </w:tc>
        <w:tc>
          <w:tcPr>
            <w:tcW w:w="0" w:type="auto"/>
            <w:gridSpan w:val="3"/>
            <w:vMerge/>
            <w:tcBorders>
              <w:top w:val="single" w:sz="4" w:space="0" w:color="0068B5"/>
            </w:tcBorders>
            <w:shd w:val="clear" w:color="auto" w:fill="auto"/>
            <w:tcMar>
              <w:top w:w="40" w:type="dxa"/>
              <w:left w:w="20" w:type="dxa"/>
              <w:bottom w:w="40" w:type="dxa"/>
              <w:right w:w="20" w:type="dxa"/>
            </w:tcMar>
            <w:vAlign w:val="bottom"/>
          </w:tcPr>
          <w:p w14:paraId="5A1B2998" w14:textId="77777777" w:rsidR="00960BB8" w:rsidRDefault="00960BB8">
            <w:pPr>
              <w:rPr>
                <w:rFonts w:ascii="宋体"/>
              </w:rPr>
            </w:pPr>
          </w:p>
        </w:tc>
        <w:tc>
          <w:tcPr>
            <w:tcW w:w="0" w:type="auto"/>
            <w:gridSpan w:val="3"/>
            <w:vMerge/>
            <w:shd w:val="clear" w:color="auto" w:fill="auto"/>
            <w:tcMar>
              <w:top w:w="0" w:type="dxa"/>
              <w:left w:w="20" w:type="dxa"/>
              <w:bottom w:w="0" w:type="dxa"/>
              <w:right w:w="20" w:type="dxa"/>
            </w:tcMar>
            <w:vAlign w:val="bottom"/>
          </w:tcPr>
          <w:p w14:paraId="5A1B2999"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99A" w14:textId="77777777" w:rsidR="00960BB8" w:rsidRDefault="00C06650">
            <w:pPr>
              <w:jc w:val="center"/>
              <w:textAlignment w:val="bottom"/>
            </w:pPr>
            <w:r>
              <w:rPr>
                <w:rFonts w:ascii="Arial" w:eastAsia="宋体" w:hAnsi="Arial" w:cs="Arial"/>
                <w:b/>
                <w:bCs/>
                <w:color w:val="262626"/>
                <w:sz w:val="18"/>
                <w:szCs w:val="18"/>
              </w:rPr>
              <w:t>Level 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99B"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99C" w14:textId="77777777" w:rsidR="00960BB8" w:rsidRDefault="00C06650">
            <w:pPr>
              <w:jc w:val="center"/>
              <w:textAlignment w:val="bottom"/>
            </w:pPr>
            <w:r>
              <w:rPr>
                <w:rFonts w:ascii="Arial" w:eastAsia="宋体" w:hAnsi="Arial" w:cs="Arial"/>
                <w:b/>
                <w:bCs/>
                <w:color w:val="262626"/>
                <w:sz w:val="18"/>
                <w:szCs w:val="18"/>
              </w:rPr>
              <w:t>Level 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99D"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99E" w14:textId="77777777" w:rsidR="00960BB8" w:rsidRDefault="00C06650">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5A1B299F" w14:textId="77777777" w:rsidR="00960BB8" w:rsidRDefault="00960BB8">
            <w:pPr>
              <w:rPr>
                <w:rFonts w:ascii="宋体"/>
              </w:rPr>
            </w:pPr>
          </w:p>
        </w:tc>
        <w:tc>
          <w:tcPr>
            <w:tcW w:w="0" w:type="auto"/>
            <w:gridSpan w:val="3"/>
            <w:vMerge/>
            <w:tcBorders>
              <w:top w:val="single" w:sz="4" w:space="0" w:color="0068B5"/>
            </w:tcBorders>
            <w:shd w:val="clear" w:color="auto" w:fill="auto"/>
            <w:tcMar>
              <w:top w:w="40" w:type="dxa"/>
              <w:left w:w="20" w:type="dxa"/>
              <w:bottom w:w="40" w:type="dxa"/>
              <w:right w:w="20" w:type="dxa"/>
            </w:tcMar>
            <w:vAlign w:val="bottom"/>
          </w:tcPr>
          <w:p w14:paraId="5A1B29A0" w14:textId="77777777" w:rsidR="00960BB8" w:rsidRDefault="00960BB8">
            <w:pPr>
              <w:jc w:val="center"/>
              <w:rPr>
                <w:rFonts w:ascii="宋体"/>
              </w:rPr>
            </w:pPr>
          </w:p>
        </w:tc>
      </w:tr>
      <w:tr w:rsidR="00960BB8" w14:paraId="5A1B29B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9A2" w14:textId="77777777" w:rsidR="00960BB8" w:rsidRDefault="00C06650">
            <w:pPr>
              <w:textAlignment w:val="bottom"/>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5A1B29A3"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9A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A5"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9A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A7"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9A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A9"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9A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AB"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9A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AD"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9A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AF"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9B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B1"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9B2" w14:textId="77777777" w:rsidR="00960BB8" w:rsidRDefault="00960BB8">
            <w:pPr>
              <w:rPr>
                <w:rFonts w:ascii="宋体"/>
              </w:rPr>
            </w:pPr>
          </w:p>
        </w:tc>
      </w:tr>
      <w:tr w:rsidR="00960BB8" w14:paraId="5A1B29C5" w14:textId="77777777">
        <w:tc>
          <w:tcPr>
            <w:tcW w:w="0" w:type="auto"/>
            <w:gridSpan w:val="3"/>
            <w:shd w:val="clear" w:color="auto" w:fill="auto"/>
            <w:tcMar>
              <w:top w:w="40" w:type="dxa"/>
              <w:left w:w="20" w:type="dxa"/>
              <w:bottom w:w="40" w:type="dxa"/>
              <w:right w:w="20" w:type="dxa"/>
            </w:tcMar>
            <w:vAlign w:val="bottom"/>
          </w:tcPr>
          <w:p w14:paraId="5A1B29B4" w14:textId="77777777" w:rsidR="00960BB8" w:rsidRDefault="00C06650">
            <w:pPr>
              <w:textAlignment w:val="bottom"/>
            </w:pPr>
            <w:r>
              <w:rPr>
                <w:rFonts w:ascii="Arial" w:eastAsia="宋体" w:hAnsi="Arial" w:cs="Arial"/>
                <w:color w:val="262626"/>
                <w:sz w:val="18"/>
                <w:szCs w:val="18"/>
              </w:rPr>
              <w:t>Ca</w:t>
            </w:r>
            <w:r>
              <w:rPr>
                <w:rFonts w:ascii="Arial" w:eastAsia="宋体" w:hAnsi="Arial" w:cs="Arial"/>
                <w:color w:val="262626"/>
                <w:sz w:val="18"/>
                <w:szCs w:val="18"/>
              </w:rPr>
              <w:t>sh equivalents:</w:t>
            </w:r>
          </w:p>
        </w:tc>
        <w:tc>
          <w:tcPr>
            <w:tcW w:w="0" w:type="auto"/>
            <w:gridSpan w:val="3"/>
            <w:shd w:val="clear" w:color="auto" w:fill="auto"/>
            <w:tcMar>
              <w:top w:w="0" w:type="dxa"/>
              <w:left w:w="20" w:type="dxa"/>
              <w:bottom w:w="0" w:type="dxa"/>
              <w:right w:w="20" w:type="dxa"/>
            </w:tcMar>
            <w:vAlign w:val="bottom"/>
          </w:tcPr>
          <w:p w14:paraId="5A1B29B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B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B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B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B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B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B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B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B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B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B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C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C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C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C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9C4" w14:textId="77777777" w:rsidR="00960BB8" w:rsidRDefault="00960BB8">
            <w:pPr>
              <w:rPr>
                <w:rFonts w:ascii="宋体"/>
              </w:rPr>
            </w:pPr>
          </w:p>
        </w:tc>
      </w:tr>
      <w:tr w:rsidR="00960BB8" w14:paraId="5A1B29E5" w14:textId="77777777">
        <w:tc>
          <w:tcPr>
            <w:tcW w:w="0" w:type="auto"/>
            <w:gridSpan w:val="3"/>
            <w:shd w:val="clear" w:color="auto" w:fill="auto"/>
            <w:tcMar>
              <w:top w:w="40" w:type="dxa"/>
              <w:left w:w="260" w:type="dxa"/>
              <w:bottom w:w="40" w:type="dxa"/>
              <w:right w:w="20" w:type="dxa"/>
            </w:tcMar>
            <w:vAlign w:val="center"/>
          </w:tcPr>
          <w:p w14:paraId="5A1B29C6" w14:textId="77777777" w:rsidR="00960BB8" w:rsidRDefault="00C06650">
            <w:pPr>
              <w:textAlignment w:val="center"/>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5A1B29C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9C8"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9C9"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9C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C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9CC"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9CD" w14:textId="77777777" w:rsidR="00960BB8" w:rsidRDefault="00C06650">
            <w:pPr>
              <w:jc w:val="right"/>
              <w:textAlignment w:val="bottom"/>
            </w:pPr>
            <w:r>
              <w:rPr>
                <w:rFonts w:ascii="Arial" w:eastAsia="宋体" w:hAnsi="Arial" w:cs="Arial"/>
                <w:color w:val="0068B5"/>
                <w:sz w:val="18"/>
                <w:szCs w:val="18"/>
              </w:rPr>
              <w:t>856 </w:t>
            </w:r>
          </w:p>
        </w:tc>
        <w:tc>
          <w:tcPr>
            <w:tcW w:w="0" w:type="auto"/>
            <w:shd w:val="clear" w:color="auto" w:fill="auto"/>
            <w:tcMar>
              <w:top w:w="40" w:type="dxa"/>
              <w:left w:w="0" w:type="dxa"/>
              <w:bottom w:w="40" w:type="dxa"/>
              <w:right w:w="20" w:type="dxa"/>
            </w:tcMar>
            <w:vAlign w:val="bottom"/>
          </w:tcPr>
          <w:p w14:paraId="5A1B29C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C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9D0"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9D1"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9D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D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9D4"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9D5" w14:textId="77777777" w:rsidR="00960BB8" w:rsidRDefault="00C06650">
            <w:pPr>
              <w:jc w:val="right"/>
              <w:textAlignment w:val="bottom"/>
            </w:pPr>
            <w:r>
              <w:rPr>
                <w:rFonts w:ascii="Arial" w:eastAsia="宋体" w:hAnsi="Arial" w:cs="Arial"/>
                <w:color w:val="0068B5"/>
                <w:sz w:val="18"/>
                <w:szCs w:val="18"/>
              </w:rPr>
              <w:t>856 </w:t>
            </w:r>
          </w:p>
        </w:tc>
        <w:tc>
          <w:tcPr>
            <w:tcW w:w="0" w:type="auto"/>
            <w:shd w:val="clear" w:color="auto" w:fill="auto"/>
            <w:tcMar>
              <w:top w:w="40" w:type="dxa"/>
              <w:left w:w="0" w:type="dxa"/>
              <w:bottom w:w="40" w:type="dxa"/>
              <w:right w:w="20" w:type="dxa"/>
            </w:tcMar>
            <w:vAlign w:val="bottom"/>
          </w:tcPr>
          <w:p w14:paraId="5A1B29D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D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9D8" w14:textId="77777777" w:rsidR="00960BB8" w:rsidRDefault="00C06650">
            <w:pPr>
              <w:textAlignment w:val="bottom"/>
            </w:pPr>
            <w:r>
              <w:rPr>
                <w:rFonts w:ascii="Arial" w:eastAsia="宋体" w:hAnsi="Arial" w:cs="Arial"/>
                <w:color w:val="262626"/>
                <w:sz w:val="18"/>
                <w:szCs w:val="18"/>
              </w:rPr>
              <w:t>$</w:t>
            </w:r>
          </w:p>
        </w:tc>
        <w:tc>
          <w:tcPr>
            <w:tcW w:w="0" w:type="auto"/>
            <w:gridSpan w:val="2"/>
            <w:shd w:val="clear" w:color="auto" w:fill="auto"/>
            <w:tcMar>
              <w:top w:w="40" w:type="dxa"/>
              <w:left w:w="0" w:type="dxa"/>
              <w:bottom w:w="40" w:type="dxa"/>
              <w:right w:w="140" w:type="dxa"/>
            </w:tcMar>
            <w:vAlign w:val="bottom"/>
          </w:tcPr>
          <w:p w14:paraId="5A1B29D9"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9DA"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9DB"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29DC" w14:textId="77777777" w:rsidR="00960BB8" w:rsidRDefault="00C06650">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5A1B29D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DE"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9DF" w14:textId="77777777" w:rsidR="00960BB8" w:rsidRDefault="00C06650">
            <w:pPr>
              <w:textAlignment w:val="bottom"/>
            </w:pPr>
            <w:r>
              <w:rPr>
                <w:rFonts w:ascii="Arial" w:eastAsia="宋体" w:hAnsi="Arial" w:cs="Arial"/>
                <w:color w:val="262626"/>
                <w:sz w:val="18"/>
                <w:szCs w:val="18"/>
              </w:rPr>
              <w:t>$</w:t>
            </w:r>
          </w:p>
        </w:tc>
        <w:tc>
          <w:tcPr>
            <w:tcW w:w="0" w:type="auto"/>
            <w:gridSpan w:val="2"/>
            <w:shd w:val="clear" w:color="auto" w:fill="auto"/>
            <w:tcMar>
              <w:top w:w="40" w:type="dxa"/>
              <w:left w:w="0" w:type="dxa"/>
              <w:bottom w:w="40" w:type="dxa"/>
              <w:right w:w="140" w:type="dxa"/>
            </w:tcMar>
            <w:vAlign w:val="bottom"/>
          </w:tcPr>
          <w:p w14:paraId="5A1B29E0"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9E1"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9E2"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29E3" w14:textId="77777777" w:rsidR="00960BB8" w:rsidRDefault="00C06650">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5A1B29E4" w14:textId="77777777" w:rsidR="00960BB8" w:rsidRDefault="00960BB8">
            <w:pPr>
              <w:jc w:val="right"/>
              <w:rPr>
                <w:rFonts w:ascii="宋体"/>
              </w:rPr>
            </w:pPr>
          </w:p>
        </w:tc>
      </w:tr>
      <w:tr w:rsidR="00960BB8" w14:paraId="5A1B29FE" w14:textId="77777777">
        <w:tc>
          <w:tcPr>
            <w:tcW w:w="0" w:type="auto"/>
            <w:gridSpan w:val="3"/>
            <w:shd w:val="clear" w:color="auto" w:fill="auto"/>
            <w:tcMar>
              <w:top w:w="40" w:type="dxa"/>
              <w:left w:w="20" w:type="dxa"/>
              <w:bottom w:w="40" w:type="dxa"/>
              <w:right w:w="20" w:type="dxa"/>
            </w:tcMar>
            <w:vAlign w:val="center"/>
          </w:tcPr>
          <w:p w14:paraId="5A1B29E6" w14:textId="77777777" w:rsidR="00960BB8" w:rsidRDefault="00C06650">
            <w:pPr>
              <w:ind w:hanging="180"/>
              <w:textAlignment w:val="center"/>
            </w:pPr>
            <w:r>
              <w:rPr>
                <w:rFonts w:ascii="Arial" w:eastAsia="宋体" w:hAnsi="Arial" w:cs="Arial"/>
                <w:color w:val="262626"/>
                <w:sz w:val="18"/>
                <w:szCs w:val="18"/>
              </w:rPr>
              <w:t>Financial institution instruments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5A1B29E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9E8" w14:textId="77777777" w:rsidR="00960BB8" w:rsidRDefault="00C06650">
            <w:pPr>
              <w:jc w:val="right"/>
              <w:textAlignment w:val="bottom"/>
            </w:pPr>
            <w:r>
              <w:rPr>
                <w:rFonts w:ascii="Arial" w:eastAsia="宋体" w:hAnsi="Arial" w:cs="Arial"/>
                <w:color w:val="0068B5"/>
                <w:sz w:val="18"/>
                <w:szCs w:val="18"/>
              </w:rPr>
              <w:t>6,899 </w:t>
            </w:r>
          </w:p>
        </w:tc>
        <w:tc>
          <w:tcPr>
            <w:tcW w:w="0" w:type="auto"/>
            <w:shd w:val="clear" w:color="auto" w:fill="auto"/>
            <w:tcMar>
              <w:top w:w="40" w:type="dxa"/>
              <w:left w:w="0" w:type="dxa"/>
              <w:bottom w:w="40" w:type="dxa"/>
              <w:right w:w="20" w:type="dxa"/>
            </w:tcMar>
            <w:vAlign w:val="bottom"/>
          </w:tcPr>
          <w:p w14:paraId="5A1B29E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E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9EB" w14:textId="77777777" w:rsidR="00960BB8" w:rsidRDefault="00C06650">
            <w:pPr>
              <w:jc w:val="right"/>
              <w:textAlignment w:val="bottom"/>
            </w:pPr>
            <w:r>
              <w:rPr>
                <w:rFonts w:ascii="Arial" w:eastAsia="宋体" w:hAnsi="Arial" w:cs="Arial"/>
                <w:color w:val="0068B5"/>
                <w:sz w:val="18"/>
                <w:szCs w:val="18"/>
              </w:rPr>
              <w:t>1,474 </w:t>
            </w:r>
          </w:p>
        </w:tc>
        <w:tc>
          <w:tcPr>
            <w:tcW w:w="0" w:type="auto"/>
            <w:shd w:val="clear" w:color="auto" w:fill="auto"/>
            <w:tcMar>
              <w:top w:w="40" w:type="dxa"/>
              <w:left w:w="0" w:type="dxa"/>
              <w:bottom w:w="40" w:type="dxa"/>
              <w:right w:w="20" w:type="dxa"/>
            </w:tcMar>
            <w:vAlign w:val="bottom"/>
          </w:tcPr>
          <w:p w14:paraId="5A1B29E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E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9EE"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9E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F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9F1" w14:textId="77777777" w:rsidR="00960BB8" w:rsidRDefault="00C06650">
            <w:pPr>
              <w:jc w:val="right"/>
              <w:textAlignment w:val="bottom"/>
            </w:pPr>
            <w:r>
              <w:rPr>
                <w:rFonts w:ascii="Arial" w:eastAsia="宋体" w:hAnsi="Arial" w:cs="Arial"/>
                <w:color w:val="0068B5"/>
                <w:sz w:val="18"/>
                <w:szCs w:val="18"/>
              </w:rPr>
              <w:t>8,373 </w:t>
            </w:r>
          </w:p>
        </w:tc>
        <w:tc>
          <w:tcPr>
            <w:tcW w:w="0" w:type="auto"/>
            <w:shd w:val="clear" w:color="auto" w:fill="auto"/>
            <w:tcMar>
              <w:top w:w="40" w:type="dxa"/>
              <w:left w:w="0" w:type="dxa"/>
              <w:bottom w:w="40" w:type="dxa"/>
              <w:right w:w="20" w:type="dxa"/>
            </w:tcMar>
            <w:vAlign w:val="bottom"/>
          </w:tcPr>
          <w:p w14:paraId="5A1B29F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F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9F4" w14:textId="77777777" w:rsidR="00960BB8" w:rsidRDefault="00C06650">
            <w:pPr>
              <w:jc w:val="right"/>
              <w:textAlignment w:val="bottom"/>
            </w:pPr>
            <w:r>
              <w:rPr>
                <w:rFonts w:ascii="Arial" w:eastAsia="宋体" w:hAnsi="Arial" w:cs="Arial"/>
                <w:color w:val="262626"/>
                <w:sz w:val="18"/>
                <w:szCs w:val="18"/>
              </w:rPr>
              <w:t>1,216 </w:t>
            </w:r>
          </w:p>
        </w:tc>
        <w:tc>
          <w:tcPr>
            <w:tcW w:w="0" w:type="auto"/>
            <w:shd w:val="clear" w:color="auto" w:fill="auto"/>
            <w:tcMar>
              <w:top w:w="40" w:type="dxa"/>
              <w:left w:w="0" w:type="dxa"/>
              <w:bottom w:w="40" w:type="dxa"/>
              <w:right w:w="20" w:type="dxa"/>
            </w:tcMar>
            <w:vAlign w:val="bottom"/>
          </w:tcPr>
          <w:p w14:paraId="5A1B29F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F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9F7" w14:textId="77777777" w:rsidR="00960BB8" w:rsidRDefault="00C06650">
            <w:pPr>
              <w:jc w:val="right"/>
              <w:textAlignment w:val="bottom"/>
            </w:pPr>
            <w:r>
              <w:rPr>
                <w:rFonts w:ascii="Arial" w:eastAsia="宋体" w:hAnsi="Arial" w:cs="Arial"/>
                <w:color w:val="262626"/>
                <w:sz w:val="18"/>
                <w:szCs w:val="18"/>
              </w:rPr>
              <w:t>763 </w:t>
            </w:r>
          </w:p>
        </w:tc>
        <w:tc>
          <w:tcPr>
            <w:tcW w:w="0" w:type="auto"/>
            <w:shd w:val="clear" w:color="auto" w:fill="auto"/>
            <w:tcMar>
              <w:top w:w="40" w:type="dxa"/>
              <w:left w:w="0" w:type="dxa"/>
              <w:bottom w:w="40" w:type="dxa"/>
              <w:right w:w="20" w:type="dxa"/>
            </w:tcMar>
            <w:vAlign w:val="bottom"/>
          </w:tcPr>
          <w:p w14:paraId="5A1B29F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9F9"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9FA" w14:textId="77777777" w:rsidR="00960BB8" w:rsidRDefault="00C06650">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5A1B29F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9FC" w14:textId="77777777" w:rsidR="00960BB8" w:rsidRDefault="00C06650">
            <w:pPr>
              <w:jc w:val="right"/>
              <w:textAlignment w:val="bottom"/>
            </w:pPr>
            <w:r>
              <w:rPr>
                <w:rFonts w:ascii="Arial" w:eastAsia="宋体" w:hAnsi="Arial" w:cs="Arial"/>
                <w:color w:val="262626"/>
                <w:sz w:val="18"/>
                <w:szCs w:val="18"/>
              </w:rPr>
              <w:t>1,979 </w:t>
            </w:r>
          </w:p>
        </w:tc>
        <w:tc>
          <w:tcPr>
            <w:tcW w:w="0" w:type="auto"/>
            <w:shd w:val="clear" w:color="auto" w:fill="auto"/>
            <w:tcMar>
              <w:top w:w="40" w:type="dxa"/>
              <w:left w:w="0" w:type="dxa"/>
              <w:bottom w:w="40" w:type="dxa"/>
              <w:right w:w="20" w:type="dxa"/>
            </w:tcMar>
            <w:vAlign w:val="bottom"/>
          </w:tcPr>
          <w:p w14:paraId="5A1B29FD" w14:textId="77777777" w:rsidR="00960BB8" w:rsidRDefault="00960BB8">
            <w:pPr>
              <w:jc w:val="right"/>
              <w:rPr>
                <w:rFonts w:ascii="宋体"/>
              </w:rPr>
            </w:pPr>
          </w:p>
        </w:tc>
      </w:tr>
      <w:tr w:rsidR="00960BB8" w14:paraId="5A1B2A10" w14:textId="77777777">
        <w:trPr>
          <w:hidden/>
        </w:trPr>
        <w:tc>
          <w:tcPr>
            <w:tcW w:w="0" w:type="auto"/>
            <w:gridSpan w:val="3"/>
            <w:shd w:val="clear" w:color="auto" w:fill="auto"/>
            <w:vAlign w:val="bottom"/>
          </w:tcPr>
          <w:p w14:paraId="5A1B29FF" w14:textId="77777777" w:rsidR="00960BB8" w:rsidRDefault="00960BB8">
            <w:pPr>
              <w:rPr>
                <w:rFonts w:ascii="宋体"/>
                <w:vanish/>
              </w:rPr>
            </w:pPr>
          </w:p>
        </w:tc>
        <w:tc>
          <w:tcPr>
            <w:tcW w:w="0" w:type="auto"/>
            <w:gridSpan w:val="3"/>
            <w:shd w:val="clear" w:color="auto" w:fill="auto"/>
            <w:vAlign w:val="bottom"/>
          </w:tcPr>
          <w:p w14:paraId="5A1B2A00" w14:textId="77777777" w:rsidR="00960BB8" w:rsidRDefault="00960BB8">
            <w:pPr>
              <w:rPr>
                <w:rFonts w:ascii="宋体"/>
                <w:vanish/>
              </w:rPr>
            </w:pPr>
          </w:p>
        </w:tc>
        <w:tc>
          <w:tcPr>
            <w:tcW w:w="0" w:type="auto"/>
            <w:gridSpan w:val="3"/>
            <w:shd w:val="clear" w:color="auto" w:fill="auto"/>
            <w:vAlign w:val="bottom"/>
          </w:tcPr>
          <w:p w14:paraId="5A1B2A01" w14:textId="77777777" w:rsidR="00960BB8" w:rsidRDefault="00960BB8">
            <w:pPr>
              <w:rPr>
                <w:rFonts w:ascii="宋体"/>
                <w:vanish/>
              </w:rPr>
            </w:pPr>
          </w:p>
        </w:tc>
        <w:tc>
          <w:tcPr>
            <w:tcW w:w="0" w:type="auto"/>
            <w:gridSpan w:val="3"/>
            <w:shd w:val="clear" w:color="auto" w:fill="auto"/>
            <w:vAlign w:val="bottom"/>
          </w:tcPr>
          <w:p w14:paraId="5A1B2A02" w14:textId="77777777" w:rsidR="00960BB8" w:rsidRDefault="00960BB8">
            <w:pPr>
              <w:rPr>
                <w:rFonts w:ascii="宋体"/>
                <w:vanish/>
              </w:rPr>
            </w:pPr>
          </w:p>
        </w:tc>
        <w:tc>
          <w:tcPr>
            <w:tcW w:w="0" w:type="auto"/>
            <w:gridSpan w:val="3"/>
            <w:shd w:val="clear" w:color="auto" w:fill="auto"/>
            <w:vAlign w:val="bottom"/>
          </w:tcPr>
          <w:p w14:paraId="5A1B2A03" w14:textId="77777777" w:rsidR="00960BB8" w:rsidRDefault="00960BB8">
            <w:pPr>
              <w:rPr>
                <w:rFonts w:ascii="宋体"/>
                <w:vanish/>
              </w:rPr>
            </w:pPr>
          </w:p>
        </w:tc>
        <w:tc>
          <w:tcPr>
            <w:tcW w:w="0" w:type="auto"/>
            <w:gridSpan w:val="3"/>
            <w:shd w:val="clear" w:color="auto" w:fill="auto"/>
            <w:vAlign w:val="bottom"/>
          </w:tcPr>
          <w:p w14:paraId="5A1B2A04" w14:textId="77777777" w:rsidR="00960BB8" w:rsidRDefault="00960BB8">
            <w:pPr>
              <w:rPr>
                <w:rFonts w:ascii="宋体"/>
                <w:vanish/>
              </w:rPr>
            </w:pPr>
          </w:p>
        </w:tc>
        <w:tc>
          <w:tcPr>
            <w:tcW w:w="0" w:type="auto"/>
            <w:gridSpan w:val="3"/>
            <w:shd w:val="clear" w:color="auto" w:fill="auto"/>
            <w:vAlign w:val="bottom"/>
          </w:tcPr>
          <w:p w14:paraId="5A1B2A05" w14:textId="77777777" w:rsidR="00960BB8" w:rsidRDefault="00960BB8">
            <w:pPr>
              <w:rPr>
                <w:rFonts w:ascii="宋体"/>
                <w:vanish/>
              </w:rPr>
            </w:pPr>
          </w:p>
        </w:tc>
        <w:tc>
          <w:tcPr>
            <w:tcW w:w="0" w:type="auto"/>
            <w:gridSpan w:val="3"/>
            <w:shd w:val="clear" w:color="auto" w:fill="auto"/>
            <w:vAlign w:val="bottom"/>
          </w:tcPr>
          <w:p w14:paraId="5A1B2A06" w14:textId="77777777" w:rsidR="00960BB8" w:rsidRDefault="00960BB8">
            <w:pPr>
              <w:rPr>
                <w:rFonts w:ascii="宋体"/>
                <w:vanish/>
              </w:rPr>
            </w:pPr>
          </w:p>
        </w:tc>
        <w:tc>
          <w:tcPr>
            <w:tcW w:w="0" w:type="auto"/>
            <w:gridSpan w:val="3"/>
            <w:shd w:val="clear" w:color="auto" w:fill="auto"/>
            <w:vAlign w:val="bottom"/>
          </w:tcPr>
          <w:p w14:paraId="5A1B2A07" w14:textId="77777777" w:rsidR="00960BB8" w:rsidRDefault="00960BB8">
            <w:pPr>
              <w:rPr>
                <w:rFonts w:ascii="宋体"/>
                <w:vanish/>
              </w:rPr>
            </w:pPr>
          </w:p>
        </w:tc>
        <w:tc>
          <w:tcPr>
            <w:tcW w:w="0" w:type="auto"/>
            <w:gridSpan w:val="3"/>
            <w:shd w:val="clear" w:color="auto" w:fill="auto"/>
            <w:vAlign w:val="bottom"/>
          </w:tcPr>
          <w:p w14:paraId="5A1B2A08" w14:textId="77777777" w:rsidR="00960BB8" w:rsidRDefault="00960BB8">
            <w:pPr>
              <w:rPr>
                <w:rFonts w:ascii="宋体"/>
                <w:vanish/>
              </w:rPr>
            </w:pPr>
          </w:p>
        </w:tc>
        <w:tc>
          <w:tcPr>
            <w:tcW w:w="0" w:type="auto"/>
            <w:gridSpan w:val="3"/>
            <w:shd w:val="clear" w:color="auto" w:fill="auto"/>
            <w:vAlign w:val="bottom"/>
          </w:tcPr>
          <w:p w14:paraId="5A1B2A09" w14:textId="77777777" w:rsidR="00960BB8" w:rsidRDefault="00960BB8">
            <w:pPr>
              <w:rPr>
                <w:rFonts w:ascii="宋体"/>
                <w:vanish/>
              </w:rPr>
            </w:pPr>
          </w:p>
        </w:tc>
        <w:tc>
          <w:tcPr>
            <w:tcW w:w="0" w:type="auto"/>
            <w:gridSpan w:val="3"/>
            <w:shd w:val="clear" w:color="auto" w:fill="auto"/>
            <w:vAlign w:val="bottom"/>
          </w:tcPr>
          <w:p w14:paraId="5A1B2A0A" w14:textId="77777777" w:rsidR="00960BB8" w:rsidRDefault="00960BB8">
            <w:pPr>
              <w:rPr>
                <w:rFonts w:ascii="宋体"/>
                <w:vanish/>
              </w:rPr>
            </w:pPr>
          </w:p>
        </w:tc>
        <w:tc>
          <w:tcPr>
            <w:tcW w:w="0" w:type="auto"/>
            <w:gridSpan w:val="3"/>
            <w:shd w:val="clear" w:color="auto" w:fill="auto"/>
            <w:vAlign w:val="bottom"/>
          </w:tcPr>
          <w:p w14:paraId="5A1B2A0B" w14:textId="77777777" w:rsidR="00960BB8" w:rsidRDefault="00960BB8">
            <w:pPr>
              <w:rPr>
                <w:rFonts w:ascii="宋体"/>
                <w:vanish/>
              </w:rPr>
            </w:pPr>
          </w:p>
        </w:tc>
        <w:tc>
          <w:tcPr>
            <w:tcW w:w="0" w:type="auto"/>
            <w:gridSpan w:val="3"/>
            <w:shd w:val="clear" w:color="auto" w:fill="auto"/>
            <w:vAlign w:val="bottom"/>
          </w:tcPr>
          <w:p w14:paraId="5A1B2A0C" w14:textId="77777777" w:rsidR="00960BB8" w:rsidRDefault="00960BB8">
            <w:pPr>
              <w:rPr>
                <w:rFonts w:ascii="宋体"/>
                <w:vanish/>
              </w:rPr>
            </w:pPr>
          </w:p>
        </w:tc>
        <w:tc>
          <w:tcPr>
            <w:tcW w:w="0" w:type="auto"/>
            <w:gridSpan w:val="3"/>
            <w:shd w:val="clear" w:color="auto" w:fill="auto"/>
            <w:vAlign w:val="bottom"/>
          </w:tcPr>
          <w:p w14:paraId="5A1B2A0D" w14:textId="77777777" w:rsidR="00960BB8" w:rsidRDefault="00960BB8">
            <w:pPr>
              <w:rPr>
                <w:rFonts w:ascii="宋体"/>
                <w:vanish/>
              </w:rPr>
            </w:pPr>
          </w:p>
        </w:tc>
        <w:tc>
          <w:tcPr>
            <w:tcW w:w="0" w:type="auto"/>
            <w:gridSpan w:val="3"/>
            <w:shd w:val="clear" w:color="auto" w:fill="auto"/>
            <w:vAlign w:val="bottom"/>
          </w:tcPr>
          <w:p w14:paraId="5A1B2A0E" w14:textId="77777777" w:rsidR="00960BB8" w:rsidRDefault="00960BB8">
            <w:pPr>
              <w:rPr>
                <w:rFonts w:ascii="宋体"/>
                <w:vanish/>
              </w:rPr>
            </w:pPr>
          </w:p>
        </w:tc>
        <w:tc>
          <w:tcPr>
            <w:tcW w:w="0" w:type="auto"/>
            <w:gridSpan w:val="3"/>
            <w:shd w:val="clear" w:color="auto" w:fill="auto"/>
            <w:vAlign w:val="bottom"/>
          </w:tcPr>
          <w:p w14:paraId="5A1B2A0F" w14:textId="77777777" w:rsidR="00960BB8" w:rsidRDefault="00960BB8">
            <w:pPr>
              <w:rPr>
                <w:rFonts w:ascii="宋体"/>
                <w:vanish/>
              </w:rPr>
            </w:pPr>
          </w:p>
        </w:tc>
      </w:tr>
      <w:tr w:rsidR="00960BB8" w14:paraId="5A1B2A28" w14:textId="77777777">
        <w:tc>
          <w:tcPr>
            <w:tcW w:w="0" w:type="auto"/>
            <w:gridSpan w:val="3"/>
            <w:shd w:val="clear" w:color="auto" w:fill="auto"/>
            <w:tcMar>
              <w:top w:w="40" w:type="dxa"/>
              <w:left w:w="260" w:type="dxa"/>
              <w:bottom w:w="40" w:type="dxa"/>
              <w:right w:w="20" w:type="dxa"/>
            </w:tcMar>
            <w:vAlign w:val="center"/>
          </w:tcPr>
          <w:p w14:paraId="5A1B2A11" w14:textId="77777777" w:rsidR="00960BB8" w:rsidRDefault="00C06650">
            <w:pPr>
              <w:textAlignment w:val="center"/>
            </w:pPr>
            <w:r>
              <w:rPr>
                <w:rFonts w:ascii="Arial" w:eastAsia="宋体" w:hAnsi="Arial" w:cs="Arial"/>
                <w:color w:val="262626"/>
                <w:sz w:val="18"/>
                <w:szCs w:val="18"/>
              </w:rPr>
              <w:t>Reverse repurchase</w:t>
            </w:r>
            <w:r>
              <w:rPr>
                <w:rFonts w:ascii="Arial" w:eastAsia="宋体" w:hAnsi="Arial" w:cs="Arial"/>
                <w:color w:val="262626"/>
                <w:sz w:val="18"/>
                <w:szCs w:val="18"/>
              </w:rPr>
              <w:br/>
              <w:t>    agreements</w:t>
            </w:r>
          </w:p>
        </w:tc>
        <w:tc>
          <w:tcPr>
            <w:tcW w:w="0" w:type="auto"/>
            <w:gridSpan w:val="3"/>
            <w:shd w:val="clear" w:color="auto" w:fill="auto"/>
            <w:tcMar>
              <w:top w:w="0" w:type="dxa"/>
              <w:left w:w="20" w:type="dxa"/>
              <w:bottom w:w="0" w:type="dxa"/>
              <w:right w:w="20" w:type="dxa"/>
            </w:tcMar>
            <w:vAlign w:val="bottom"/>
          </w:tcPr>
          <w:p w14:paraId="5A1B2A1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13"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1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1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16" w14:textId="77777777" w:rsidR="00960BB8" w:rsidRDefault="00C06650">
            <w:pPr>
              <w:jc w:val="right"/>
              <w:textAlignment w:val="bottom"/>
            </w:pPr>
            <w:r>
              <w:rPr>
                <w:rFonts w:ascii="Arial" w:eastAsia="宋体" w:hAnsi="Arial" w:cs="Arial"/>
                <w:color w:val="0068B5"/>
                <w:sz w:val="18"/>
                <w:szCs w:val="18"/>
              </w:rPr>
              <w:t>1,301 </w:t>
            </w:r>
          </w:p>
        </w:tc>
        <w:tc>
          <w:tcPr>
            <w:tcW w:w="0" w:type="auto"/>
            <w:shd w:val="clear" w:color="auto" w:fill="auto"/>
            <w:tcMar>
              <w:top w:w="40" w:type="dxa"/>
              <w:left w:w="0" w:type="dxa"/>
              <w:bottom w:w="40" w:type="dxa"/>
              <w:right w:w="20" w:type="dxa"/>
            </w:tcMar>
            <w:vAlign w:val="bottom"/>
          </w:tcPr>
          <w:p w14:paraId="5A1B2A1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1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19"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1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1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1C" w14:textId="77777777" w:rsidR="00960BB8" w:rsidRDefault="00C06650">
            <w:pPr>
              <w:jc w:val="right"/>
              <w:textAlignment w:val="bottom"/>
            </w:pPr>
            <w:r>
              <w:rPr>
                <w:rFonts w:ascii="Arial" w:eastAsia="宋体" w:hAnsi="Arial" w:cs="Arial"/>
                <w:color w:val="0068B5"/>
                <w:sz w:val="18"/>
                <w:szCs w:val="18"/>
              </w:rPr>
              <w:t>1,301 </w:t>
            </w:r>
          </w:p>
        </w:tc>
        <w:tc>
          <w:tcPr>
            <w:tcW w:w="0" w:type="auto"/>
            <w:shd w:val="clear" w:color="auto" w:fill="auto"/>
            <w:tcMar>
              <w:top w:w="40" w:type="dxa"/>
              <w:left w:w="0" w:type="dxa"/>
              <w:bottom w:w="40" w:type="dxa"/>
              <w:right w:w="20" w:type="dxa"/>
            </w:tcMar>
            <w:vAlign w:val="bottom"/>
          </w:tcPr>
          <w:p w14:paraId="5A1B2A1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1E"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A1F"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A2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21" w14:textId="77777777" w:rsidR="00960BB8" w:rsidRDefault="00C06650">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5A1B2A2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23"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A24"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A2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26" w14:textId="77777777" w:rsidR="00960BB8" w:rsidRDefault="00C06650">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5A1B2A27" w14:textId="77777777" w:rsidR="00960BB8" w:rsidRDefault="00960BB8">
            <w:pPr>
              <w:jc w:val="right"/>
              <w:rPr>
                <w:rFonts w:ascii="宋体"/>
              </w:rPr>
            </w:pPr>
          </w:p>
        </w:tc>
      </w:tr>
      <w:tr w:rsidR="00960BB8" w14:paraId="5A1B2A3A" w14:textId="77777777">
        <w:tc>
          <w:tcPr>
            <w:tcW w:w="0" w:type="auto"/>
            <w:gridSpan w:val="3"/>
            <w:shd w:val="clear" w:color="auto" w:fill="auto"/>
            <w:tcMar>
              <w:top w:w="40" w:type="dxa"/>
              <w:left w:w="20" w:type="dxa"/>
              <w:bottom w:w="40" w:type="dxa"/>
              <w:right w:w="20" w:type="dxa"/>
            </w:tcMar>
            <w:vAlign w:val="center"/>
          </w:tcPr>
          <w:p w14:paraId="5A1B2A29" w14:textId="77777777" w:rsidR="00960BB8" w:rsidRDefault="00C06650">
            <w:pPr>
              <w:textAlignment w:val="center"/>
            </w:pPr>
            <w:r>
              <w:rPr>
                <w:rFonts w:ascii="Arial" w:eastAsia="宋体" w:hAnsi="Arial" w:cs="Arial"/>
                <w:color w:val="262626"/>
                <w:sz w:val="18"/>
                <w:szCs w:val="18"/>
              </w:rPr>
              <w:t>Short-term i</w:t>
            </w:r>
            <w:r>
              <w:rPr>
                <w:rFonts w:ascii="Arial" w:eastAsia="宋体" w:hAnsi="Arial" w:cs="Arial"/>
                <w:color w:val="262626"/>
                <w:sz w:val="18"/>
                <w:szCs w:val="18"/>
              </w:rPr>
              <w:t>nvestments:</w:t>
            </w:r>
          </w:p>
        </w:tc>
        <w:tc>
          <w:tcPr>
            <w:tcW w:w="0" w:type="auto"/>
            <w:gridSpan w:val="3"/>
            <w:shd w:val="clear" w:color="auto" w:fill="auto"/>
            <w:tcMar>
              <w:top w:w="0" w:type="dxa"/>
              <w:left w:w="20" w:type="dxa"/>
              <w:bottom w:w="0" w:type="dxa"/>
              <w:right w:w="20" w:type="dxa"/>
            </w:tcMar>
            <w:vAlign w:val="bottom"/>
          </w:tcPr>
          <w:p w14:paraId="5A1B2A2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2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2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2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2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2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3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3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3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3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3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3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3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3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3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39" w14:textId="77777777" w:rsidR="00960BB8" w:rsidRDefault="00960BB8">
            <w:pPr>
              <w:rPr>
                <w:rFonts w:ascii="宋体"/>
              </w:rPr>
            </w:pPr>
          </w:p>
        </w:tc>
      </w:tr>
      <w:tr w:rsidR="00960BB8" w14:paraId="5A1B2A52" w14:textId="77777777">
        <w:tc>
          <w:tcPr>
            <w:tcW w:w="0" w:type="auto"/>
            <w:gridSpan w:val="3"/>
            <w:shd w:val="clear" w:color="auto" w:fill="auto"/>
            <w:tcMar>
              <w:top w:w="40" w:type="dxa"/>
              <w:left w:w="260" w:type="dxa"/>
              <w:bottom w:w="40" w:type="dxa"/>
              <w:right w:w="20" w:type="dxa"/>
            </w:tcMar>
            <w:vAlign w:val="center"/>
          </w:tcPr>
          <w:p w14:paraId="5A1B2A3B" w14:textId="77777777" w:rsidR="00960BB8" w:rsidRDefault="00C06650">
            <w:pPr>
              <w:textAlignment w:val="center"/>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5A1B2A3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3D"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3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3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40" w14:textId="77777777" w:rsidR="00960BB8" w:rsidRDefault="00C06650">
            <w:pPr>
              <w:jc w:val="right"/>
              <w:textAlignment w:val="bottom"/>
            </w:pPr>
            <w:r>
              <w:rPr>
                <w:rFonts w:ascii="Arial" w:eastAsia="宋体" w:hAnsi="Arial" w:cs="Arial"/>
                <w:color w:val="0068B5"/>
                <w:sz w:val="18"/>
                <w:szCs w:val="18"/>
              </w:rPr>
              <w:t>5,381 </w:t>
            </w:r>
          </w:p>
        </w:tc>
        <w:tc>
          <w:tcPr>
            <w:tcW w:w="0" w:type="auto"/>
            <w:shd w:val="clear" w:color="auto" w:fill="auto"/>
            <w:tcMar>
              <w:top w:w="40" w:type="dxa"/>
              <w:left w:w="0" w:type="dxa"/>
              <w:bottom w:w="40" w:type="dxa"/>
              <w:right w:w="20" w:type="dxa"/>
            </w:tcMar>
            <w:vAlign w:val="bottom"/>
          </w:tcPr>
          <w:p w14:paraId="5A1B2A4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4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43"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4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4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46" w14:textId="77777777" w:rsidR="00960BB8" w:rsidRDefault="00C06650">
            <w:pPr>
              <w:jc w:val="right"/>
              <w:textAlignment w:val="bottom"/>
            </w:pPr>
            <w:r>
              <w:rPr>
                <w:rFonts w:ascii="Arial" w:eastAsia="宋体" w:hAnsi="Arial" w:cs="Arial"/>
                <w:color w:val="0068B5"/>
                <w:sz w:val="18"/>
                <w:szCs w:val="18"/>
              </w:rPr>
              <w:t>5,381 </w:t>
            </w:r>
          </w:p>
        </w:tc>
        <w:tc>
          <w:tcPr>
            <w:tcW w:w="0" w:type="auto"/>
            <w:shd w:val="clear" w:color="auto" w:fill="auto"/>
            <w:tcMar>
              <w:top w:w="40" w:type="dxa"/>
              <w:left w:w="0" w:type="dxa"/>
              <w:bottom w:w="40" w:type="dxa"/>
              <w:right w:w="20" w:type="dxa"/>
            </w:tcMar>
            <w:vAlign w:val="bottom"/>
          </w:tcPr>
          <w:p w14:paraId="5A1B2A4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48"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A49" w14:textId="77777777" w:rsidR="00960BB8" w:rsidRDefault="00C06650">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5A1B2A4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4B" w14:textId="77777777" w:rsidR="00960BB8" w:rsidRDefault="00C06650">
            <w:pPr>
              <w:jc w:val="right"/>
              <w:textAlignment w:val="bottom"/>
            </w:pPr>
            <w:r>
              <w:rPr>
                <w:rFonts w:ascii="Arial" w:eastAsia="宋体" w:hAnsi="Arial" w:cs="Arial"/>
                <w:color w:val="262626"/>
                <w:sz w:val="18"/>
                <w:szCs w:val="18"/>
              </w:rPr>
              <w:t>6,367 </w:t>
            </w:r>
          </w:p>
        </w:tc>
        <w:tc>
          <w:tcPr>
            <w:tcW w:w="0" w:type="auto"/>
            <w:shd w:val="clear" w:color="auto" w:fill="auto"/>
            <w:tcMar>
              <w:top w:w="40" w:type="dxa"/>
              <w:left w:w="0" w:type="dxa"/>
              <w:bottom w:w="40" w:type="dxa"/>
              <w:right w:w="20" w:type="dxa"/>
            </w:tcMar>
            <w:vAlign w:val="bottom"/>
          </w:tcPr>
          <w:p w14:paraId="5A1B2A4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4D"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A4E"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A4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50" w14:textId="77777777" w:rsidR="00960BB8" w:rsidRDefault="00C06650">
            <w:pPr>
              <w:jc w:val="right"/>
              <w:textAlignment w:val="bottom"/>
            </w:pPr>
            <w:r>
              <w:rPr>
                <w:rFonts w:ascii="Arial" w:eastAsia="宋体" w:hAnsi="Arial" w:cs="Arial"/>
                <w:color w:val="262626"/>
                <w:sz w:val="18"/>
                <w:szCs w:val="18"/>
              </w:rPr>
              <w:t>6,367 </w:t>
            </w:r>
          </w:p>
        </w:tc>
        <w:tc>
          <w:tcPr>
            <w:tcW w:w="0" w:type="auto"/>
            <w:shd w:val="clear" w:color="auto" w:fill="auto"/>
            <w:tcMar>
              <w:top w:w="40" w:type="dxa"/>
              <w:left w:w="0" w:type="dxa"/>
              <w:bottom w:w="40" w:type="dxa"/>
              <w:right w:w="20" w:type="dxa"/>
            </w:tcMar>
            <w:vAlign w:val="bottom"/>
          </w:tcPr>
          <w:p w14:paraId="5A1B2A51" w14:textId="77777777" w:rsidR="00960BB8" w:rsidRDefault="00960BB8">
            <w:pPr>
              <w:jc w:val="right"/>
              <w:rPr>
                <w:rFonts w:ascii="宋体"/>
              </w:rPr>
            </w:pPr>
          </w:p>
        </w:tc>
      </w:tr>
      <w:tr w:rsidR="00960BB8" w14:paraId="5A1B2A6B" w14:textId="77777777">
        <w:tc>
          <w:tcPr>
            <w:tcW w:w="0" w:type="auto"/>
            <w:gridSpan w:val="3"/>
            <w:shd w:val="clear" w:color="auto" w:fill="auto"/>
            <w:tcMar>
              <w:top w:w="40" w:type="dxa"/>
              <w:left w:w="20" w:type="dxa"/>
              <w:bottom w:w="40" w:type="dxa"/>
              <w:right w:w="20" w:type="dxa"/>
            </w:tcMar>
            <w:vAlign w:val="center"/>
          </w:tcPr>
          <w:p w14:paraId="5A1B2A53" w14:textId="77777777" w:rsidR="00960BB8" w:rsidRDefault="00C06650">
            <w:pPr>
              <w:ind w:hanging="180"/>
              <w:textAlignment w:val="center"/>
            </w:pPr>
            <w:r>
              <w:rPr>
                <w:rFonts w:ascii="Arial" w:eastAsia="宋体" w:hAnsi="Arial" w:cs="Arial"/>
                <w:color w:val="262626"/>
                <w:sz w:val="18"/>
                <w:szCs w:val="18"/>
              </w:rPr>
              <w:t>Financial institution instruments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5A1B2A5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55" w14:textId="77777777" w:rsidR="00960BB8" w:rsidRDefault="00C06650">
            <w:pPr>
              <w:jc w:val="right"/>
              <w:textAlignment w:val="bottom"/>
            </w:pPr>
            <w:r>
              <w:rPr>
                <w:rFonts w:ascii="Arial" w:eastAsia="宋体" w:hAnsi="Arial" w:cs="Arial"/>
                <w:color w:val="0068B5"/>
                <w:sz w:val="18"/>
                <w:szCs w:val="18"/>
              </w:rPr>
              <w:t>196 </w:t>
            </w:r>
          </w:p>
        </w:tc>
        <w:tc>
          <w:tcPr>
            <w:tcW w:w="0" w:type="auto"/>
            <w:shd w:val="clear" w:color="auto" w:fill="auto"/>
            <w:tcMar>
              <w:top w:w="40" w:type="dxa"/>
              <w:left w:w="0" w:type="dxa"/>
              <w:bottom w:w="40" w:type="dxa"/>
              <w:right w:w="20" w:type="dxa"/>
            </w:tcMar>
            <w:vAlign w:val="bottom"/>
          </w:tcPr>
          <w:p w14:paraId="5A1B2A5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5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58" w14:textId="77777777" w:rsidR="00960BB8" w:rsidRDefault="00C06650">
            <w:pPr>
              <w:jc w:val="right"/>
              <w:textAlignment w:val="bottom"/>
            </w:pPr>
            <w:r>
              <w:rPr>
                <w:rFonts w:ascii="Arial" w:eastAsia="宋体" w:hAnsi="Arial" w:cs="Arial"/>
                <w:color w:val="0068B5"/>
                <w:sz w:val="18"/>
                <w:szCs w:val="18"/>
              </w:rPr>
              <w:t>4,729 </w:t>
            </w:r>
          </w:p>
        </w:tc>
        <w:tc>
          <w:tcPr>
            <w:tcW w:w="0" w:type="auto"/>
            <w:shd w:val="clear" w:color="auto" w:fill="auto"/>
            <w:tcMar>
              <w:top w:w="40" w:type="dxa"/>
              <w:left w:w="0" w:type="dxa"/>
              <w:bottom w:w="40" w:type="dxa"/>
              <w:right w:w="20" w:type="dxa"/>
            </w:tcMar>
            <w:vAlign w:val="bottom"/>
          </w:tcPr>
          <w:p w14:paraId="5A1B2A5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5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5B"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5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5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5E" w14:textId="77777777" w:rsidR="00960BB8" w:rsidRDefault="00C06650">
            <w:pPr>
              <w:jc w:val="right"/>
              <w:textAlignment w:val="bottom"/>
            </w:pPr>
            <w:r>
              <w:rPr>
                <w:rFonts w:ascii="Arial" w:eastAsia="宋体" w:hAnsi="Arial" w:cs="Arial"/>
                <w:color w:val="0068B5"/>
                <w:sz w:val="18"/>
                <w:szCs w:val="18"/>
              </w:rPr>
              <w:t>4,925 </w:t>
            </w:r>
          </w:p>
        </w:tc>
        <w:tc>
          <w:tcPr>
            <w:tcW w:w="0" w:type="auto"/>
            <w:shd w:val="clear" w:color="auto" w:fill="auto"/>
            <w:tcMar>
              <w:top w:w="40" w:type="dxa"/>
              <w:left w:w="0" w:type="dxa"/>
              <w:bottom w:w="40" w:type="dxa"/>
              <w:right w:w="20" w:type="dxa"/>
            </w:tcMar>
            <w:vAlign w:val="bottom"/>
          </w:tcPr>
          <w:p w14:paraId="5A1B2A5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6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61" w14:textId="77777777" w:rsidR="00960BB8" w:rsidRDefault="00C06650">
            <w:pPr>
              <w:jc w:val="right"/>
              <w:textAlignment w:val="bottom"/>
            </w:pPr>
            <w:r>
              <w:rPr>
                <w:rFonts w:ascii="Arial" w:eastAsia="宋体" w:hAnsi="Arial" w:cs="Arial"/>
                <w:color w:val="262626"/>
                <w:sz w:val="18"/>
                <w:szCs w:val="18"/>
              </w:rPr>
              <w:t>154 </w:t>
            </w:r>
          </w:p>
        </w:tc>
        <w:tc>
          <w:tcPr>
            <w:tcW w:w="0" w:type="auto"/>
            <w:shd w:val="clear" w:color="auto" w:fill="auto"/>
            <w:tcMar>
              <w:top w:w="40" w:type="dxa"/>
              <w:left w:w="0" w:type="dxa"/>
              <w:bottom w:w="40" w:type="dxa"/>
              <w:right w:w="20" w:type="dxa"/>
            </w:tcMar>
            <w:vAlign w:val="bottom"/>
          </w:tcPr>
          <w:p w14:paraId="5A1B2A6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6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64" w14:textId="77777777" w:rsidR="00960BB8" w:rsidRDefault="00C06650">
            <w:pPr>
              <w:jc w:val="right"/>
              <w:textAlignment w:val="bottom"/>
            </w:pPr>
            <w:r>
              <w:rPr>
                <w:rFonts w:ascii="Arial" w:eastAsia="宋体" w:hAnsi="Arial" w:cs="Arial"/>
                <w:color w:val="262626"/>
                <w:sz w:val="18"/>
                <w:szCs w:val="18"/>
              </w:rPr>
              <w:t>5,162 </w:t>
            </w:r>
          </w:p>
        </w:tc>
        <w:tc>
          <w:tcPr>
            <w:tcW w:w="0" w:type="auto"/>
            <w:shd w:val="clear" w:color="auto" w:fill="auto"/>
            <w:tcMar>
              <w:top w:w="40" w:type="dxa"/>
              <w:left w:w="0" w:type="dxa"/>
              <w:bottom w:w="40" w:type="dxa"/>
              <w:right w:w="20" w:type="dxa"/>
            </w:tcMar>
            <w:vAlign w:val="bottom"/>
          </w:tcPr>
          <w:p w14:paraId="5A1B2A6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66"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A67"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A6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69" w14:textId="77777777" w:rsidR="00960BB8" w:rsidRDefault="00C06650">
            <w:pPr>
              <w:jc w:val="right"/>
              <w:textAlignment w:val="bottom"/>
            </w:pPr>
            <w:r>
              <w:rPr>
                <w:rFonts w:ascii="Arial" w:eastAsia="宋体" w:hAnsi="Arial" w:cs="Arial"/>
                <w:color w:val="262626"/>
                <w:sz w:val="18"/>
                <w:szCs w:val="18"/>
              </w:rPr>
              <w:t>5,316 </w:t>
            </w:r>
          </w:p>
        </w:tc>
        <w:tc>
          <w:tcPr>
            <w:tcW w:w="0" w:type="auto"/>
            <w:shd w:val="clear" w:color="auto" w:fill="auto"/>
            <w:tcMar>
              <w:top w:w="40" w:type="dxa"/>
              <w:left w:w="0" w:type="dxa"/>
              <w:bottom w:w="40" w:type="dxa"/>
              <w:right w:w="20" w:type="dxa"/>
            </w:tcMar>
            <w:vAlign w:val="bottom"/>
          </w:tcPr>
          <w:p w14:paraId="5A1B2A6A" w14:textId="77777777" w:rsidR="00960BB8" w:rsidRDefault="00960BB8">
            <w:pPr>
              <w:jc w:val="right"/>
              <w:rPr>
                <w:rFonts w:ascii="宋体"/>
              </w:rPr>
            </w:pPr>
          </w:p>
        </w:tc>
      </w:tr>
      <w:tr w:rsidR="00960BB8" w14:paraId="5A1B2A84" w14:textId="77777777">
        <w:tc>
          <w:tcPr>
            <w:tcW w:w="0" w:type="auto"/>
            <w:gridSpan w:val="3"/>
            <w:shd w:val="clear" w:color="auto" w:fill="auto"/>
            <w:tcMar>
              <w:top w:w="40" w:type="dxa"/>
              <w:left w:w="20" w:type="dxa"/>
              <w:bottom w:w="40" w:type="dxa"/>
              <w:right w:w="20" w:type="dxa"/>
            </w:tcMar>
            <w:vAlign w:val="center"/>
          </w:tcPr>
          <w:p w14:paraId="5A1B2A6C" w14:textId="77777777" w:rsidR="00960BB8" w:rsidRDefault="00C06650">
            <w:pPr>
              <w:ind w:hanging="180"/>
              <w:textAlignment w:val="center"/>
            </w:pPr>
            <w:r>
              <w:rPr>
                <w:rFonts w:ascii="Arial" w:eastAsia="宋体" w:hAnsi="Arial" w:cs="Arial"/>
                <w:color w:val="262626"/>
                <w:sz w:val="18"/>
                <w:szCs w:val="18"/>
              </w:rPr>
              <w:t>Government debt</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vAlign w:val="bottom"/>
          </w:tcPr>
          <w:p w14:paraId="5A1B2A6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6E" w14:textId="77777777" w:rsidR="00960BB8" w:rsidRDefault="00C06650">
            <w:pPr>
              <w:jc w:val="right"/>
              <w:textAlignment w:val="bottom"/>
            </w:pPr>
            <w:r>
              <w:rPr>
                <w:rFonts w:ascii="Arial" w:eastAsia="宋体" w:hAnsi="Arial" w:cs="Arial"/>
                <w:color w:val="0068B5"/>
                <w:sz w:val="18"/>
                <w:szCs w:val="18"/>
              </w:rPr>
              <w:t>48 </w:t>
            </w:r>
          </w:p>
        </w:tc>
        <w:tc>
          <w:tcPr>
            <w:tcW w:w="0" w:type="auto"/>
            <w:shd w:val="clear" w:color="auto" w:fill="auto"/>
            <w:tcMar>
              <w:top w:w="40" w:type="dxa"/>
              <w:left w:w="0" w:type="dxa"/>
              <w:bottom w:w="40" w:type="dxa"/>
              <w:right w:w="20" w:type="dxa"/>
            </w:tcMar>
            <w:vAlign w:val="bottom"/>
          </w:tcPr>
          <w:p w14:paraId="5A1B2A6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7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71" w14:textId="77777777" w:rsidR="00960BB8" w:rsidRDefault="00C06650">
            <w:pPr>
              <w:jc w:val="right"/>
              <w:textAlignment w:val="bottom"/>
            </w:pPr>
            <w:r>
              <w:rPr>
                <w:rFonts w:ascii="Arial" w:eastAsia="宋体" w:hAnsi="Arial" w:cs="Arial"/>
                <w:color w:val="0068B5"/>
                <w:sz w:val="18"/>
                <w:szCs w:val="18"/>
              </w:rPr>
              <w:t>6,840 </w:t>
            </w:r>
          </w:p>
        </w:tc>
        <w:tc>
          <w:tcPr>
            <w:tcW w:w="0" w:type="auto"/>
            <w:shd w:val="clear" w:color="auto" w:fill="auto"/>
            <w:tcMar>
              <w:top w:w="40" w:type="dxa"/>
              <w:left w:w="0" w:type="dxa"/>
              <w:bottom w:w="40" w:type="dxa"/>
              <w:right w:w="20" w:type="dxa"/>
            </w:tcMar>
            <w:vAlign w:val="bottom"/>
          </w:tcPr>
          <w:p w14:paraId="5A1B2A7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7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74"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7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7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77" w14:textId="77777777" w:rsidR="00960BB8" w:rsidRDefault="00C06650">
            <w:pPr>
              <w:jc w:val="right"/>
              <w:textAlignment w:val="bottom"/>
            </w:pPr>
            <w:r>
              <w:rPr>
                <w:rFonts w:ascii="Arial" w:eastAsia="宋体" w:hAnsi="Arial" w:cs="Arial"/>
                <w:color w:val="0068B5"/>
                <w:sz w:val="18"/>
                <w:szCs w:val="18"/>
              </w:rPr>
              <w:t>6,888 </w:t>
            </w:r>
          </w:p>
        </w:tc>
        <w:tc>
          <w:tcPr>
            <w:tcW w:w="0" w:type="auto"/>
            <w:shd w:val="clear" w:color="auto" w:fill="auto"/>
            <w:tcMar>
              <w:top w:w="40" w:type="dxa"/>
              <w:left w:w="0" w:type="dxa"/>
              <w:bottom w:w="40" w:type="dxa"/>
              <w:right w:w="20" w:type="dxa"/>
            </w:tcMar>
            <w:vAlign w:val="bottom"/>
          </w:tcPr>
          <w:p w14:paraId="5A1B2A7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7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7A" w14:textId="77777777" w:rsidR="00960BB8" w:rsidRDefault="00C06650">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5A1B2A7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7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7D" w14:textId="77777777" w:rsidR="00960BB8" w:rsidRDefault="00C06650">
            <w:pPr>
              <w:jc w:val="right"/>
              <w:textAlignment w:val="bottom"/>
            </w:pPr>
            <w:r>
              <w:rPr>
                <w:rFonts w:ascii="Arial" w:eastAsia="宋体" w:hAnsi="Arial" w:cs="Arial"/>
                <w:color w:val="262626"/>
                <w:sz w:val="18"/>
                <w:szCs w:val="18"/>
              </w:rPr>
              <w:t>12,693 </w:t>
            </w:r>
          </w:p>
        </w:tc>
        <w:tc>
          <w:tcPr>
            <w:tcW w:w="0" w:type="auto"/>
            <w:shd w:val="clear" w:color="auto" w:fill="auto"/>
            <w:tcMar>
              <w:top w:w="40" w:type="dxa"/>
              <w:left w:w="0" w:type="dxa"/>
              <w:bottom w:w="40" w:type="dxa"/>
              <w:right w:w="20" w:type="dxa"/>
            </w:tcMar>
            <w:vAlign w:val="bottom"/>
          </w:tcPr>
          <w:p w14:paraId="5A1B2A7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7F"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A80"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A8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82" w14:textId="77777777" w:rsidR="00960BB8" w:rsidRDefault="00C06650">
            <w:pPr>
              <w:jc w:val="right"/>
              <w:textAlignment w:val="bottom"/>
            </w:pPr>
            <w:r>
              <w:rPr>
                <w:rFonts w:ascii="Arial" w:eastAsia="宋体" w:hAnsi="Arial" w:cs="Arial"/>
                <w:color w:val="262626"/>
                <w:sz w:val="18"/>
                <w:szCs w:val="18"/>
              </w:rPr>
              <w:t>12,743 </w:t>
            </w:r>
          </w:p>
        </w:tc>
        <w:tc>
          <w:tcPr>
            <w:tcW w:w="0" w:type="auto"/>
            <w:shd w:val="clear" w:color="auto" w:fill="auto"/>
            <w:tcMar>
              <w:top w:w="40" w:type="dxa"/>
              <w:left w:w="0" w:type="dxa"/>
              <w:bottom w:w="40" w:type="dxa"/>
              <w:right w:w="20" w:type="dxa"/>
            </w:tcMar>
            <w:vAlign w:val="bottom"/>
          </w:tcPr>
          <w:p w14:paraId="5A1B2A83" w14:textId="77777777" w:rsidR="00960BB8" w:rsidRDefault="00960BB8">
            <w:pPr>
              <w:jc w:val="right"/>
              <w:rPr>
                <w:rFonts w:ascii="宋体"/>
              </w:rPr>
            </w:pPr>
          </w:p>
        </w:tc>
      </w:tr>
      <w:tr w:rsidR="00960BB8" w14:paraId="5A1B2A96" w14:textId="77777777">
        <w:tc>
          <w:tcPr>
            <w:tcW w:w="0" w:type="auto"/>
            <w:gridSpan w:val="3"/>
            <w:shd w:val="clear" w:color="auto" w:fill="auto"/>
            <w:tcMar>
              <w:top w:w="40" w:type="dxa"/>
              <w:left w:w="20" w:type="dxa"/>
              <w:bottom w:w="40" w:type="dxa"/>
              <w:right w:w="20" w:type="dxa"/>
            </w:tcMar>
            <w:vAlign w:val="center"/>
          </w:tcPr>
          <w:p w14:paraId="5A1B2A85" w14:textId="77777777" w:rsidR="00960BB8" w:rsidRDefault="00C06650">
            <w:pPr>
              <w:textAlignment w:val="center"/>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5A1B2A8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8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8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8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8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8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8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8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8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8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9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9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9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9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9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95" w14:textId="77777777" w:rsidR="00960BB8" w:rsidRDefault="00960BB8">
            <w:pPr>
              <w:rPr>
                <w:rFonts w:ascii="宋体"/>
              </w:rPr>
            </w:pPr>
          </w:p>
        </w:tc>
      </w:tr>
      <w:tr w:rsidR="00960BB8" w14:paraId="5A1B2AAF" w14:textId="77777777">
        <w:tc>
          <w:tcPr>
            <w:tcW w:w="0" w:type="auto"/>
            <w:gridSpan w:val="3"/>
            <w:shd w:val="clear" w:color="auto" w:fill="auto"/>
            <w:tcMar>
              <w:top w:w="40" w:type="dxa"/>
              <w:left w:w="260" w:type="dxa"/>
              <w:bottom w:w="40" w:type="dxa"/>
              <w:right w:w="20" w:type="dxa"/>
            </w:tcMar>
            <w:vAlign w:val="center"/>
          </w:tcPr>
          <w:p w14:paraId="5A1B2A97" w14:textId="77777777" w:rsidR="00960BB8" w:rsidRDefault="00C06650">
            <w:pPr>
              <w:textAlignment w:val="center"/>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5A1B2A9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99"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9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9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9C" w14:textId="77777777" w:rsidR="00960BB8" w:rsidRDefault="00C06650">
            <w:pPr>
              <w:jc w:val="right"/>
              <w:textAlignment w:val="bottom"/>
            </w:pPr>
            <w:r>
              <w:rPr>
                <w:rFonts w:ascii="Arial" w:eastAsia="宋体" w:hAnsi="Arial" w:cs="Arial"/>
                <w:color w:val="0068B5"/>
                <w:sz w:val="18"/>
                <w:szCs w:val="18"/>
              </w:rPr>
              <w:t>1,264 </w:t>
            </w:r>
          </w:p>
        </w:tc>
        <w:tc>
          <w:tcPr>
            <w:tcW w:w="0" w:type="auto"/>
            <w:shd w:val="clear" w:color="auto" w:fill="auto"/>
            <w:tcMar>
              <w:top w:w="40" w:type="dxa"/>
              <w:left w:w="0" w:type="dxa"/>
              <w:bottom w:w="40" w:type="dxa"/>
              <w:right w:w="20" w:type="dxa"/>
            </w:tcMar>
            <w:vAlign w:val="bottom"/>
          </w:tcPr>
          <w:p w14:paraId="5A1B2A9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9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9F"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A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A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A2" w14:textId="77777777" w:rsidR="00960BB8" w:rsidRDefault="00C06650">
            <w:pPr>
              <w:jc w:val="right"/>
              <w:textAlignment w:val="bottom"/>
            </w:pPr>
            <w:r>
              <w:rPr>
                <w:rFonts w:ascii="Arial" w:eastAsia="宋体" w:hAnsi="Arial" w:cs="Arial"/>
                <w:color w:val="0068B5"/>
                <w:sz w:val="18"/>
                <w:szCs w:val="18"/>
              </w:rPr>
              <w:t>1,264 </w:t>
            </w:r>
          </w:p>
        </w:tc>
        <w:tc>
          <w:tcPr>
            <w:tcW w:w="0" w:type="auto"/>
            <w:shd w:val="clear" w:color="auto" w:fill="auto"/>
            <w:tcMar>
              <w:top w:w="40" w:type="dxa"/>
              <w:left w:w="0" w:type="dxa"/>
              <w:bottom w:w="40" w:type="dxa"/>
              <w:right w:w="20" w:type="dxa"/>
            </w:tcMar>
            <w:vAlign w:val="bottom"/>
          </w:tcPr>
          <w:p w14:paraId="5A1B2AA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A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A5" w14:textId="77777777" w:rsidR="00960BB8" w:rsidRDefault="00C06650">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5A1B2AA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A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A8" w14:textId="77777777" w:rsidR="00960BB8" w:rsidRDefault="00C06650">
            <w:pPr>
              <w:jc w:val="right"/>
              <w:textAlignment w:val="bottom"/>
            </w:pPr>
            <w:r>
              <w:rPr>
                <w:rFonts w:ascii="Arial" w:eastAsia="宋体" w:hAnsi="Arial" w:cs="Arial"/>
                <w:color w:val="262626"/>
                <w:sz w:val="18"/>
                <w:szCs w:val="18"/>
              </w:rPr>
              <w:t>576 </w:t>
            </w:r>
          </w:p>
        </w:tc>
        <w:tc>
          <w:tcPr>
            <w:tcW w:w="0" w:type="auto"/>
            <w:shd w:val="clear" w:color="auto" w:fill="auto"/>
            <w:tcMar>
              <w:top w:w="40" w:type="dxa"/>
              <w:left w:w="0" w:type="dxa"/>
              <w:bottom w:w="40" w:type="dxa"/>
              <w:right w:w="20" w:type="dxa"/>
            </w:tcMar>
            <w:vAlign w:val="bottom"/>
          </w:tcPr>
          <w:p w14:paraId="5A1B2AA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AA"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AAB"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AA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AD" w14:textId="77777777" w:rsidR="00960BB8" w:rsidRDefault="00C06650">
            <w:pPr>
              <w:jc w:val="right"/>
              <w:textAlignment w:val="bottom"/>
            </w:pPr>
            <w:r>
              <w:rPr>
                <w:rFonts w:ascii="Arial" w:eastAsia="宋体" w:hAnsi="Arial" w:cs="Arial"/>
                <w:color w:val="262626"/>
                <w:sz w:val="18"/>
                <w:szCs w:val="18"/>
              </w:rPr>
              <w:t>656 </w:t>
            </w:r>
          </w:p>
        </w:tc>
        <w:tc>
          <w:tcPr>
            <w:tcW w:w="0" w:type="auto"/>
            <w:shd w:val="clear" w:color="auto" w:fill="auto"/>
            <w:tcMar>
              <w:top w:w="40" w:type="dxa"/>
              <w:left w:w="0" w:type="dxa"/>
              <w:bottom w:w="40" w:type="dxa"/>
              <w:right w:w="20" w:type="dxa"/>
            </w:tcMar>
            <w:vAlign w:val="bottom"/>
          </w:tcPr>
          <w:p w14:paraId="5A1B2AAE" w14:textId="77777777" w:rsidR="00960BB8" w:rsidRDefault="00960BB8">
            <w:pPr>
              <w:jc w:val="right"/>
              <w:rPr>
                <w:rFonts w:ascii="宋体"/>
              </w:rPr>
            </w:pPr>
          </w:p>
        </w:tc>
      </w:tr>
      <w:tr w:rsidR="00960BB8" w14:paraId="5A1B2AC7" w14:textId="77777777">
        <w:tc>
          <w:tcPr>
            <w:tcW w:w="0" w:type="auto"/>
            <w:gridSpan w:val="3"/>
            <w:shd w:val="clear" w:color="auto" w:fill="auto"/>
            <w:tcMar>
              <w:top w:w="40" w:type="dxa"/>
              <w:left w:w="20" w:type="dxa"/>
              <w:bottom w:w="40" w:type="dxa"/>
              <w:right w:w="20" w:type="dxa"/>
            </w:tcMar>
            <w:vAlign w:val="center"/>
          </w:tcPr>
          <w:p w14:paraId="5A1B2AB0" w14:textId="77777777" w:rsidR="00960BB8" w:rsidRDefault="00C06650">
            <w:pPr>
              <w:ind w:hanging="180"/>
              <w:textAlignment w:val="center"/>
            </w:pPr>
            <w:r>
              <w:rPr>
                <w:rFonts w:ascii="Arial" w:eastAsia="宋体" w:hAnsi="Arial" w:cs="Arial"/>
                <w:color w:val="262626"/>
                <w:sz w:val="18"/>
                <w:szCs w:val="18"/>
              </w:rPr>
              <w:t>Loans receivable</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5A1B2AB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B2"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B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B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B5" w14:textId="77777777" w:rsidR="00960BB8" w:rsidRDefault="00C06650">
            <w:pPr>
              <w:jc w:val="right"/>
              <w:textAlignment w:val="bottom"/>
            </w:pPr>
            <w:r>
              <w:rPr>
                <w:rFonts w:ascii="Arial" w:eastAsia="宋体" w:hAnsi="Arial" w:cs="Arial"/>
                <w:color w:val="0068B5"/>
                <w:sz w:val="18"/>
                <w:szCs w:val="18"/>
              </w:rPr>
              <w:t>53 </w:t>
            </w:r>
          </w:p>
        </w:tc>
        <w:tc>
          <w:tcPr>
            <w:tcW w:w="0" w:type="auto"/>
            <w:shd w:val="clear" w:color="auto" w:fill="auto"/>
            <w:tcMar>
              <w:top w:w="40" w:type="dxa"/>
              <w:left w:w="0" w:type="dxa"/>
              <w:bottom w:w="40" w:type="dxa"/>
              <w:right w:w="20" w:type="dxa"/>
            </w:tcMar>
            <w:vAlign w:val="bottom"/>
          </w:tcPr>
          <w:p w14:paraId="5A1B2AB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B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B8"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B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B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BB" w14:textId="77777777" w:rsidR="00960BB8" w:rsidRDefault="00C06650">
            <w:pPr>
              <w:jc w:val="right"/>
              <w:textAlignment w:val="bottom"/>
            </w:pPr>
            <w:r>
              <w:rPr>
                <w:rFonts w:ascii="Arial" w:eastAsia="宋体" w:hAnsi="Arial" w:cs="Arial"/>
                <w:color w:val="0068B5"/>
                <w:sz w:val="18"/>
                <w:szCs w:val="18"/>
              </w:rPr>
              <w:t>53 </w:t>
            </w:r>
          </w:p>
        </w:tc>
        <w:tc>
          <w:tcPr>
            <w:tcW w:w="0" w:type="auto"/>
            <w:shd w:val="clear" w:color="auto" w:fill="auto"/>
            <w:tcMar>
              <w:top w:w="40" w:type="dxa"/>
              <w:left w:w="0" w:type="dxa"/>
              <w:bottom w:w="40" w:type="dxa"/>
              <w:right w:w="20" w:type="dxa"/>
            </w:tcMar>
            <w:vAlign w:val="bottom"/>
          </w:tcPr>
          <w:p w14:paraId="5A1B2AB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BD"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ABE"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AB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C0" w14:textId="77777777" w:rsidR="00960BB8" w:rsidRDefault="00C06650">
            <w:pPr>
              <w:jc w:val="right"/>
              <w:textAlignment w:val="bottom"/>
            </w:pPr>
            <w:r>
              <w:rPr>
                <w:rFonts w:ascii="Arial" w:eastAsia="宋体" w:hAnsi="Arial" w:cs="Arial"/>
                <w:color w:val="262626"/>
                <w:sz w:val="18"/>
                <w:szCs w:val="18"/>
              </w:rPr>
              <w:t>152 </w:t>
            </w:r>
          </w:p>
        </w:tc>
        <w:tc>
          <w:tcPr>
            <w:tcW w:w="0" w:type="auto"/>
            <w:shd w:val="clear" w:color="auto" w:fill="auto"/>
            <w:tcMar>
              <w:top w:w="40" w:type="dxa"/>
              <w:left w:w="0" w:type="dxa"/>
              <w:bottom w:w="40" w:type="dxa"/>
              <w:right w:w="20" w:type="dxa"/>
            </w:tcMar>
            <w:vAlign w:val="bottom"/>
          </w:tcPr>
          <w:p w14:paraId="5A1B2AC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C2"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AC3"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AC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C5" w14:textId="77777777" w:rsidR="00960BB8" w:rsidRDefault="00C06650">
            <w:pPr>
              <w:jc w:val="right"/>
              <w:textAlignment w:val="bottom"/>
            </w:pPr>
            <w:r>
              <w:rPr>
                <w:rFonts w:ascii="Arial" w:eastAsia="宋体" w:hAnsi="Arial" w:cs="Arial"/>
                <w:color w:val="262626"/>
                <w:sz w:val="18"/>
                <w:szCs w:val="18"/>
              </w:rPr>
              <w:t>152 </w:t>
            </w:r>
          </w:p>
        </w:tc>
        <w:tc>
          <w:tcPr>
            <w:tcW w:w="0" w:type="auto"/>
            <w:shd w:val="clear" w:color="auto" w:fill="auto"/>
            <w:tcMar>
              <w:top w:w="40" w:type="dxa"/>
              <w:left w:w="0" w:type="dxa"/>
              <w:bottom w:w="40" w:type="dxa"/>
              <w:right w:w="20" w:type="dxa"/>
            </w:tcMar>
            <w:vAlign w:val="bottom"/>
          </w:tcPr>
          <w:p w14:paraId="5A1B2AC6" w14:textId="77777777" w:rsidR="00960BB8" w:rsidRDefault="00960BB8">
            <w:pPr>
              <w:jc w:val="right"/>
              <w:rPr>
                <w:rFonts w:ascii="宋体"/>
              </w:rPr>
            </w:pPr>
          </w:p>
        </w:tc>
      </w:tr>
      <w:tr w:rsidR="00960BB8" w14:paraId="5A1B2AE0" w14:textId="77777777">
        <w:tc>
          <w:tcPr>
            <w:tcW w:w="0" w:type="auto"/>
            <w:gridSpan w:val="3"/>
            <w:shd w:val="clear" w:color="auto" w:fill="auto"/>
            <w:tcMar>
              <w:top w:w="40" w:type="dxa"/>
              <w:left w:w="20" w:type="dxa"/>
              <w:bottom w:w="40" w:type="dxa"/>
              <w:right w:w="20" w:type="dxa"/>
            </w:tcMar>
            <w:vAlign w:val="center"/>
          </w:tcPr>
          <w:p w14:paraId="5A1B2AC8" w14:textId="77777777" w:rsidR="00960BB8" w:rsidRDefault="00C06650">
            <w:pPr>
              <w:textAlignment w:val="center"/>
            </w:pPr>
            <w:r>
              <w:rPr>
                <w:rFonts w:ascii="Arial" w:eastAsia="宋体" w:hAnsi="Arial" w:cs="Arial"/>
                <w:color w:val="262626"/>
                <w:sz w:val="18"/>
                <w:szCs w:val="18"/>
              </w:rPr>
              <w:t>Marketable equit</w:t>
            </w:r>
            <w:r>
              <w:rPr>
                <w:rFonts w:ascii="Arial" w:eastAsia="宋体" w:hAnsi="Arial" w:cs="Arial"/>
                <w:color w:val="262626"/>
                <w:sz w:val="18"/>
                <w:szCs w:val="18"/>
              </w:rPr>
              <w:t>y securities</w:t>
            </w:r>
            <w:r>
              <w:rPr>
                <w:rFonts w:ascii="Arial" w:eastAsia="宋体" w:hAnsi="Arial" w:cs="Arial"/>
                <w:color w:val="262626"/>
                <w:sz w:val="11"/>
                <w:szCs w:val="11"/>
              </w:rPr>
              <w:t>4</w:t>
            </w:r>
          </w:p>
        </w:tc>
        <w:tc>
          <w:tcPr>
            <w:tcW w:w="0" w:type="auto"/>
            <w:gridSpan w:val="3"/>
            <w:shd w:val="clear" w:color="auto" w:fill="auto"/>
            <w:tcMar>
              <w:top w:w="0" w:type="dxa"/>
              <w:left w:w="20" w:type="dxa"/>
              <w:bottom w:w="0" w:type="dxa"/>
              <w:right w:w="20" w:type="dxa"/>
            </w:tcMar>
            <w:vAlign w:val="bottom"/>
          </w:tcPr>
          <w:p w14:paraId="5A1B2AC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CA" w14:textId="77777777" w:rsidR="00960BB8" w:rsidRDefault="00C06650">
            <w:pPr>
              <w:jc w:val="right"/>
              <w:textAlignment w:val="bottom"/>
            </w:pPr>
            <w:r>
              <w:rPr>
                <w:rFonts w:ascii="Arial" w:eastAsia="宋体" w:hAnsi="Arial" w:cs="Arial"/>
                <w:color w:val="0068B5"/>
                <w:sz w:val="18"/>
                <w:szCs w:val="18"/>
              </w:rPr>
              <w:t>1,341 </w:t>
            </w:r>
          </w:p>
        </w:tc>
        <w:tc>
          <w:tcPr>
            <w:tcW w:w="0" w:type="auto"/>
            <w:shd w:val="clear" w:color="auto" w:fill="auto"/>
            <w:tcMar>
              <w:top w:w="40" w:type="dxa"/>
              <w:left w:w="0" w:type="dxa"/>
              <w:bottom w:w="40" w:type="dxa"/>
              <w:right w:w="20" w:type="dxa"/>
            </w:tcMar>
            <w:vAlign w:val="bottom"/>
          </w:tcPr>
          <w:p w14:paraId="5A1B2AC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C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CD"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C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C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D0"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D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D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D3" w14:textId="77777777" w:rsidR="00960BB8" w:rsidRDefault="00C06650">
            <w:pPr>
              <w:jc w:val="right"/>
              <w:textAlignment w:val="bottom"/>
            </w:pPr>
            <w:r>
              <w:rPr>
                <w:rFonts w:ascii="Arial" w:eastAsia="宋体" w:hAnsi="Arial" w:cs="Arial"/>
                <w:color w:val="0068B5"/>
                <w:sz w:val="18"/>
                <w:szCs w:val="18"/>
              </w:rPr>
              <w:t>1,341 </w:t>
            </w:r>
          </w:p>
        </w:tc>
        <w:tc>
          <w:tcPr>
            <w:tcW w:w="0" w:type="auto"/>
            <w:shd w:val="clear" w:color="auto" w:fill="auto"/>
            <w:tcMar>
              <w:top w:w="40" w:type="dxa"/>
              <w:left w:w="0" w:type="dxa"/>
              <w:bottom w:w="40" w:type="dxa"/>
              <w:right w:w="20" w:type="dxa"/>
            </w:tcMar>
            <w:vAlign w:val="bottom"/>
          </w:tcPr>
          <w:p w14:paraId="5A1B2AD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D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D6" w14:textId="77777777" w:rsidR="00960BB8" w:rsidRDefault="00C06650">
            <w:pPr>
              <w:jc w:val="right"/>
              <w:textAlignment w:val="bottom"/>
            </w:pPr>
            <w:r>
              <w:rPr>
                <w:rFonts w:ascii="Arial" w:eastAsia="宋体" w:hAnsi="Arial" w:cs="Arial"/>
                <w:color w:val="262626"/>
                <w:sz w:val="18"/>
                <w:szCs w:val="18"/>
              </w:rPr>
              <w:t>1,854 </w:t>
            </w:r>
          </w:p>
        </w:tc>
        <w:tc>
          <w:tcPr>
            <w:tcW w:w="0" w:type="auto"/>
            <w:shd w:val="clear" w:color="auto" w:fill="auto"/>
            <w:tcMar>
              <w:top w:w="40" w:type="dxa"/>
              <w:left w:w="0" w:type="dxa"/>
              <w:bottom w:w="40" w:type="dxa"/>
              <w:right w:w="20" w:type="dxa"/>
            </w:tcMar>
            <w:vAlign w:val="bottom"/>
          </w:tcPr>
          <w:p w14:paraId="5A1B2AD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D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D9" w14:textId="77777777" w:rsidR="00960BB8" w:rsidRDefault="00C06650">
            <w:pPr>
              <w:jc w:val="right"/>
              <w:textAlignment w:val="bottom"/>
            </w:pPr>
            <w:r>
              <w:rPr>
                <w:rFonts w:ascii="Arial" w:eastAsia="宋体" w:hAnsi="Arial" w:cs="Arial"/>
                <w:color w:val="262626"/>
                <w:sz w:val="18"/>
                <w:szCs w:val="18"/>
              </w:rPr>
              <w:t>317 </w:t>
            </w:r>
          </w:p>
        </w:tc>
        <w:tc>
          <w:tcPr>
            <w:tcW w:w="0" w:type="auto"/>
            <w:shd w:val="clear" w:color="auto" w:fill="auto"/>
            <w:tcMar>
              <w:top w:w="40" w:type="dxa"/>
              <w:left w:w="0" w:type="dxa"/>
              <w:bottom w:w="40" w:type="dxa"/>
              <w:right w:w="20" w:type="dxa"/>
            </w:tcMar>
            <w:vAlign w:val="bottom"/>
          </w:tcPr>
          <w:p w14:paraId="5A1B2AD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DB"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ADC"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AD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DE" w14:textId="77777777" w:rsidR="00960BB8" w:rsidRDefault="00C06650">
            <w:pPr>
              <w:jc w:val="right"/>
              <w:textAlignment w:val="bottom"/>
            </w:pPr>
            <w:r>
              <w:rPr>
                <w:rFonts w:ascii="Arial" w:eastAsia="宋体" w:hAnsi="Arial" w:cs="Arial"/>
                <w:color w:val="262626"/>
                <w:sz w:val="18"/>
                <w:szCs w:val="18"/>
              </w:rPr>
              <w:t>2,171 </w:t>
            </w:r>
          </w:p>
        </w:tc>
        <w:tc>
          <w:tcPr>
            <w:tcW w:w="0" w:type="auto"/>
            <w:shd w:val="clear" w:color="auto" w:fill="auto"/>
            <w:tcMar>
              <w:top w:w="40" w:type="dxa"/>
              <w:left w:w="0" w:type="dxa"/>
              <w:bottom w:w="40" w:type="dxa"/>
              <w:right w:w="20" w:type="dxa"/>
            </w:tcMar>
            <w:vAlign w:val="bottom"/>
          </w:tcPr>
          <w:p w14:paraId="5A1B2ADF" w14:textId="77777777" w:rsidR="00960BB8" w:rsidRDefault="00960BB8">
            <w:pPr>
              <w:jc w:val="right"/>
              <w:rPr>
                <w:rFonts w:ascii="宋体"/>
              </w:rPr>
            </w:pPr>
          </w:p>
        </w:tc>
      </w:tr>
      <w:tr w:rsidR="00960BB8" w14:paraId="5A1B2AF2" w14:textId="77777777">
        <w:tc>
          <w:tcPr>
            <w:tcW w:w="0" w:type="auto"/>
            <w:gridSpan w:val="3"/>
            <w:shd w:val="clear" w:color="auto" w:fill="auto"/>
            <w:tcMar>
              <w:top w:w="40" w:type="dxa"/>
              <w:left w:w="20" w:type="dxa"/>
              <w:bottom w:w="40" w:type="dxa"/>
              <w:right w:w="20" w:type="dxa"/>
            </w:tcMar>
            <w:vAlign w:val="center"/>
          </w:tcPr>
          <w:p w14:paraId="5A1B2AE1" w14:textId="77777777" w:rsidR="00960BB8" w:rsidRDefault="00C06650">
            <w:pPr>
              <w:textAlignment w:val="center"/>
            </w:pPr>
            <w:r>
              <w:rPr>
                <w:rFonts w:ascii="Arial" w:eastAsia="宋体" w:hAnsi="Arial" w:cs="Arial"/>
                <w:color w:val="262626"/>
                <w:sz w:val="18"/>
                <w:szCs w:val="18"/>
              </w:rPr>
              <w:t>Other long-term assets:</w:t>
            </w:r>
          </w:p>
        </w:tc>
        <w:tc>
          <w:tcPr>
            <w:tcW w:w="0" w:type="auto"/>
            <w:gridSpan w:val="3"/>
            <w:shd w:val="clear" w:color="auto" w:fill="auto"/>
            <w:tcMar>
              <w:top w:w="0" w:type="dxa"/>
              <w:left w:w="20" w:type="dxa"/>
              <w:bottom w:w="0" w:type="dxa"/>
              <w:right w:w="20" w:type="dxa"/>
            </w:tcMar>
            <w:vAlign w:val="bottom"/>
          </w:tcPr>
          <w:p w14:paraId="5A1B2AE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E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F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AF1" w14:textId="77777777" w:rsidR="00960BB8" w:rsidRDefault="00960BB8">
            <w:pPr>
              <w:rPr>
                <w:rFonts w:ascii="宋体"/>
              </w:rPr>
            </w:pPr>
          </w:p>
        </w:tc>
      </w:tr>
      <w:tr w:rsidR="00960BB8" w14:paraId="5A1B2B0B" w14:textId="77777777">
        <w:tc>
          <w:tcPr>
            <w:tcW w:w="0" w:type="auto"/>
            <w:gridSpan w:val="3"/>
            <w:shd w:val="clear" w:color="auto" w:fill="auto"/>
            <w:tcMar>
              <w:top w:w="40" w:type="dxa"/>
              <w:left w:w="260" w:type="dxa"/>
              <w:bottom w:w="40" w:type="dxa"/>
              <w:right w:w="20" w:type="dxa"/>
            </w:tcMar>
            <w:vAlign w:val="center"/>
          </w:tcPr>
          <w:p w14:paraId="5A1B2AF3" w14:textId="77777777" w:rsidR="00960BB8" w:rsidRDefault="00C06650">
            <w:pPr>
              <w:textAlignment w:val="center"/>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5A1B2AF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F5"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F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F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F8" w14:textId="77777777" w:rsidR="00960BB8" w:rsidRDefault="00C06650">
            <w:pPr>
              <w:jc w:val="right"/>
              <w:textAlignment w:val="bottom"/>
            </w:pPr>
            <w:r>
              <w:rPr>
                <w:rFonts w:ascii="Arial" w:eastAsia="宋体" w:hAnsi="Arial" w:cs="Arial"/>
                <w:color w:val="0068B5"/>
                <w:sz w:val="18"/>
                <w:szCs w:val="18"/>
              </w:rPr>
              <w:t>10 </w:t>
            </w:r>
          </w:p>
        </w:tc>
        <w:tc>
          <w:tcPr>
            <w:tcW w:w="0" w:type="auto"/>
            <w:shd w:val="clear" w:color="auto" w:fill="auto"/>
            <w:tcMar>
              <w:top w:w="40" w:type="dxa"/>
              <w:left w:w="0" w:type="dxa"/>
              <w:bottom w:w="40" w:type="dxa"/>
              <w:right w:w="20" w:type="dxa"/>
            </w:tcMar>
            <w:vAlign w:val="bottom"/>
          </w:tcPr>
          <w:p w14:paraId="5A1B2AF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F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FB"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AF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AF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AFE" w14:textId="77777777" w:rsidR="00960BB8" w:rsidRDefault="00C06650">
            <w:pPr>
              <w:jc w:val="right"/>
              <w:textAlignment w:val="bottom"/>
            </w:pPr>
            <w:r>
              <w:rPr>
                <w:rFonts w:ascii="Arial" w:eastAsia="宋体" w:hAnsi="Arial" w:cs="Arial"/>
                <w:color w:val="0068B5"/>
                <w:sz w:val="18"/>
                <w:szCs w:val="18"/>
              </w:rPr>
              <w:t>10 </w:t>
            </w:r>
          </w:p>
        </w:tc>
        <w:tc>
          <w:tcPr>
            <w:tcW w:w="0" w:type="auto"/>
            <w:shd w:val="clear" w:color="auto" w:fill="auto"/>
            <w:tcMar>
              <w:top w:w="40" w:type="dxa"/>
              <w:left w:w="0" w:type="dxa"/>
              <w:bottom w:w="40" w:type="dxa"/>
              <w:right w:w="20" w:type="dxa"/>
            </w:tcMar>
            <w:vAlign w:val="bottom"/>
          </w:tcPr>
          <w:p w14:paraId="5A1B2AF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00"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B01"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B0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03" w14:textId="77777777" w:rsidR="00960BB8" w:rsidRDefault="00C06650">
            <w:pPr>
              <w:jc w:val="right"/>
              <w:textAlignment w:val="bottom"/>
            </w:pPr>
            <w:r>
              <w:rPr>
                <w:rFonts w:ascii="Arial" w:eastAsia="宋体" w:hAnsi="Arial" w:cs="Arial"/>
                <w:color w:val="262626"/>
                <w:sz w:val="18"/>
                <w:szCs w:val="18"/>
              </w:rPr>
              <w:t>772 </w:t>
            </w:r>
          </w:p>
        </w:tc>
        <w:tc>
          <w:tcPr>
            <w:tcW w:w="0" w:type="auto"/>
            <w:shd w:val="clear" w:color="auto" w:fill="auto"/>
            <w:tcMar>
              <w:top w:w="40" w:type="dxa"/>
              <w:left w:w="0" w:type="dxa"/>
              <w:bottom w:w="40" w:type="dxa"/>
              <w:right w:w="20" w:type="dxa"/>
            </w:tcMar>
            <w:vAlign w:val="bottom"/>
          </w:tcPr>
          <w:p w14:paraId="5A1B2B0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0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06" w14:textId="77777777" w:rsidR="00960BB8" w:rsidRDefault="00C06650">
            <w:pPr>
              <w:jc w:val="right"/>
              <w:textAlignment w:val="bottom"/>
            </w:pPr>
            <w:r>
              <w:rPr>
                <w:rFonts w:ascii="Arial" w:eastAsia="宋体" w:hAnsi="Arial" w:cs="Arial"/>
                <w:color w:val="262626"/>
                <w:sz w:val="18"/>
                <w:szCs w:val="18"/>
              </w:rPr>
              <w:t>7 </w:t>
            </w:r>
          </w:p>
        </w:tc>
        <w:tc>
          <w:tcPr>
            <w:tcW w:w="0" w:type="auto"/>
            <w:shd w:val="clear" w:color="auto" w:fill="auto"/>
            <w:tcMar>
              <w:top w:w="40" w:type="dxa"/>
              <w:left w:w="0" w:type="dxa"/>
              <w:bottom w:w="40" w:type="dxa"/>
              <w:right w:w="20" w:type="dxa"/>
            </w:tcMar>
            <w:vAlign w:val="bottom"/>
          </w:tcPr>
          <w:p w14:paraId="5A1B2B0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0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09" w14:textId="77777777" w:rsidR="00960BB8" w:rsidRDefault="00C06650">
            <w:pPr>
              <w:jc w:val="right"/>
              <w:textAlignment w:val="bottom"/>
            </w:pPr>
            <w:r>
              <w:rPr>
                <w:rFonts w:ascii="Arial" w:eastAsia="宋体" w:hAnsi="Arial" w:cs="Arial"/>
                <w:color w:val="262626"/>
                <w:sz w:val="18"/>
                <w:szCs w:val="18"/>
              </w:rPr>
              <w:t>779 </w:t>
            </w:r>
          </w:p>
        </w:tc>
        <w:tc>
          <w:tcPr>
            <w:tcW w:w="0" w:type="auto"/>
            <w:shd w:val="clear" w:color="auto" w:fill="auto"/>
            <w:tcMar>
              <w:top w:w="40" w:type="dxa"/>
              <w:left w:w="0" w:type="dxa"/>
              <w:bottom w:w="40" w:type="dxa"/>
              <w:right w:w="20" w:type="dxa"/>
            </w:tcMar>
            <w:vAlign w:val="bottom"/>
          </w:tcPr>
          <w:p w14:paraId="5A1B2B0A" w14:textId="77777777" w:rsidR="00960BB8" w:rsidRDefault="00960BB8">
            <w:pPr>
              <w:jc w:val="right"/>
              <w:rPr>
                <w:rFonts w:ascii="宋体"/>
              </w:rPr>
            </w:pPr>
          </w:p>
        </w:tc>
      </w:tr>
      <w:tr w:rsidR="00960BB8" w14:paraId="5A1B2B23" w14:textId="77777777">
        <w:tc>
          <w:tcPr>
            <w:tcW w:w="0" w:type="auto"/>
            <w:gridSpan w:val="3"/>
            <w:shd w:val="clear" w:color="auto" w:fill="auto"/>
            <w:tcMar>
              <w:top w:w="40" w:type="dxa"/>
              <w:left w:w="20" w:type="dxa"/>
              <w:bottom w:w="40" w:type="dxa"/>
              <w:right w:w="20" w:type="dxa"/>
            </w:tcMar>
            <w:vAlign w:val="center"/>
          </w:tcPr>
          <w:p w14:paraId="5A1B2B0C" w14:textId="77777777" w:rsidR="00960BB8" w:rsidRDefault="00C06650">
            <w:pPr>
              <w:ind w:hanging="180"/>
              <w:textAlignment w:val="center"/>
            </w:pPr>
            <w:r>
              <w:rPr>
                <w:rFonts w:ascii="Arial" w:eastAsia="宋体" w:hAnsi="Arial" w:cs="Arial"/>
                <w:color w:val="262626"/>
                <w:sz w:val="18"/>
                <w:szCs w:val="18"/>
              </w:rPr>
              <w:t>Loans receivable</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5A1B2B0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0E"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B0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1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11"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B1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1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14"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B1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1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17"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B1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19"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B1A"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B1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1C" w14:textId="77777777" w:rsidR="00960BB8" w:rsidRDefault="00C06650">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5A1B2B1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1E"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B1F"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B2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21" w14:textId="77777777" w:rsidR="00960BB8" w:rsidRDefault="00C06650">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5A1B2B22" w14:textId="77777777" w:rsidR="00960BB8" w:rsidRDefault="00960BB8">
            <w:pPr>
              <w:jc w:val="right"/>
              <w:rPr>
                <w:rFonts w:ascii="宋体"/>
              </w:rPr>
            </w:pPr>
          </w:p>
        </w:tc>
      </w:tr>
      <w:tr w:rsidR="00960BB8" w14:paraId="5A1B2B45" w14:textId="77777777">
        <w:tc>
          <w:tcPr>
            <w:tcW w:w="0" w:type="auto"/>
            <w:gridSpan w:val="3"/>
            <w:shd w:val="clear" w:color="auto" w:fill="auto"/>
            <w:tcMar>
              <w:top w:w="40" w:type="dxa"/>
              <w:left w:w="20" w:type="dxa"/>
              <w:bottom w:w="40" w:type="dxa"/>
              <w:right w:w="20" w:type="dxa"/>
            </w:tcMar>
            <w:vAlign w:val="bottom"/>
          </w:tcPr>
          <w:p w14:paraId="5A1B2B24" w14:textId="77777777" w:rsidR="00960BB8" w:rsidRDefault="00C06650">
            <w:pPr>
              <w:textAlignment w:val="bottom"/>
            </w:pPr>
            <w:r>
              <w:rPr>
                <w:rFonts w:ascii="Arial" w:eastAsia="宋体" w:hAnsi="Arial" w:cs="Arial"/>
                <w:b/>
                <w:bCs/>
                <w:color w:val="262626"/>
                <w:sz w:val="18"/>
                <w:szCs w:val="18"/>
              </w:rPr>
              <w:t>Total assets mea</w:t>
            </w:r>
            <w:r>
              <w:rPr>
                <w:rFonts w:ascii="Arial" w:eastAsia="宋体" w:hAnsi="Arial" w:cs="Arial"/>
                <w:b/>
                <w:bCs/>
                <w:color w:val="262626"/>
                <w:sz w:val="18"/>
                <w:szCs w:val="18"/>
              </w:rPr>
              <w:t>sured and recorded at fair value</w:t>
            </w:r>
          </w:p>
        </w:tc>
        <w:tc>
          <w:tcPr>
            <w:tcW w:w="0" w:type="auto"/>
            <w:gridSpan w:val="3"/>
            <w:shd w:val="clear" w:color="auto" w:fill="auto"/>
            <w:tcMar>
              <w:top w:w="0" w:type="dxa"/>
              <w:left w:w="20" w:type="dxa"/>
              <w:bottom w:w="0" w:type="dxa"/>
              <w:right w:w="20" w:type="dxa"/>
            </w:tcMar>
            <w:vAlign w:val="bottom"/>
          </w:tcPr>
          <w:p w14:paraId="5A1B2B25"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2B26"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2B27" w14:textId="77777777" w:rsidR="00960BB8" w:rsidRDefault="00C06650">
            <w:pPr>
              <w:jc w:val="right"/>
              <w:textAlignment w:val="bottom"/>
            </w:pPr>
            <w:r>
              <w:rPr>
                <w:rFonts w:ascii="Arial" w:eastAsia="宋体" w:hAnsi="Arial" w:cs="Arial"/>
                <w:b/>
                <w:bCs/>
                <w:color w:val="0068B5"/>
                <w:sz w:val="18"/>
                <w:szCs w:val="18"/>
              </w:rPr>
              <w:t>8,484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B2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29"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2B2A"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2B2B" w14:textId="77777777" w:rsidR="00960BB8" w:rsidRDefault="00C06650">
            <w:pPr>
              <w:jc w:val="right"/>
              <w:textAlignment w:val="bottom"/>
            </w:pPr>
            <w:r>
              <w:rPr>
                <w:rFonts w:ascii="Arial" w:eastAsia="宋体" w:hAnsi="Arial" w:cs="Arial"/>
                <w:b/>
                <w:bCs/>
                <w:color w:val="0068B5"/>
                <w:sz w:val="18"/>
                <w:szCs w:val="18"/>
              </w:rPr>
              <w:t>21,908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B2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2D"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2B2E"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2B2F" w14:textId="77777777" w:rsidR="00960BB8" w:rsidRDefault="00C06650">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B3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31"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2B32"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2B33" w14:textId="77777777" w:rsidR="00960BB8" w:rsidRDefault="00C06650">
            <w:pPr>
              <w:jc w:val="right"/>
              <w:textAlignment w:val="bottom"/>
            </w:pPr>
            <w:r>
              <w:rPr>
                <w:rFonts w:ascii="Arial" w:eastAsia="宋体" w:hAnsi="Arial" w:cs="Arial"/>
                <w:b/>
                <w:bCs/>
                <w:color w:val="0068B5"/>
                <w:sz w:val="18"/>
                <w:szCs w:val="18"/>
              </w:rPr>
              <w:t>30,392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B3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35"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2B36"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2B37" w14:textId="77777777" w:rsidR="00960BB8" w:rsidRDefault="00C06650">
            <w:pPr>
              <w:jc w:val="right"/>
              <w:textAlignment w:val="bottom"/>
            </w:pPr>
            <w:r>
              <w:rPr>
                <w:rFonts w:ascii="Arial" w:eastAsia="宋体" w:hAnsi="Arial" w:cs="Arial"/>
                <w:b/>
                <w:bCs/>
                <w:color w:val="262626"/>
                <w:sz w:val="18"/>
                <w:szCs w:val="18"/>
              </w:rPr>
              <w:t>3,354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B3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39"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2B3A"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2B3B" w14:textId="77777777" w:rsidR="00960BB8" w:rsidRDefault="00C06650">
            <w:pPr>
              <w:jc w:val="right"/>
              <w:textAlignment w:val="bottom"/>
            </w:pPr>
            <w:r>
              <w:rPr>
                <w:rFonts w:ascii="Arial" w:eastAsia="宋体" w:hAnsi="Arial" w:cs="Arial"/>
                <w:b/>
                <w:bCs/>
                <w:color w:val="262626"/>
                <w:sz w:val="18"/>
                <w:szCs w:val="18"/>
              </w:rPr>
              <w:t>28,519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B3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3D"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2B3E"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2B3F" w14:textId="77777777" w:rsidR="00960BB8" w:rsidRDefault="00C06650">
            <w:pPr>
              <w:jc w:val="right"/>
              <w:textAlignment w:val="bottom"/>
            </w:pPr>
            <w:r>
              <w:rPr>
                <w:rFonts w:ascii="Arial" w:eastAsia="宋体" w:hAnsi="Arial" w:cs="Arial"/>
                <w:b/>
                <w:bCs/>
                <w:color w:val="262626"/>
                <w:sz w:val="18"/>
                <w:szCs w:val="18"/>
              </w:rPr>
              <w:t>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B4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41"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2B42"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2B43" w14:textId="77777777" w:rsidR="00960BB8" w:rsidRDefault="00C06650">
            <w:pPr>
              <w:jc w:val="right"/>
              <w:textAlignment w:val="bottom"/>
            </w:pPr>
            <w:r>
              <w:rPr>
                <w:rFonts w:ascii="Arial" w:eastAsia="宋体" w:hAnsi="Arial" w:cs="Arial"/>
                <w:b/>
                <w:bCs/>
                <w:color w:val="262626"/>
                <w:sz w:val="18"/>
                <w:szCs w:val="18"/>
              </w:rPr>
              <w:t>31,880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B44" w14:textId="77777777" w:rsidR="00960BB8" w:rsidRDefault="00960BB8">
            <w:pPr>
              <w:jc w:val="right"/>
              <w:rPr>
                <w:rFonts w:ascii="宋体"/>
              </w:rPr>
            </w:pPr>
          </w:p>
        </w:tc>
      </w:tr>
      <w:tr w:rsidR="00960BB8" w14:paraId="5A1B2B57" w14:textId="77777777">
        <w:tc>
          <w:tcPr>
            <w:tcW w:w="0" w:type="auto"/>
            <w:gridSpan w:val="3"/>
            <w:shd w:val="clear" w:color="auto" w:fill="auto"/>
            <w:tcMar>
              <w:top w:w="40" w:type="dxa"/>
              <w:left w:w="20" w:type="dxa"/>
              <w:bottom w:w="40" w:type="dxa"/>
              <w:right w:w="20" w:type="dxa"/>
            </w:tcMar>
            <w:vAlign w:val="bottom"/>
          </w:tcPr>
          <w:p w14:paraId="5A1B2B46" w14:textId="77777777" w:rsidR="00960BB8" w:rsidRDefault="00C06650">
            <w:pPr>
              <w:textAlignment w:val="bottom"/>
            </w:pPr>
            <w:r>
              <w:rPr>
                <w:rFonts w:ascii="Arial" w:eastAsia="宋体" w:hAnsi="Arial" w:cs="Arial"/>
                <w:b/>
                <w:bCs/>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5A1B2B47"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B4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49"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B4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4B"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B4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4D"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B4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4F"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B5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51"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B5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53"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B5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55"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B56" w14:textId="77777777" w:rsidR="00960BB8" w:rsidRDefault="00960BB8">
            <w:pPr>
              <w:rPr>
                <w:rFonts w:ascii="宋体"/>
              </w:rPr>
            </w:pPr>
          </w:p>
        </w:tc>
      </w:tr>
      <w:tr w:rsidR="00960BB8" w14:paraId="5A1B2B69" w14:textId="77777777">
        <w:tc>
          <w:tcPr>
            <w:tcW w:w="0" w:type="auto"/>
            <w:gridSpan w:val="3"/>
            <w:shd w:val="clear" w:color="auto" w:fill="auto"/>
            <w:tcMar>
              <w:top w:w="40" w:type="dxa"/>
              <w:left w:w="20" w:type="dxa"/>
              <w:bottom w:w="40" w:type="dxa"/>
              <w:right w:w="20" w:type="dxa"/>
            </w:tcMar>
            <w:vAlign w:val="bottom"/>
          </w:tcPr>
          <w:p w14:paraId="5A1B2B58" w14:textId="77777777" w:rsidR="00960BB8" w:rsidRDefault="00C06650">
            <w:pPr>
              <w:textAlignment w:val="bottom"/>
            </w:pPr>
            <w:r>
              <w:rPr>
                <w:rFonts w:ascii="Arial" w:eastAsia="宋体" w:hAnsi="Arial" w:cs="Arial"/>
                <w:color w:val="262626"/>
                <w:sz w:val="18"/>
                <w:szCs w:val="18"/>
              </w:rPr>
              <w:t>Other acc</w:t>
            </w:r>
            <w:r>
              <w:rPr>
                <w:rFonts w:ascii="Arial" w:eastAsia="宋体" w:hAnsi="Arial" w:cs="Arial"/>
                <w:color w:val="262626"/>
                <w:sz w:val="18"/>
                <w:szCs w:val="18"/>
              </w:rPr>
              <w:t>rued liabilities:</w:t>
            </w:r>
          </w:p>
        </w:tc>
        <w:tc>
          <w:tcPr>
            <w:tcW w:w="0" w:type="auto"/>
            <w:gridSpan w:val="3"/>
            <w:shd w:val="clear" w:color="auto" w:fill="auto"/>
            <w:tcMar>
              <w:top w:w="0" w:type="dxa"/>
              <w:left w:w="20" w:type="dxa"/>
              <w:bottom w:w="0" w:type="dxa"/>
              <w:right w:w="20" w:type="dxa"/>
            </w:tcMar>
            <w:vAlign w:val="bottom"/>
          </w:tcPr>
          <w:p w14:paraId="5A1B2B5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5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5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5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5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5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5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6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6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6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6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6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6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6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6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68" w14:textId="77777777" w:rsidR="00960BB8" w:rsidRDefault="00960BB8">
            <w:pPr>
              <w:rPr>
                <w:rFonts w:ascii="宋体"/>
              </w:rPr>
            </w:pPr>
          </w:p>
        </w:tc>
      </w:tr>
      <w:tr w:rsidR="00960BB8" w14:paraId="5A1B2B89" w14:textId="77777777">
        <w:tc>
          <w:tcPr>
            <w:tcW w:w="0" w:type="auto"/>
            <w:gridSpan w:val="3"/>
            <w:shd w:val="clear" w:color="auto" w:fill="auto"/>
            <w:tcMar>
              <w:top w:w="40" w:type="dxa"/>
              <w:left w:w="275" w:type="dxa"/>
              <w:bottom w:w="40" w:type="dxa"/>
              <w:right w:w="20" w:type="dxa"/>
            </w:tcMar>
            <w:vAlign w:val="bottom"/>
          </w:tcPr>
          <w:p w14:paraId="5A1B2B6A" w14:textId="77777777" w:rsidR="00960BB8" w:rsidRDefault="00C06650">
            <w:pPr>
              <w:textAlignment w:val="bottom"/>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5A1B2B6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B6C"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B6D" w14:textId="77777777" w:rsidR="00960BB8" w:rsidRDefault="00C06650">
            <w:pPr>
              <w:jc w:val="right"/>
              <w:textAlignment w:val="bottom"/>
            </w:pPr>
            <w:r>
              <w:rPr>
                <w:rFonts w:ascii="Arial" w:eastAsia="宋体" w:hAnsi="Arial" w:cs="Arial"/>
                <w:color w:val="0068B5"/>
                <w:sz w:val="18"/>
                <w:szCs w:val="18"/>
              </w:rPr>
              <w:t>111 </w:t>
            </w:r>
          </w:p>
        </w:tc>
        <w:tc>
          <w:tcPr>
            <w:tcW w:w="0" w:type="auto"/>
            <w:shd w:val="clear" w:color="auto" w:fill="auto"/>
            <w:tcMar>
              <w:top w:w="40" w:type="dxa"/>
              <w:left w:w="0" w:type="dxa"/>
              <w:bottom w:w="40" w:type="dxa"/>
              <w:right w:w="20" w:type="dxa"/>
            </w:tcMar>
            <w:vAlign w:val="bottom"/>
          </w:tcPr>
          <w:p w14:paraId="5A1B2B6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6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B70"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B71" w14:textId="77777777" w:rsidR="00960BB8" w:rsidRDefault="00C06650">
            <w:pPr>
              <w:jc w:val="right"/>
              <w:textAlignment w:val="bottom"/>
            </w:pPr>
            <w:r>
              <w:rPr>
                <w:rFonts w:ascii="Arial" w:eastAsia="宋体" w:hAnsi="Arial" w:cs="Arial"/>
                <w:color w:val="0068B5"/>
                <w:sz w:val="18"/>
                <w:szCs w:val="18"/>
              </w:rPr>
              <w:t>485 </w:t>
            </w:r>
          </w:p>
        </w:tc>
        <w:tc>
          <w:tcPr>
            <w:tcW w:w="0" w:type="auto"/>
            <w:shd w:val="clear" w:color="auto" w:fill="auto"/>
            <w:tcMar>
              <w:top w:w="40" w:type="dxa"/>
              <w:left w:w="0" w:type="dxa"/>
              <w:bottom w:w="40" w:type="dxa"/>
              <w:right w:w="20" w:type="dxa"/>
            </w:tcMar>
            <w:vAlign w:val="bottom"/>
          </w:tcPr>
          <w:p w14:paraId="5A1B2B7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7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B74"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B75" w14:textId="77777777" w:rsidR="00960BB8" w:rsidRDefault="00C06650">
            <w:pPr>
              <w:jc w:val="right"/>
              <w:textAlignment w:val="bottom"/>
            </w:pPr>
            <w:r>
              <w:rPr>
                <w:rFonts w:ascii="Arial" w:eastAsia="宋体" w:hAnsi="Arial" w:cs="Arial"/>
                <w:color w:val="0068B5"/>
                <w:sz w:val="18"/>
                <w:szCs w:val="18"/>
              </w:rPr>
              <w:t>89 </w:t>
            </w:r>
          </w:p>
        </w:tc>
        <w:tc>
          <w:tcPr>
            <w:tcW w:w="0" w:type="auto"/>
            <w:shd w:val="clear" w:color="auto" w:fill="auto"/>
            <w:tcMar>
              <w:top w:w="40" w:type="dxa"/>
              <w:left w:w="0" w:type="dxa"/>
              <w:bottom w:w="40" w:type="dxa"/>
              <w:right w:w="20" w:type="dxa"/>
            </w:tcMar>
            <w:vAlign w:val="bottom"/>
          </w:tcPr>
          <w:p w14:paraId="5A1B2B7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7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B78"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B79" w14:textId="77777777" w:rsidR="00960BB8" w:rsidRDefault="00C06650">
            <w:pPr>
              <w:jc w:val="right"/>
              <w:textAlignment w:val="bottom"/>
            </w:pPr>
            <w:r>
              <w:rPr>
                <w:rFonts w:ascii="Arial" w:eastAsia="宋体" w:hAnsi="Arial" w:cs="Arial"/>
                <w:color w:val="0068B5"/>
                <w:sz w:val="18"/>
                <w:szCs w:val="18"/>
              </w:rPr>
              <w:t>685 </w:t>
            </w:r>
          </w:p>
        </w:tc>
        <w:tc>
          <w:tcPr>
            <w:tcW w:w="0" w:type="auto"/>
            <w:shd w:val="clear" w:color="auto" w:fill="auto"/>
            <w:tcMar>
              <w:top w:w="40" w:type="dxa"/>
              <w:left w:w="0" w:type="dxa"/>
              <w:bottom w:w="40" w:type="dxa"/>
              <w:right w:w="20" w:type="dxa"/>
            </w:tcMar>
            <w:vAlign w:val="bottom"/>
          </w:tcPr>
          <w:p w14:paraId="5A1B2B7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7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B7C" w14:textId="77777777" w:rsidR="00960BB8" w:rsidRDefault="00C06650">
            <w:pPr>
              <w:textAlignment w:val="bottom"/>
            </w:pPr>
            <w:r>
              <w:rPr>
                <w:rFonts w:ascii="Arial" w:eastAsia="宋体" w:hAnsi="Arial" w:cs="Arial"/>
                <w:color w:val="262626"/>
                <w:sz w:val="18"/>
                <w:szCs w:val="18"/>
              </w:rPr>
              <w:t>$</w:t>
            </w:r>
          </w:p>
        </w:tc>
        <w:tc>
          <w:tcPr>
            <w:tcW w:w="0" w:type="auto"/>
            <w:gridSpan w:val="2"/>
            <w:shd w:val="clear" w:color="auto" w:fill="auto"/>
            <w:tcMar>
              <w:top w:w="40" w:type="dxa"/>
              <w:left w:w="0" w:type="dxa"/>
              <w:bottom w:w="40" w:type="dxa"/>
              <w:right w:w="140" w:type="dxa"/>
            </w:tcMar>
            <w:vAlign w:val="bottom"/>
          </w:tcPr>
          <w:p w14:paraId="5A1B2B7D" w14:textId="77777777" w:rsidR="00960BB8" w:rsidRDefault="00C06650">
            <w:pPr>
              <w:jc w:val="right"/>
              <w:textAlignment w:val="bottom"/>
            </w:pPr>
            <w:r>
              <w:rPr>
                <w:rFonts w:ascii="Arial" w:eastAsia="宋体" w:hAnsi="Arial" w:cs="Arial"/>
                <w:color w:val="262626"/>
                <w:sz w:val="18"/>
                <w:szCs w:val="18"/>
              </w:rPr>
              <w:t>4</w:t>
            </w:r>
          </w:p>
        </w:tc>
        <w:tc>
          <w:tcPr>
            <w:tcW w:w="0" w:type="auto"/>
            <w:gridSpan w:val="3"/>
            <w:shd w:val="clear" w:color="auto" w:fill="auto"/>
            <w:tcMar>
              <w:top w:w="0" w:type="dxa"/>
              <w:left w:w="20" w:type="dxa"/>
              <w:bottom w:w="0" w:type="dxa"/>
              <w:right w:w="20" w:type="dxa"/>
            </w:tcMar>
            <w:vAlign w:val="bottom"/>
          </w:tcPr>
          <w:p w14:paraId="5A1B2B7E"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B7F"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2B80" w14:textId="77777777" w:rsidR="00960BB8" w:rsidRDefault="00C06650">
            <w:pPr>
              <w:jc w:val="right"/>
              <w:textAlignment w:val="bottom"/>
            </w:pPr>
            <w:r>
              <w:rPr>
                <w:rFonts w:ascii="Arial" w:eastAsia="宋体" w:hAnsi="Arial" w:cs="Arial"/>
                <w:color w:val="262626"/>
                <w:sz w:val="18"/>
                <w:szCs w:val="18"/>
              </w:rPr>
              <w:t>516 </w:t>
            </w:r>
          </w:p>
        </w:tc>
        <w:tc>
          <w:tcPr>
            <w:tcW w:w="0" w:type="auto"/>
            <w:shd w:val="clear" w:color="auto" w:fill="auto"/>
            <w:tcMar>
              <w:top w:w="40" w:type="dxa"/>
              <w:left w:w="0" w:type="dxa"/>
              <w:bottom w:w="40" w:type="dxa"/>
              <w:right w:w="20" w:type="dxa"/>
            </w:tcMar>
            <w:vAlign w:val="bottom"/>
          </w:tcPr>
          <w:p w14:paraId="5A1B2B8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82"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B83" w14:textId="77777777" w:rsidR="00960BB8" w:rsidRDefault="00C06650">
            <w:pPr>
              <w:textAlignment w:val="bottom"/>
            </w:pPr>
            <w:r>
              <w:rPr>
                <w:rFonts w:ascii="Arial" w:eastAsia="宋体" w:hAnsi="Arial" w:cs="Arial"/>
                <w:color w:val="262626"/>
                <w:sz w:val="18"/>
                <w:szCs w:val="18"/>
              </w:rPr>
              <w:t>$</w:t>
            </w:r>
          </w:p>
        </w:tc>
        <w:tc>
          <w:tcPr>
            <w:tcW w:w="0" w:type="auto"/>
            <w:gridSpan w:val="2"/>
            <w:shd w:val="clear" w:color="auto" w:fill="auto"/>
            <w:tcMar>
              <w:top w:w="40" w:type="dxa"/>
              <w:left w:w="0" w:type="dxa"/>
              <w:bottom w:w="40" w:type="dxa"/>
              <w:right w:w="140" w:type="dxa"/>
            </w:tcMar>
            <w:vAlign w:val="bottom"/>
          </w:tcPr>
          <w:p w14:paraId="5A1B2B84"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B85"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B86"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2B87" w14:textId="77777777" w:rsidR="00960BB8" w:rsidRDefault="00C06650">
            <w:pPr>
              <w:jc w:val="right"/>
              <w:textAlignment w:val="bottom"/>
            </w:pPr>
            <w:r>
              <w:rPr>
                <w:rFonts w:ascii="Arial" w:eastAsia="宋体" w:hAnsi="Arial" w:cs="Arial"/>
                <w:color w:val="262626"/>
                <w:sz w:val="18"/>
                <w:szCs w:val="18"/>
              </w:rPr>
              <w:t>520 </w:t>
            </w:r>
          </w:p>
        </w:tc>
        <w:tc>
          <w:tcPr>
            <w:tcW w:w="0" w:type="auto"/>
            <w:shd w:val="clear" w:color="auto" w:fill="auto"/>
            <w:tcMar>
              <w:top w:w="40" w:type="dxa"/>
              <w:left w:w="0" w:type="dxa"/>
              <w:bottom w:w="40" w:type="dxa"/>
              <w:right w:w="20" w:type="dxa"/>
            </w:tcMar>
            <w:vAlign w:val="bottom"/>
          </w:tcPr>
          <w:p w14:paraId="5A1B2B88" w14:textId="77777777" w:rsidR="00960BB8" w:rsidRDefault="00960BB8">
            <w:pPr>
              <w:jc w:val="right"/>
              <w:rPr>
                <w:rFonts w:ascii="宋体"/>
              </w:rPr>
            </w:pPr>
          </w:p>
        </w:tc>
      </w:tr>
      <w:tr w:rsidR="00960BB8" w14:paraId="5A1B2B9B" w14:textId="77777777">
        <w:trPr>
          <w:hidden/>
        </w:trPr>
        <w:tc>
          <w:tcPr>
            <w:tcW w:w="0" w:type="auto"/>
            <w:gridSpan w:val="3"/>
            <w:shd w:val="clear" w:color="auto" w:fill="auto"/>
            <w:vAlign w:val="bottom"/>
          </w:tcPr>
          <w:p w14:paraId="5A1B2B8A" w14:textId="77777777" w:rsidR="00960BB8" w:rsidRDefault="00960BB8">
            <w:pPr>
              <w:rPr>
                <w:rFonts w:ascii="宋体"/>
                <w:vanish/>
              </w:rPr>
            </w:pPr>
          </w:p>
        </w:tc>
        <w:tc>
          <w:tcPr>
            <w:tcW w:w="0" w:type="auto"/>
            <w:gridSpan w:val="3"/>
            <w:shd w:val="clear" w:color="auto" w:fill="auto"/>
            <w:vAlign w:val="bottom"/>
          </w:tcPr>
          <w:p w14:paraId="5A1B2B8B" w14:textId="77777777" w:rsidR="00960BB8" w:rsidRDefault="00960BB8">
            <w:pPr>
              <w:rPr>
                <w:rFonts w:ascii="宋体"/>
                <w:vanish/>
              </w:rPr>
            </w:pPr>
          </w:p>
        </w:tc>
        <w:tc>
          <w:tcPr>
            <w:tcW w:w="0" w:type="auto"/>
            <w:gridSpan w:val="3"/>
            <w:shd w:val="clear" w:color="auto" w:fill="auto"/>
            <w:vAlign w:val="bottom"/>
          </w:tcPr>
          <w:p w14:paraId="5A1B2B8C" w14:textId="77777777" w:rsidR="00960BB8" w:rsidRDefault="00960BB8">
            <w:pPr>
              <w:rPr>
                <w:rFonts w:ascii="宋体"/>
                <w:vanish/>
              </w:rPr>
            </w:pPr>
          </w:p>
        </w:tc>
        <w:tc>
          <w:tcPr>
            <w:tcW w:w="0" w:type="auto"/>
            <w:gridSpan w:val="3"/>
            <w:shd w:val="clear" w:color="auto" w:fill="auto"/>
            <w:vAlign w:val="bottom"/>
          </w:tcPr>
          <w:p w14:paraId="5A1B2B8D" w14:textId="77777777" w:rsidR="00960BB8" w:rsidRDefault="00960BB8">
            <w:pPr>
              <w:rPr>
                <w:rFonts w:ascii="宋体"/>
                <w:vanish/>
              </w:rPr>
            </w:pPr>
          </w:p>
        </w:tc>
        <w:tc>
          <w:tcPr>
            <w:tcW w:w="0" w:type="auto"/>
            <w:gridSpan w:val="3"/>
            <w:shd w:val="clear" w:color="auto" w:fill="auto"/>
            <w:vAlign w:val="bottom"/>
          </w:tcPr>
          <w:p w14:paraId="5A1B2B8E" w14:textId="77777777" w:rsidR="00960BB8" w:rsidRDefault="00960BB8">
            <w:pPr>
              <w:rPr>
                <w:rFonts w:ascii="宋体"/>
                <w:vanish/>
              </w:rPr>
            </w:pPr>
          </w:p>
        </w:tc>
        <w:tc>
          <w:tcPr>
            <w:tcW w:w="0" w:type="auto"/>
            <w:gridSpan w:val="3"/>
            <w:shd w:val="clear" w:color="auto" w:fill="auto"/>
            <w:vAlign w:val="bottom"/>
          </w:tcPr>
          <w:p w14:paraId="5A1B2B8F" w14:textId="77777777" w:rsidR="00960BB8" w:rsidRDefault="00960BB8">
            <w:pPr>
              <w:rPr>
                <w:rFonts w:ascii="宋体"/>
                <w:vanish/>
              </w:rPr>
            </w:pPr>
          </w:p>
        </w:tc>
        <w:tc>
          <w:tcPr>
            <w:tcW w:w="0" w:type="auto"/>
            <w:gridSpan w:val="3"/>
            <w:shd w:val="clear" w:color="auto" w:fill="auto"/>
            <w:vAlign w:val="bottom"/>
          </w:tcPr>
          <w:p w14:paraId="5A1B2B90" w14:textId="77777777" w:rsidR="00960BB8" w:rsidRDefault="00960BB8">
            <w:pPr>
              <w:rPr>
                <w:rFonts w:ascii="宋体"/>
                <w:vanish/>
              </w:rPr>
            </w:pPr>
          </w:p>
        </w:tc>
        <w:tc>
          <w:tcPr>
            <w:tcW w:w="0" w:type="auto"/>
            <w:gridSpan w:val="3"/>
            <w:shd w:val="clear" w:color="auto" w:fill="auto"/>
            <w:vAlign w:val="bottom"/>
          </w:tcPr>
          <w:p w14:paraId="5A1B2B91" w14:textId="77777777" w:rsidR="00960BB8" w:rsidRDefault="00960BB8">
            <w:pPr>
              <w:rPr>
                <w:rFonts w:ascii="宋体"/>
                <w:vanish/>
              </w:rPr>
            </w:pPr>
          </w:p>
        </w:tc>
        <w:tc>
          <w:tcPr>
            <w:tcW w:w="0" w:type="auto"/>
            <w:gridSpan w:val="3"/>
            <w:shd w:val="clear" w:color="auto" w:fill="auto"/>
            <w:vAlign w:val="bottom"/>
          </w:tcPr>
          <w:p w14:paraId="5A1B2B92" w14:textId="77777777" w:rsidR="00960BB8" w:rsidRDefault="00960BB8">
            <w:pPr>
              <w:rPr>
                <w:rFonts w:ascii="宋体"/>
                <w:vanish/>
              </w:rPr>
            </w:pPr>
          </w:p>
        </w:tc>
        <w:tc>
          <w:tcPr>
            <w:tcW w:w="0" w:type="auto"/>
            <w:gridSpan w:val="3"/>
            <w:shd w:val="clear" w:color="auto" w:fill="auto"/>
            <w:vAlign w:val="bottom"/>
          </w:tcPr>
          <w:p w14:paraId="5A1B2B93" w14:textId="77777777" w:rsidR="00960BB8" w:rsidRDefault="00960BB8">
            <w:pPr>
              <w:rPr>
                <w:rFonts w:ascii="宋体"/>
                <w:vanish/>
              </w:rPr>
            </w:pPr>
          </w:p>
        </w:tc>
        <w:tc>
          <w:tcPr>
            <w:tcW w:w="0" w:type="auto"/>
            <w:gridSpan w:val="3"/>
            <w:shd w:val="clear" w:color="auto" w:fill="auto"/>
            <w:vAlign w:val="bottom"/>
          </w:tcPr>
          <w:p w14:paraId="5A1B2B94" w14:textId="77777777" w:rsidR="00960BB8" w:rsidRDefault="00960BB8">
            <w:pPr>
              <w:rPr>
                <w:rFonts w:ascii="宋体"/>
                <w:vanish/>
              </w:rPr>
            </w:pPr>
          </w:p>
        </w:tc>
        <w:tc>
          <w:tcPr>
            <w:tcW w:w="0" w:type="auto"/>
            <w:gridSpan w:val="3"/>
            <w:shd w:val="clear" w:color="auto" w:fill="auto"/>
            <w:vAlign w:val="bottom"/>
          </w:tcPr>
          <w:p w14:paraId="5A1B2B95" w14:textId="77777777" w:rsidR="00960BB8" w:rsidRDefault="00960BB8">
            <w:pPr>
              <w:rPr>
                <w:rFonts w:ascii="宋体"/>
                <w:vanish/>
              </w:rPr>
            </w:pPr>
          </w:p>
        </w:tc>
        <w:tc>
          <w:tcPr>
            <w:tcW w:w="0" w:type="auto"/>
            <w:gridSpan w:val="3"/>
            <w:shd w:val="clear" w:color="auto" w:fill="auto"/>
            <w:vAlign w:val="bottom"/>
          </w:tcPr>
          <w:p w14:paraId="5A1B2B96" w14:textId="77777777" w:rsidR="00960BB8" w:rsidRDefault="00960BB8">
            <w:pPr>
              <w:rPr>
                <w:rFonts w:ascii="宋体"/>
                <w:vanish/>
              </w:rPr>
            </w:pPr>
          </w:p>
        </w:tc>
        <w:tc>
          <w:tcPr>
            <w:tcW w:w="0" w:type="auto"/>
            <w:gridSpan w:val="3"/>
            <w:shd w:val="clear" w:color="auto" w:fill="auto"/>
            <w:vAlign w:val="bottom"/>
          </w:tcPr>
          <w:p w14:paraId="5A1B2B97" w14:textId="77777777" w:rsidR="00960BB8" w:rsidRDefault="00960BB8">
            <w:pPr>
              <w:rPr>
                <w:rFonts w:ascii="宋体"/>
                <w:vanish/>
              </w:rPr>
            </w:pPr>
          </w:p>
        </w:tc>
        <w:tc>
          <w:tcPr>
            <w:tcW w:w="0" w:type="auto"/>
            <w:gridSpan w:val="3"/>
            <w:shd w:val="clear" w:color="auto" w:fill="auto"/>
            <w:vAlign w:val="bottom"/>
          </w:tcPr>
          <w:p w14:paraId="5A1B2B98" w14:textId="77777777" w:rsidR="00960BB8" w:rsidRDefault="00960BB8">
            <w:pPr>
              <w:rPr>
                <w:rFonts w:ascii="宋体"/>
                <w:vanish/>
              </w:rPr>
            </w:pPr>
          </w:p>
        </w:tc>
        <w:tc>
          <w:tcPr>
            <w:tcW w:w="0" w:type="auto"/>
            <w:gridSpan w:val="3"/>
            <w:shd w:val="clear" w:color="auto" w:fill="auto"/>
            <w:vAlign w:val="bottom"/>
          </w:tcPr>
          <w:p w14:paraId="5A1B2B99" w14:textId="77777777" w:rsidR="00960BB8" w:rsidRDefault="00960BB8">
            <w:pPr>
              <w:rPr>
                <w:rFonts w:ascii="宋体"/>
                <w:vanish/>
              </w:rPr>
            </w:pPr>
          </w:p>
        </w:tc>
        <w:tc>
          <w:tcPr>
            <w:tcW w:w="0" w:type="auto"/>
            <w:gridSpan w:val="3"/>
            <w:shd w:val="clear" w:color="auto" w:fill="auto"/>
            <w:vAlign w:val="bottom"/>
          </w:tcPr>
          <w:p w14:paraId="5A1B2B9A" w14:textId="77777777" w:rsidR="00960BB8" w:rsidRDefault="00960BB8">
            <w:pPr>
              <w:rPr>
                <w:rFonts w:ascii="宋体"/>
                <w:vanish/>
              </w:rPr>
            </w:pPr>
          </w:p>
        </w:tc>
      </w:tr>
      <w:tr w:rsidR="00960BB8" w14:paraId="5A1B2BAD" w14:textId="77777777">
        <w:tc>
          <w:tcPr>
            <w:tcW w:w="0" w:type="auto"/>
            <w:gridSpan w:val="3"/>
            <w:shd w:val="clear" w:color="auto" w:fill="auto"/>
            <w:tcMar>
              <w:top w:w="40" w:type="dxa"/>
              <w:left w:w="20" w:type="dxa"/>
              <w:bottom w:w="40" w:type="dxa"/>
              <w:right w:w="20" w:type="dxa"/>
            </w:tcMar>
            <w:vAlign w:val="bottom"/>
          </w:tcPr>
          <w:p w14:paraId="5A1B2B9C" w14:textId="77777777" w:rsidR="00960BB8" w:rsidRDefault="00C06650">
            <w:pPr>
              <w:textAlignment w:val="bottom"/>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5A1B2B9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9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9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BAC" w14:textId="77777777" w:rsidR="00960BB8" w:rsidRDefault="00960BB8">
            <w:pPr>
              <w:rPr>
                <w:rFonts w:ascii="宋体"/>
              </w:rPr>
            </w:pPr>
          </w:p>
        </w:tc>
      </w:tr>
      <w:tr w:rsidR="00960BB8" w14:paraId="5A1B2BC5" w14:textId="77777777">
        <w:tc>
          <w:tcPr>
            <w:tcW w:w="0" w:type="auto"/>
            <w:gridSpan w:val="3"/>
            <w:shd w:val="clear" w:color="auto" w:fill="auto"/>
            <w:tcMar>
              <w:top w:w="40" w:type="dxa"/>
              <w:left w:w="275" w:type="dxa"/>
              <w:bottom w:w="40" w:type="dxa"/>
              <w:right w:w="20" w:type="dxa"/>
            </w:tcMar>
            <w:vAlign w:val="bottom"/>
          </w:tcPr>
          <w:p w14:paraId="5A1B2BAE" w14:textId="77777777" w:rsidR="00960BB8" w:rsidRDefault="00C06650">
            <w:pPr>
              <w:textAlignment w:val="bottom"/>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5A1B2BA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B0"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BB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B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B3" w14:textId="77777777" w:rsidR="00960BB8" w:rsidRDefault="00C06650">
            <w:pPr>
              <w:jc w:val="right"/>
              <w:textAlignment w:val="bottom"/>
            </w:pPr>
            <w:r>
              <w:rPr>
                <w:rFonts w:ascii="Arial" w:eastAsia="宋体" w:hAnsi="Arial" w:cs="Arial"/>
                <w:color w:val="0068B5"/>
                <w:sz w:val="18"/>
                <w:szCs w:val="18"/>
              </w:rPr>
              <w:t>699 </w:t>
            </w:r>
          </w:p>
        </w:tc>
        <w:tc>
          <w:tcPr>
            <w:tcW w:w="0" w:type="auto"/>
            <w:shd w:val="clear" w:color="auto" w:fill="auto"/>
            <w:tcMar>
              <w:top w:w="40" w:type="dxa"/>
              <w:left w:w="0" w:type="dxa"/>
              <w:bottom w:w="40" w:type="dxa"/>
              <w:right w:w="20" w:type="dxa"/>
            </w:tcMar>
            <w:vAlign w:val="bottom"/>
          </w:tcPr>
          <w:p w14:paraId="5A1B2BB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B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B6"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BB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B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B9" w14:textId="77777777" w:rsidR="00960BB8" w:rsidRDefault="00C06650">
            <w:pPr>
              <w:jc w:val="right"/>
              <w:textAlignment w:val="bottom"/>
            </w:pPr>
            <w:r>
              <w:rPr>
                <w:rFonts w:ascii="Arial" w:eastAsia="宋体" w:hAnsi="Arial" w:cs="Arial"/>
                <w:color w:val="0068B5"/>
                <w:sz w:val="18"/>
                <w:szCs w:val="18"/>
              </w:rPr>
              <w:t>699 </w:t>
            </w:r>
          </w:p>
        </w:tc>
        <w:tc>
          <w:tcPr>
            <w:tcW w:w="0" w:type="auto"/>
            <w:shd w:val="clear" w:color="auto" w:fill="auto"/>
            <w:tcMar>
              <w:top w:w="40" w:type="dxa"/>
              <w:left w:w="0" w:type="dxa"/>
              <w:bottom w:w="40" w:type="dxa"/>
              <w:right w:w="20" w:type="dxa"/>
            </w:tcMar>
            <w:vAlign w:val="bottom"/>
          </w:tcPr>
          <w:p w14:paraId="5A1B2BB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BB"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BBC"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BB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BE" w14:textId="77777777" w:rsidR="00960BB8" w:rsidRDefault="00C06650">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5A1B2BB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C0" w14:textId="77777777" w:rsidR="00960BB8" w:rsidRDefault="00960BB8">
            <w:pPr>
              <w:rPr>
                <w:rFonts w:ascii="宋体"/>
              </w:rPr>
            </w:pPr>
          </w:p>
        </w:tc>
        <w:tc>
          <w:tcPr>
            <w:tcW w:w="0" w:type="auto"/>
            <w:gridSpan w:val="3"/>
            <w:shd w:val="clear" w:color="auto" w:fill="auto"/>
            <w:tcMar>
              <w:top w:w="40" w:type="dxa"/>
              <w:left w:w="20" w:type="dxa"/>
              <w:bottom w:w="40" w:type="dxa"/>
              <w:right w:w="140" w:type="dxa"/>
            </w:tcMar>
            <w:vAlign w:val="bottom"/>
          </w:tcPr>
          <w:p w14:paraId="5A1B2BC1"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BC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BC3" w14:textId="77777777" w:rsidR="00960BB8" w:rsidRDefault="00C06650">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5A1B2BC4" w14:textId="77777777" w:rsidR="00960BB8" w:rsidRDefault="00960BB8">
            <w:pPr>
              <w:jc w:val="right"/>
              <w:rPr>
                <w:rFonts w:ascii="宋体"/>
              </w:rPr>
            </w:pPr>
          </w:p>
        </w:tc>
      </w:tr>
      <w:tr w:rsidR="00960BB8" w14:paraId="5A1B2BE5" w14:textId="77777777">
        <w:tc>
          <w:tcPr>
            <w:tcW w:w="0" w:type="auto"/>
            <w:gridSpan w:val="3"/>
            <w:shd w:val="clear" w:color="auto" w:fill="auto"/>
            <w:tcMar>
              <w:top w:w="40" w:type="dxa"/>
              <w:left w:w="20" w:type="dxa"/>
              <w:bottom w:w="40" w:type="dxa"/>
              <w:right w:w="20" w:type="dxa"/>
            </w:tcMar>
            <w:vAlign w:val="bottom"/>
          </w:tcPr>
          <w:p w14:paraId="5A1B2BC6" w14:textId="77777777" w:rsidR="00960BB8" w:rsidRDefault="00C06650">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liabilities measured and recorded at fair value</w:t>
            </w:r>
          </w:p>
        </w:tc>
        <w:tc>
          <w:tcPr>
            <w:tcW w:w="0" w:type="auto"/>
            <w:gridSpan w:val="3"/>
            <w:shd w:val="clear" w:color="auto" w:fill="auto"/>
            <w:tcMar>
              <w:top w:w="0" w:type="dxa"/>
              <w:left w:w="20" w:type="dxa"/>
              <w:bottom w:w="0" w:type="dxa"/>
              <w:right w:w="20" w:type="dxa"/>
            </w:tcMar>
            <w:vAlign w:val="bottom"/>
          </w:tcPr>
          <w:p w14:paraId="5A1B2BC7"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BC8"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BC9" w14:textId="77777777" w:rsidR="00960BB8" w:rsidRDefault="00C06650">
            <w:pPr>
              <w:jc w:val="right"/>
              <w:textAlignment w:val="bottom"/>
            </w:pPr>
            <w:r>
              <w:rPr>
                <w:rFonts w:ascii="Arial" w:eastAsia="宋体" w:hAnsi="Arial" w:cs="Arial"/>
                <w:b/>
                <w:bCs/>
                <w:color w:val="0068B5"/>
                <w:sz w:val="18"/>
                <w:szCs w:val="18"/>
              </w:rPr>
              <w:t>111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BC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CB"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BCC"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BCD" w14:textId="77777777" w:rsidR="00960BB8" w:rsidRDefault="00C06650">
            <w:pPr>
              <w:jc w:val="right"/>
              <w:textAlignment w:val="bottom"/>
            </w:pPr>
            <w:r>
              <w:rPr>
                <w:rFonts w:ascii="Arial" w:eastAsia="宋体" w:hAnsi="Arial" w:cs="Arial"/>
                <w:b/>
                <w:bCs/>
                <w:color w:val="0068B5"/>
                <w:sz w:val="18"/>
                <w:szCs w:val="18"/>
              </w:rPr>
              <w:t>1,184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BC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CF"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BD0"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BD1" w14:textId="77777777" w:rsidR="00960BB8" w:rsidRDefault="00C06650">
            <w:pPr>
              <w:jc w:val="right"/>
              <w:textAlignment w:val="bottom"/>
            </w:pPr>
            <w:r>
              <w:rPr>
                <w:rFonts w:ascii="Arial" w:eastAsia="宋体" w:hAnsi="Arial" w:cs="Arial"/>
                <w:b/>
                <w:bCs/>
                <w:color w:val="0068B5"/>
                <w:sz w:val="18"/>
                <w:szCs w:val="18"/>
              </w:rPr>
              <w:t>89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BD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D3"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BD4"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BD5" w14:textId="77777777" w:rsidR="00960BB8" w:rsidRDefault="00C06650">
            <w:pPr>
              <w:jc w:val="right"/>
              <w:textAlignment w:val="bottom"/>
            </w:pPr>
            <w:r>
              <w:rPr>
                <w:rFonts w:ascii="Arial" w:eastAsia="宋体" w:hAnsi="Arial" w:cs="Arial"/>
                <w:b/>
                <w:bCs/>
                <w:color w:val="0068B5"/>
                <w:sz w:val="18"/>
                <w:szCs w:val="18"/>
              </w:rPr>
              <w:t>1,384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BD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D7"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BD8" w14:textId="77777777" w:rsidR="00960BB8" w:rsidRDefault="00C06650">
            <w:pPr>
              <w:textAlignment w:val="bottom"/>
            </w:pPr>
            <w:r>
              <w:rPr>
                <w:rFonts w:ascii="Arial" w:eastAsia="宋体" w:hAnsi="Arial" w:cs="Arial"/>
                <w:b/>
                <w:bCs/>
                <w:color w:val="262626"/>
                <w:sz w:val="18"/>
                <w:szCs w:val="18"/>
              </w:rPr>
              <w:t>$</w:t>
            </w:r>
          </w:p>
        </w:tc>
        <w:tc>
          <w:tcPr>
            <w:tcW w:w="0" w:type="auto"/>
            <w:gridSpan w:val="2"/>
            <w:tcBorders>
              <w:top w:val="single" w:sz="4" w:space="0" w:color="262626"/>
              <w:bottom w:val="double" w:sz="6" w:space="0" w:color="262626"/>
            </w:tcBorders>
            <w:shd w:val="clear" w:color="auto" w:fill="auto"/>
            <w:tcMar>
              <w:top w:w="40" w:type="dxa"/>
              <w:left w:w="0" w:type="dxa"/>
              <w:bottom w:w="40" w:type="dxa"/>
              <w:right w:w="140" w:type="dxa"/>
            </w:tcMar>
            <w:vAlign w:val="bottom"/>
          </w:tcPr>
          <w:p w14:paraId="5A1B2BD9" w14:textId="77777777" w:rsidR="00960BB8" w:rsidRDefault="00C06650">
            <w:pPr>
              <w:jc w:val="right"/>
              <w:textAlignment w:val="bottom"/>
            </w:pPr>
            <w:r>
              <w:rPr>
                <w:rFonts w:ascii="Arial" w:eastAsia="宋体" w:hAnsi="Arial" w:cs="Arial"/>
                <w:b/>
                <w:bCs/>
                <w:color w:val="262626"/>
                <w:sz w:val="18"/>
                <w:szCs w:val="18"/>
              </w:rPr>
              <w:t>4</w:t>
            </w:r>
          </w:p>
        </w:tc>
        <w:tc>
          <w:tcPr>
            <w:tcW w:w="0" w:type="auto"/>
            <w:gridSpan w:val="3"/>
            <w:shd w:val="clear" w:color="auto" w:fill="auto"/>
            <w:tcMar>
              <w:top w:w="0" w:type="dxa"/>
              <w:left w:w="20" w:type="dxa"/>
              <w:bottom w:w="0" w:type="dxa"/>
              <w:right w:w="20" w:type="dxa"/>
            </w:tcMar>
            <w:vAlign w:val="bottom"/>
          </w:tcPr>
          <w:p w14:paraId="5A1B2BDA"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BDB"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BDC" w14:textId="77777777" w:rsidR="00960BB8" w:rsidRDefault="00C06650">
            <w:pPr>
              <w:jc w:val="right"/>
              <w:textAlignment w:val="bottom"/>
            </w:pPr>
            <w:r>
              <w:rPr>
                <w:rFonts w:ascii="Arial" w:eastAsia="宋体" w:hAnsi="Arial" w:cs="Arial"/>
                <w:b/>
                <w:bCs/>
                <w:color w:val="262626"/>
                <w:sz w:val="18"/>
                <w:szCs w:val="18"/>
              </w:rPr>
              <w:t>525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BD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BDE"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BDF" w14:textId="77777777" w:rsidR="00960BB8" w:rsidRDefault="00C06650">
            <w:pPr>
              <w:textAlignment w:val="bottom"/>
            </w:pPr>
            <w:r>
              <w:rPr>
                <w:rFonts w:ascii="Arial" w:eastAsia="宋体" w:hAnsi="Arial" w:cs="Arial"/>
                <w:b/>
                <w:bCs/>
                <w:color w:val="262626"/>
                <w:sz w:val="18"/>
                <w:szCs w:val="18"/>
              </w:rPr>
              <w:t>$</w:t>
            </w:r>
          </w:p>
        </w:tc>
        <w:tc>
          <w:tcPr>
            <w:tcW w:w="0" w:type="auto"/>
            <w:gridSpan w:val="2"/>
            <w:tcBorders>
              <w:top w:val="single" w:sz="4" w:space="0" w:color="262626"/>
              <w:bottom w:val="double" w:sz="6" w:space="0" w:color="262626"/>
            </w:tcBorders>
            <w:shd w:val="clear" w:color="auto" w:fill="auto"/>
            <w:tcMar>
              <w:top w:w="40" w:type="dxa"/>
              <w:left w:w="0" w:type="dxa"/>
              <w:bottom w:w="40" w:type="dxa"/>
              <w:right w:w="140" w:type="dxa"/>
            </w:tcMar>
            <w:vAlign w:val="bottom"/>
          </w:tcPr>
          <w:p w14:paraId="5A1B2BE0" w14:textId="77777777" w:rsidR="00960BB8" w:rsidRDefault="00C06650">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5A1B2BE1"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BE2"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BE3" w14:textId="77777777" w:rsidR="00960BB8" w:rsidRDefault="00C06650">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BE4" w14:textId="77777777" w:rsidR="00960BB8" w:rsidRDefault="00960BB8">
            <w:pPr>
              <w:jc w:val="right"/>
              <w:rPr>
                <w:rFonts w:ascii="宋体"/>
              </w:rPr>
            </w:pPr>
          </w:p>
        </w:tc>
      </w:tr>
    </w:tbl>
    <w:p w14:paraId="5A1B2BE6" w14:textId="77777777" w:rsidR="00960BB8" w:rsidRDefault="00C06650">
      <w:pPr>
        <w:ind w:hanging="180"/>
      </w:pPr>
      <w:r>
        <w:rPr>
          <w:rFonts w:ascii="Arial" w:eastAsia="宋体" w:hAnsi="Arial" w:cs="Arial"/>
          <w:color w:val="262626"/>
          <w:sz w:val="11"/>
          <w:szCs w:val="11"/>
        </w:rPr>
        <w:t>1.</w:t>
      </w:r>
      <w:r>
        <w:rPr>
          <w:rFonts w:ascii="Arial" w:eastAsia="宋体" w:hAnsi="Arial" w:cs="Arial"/>
          <w:i/>
          <w:iCs/>
          <w:color w:val="262626"/>
          <w:sz w:val="16"/>
          <w:szCs w:val="16"/>
        </w:rPr>
        <w:t>Level 1 investme</w:t>
      </w:r>
      <w:r>
        <w:rPr>
          <w:rFonts w:ascii="Arial" w:eastAsia="宋体" w:hAnsi="Arial" w:cs="Arial"/>
          <w:i/>
          <w:iCs/>
          <w:color w:val="262626"/>
          <w:sz w:val="16"/>
          <w:szCs w:val="16"/>
        </w:rPr>
        <w:t>nts consist of money market funds recorded at Net Asset Value. Level 2 investments consist primarily of commercial paper, certificates of deposit, time deposits, and notes and bonds issued by financial institutions</w:t>
      </w:r>
    </w:p>
    <w:p w14:paraId="5A1B2BE7" w14:textId="77777777" w:rsidR="00960BB8" w:rsidRDefault="00C06650">
      <w:pPr>
        <w:ind w:hanging="180"/>
      </w:pPr>
      <w:r>
        <w:rPr>
          <w:rFonts w:ascii="Arial" w:eastAsia="宋体" w:hAnsi="Arial" w:cs="Arial"/>
          <w:i/>
          <w:iCs/>
          <w:color w:val="262626"/>
          <w:sz w:val="11"/>
          <w:szCs w:val="11"/>
        </w:rPr>
        <w:t>2.</w:t>
      </w:r>
      <w:r>
        <w:rPr>
          <w:rFonts w:ascii="Arial" w:eastAsia="宋体" w:hAnsi="Arial" w:cs="Arial"/>
          <w:i/>
          <w:iCs/>
          <w:color w:val="262626"/>
          <w:sz w:val="16"/>
          <w:szCs w:val="16"/>
        </w:rPr>
        <w:t xml:space="preserve">Level 1 investments consist </w:t>
      </w:r>
      <w:r>
        <w:rPr>
          <w:rFonts w:ascii="Arial" w:eastAsia="宋体" w:hAnsi="Arial" w:cs="Arial"/>
          <w:i/>
          <w:iCs/>
          <w:color w:val="262626"/>
          <w:sz w:val="16"/>
          <w:szCs w:val="16"/>
        </w:rPr>
        <w:t>primarily of US Treasury securities. Level 2 investments consist primarily of non-US government debt.</w:t>
      </w:r>
    </w:p>
    <w:p w14:paraId="5A1B2BE8" w14:textId="77777777" w:rsidR="00960BB8" w:rsidRDefault="00C06650">
      <w:pPr>
        <w:ind w:hanging="180"/>
      </w:pPr>
      <w:r>
        <w:rPr>
          <w:rFonts w:ascii="Arial" w:eastAsia="宋体" w:hAnsi="Arial" w:cs="Arial"/>
          <w:i/>
          <w:iCs/>
          <w:color w:val="262626"/>
          <w:sz w:val="11"/>
          <w:szCs w:val="11"/>
        </w:rPr>
        <w:t>3.</w:t>
      </w:r>
      <w:r>
        <w:rPr>
          <w:rFonts w:ascii="Arial" w:eastAsia="宋体" w:hAnsi="Arial" w:cs="Arial"/>
          <w:i/>
          <w:iCs/>
          <w:color w:val="262626"/>
          <w:sz w:val="16"/>
          <w:szCs w:val="16"/>
        </w:rPr>
        <w:t>The fair value of our loans receivable for which we elected the fair value option did not significantly differ from the contractual principal balance.</w:t>
      </w:r>
    </w:p>
    <w:p w14:paraId="5A1B2BE9" w14:textId="77777777" w:rsidR="00960BB8" w:rsidRDefault="00C06650">
      <w:pPr>
        <w:ind w:hanging="180"/>
      </w:pPr>
      <w:r>
        <w:rPr>
          <w:rFonts w:ascii="Arial" w:eastAsia="宋体" w:hAnsi="Arial" w:cs="Arial"/>
          <w:i/>
          <w:iCs/>
          <w:color w:val="262626"/>
          <w:sz w:val="11"/>
          <w:szCs w:val="11"/>
        </w:rPr>
        <w:t>4</w:t>
      </w:r>
      <w:r>
        <w:rPr>
          <w:rFonts w:ascii="Arial" w:eastAsia="宋体" w:hAnsi="Arial" w:cs="Arial"/>
          <w:i/>
          <w:iCs/>
          <w:color w:val="262626"/>
          <w:sz w:val="11"/>
          <w:szCs w:val="11"/>
        </w:rPr>
        <w:t>.</w:t>
      </w:r>
      <w:r>
        <w:rPr>
          <w:rFonts w:ascii="Arial" w:eastAsia="宋体" w:hAnsi="Arial" w:cs="Arial"/>
          <w:i/>
          <w:iCs/>
          <w:color w:val="262626"/>
          <w:sz w:val="16"/>
          <w:szCs w:val="16"/>
        </w:rPr>
        <w:t>Level 2 investments consist of marketable equity securities subject to security-specific restrictions for which a fair value adjustment was recorded.</w:t>
      </w:r>
    </w:p>
    <w:p w14:paraId="5A1B2BEA" w14:textId="77777777" w:rsidR="00960BB8" w:rsidRDefault="00960BB8"/>
    <w:p w14:paraId="5A1B2BEB" w14:textId="77777777" w:rsidR="00960BB8" w:rsidRDefault="00C06650">
      <w:pPr>
        <w:spacing w:after="180"/>
      </w:pPr>
      <w:r>
        <w:rPr>
          <w:rFonts w:ascii="Arial" w:eastAsia="宋体" w:hAnsi="Arial" w:cs="Arial"/>
          <w:color w:val="0068B5"/>
        </w:rPr>
        <w:t>Assets Measured and Recorded at Fair Value on a Non-Recurring Basis</w:t>
      </w:r>
    </w:p>
    <w:p w14:paraId="5A1B2BEC" w14:textId="77777777" w:rsidR="00960BB8" w:rsidRDefault="00C06650">
      <w:pPr>
        <w:spacing w:before="120" w:after="180"/>
      </w:pPr>
      <w:r>
        <w:rPr>
          <w:rFonts w:ascii="Arial" w:eastAsia="宋体" w:hAnsi="Arial" w:cs="Arial"/>
          <w:color w:val="262626"/>
          <w:sz w:val="18"/>
          <w:szCs w:val="18"/>
        </w:rPr>
        <w:t>Our non-marketable equity securities</w:t>
      </w:r>
      <w:r>
        <w:rPr>
          <w:rFonts w:ascii="Arial" w:eastAsia="宋体" w:hAnsi="Arial" w:cs="Arial"/>
          <w:color w:val="262626"/>
          <w:sz w:val="18"/>
          <w:szCs w:val="18"/>
        </w:rPr>
        <w:t>, equity method investments, and certain non-financial assets, such as intangible assets and property, plant and equipment, are recorded at fair value only if an impairment or observable price adjustment is recognized in the current period. If an impairmen</w:t>
      </w:r>
      <w:r>
        <w:rPr>
          <w:rFonts w:ascii="Arial" w:eastAsia="宋体" w:hAnsi="Arial" w:cs="Arial"/>
          <w:color w:val="262626"/>
          <w:sz w:val="18"/>
          <w:szCs w:val="18"/>
        </w:rPr>
        <w:t xml:space="preserve">t or observable price adjustment is recognized on our non-marketable equity securities during the period, we classify these assets as Level 3. </w:t>
      </w:r>
    </w:p>
    <w:p w14:paraId="5A1B2BED" w14:textId="77777777" w:rsidR="00960BB8" w:rsidRDefault="00C06650">
      <w:pPr>
        <w:spacing w:after="180"/>
      </w:pPr>
      <w:r>
        <w:rPr>
          <w:rFonts w:ascii="Arial" w:eastAsia="宋体" w:hAnsi="Arial" w:cs="Arial"/>
          <w:color w:val="262626"/>
          <w:sz w:val="18"/>
          <w:szCs w:val="18"/>
        </w:rPr>
        <w:t>We classify non-marketable equity securities and non-marketable equity method investments as Level 3. Impairment</w:t>
      </w:r>
      <w:r>
        <w:rPr>
          <w:rFonts w:ascii="Arial" w:eastAsia="宋体" w:hAnsi="Arial" w:cs="Arial"/>
          <w:color w:val="262626"/>
          <w:sz w:val="18"/>
          <w:szCs w:val="18"/>
        </w:rPr>
        <w:t>s recognized on these investments held as of December 31, 2022 were $179 million ($138 million on investments held as of December 25, 2021).</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2BFA" w14:textId="77777777">
        <w:tc>
          <w:tcPr>
            <w:tcW w:w="50" w:type="pct"/>
            <w:shd w:val="clear" w:color="auto" w:fill="auto"/>
            <w:vAlign w:val="bottom"/>
          </w:tcPr>
          <w:p w14:paraId="5A1B2BEE" w14:textId="77777777" w:rsidR="00960BB8" w:rsidRDefault="00960BB8">
            <w:pPr>
              <w:rPr>
                <w:rFonts w:ascii="宋体"/>
              </w:rPr>
            </w:pPr>
          </w:p>
        </w:tc>
        <w:tc>
          <w:tcPr>
            <w:tcW w:w="276" w:type="pct"/>
            <w:shd w:val="clear" w:color="auto" w:fill="auto"/>
            <w:vAlign w:val="bottom"/>
          </w:tcPr>
          <w:p w14:paraId="5A1B2BEF" w14:textId="77777777" w:rsidR="00960BB8" w:rsidRDefault="00960BB8">
            <w:pPr>
              <w:rPr>
                <w:rFonts w:ascii="宋体"/>
              </w:rPr>
            </w:pPr>
          </w:p>
        </w:tc>
        <w:tc>
          <w:tcPr>
            <w:tcW w:w="5" w:type="pct"/>
            <w:shd w:val="clear" w:color="auto" w:fill="auto"/>
            <w:vAlign w:val="bottom"/>
          </w:tcPr>
          <w:p w14:paraId="5A1B2BF0" w14:textId="77777777" w:rsidR="00960BB8" w:rsidRDefault="00960BB8">
            <w:pPr>
              <w:rPr>
                <w:rFonts w:ascii="宋体"/>
              </w:rPr>
            </w:pPr>
          </w:p>
        </w:tc>
        <w:tc>
          <w:tcPr>
            <w:tcW w:w="50" w:type="pct"/>
            <w:shd w:val="clear" w:color="auto" w:fill="auto"/>
            <w:vAlign w:val="bottom"/>
          </w:tcPr>
          <w:p w14:paraId="5A1B2BF1" w14:textId="77777777" w:rsidR="00960BB8" w:rsidRDefault="00960BB8">
            <w:pPr>
              <w:rPr>
                <w:rFonts w:ascii="宋体"/>
              </w:rPr>
            </w:pPr>
          </w:p>
        </w:tc>
        <w:tc>
          <w:tcPr>
            <w:tcW w:w="940" w:type="pct"/>
            <w:shd w:val="clear" w:color="auto" w:fill="auto"/>
            <w:vAlign w:val="bottom"/>
          </w:tcPr>
          <w:p w14:paraId="5A1B2BF2" w14:textId="77777777" w:rsidR="00960BB8" w:rsidRDefault="00960BB8">
            <w:pPr>
              <w:rPr>
                <w:rFonts w:ascii="宋体"/>
              </w:rPr>
            </w:pPr>
          </w:p>
        </w:tc>
        <w:tc>
          <w:tcPr>
            <w:tcW w:w="5" w:type="pct"/>
            <w:shd w:val="clear" w:color="auto" w:fill="auto"/>
            <w:vAlign w:val="bottom"/>
          </w:tcPr>
          <w:p w14:paraId="5A1B2BF3" w14:textId="77777777" w:rsidR="00960BB8" w:rsidRDefault="00960BB8">
            <w:pPr>
              <w:rPr>
                <w:rFonts w:ascii="宋体"/>
              </w:rPr>
            </w:pPr>
          </w:p>
        </w:tc>
        <w:tc>
          <w:tcPr>
            <w:tcW w:w="50" w:type="pct"/>
            <w:shd w:val="clear" w:color="auto" w:fill="auto"/>
            <w:vAlign w:val="bottom"/>
          </w:tcPr>
          <w:p w14:paraId="5A1B2BF4" w14:textId="77777777" w:rsidR="00960BB8" w:rsidRDefault="00960BB8">
            <w:pPr>
              <w:rPr>
                <w:rFonts w:ascii="宋体"/>
              </w:rPr>
            </w:pPr>
          </w:p>
        </w:tc>
        <w:tc>
          <w:tcPr>
            <w:tcW w:w="1837" w:type="pct"/>
            <w:shd w:val="clear" w:color="auto" w:fill="auto"/>
            <w:vAlign w:val="bottom"/>
          </w:tcPr>
          <w:p w14:paraId="5A1B2BF5" w14:textId="77777777" w:rsidR="00960BB8" w:rsidRDefault="00960BB8">
            <w:pPr>
              <w:rPr>
                <w:rFonts w:ascii="宋体"/>
              </w:rPr>
            </w:pPr>
          </w:p>
        </w:tc>
        <w:tc>
          <w:tcPr>
            <w:tcW w:w="5" w:type="pct"/>
            <w:shd w:val="clear" w:color="auto" w:fill="auto"/>
            <w:vAlign w:val="bottom"/>
          </w:tcPr>
          <w:p w14:paraId="5A1B2BF6" w14:textId="77777777" w:rsidR="00960BB8" w:rsidRDefault="00960BB8">
            <w:pPr>
              <w:rPr>
                <w:rFonts w:ascii="宋体"/>
              </w:rPr>
            </w:pPr>
          </w:p>
        </w:tc>
        <w:tc>
          <w:tcPr>
            <w:tcW w:w="50" w:type="pct"/>
            <w:shd w:val="clear" w:color="auto" w:fill="auto"/>
            <w:vAlign w:val="bottom"/>
          </w:tcPr>
          <w:p w14:paraId="5A1B2BF7" w14:textId="77777777" w:rsidR="00960BB8" w:rsidRDefault="00960BB8">
            <w:pPr>
              <w:rPr>
                <w:rFonts w:ascii="宋体"/>
              </w:rPr>
            </w:pPr>
          </w:p>
        </w:tc>
        <w:tc>
          <w:tcPr>
            <w:tcW w:w="1724" w:type="pct"/>
            <w:shd w:val="clear" w:color="auto" w:fill="auto"/>
            <w:vAlign w:val="bottom"/>
          </w:tcPr>
          <w:p w14:paraId="5A1B2BF8" w14:textId="77777777" w:rsidR="00960BB8" w:rsidRDefault="00960BB8">
            <w:pPr>
              <w:rPr>
                <w:rFonts w:ascii="宋体"/>
              </w:rPr>
            </w:pPr>
          </w:p>
        </w:tc>
        <w:tc>
          <w:tcPr>
            <w:tcW w:w="5" w:type="pct"/>
            <w:shd w:val="clear" w:color="auto" w:fill="auto"/>
            <w:vAlign w:val="bottom"/>
          </w:tcPr>
          <w:p w14:paraId="5A1B2BF9" w14:textId="77777777" w:rsidR="00960BB8" w:rsidRDefault="00960BB8">
            <w:pPr>
              <w:rPr>
                <w:rFonts w:ascii="宋体"/>
              </w:rPr>
            </w:pPr>
          </w:p>
        </w:tc>
      </w:tr>
      <w:tr w:rsidR="00960BB8" w14:paraId="5A1B2BFF"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BFB"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B7" wp14:editId="5A1B44B8">
                  <wp:extent cx="304800" cy="304800"/>
                  <wp:effectExtent l="0" t="0" r="0" b="0"/>
                  <wp:docPr id="178" name="图片 29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9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BFC"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2BFD"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BFE" w14:textId="77777777" w:rsidR="00960BB8" w:rsidRDefault="00C06650">
            <w:pPr>
              <w:jc w:val="right"/>
              <w:textAlignment w:val="center"/>
            </w:pPr>
            <w:r>
              <w:rPr>
                <w:rFonts w:ascii="Arial" w:eastAsia="宋体" w:hAnsi="Arial" w:cs="Arial"/>
                <w:color w:val="262626"/>
                <w:sz w:val="16"/>
                <w:szCs w:val="16"/>
              </w:rPr>
              <w:t>103</w:t>
            </w:r>
          </w:p>
        </w:tc>
      </w:tr>
    </w:tbl>
    <w:p w14:paraId="5A1B2C00" w14:textId="77777777" w:rsidR="00960BB8" w:rsidRDefault="00C06650">
      <w:r>
        <w:pict w14:anchorId="5A1B44B9">
          <v:rect id="_x0000_i1129" style="width:415.3pt;height:1.5pt" o:hralign="center" o:hrstd="t" o:hr="t" fillcolor="#a0a0a0" stroked="f"/>
        </w:pict>
      </w:r>
    </w:p>
    <w:p w14:paraId="5A1B2C01" w14:textId="77777777" w:rsidR="00960BB8" w:rsidRDefault="00C06650">
      <w:pPr>
        <w:jc w:val="right"/>
      </w:pPr>
      <w:hyperlink r:id="rId152" w:anchor="i8aaa7b4dbd2e419ca0f5c30af85a11aa_16" w:history="1">
        <w:r>
          <w:rPr>
            <w:rStyle w:val="a5"/>
            <w:rFonts w:ascii="Arial" w:eastAsia="宋体" w:hAnsi="Arial" w:cs="Arial"/>
            <w:b/>
            <w:bCs/>
            <w:sz w:val="16"/>
            <w:szCs w:val="16"/>
          </w:rPr>
          <w:t>Table of Contents</w:t>
        </w:r>
      </w:hyperlink>
    </w:p>
    <w:p w14:paraId="5A1B2C02" w14:textId="77777777" w:rsidR="00960BB8" w:rsidRDefault="00960BB8">
      <w:pPr>
        <w:jc w:val="right"/>
      </w:pPr>
    </w:p>
    <w:p w14:paraId="5A1B2C03" w14:textId="77777777" w:rsidR="00960BB8" w:rsidRDefault="00C06650">
      <w:pPr>
        <w:spacing w:after="180"/>
      </w:pPr>
      <w:r>
        <w:rPr>
          <w:rFonts w:ascii="Arial" w:eastAsia="宋体" w:hAnsi="Arial" w:cs="Arial"/>
          <w:color w:val="0068B5"/>
        </w:rPr>
        <w:t>Financial Instruments Not Recorded at Fair Value on a Recurring Basis</w:t>
      </w:r>
    </w:p>
    <w:p w14:paraId="5A1B2C04" w14:textId="77777777" w:rsidR="00960BB8" w:rsidRDefault="00C06650">
      <w:pPr>
        <w:spacing w:after="180"/>
      </w:pPr>
      <w:r>
        <w:rPr>
          <w:rFonts w:ascii="Arial" w:eastAsia="宋体" w:hAnsi="Arial" w:cs="Arial"/>
          <w:color w:val="262626"/>
          <w:sz w:val="18"/>
          <w:szCs w:val="18"/>
        </w:rPr>
        <w:t xml:space="preserve">Financial instruments not recorded at fair value on a recurring basis include non-marketable equity securities and equity method investments that have not been remeasured or impaired in the current period, grants receivable, and issued debt. </w:t>
      </w:r>
    </w:p>
    <w:p w14:paraId="5A1B2C05" w14:textId="77777777" w:rsidR="00960BB8" w:rsidRDefault="00C06650">
      <w:pPr>
        <w:spacing w:after="180"/>
      </w:pPr>
      <w:r>
        <w:rPr>
          <w:rFonts w:ascii="Arial" w:eastAsia="宋体" w:hAnsi="Arial" w:cs="Arial"/>
          <w:color w:val="262626"/>
          <w:sz w:val="18"/>
          <w:szCs w:val="18"/>
        </w:rPr>
        <w:t>We classify t</w:t>
      </w:r>
      <w:r>
        <w:rPr>
          <w:rFonts w:ascii="Arial" w:eastAsia="宋体" w:hAnsi="Arial" w:cs="Arial"/>
          <w:color w:val="262626"/>
          <w:sz w:val="18"/>
          <w:szCs w:val="18"/>
        </w:rPr>
        <w:t>he fair value of grants receivable and reverse repurchase agreements with original maturities greater than three months as Level 2. The estimated fair value of these financial instruments approximates their carrying value. The aggregate carrying value of g</w:t>
      </w:r>
      <w:r>
        <w:rPr>
          <w:rFonts w:ascii="Arial" w:eastAsia="宋体" w:hAnsi="Arial" w:cs="Arial"/>
          <w:color w:val="262626"/>
          <w:sz w:val="18"/>
          <w:szCs w:val="18"/>
        </w:rPr>
        <w:t>rants receivable as of December 31, 2022 was $437 million (the aggregate carrying value of grants receivable as of December 25, 2021 was $317 million). The aggregate carrying value of reverse repurchase agreements with original maturities greater than thre</w:t>
      </w:r>
      <w:r>
        <w:rPr>
          <w:rFonts w:ascii="Arial" w:eastAsia="宋体" w:hAnsi="Arial" w:cs="Arial"/>
          <w:color w:val="262626"/>
          <w:sz w:val="18"/>
          <w:szCs w:val="18"/>
        </w:rPr>
        <w:t>e months as of December 31, 2022 was $400 million (the aggregate carrying value as of December 25, 2021 was $0 million).</w:t>
      </w:r>
    </w:p>
    <w:p w14:paraId="5A1B2C06" w14:textId="77777777" w:rsidR="00960BB8" w:rsidRDefault="00C06650">
      <w:pPr>
        <w:spacing w:after="180"/>
      </w:pPr>
      <w:r>
        <w:rPr>
          <w:rFonts w:ascii="Arial" w:eastAsia="宋体" w:hAnsi="Arial" w:cs="Arial"/>
          <w:color w:val="262626"/>
          <w:sz w:val="18"/>
          <w:szCs w:val="18"/>
        </w:rPr>
        <w:t>We classify the fair value of issued debt (excluding commercial paper) as Level 2. The fair value of these instruments was $34.3 billio</w:t>
      </w:r>
      <w:r>
        <w:rPr>
          <w:rFonts w:ascii="Arial" w:eastAsia="宋体" w:hAnsi="Arial" w:cs="Arial"/>
          <w:color w:val="262626"/>
          <w:sz w:val="18"/>
          <w:szCs w:val="18"/>
        </w:rPr>
        <w:t xml:space="preserve">n as of December 31, 2022 ($41.5 billion as of December 25, 2021). </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960BB8" w14:paraId="5A1B2C0D" w14:textId="77777777">
        <w:tc>
          <w:tcPr>
            <w:tcW w:w="50" w:type="pct"/>
            <w:shd w:val="clear" w:color="auto" w:fill="auto"/>
            <w:vAlign w:val="bottom"/>
          </w:tcPr>
          <w:p w14:paraId="5A1B2C07" w14:textId="77777777" w:rsidR="00960BB8" w:rsidRDefault="00960BB8">
            <w:pPr>
              <w:rPr>
                <w:rFonts w:ascii="宋体"/>
              </w:rPr>
            </w:pPr>
          </w:p>
        </w:tc>
        <w:tc>
          <w:tcPr>
            <w:tcW w:w="539" w:type="pct"/>
            <w:shd w:val="clear" w:color="auto" w:fill="auto"/>
            <w:vAlign w:val="bottom"/>
          </w:tcPr>
          <w:p w14:paraId="5A1B2C08" w14:textId="77777777" w:rsidR="00960BB8" w:rsidRDefault="00960BB8">
            <w:pPr>
              <w:rPr>
                <w:rFonts w:ascii="宋体"/>
              </w:rPr>
            </w:pPr>
          </w:p>
        </w:tc>
        <w:tc>
          <w:tcPr>
            <w:tcW w:w="5" w:type="pct"/>
            <w:shd w:val="clear" w:color="auto" w:fill="auto"/>
            <w:vAlign w:val="bottom"/>
          </w:tcPr>
          <w:p w14:paraId="5A1B2C09" w14:textId="77777777" w:rsidR="00960BB8" w:rsidRDefault="00960BB8">
            <w:pPr>
              <w:rPr>
                <w:rFonts w:ascii="宋体"/>
              </w:rPr>
            </w:pPr>
          </w:p>
        </w:tc>
        <w:tc>
          <w:tcPr>
            <w:tcW w:w="50" w:type="pct"/>
            <w:shd w:val="clear" w:color="auto" w:fill="auto"/>
            <w:vAlign w:val="bottom"/>
          </w:tcPr>
          <w:p w14:paraId="5A1B2C0A" w14:textId="77777777" w:rsidR="00960BB8" w:rsidRDefault="00960BB8">
            <w:pPr>
              <w:rPr>
                <w:rFonts w:ascii="宋体"/>
              </w:rPr>
            </w:pPr>
          </w:p>
        </w:tc>
        <w:tc>
          <w:tcPr>
            <w:tcW w:w="4350" w:type="pct"/>
            <w:shd w:val="clear" w:color="auto" w:fill="auto"/>
            <w:vAlign w:val="bottom"/>
          </w:tcPr>
          <w:p w14:paraId="5A1B2C0B" w14:textId="77777777" w:rsidR="00960BB8" w:rsidRDefault="00960BB8">
            <w:pPr>
              <w:rPr>
                <w:rFonts w:ascii="宋体"/>
              </w:rPr>
            </w:pPr>
          </w:p>
        </w:tc>
        <w:tc>
          <w:tcPr>
            <w:tcW w:w="5" w:type="pct"/>
            <w:shd w:val="clear" w:color="auto" w:fill="auto"/>
            <w:vAlign w:val="bottom"/>
          </w:tcPr>
          <w:p w14:paraId="5A1B2C0C" w14:textId="77777777" w:rsidR="00960BB8" w:rsidRDefault="00960BB8">
            <w:pPr>
              <w:rPr>
                <w:rFonts w:ascii="宋体"/>
              </w:rPr>
            </w:pPr>
          </w:p>
        </w:tc>
      </w:tr>
      <w:tr w:rsidR="00960BB8" w14:paraId="5A1B2C10"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2C0E" w14:textId="77777777" w:rsidR="00960BB8" w:rsidRDefault="00C06650">
            <w:pPr>
              <w:textAlignment w:val="bottom"/>
            </w:pPr>
            <w:r>
              <w:rPr>
                <w:rFonts w:ascii="Arial" w:eastAsia="宋体" w:hAnsi="Arial" w:cs="Arial"/>
                <w:color w:val="FFFFFF"/>
                <w:sz w:val="28"/>
                <w:szCs w:val="28"/>
              </w:rPr>
              <w:t xml:space="preserve">Note 15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2C0F" w14:textId="77777777" w:rsidR="00960BB8" w:rsidRDefault="00C06650">
            <w:pPr>
              <w:textAlignment w:val="bottom"/>
            </w:pPr>
            <w:r>
              <w:rPr>
                <w:rFonts w:ascii="Arial" w:eastAsia="宋体" w:hAnsi="Arial" w:cs="Arial"/>
                <w:color w:val="0068B5"/>
                <w:sz w:val="28"/>
                <w:szCs w:val="28"/>
              </w:rPr>
              <w:t>Other Comprehensive Income (Loss)</w:t>
            </w:r>
          </w:p>
        </w:tc>
      </w:tr>
    </w:tbl>
    <w:p w14:paraId="5A1B2C11" w14:textId="77777777" w:rsidR="00960BB8" w:rsidRDefault="00C06650">
      <w:pPr>
        <w:spacing w:before="60" w:after="120"/>
      </w:pPr>
      <w:r>
        <w:rPr>
          <w:rFonts w:ascii="Arial" w:eastAsia="宋体" w:hAnsi="Arial" w:cs="Arial"/>
          <w:color w:val="262626"/>
          <w:sz w:val="18"/>
          <w:szCs w:val="18"/>
        </w:rPr>
        <w:t xml:space="preserve">The changes in accumulated other comprehensive income (loss) by component and related tax effects for each period were as follows: </w:t>
      </w:r>
    </w:p>
    <w:tbl>
      <w:tblPr>
        <w:tblW w:w="5000" w:type="pct"/>
        <w:tblCellMar>
          <w:top w:w="15" w:type="dxa"/>
          <w:left w:w="15" w:type="dxa"/>
          <w:bottom w:w="15" w:type="dxa"/>
          <w:right w:w="15" w:type="dxa"/>
        </w:tblCellMar>
        <w:tblLook w:val="04A0" w:firstRow="1" w:lastRow="0" w:firstColumn="1" w:lastColumn="0" w:noHBand="0" w:noVBand="1"/>
      </w:tblPr>
      <w:tblGrid>
        <w:gridCol w:w="40"/>
        <w:gridCol w:w="2872"/>
        <w:gridCol w:w="39"/>
        <w:gridCol w:w="36"/>
        <w:gridCol w:w="36"/>
        <w:gridCol w:w="36"/>
        <w:gridCol w:w="36"/>
        <w:gridCol w:w="36"/>
        <w:gridCol w:w="122"/>
        <w:gridCol w:w="1026"/>
        <w:gridCol w:w="36"/>
        <w:gridCol w:w="36"/>
        <w:gridCol w:w="36"/>
        <w:gridCol w:w="36"/>
        <w:gridCol w:w="122"/>
        <w:gridCol w:w="1026"/>
        <w:gridCol w:w="36"/>
        <w:gridCol w:w="36"/>
        <w:gridCol w:w="36"/>
        <w:gridCol w:w="36"/>
        <w:gridCol w:w="122"/>
        <w:gridCol w:w="1047"/>
        <w:gridCol w:w="36"/>
        <w:gridCol w:w="36"/>
        <w:gridCol w:w="36"/>
        <w:gridCol w:w="36"/>
        <w:gridCol w:w="121"/>
        <w:gridCol w:w="1007"/>
        <w:gridCol w:w="36"/>
        <w:gridCol w:w="36"/>
        <w:gridCol w:w="36"/>
        <w:gridCol w:w="36"/>
        <w:gridCol w:w="36"/>
      </w:tblGrid>
      <w:tr w:rsidR="00960BB8" w14:paraId="5A1B2C33" w14:textId="77777777">
        <w:tc>
          <w:tcPr>
            <w:tcW w:w="50" w:type="pct"/>
            <w:shd w:val="clear" w:color="auto" w:fill="auto"/>
            <w:vAlign w:val="bottom"/>
          </w:tcPr>
          <w:p w14:paraId="5A1B2C12" w14:textId="77777777" w:rsidR="00960BB8" w:rsidRDefault="00960BB8">
            <w:pPr>
              <w:rPr>
                <w:rFonts w:ascii="宋体"/>
              </w:rPr>
            </w:pPr>
          </w:p>
        </w:tc>
        <w:tc>
          <w:tcPr>
            <w:tcW w:w="1857" w:type="pct"/>
            <w:shd w:val="clear" w:color="auto" w:fill="auto"/>
            <w:vAlign w:val="bottom"/>
          </w:tcPr>
          <w:p w14:paraId="5A1B2C13" w14:textId="77777777" w:rsidR="00960BB8" w:rsidRDefault="00960BB8">
            <w:pPr>
              <w:rPr>
                <w:rFonts w:ascii="宋体"/>
              </w:rPr>
            </w:pPr>
          </w:p>
        </w:tc>
        <w:tc>
          <w:tcPr>
            <w:tcW w:w="5" w:type="pct"/>
            <w:shd w:val="clear" w:color="auto" w:fill="auto"/>
            <w:vAlign w:val="bottom"/>
          </w:tcPr>
          <w:p w14:paraId="5A1B2C14" w14:textId="77777777" w:rsidR="00960BB8" w:rsidRDefault="00960BB8">
            <w:pPr>
              <w:rPr>
                <w:rFonts w:ascii="宋体"/>
              </w:rPr>
            </w:pPr>
          </w:p>
        </w:tc>
        <w:tc>
          <w:tcPr>
            <w:tcW w:w="5" w:type="pct"/>
            <w:shd w:val="clear" w:color="auto" w:fill="auto"/>
            <w:vAlign w:val="bottom"/>
          </w:tcPr>
          <w:p w14:paraId="5A1B2C15" w14:textId="77777777" w:rsidR="00960BB8" w:rsidRDefault="00960BB8">
            <w:pPr>
              <w:rPr>
                <w:rFonts w:ascii="宋体"/>
              </w:rPr>
            </w:pPr>
          </w:p>
        </w:tc>
        <w:tc>
          <w:tcPr>
            <w:tcW w:w="17" w:type="pct"/>
            <w:shd w:val="clear" w:color="auto" w:fill="auto"/>
            <w:vAlign w:val="bottom"/>
          </w:tcPr>
          <w:p w14:paraId="5A1B2C16" w14:textId="77777777" w:rsidR="00960BB8" w:rsidRDefault="00960BB8">
            <w:pPr>
              <w:rPr>
                <w:rFonts w:ascii="宋体"/>
              </w:rPr>
            </w:pPr>
          </w:p>
        </w:tc>
        <w:tc>
          <w:tcPr>
            <w:tcW w:w="5" w:type="pct"/>
            <w:shd w:val="clear" w:color="auto" w:fill="auto"/>
            <w:vAlign w:val="bottom"/>
          </w:tcPr>
          <w:p w14:paraId="5A1B2C17" w14:textId="77777777" w:rsidR="00960BB8" w:rsidRDefault="00960BB8">
            <w:pPr>
              <w:rPr>
                <w:rFonts w:ascii="宋体"/>
              </w:rPr>
            </w:pPr>
          </w:p>
        </w:tc>
        <w:tc>
          <w:tcPr>
            <w:tcW w:w="0" w:type="auto"/>
            <w:shd w:val="clear" w:color="auto" w:fill="auto"/>
            <w:vAlign w:val="bottom"/>
          </w:tcPr>
          <w:p w14:paraId="5A1B2C18" w14:textId="77777777" w:rsidR="00960BB8" w:rsidRDefault="00960BB8">
            <w:pPr>
              <w:rPr>
                <w:rFonts w:ascii="宋体"/>
                <w:vanish/>
              </w:rPr>
            </w:pPr>
          </w:p>
        </w:tc>
        <w:tc>
          <w:tcPr>
            <w:tcW w:w="0" w:type="auto"/>
            <w:shd w:val="clear" w:color="auto" w:fill="auto"/>
            <w:vAlign w:val="bottom"/>
          </w:tcPr>
          <w:p w14:paraId="5A1B2C19" w14:textId="77777777" w:rsidR="00960BB8" w:rsidRDefault="00960BB8">
            <w:pPr>
              <w:rPr>
                <w:rFonts w:ascii="宋体"/>
                <w:vanish/>
              </w:rPr>
            </w:pPr>
          </w:p>
        </w:tc>
        <w:tc>
          <w:tcPr>
            <w:tcW w:w="50" w:type="pct"/>
            <w:shd w:val="clear" w:color="auto" w:fill="auto"/>
            <w:vAlign w:val="bottom"/>
          </w:tcPr>
          <w:p w14:paraId="5A1B2C1A" w14:textId="77777777" w:rsidR="00960BB8" w:rsidRDefault="00960BB8">
            <w:pPr>
              <w:rPr>
                <w:rFonts w:ascii="宋体"/>
              </w:rPr>
            </w:pPr>
          </w:p>
        </w:tc>
        <w:tc>
          <w:tcPr>
            <w:tcW w:w="689" w:type="pct"/>
            <w:shd w:val="clear" w:color="auto" w:fill="auto"/>
            <w:vAlign w:val="bottom"/>
          </w:tcPr>
          <w:p w14:paraId="5A1B2C1B" w14:textId="77777777" w:rsidR="00960BB8" w:rsidRDefault="00960BB8">
            <w:pPr>
              <w:rPr>
                <w:rFonts w:ascii="宋体"/>
              </w:rPr>
            </w:pPr>
          </w:p>
        </w:tc>
        <w:tc>
          <w:tcPr>
            <w:tcW w:w="5" w:type="pct"/>
            <w:shd w:val="clear" w:color="auto" w:fill="auto"/>
            <w:vAlign w:val="bottom"/>
          </w:tcPr>
          <w:p w14:paraId="5A1B2C1C" w14:textId="77777777" w:rsidR="00960BB8" w:rsidRDefault="00960BB8">
            <w:pPr>
              <w:rPr>
                <w:rFonts w:ascii="宋体"/>
              </w:rPr>
            </w:pPr>
          </w:p>
        </w:tc>
        <w:tc>
          <w:tcPr>
            <w:tcW w:w="5" w:type="pct"/>
            <w:shd w:val="clear" w:color="auto" w:fill="auto"/>
            <w:vAlign w:val="bottom"/>
          </w:tcPr>
          <w:p w14:paraId="5A1B2C1D" w14:textId="77777777" w:rsidR="00960BB8" w:rsidRDefault="00960BB8">
            <w:pPr>
              <w:rPr>
                <w:rFonts w:ascii="宋体"/>
              </w:rPr>
            </w:pPr>
          </w:p>
        </w:tc>
        <w:tc>
          <w:tcPr>
            <w:tcW w:w="17" w:type="pct"/>
            <w:shd w:val="clear" w:color="auto" w:fill="auto"/>
            <w:vAlign w:val="bottom"/>
          </w:tcPr>
          <w:p w14:paraId="5A1B2C1E" w14:textId="77777777" w:rsidR="00960BB8" w:rsidRDefault="00960BB8">
            <w:pPr>
              <w:rPr>
                <w:rFonts w:ascii="宋体"/>
              </w:rPr>
            </w:pPr>
          </w:p>
        </w:tc>
        <w:tc>
          <w:tcPr>
            <w:tcW w:w="5" w:type="pct"/>
            <w:shd w:val="clear" w:color="auto" w:fill="auto"/>
            <w:vAlign w:val="bottom"/>
          </w:tcPr>
          <w:p w14:paraId="5A1B2C1F" w14:textId="77777777" w:rsidR="00960BB8" w:rsidRDefault="00960BB8">
            <w:pPr>
              <w:rPr>
                <w:rFonts w:ascii="宋体"/>
              </w:rPr>
            </w:pPr>
          </w:p>
        </w:tc>
        <w:tc>
          <w:tcPr>
            <w:tcW w:w="50" w:type="pct"/>
            <w:shd w:val="clear" w:color="auto" w:fill="auto"/>
            <w:vAlign w:val="bottom"/>
          </w:tcPr>
          <w:p w14:paraId="5A1B2C20" w14:textId="77777777" w:rsidR="00960BB8" w:rsidRDefault="00960BB8">
            <w:pPr>
              <w:rPr>
                <w:rFonts w:ascii="宋体"/>
              </w:rPr>
            </w:pPr>
          </w:p>
        </w:tc>
        <w:tc>
          <w:tcPr>
            <w:tcW w:w="689" w:type="pct"/>
            <w:shd w:val="clear" w:color="auto" w:fill="auto"/>
            <w:vAlign w:val="bottom"/>
          </w:tcPr>
          <w:p w14:paraId="5A1B2C21" w14:textId="77777777" w:rsidR="00960BB8" w:rsidRDefault="00960BB8">
            <w:pPr>
              <w:rPr>
                <w:rFonts w:ascii="宋体"/>
              </w:rPr>
            </w:pPr>
          </w:p>
        </w:tc>
        <w:tc>
          <w:tcPr>
            <w:tcW w:w="5" w:type="pct"/>
            <w:shd w:val="clear" w:color="auto" w:fill="auto"/>
            <w:vAlign w:val="bottom"/>
          </w:tcPr>
          <w:p w14:paraId="5A1B2C22" w14:textId="77777777" w:rsidR="00960BB8" w:rsidRDefault="00960BB8">
            <w:pPr>
              <w:rPr>
                <w:rFonts w:ascii="宋体"/>
              </w:rPr>
            </w:pPr>
          </w:p>
        </w:tc>
        <w:tc>
          <w:tcPr>
            <w:tcW w:w="5" w:type="pct"/>
            <w:shd w:val="clear" w:color="auto" w:fill="auto"/>
            <w:vAlign w:val="bottom"/>
          </w:tcPr>
          <w:p w14:paraId="5A1B2C23" w14:textId="77777777" w:rsidR="00960BB8" w:rsidRDefault="00960BB8">
            <w:pPr>
              <w:rPr>
                <w:rFonts w:ascii="宋体"/>
              </w:rPr>
            </w:pPr>
          </w:p>
        </w:tc>
        <w:tc>
          <w:tcPr>
            <w:tcW w:w="17" w:type="pct"/>
            <w:shd w:val="clear" w:color="auto" w:fill="auto"/>
            <w:vAlign w:val="bottom"/>
          </w:tcPr>
          <w:p w14:paraId="5A1B2C24" w14:textId="77777777" w:rsidR="00960BB8" w:rsidRDefault="00960BB8">
            <w:pPr>
              <w:rPr>
                <w:rFonts w:ascii="宋体"/>
              </w:rPr>
            </w:pPr>
          </w:p>
        </w:tc>
        <w:tc>
          <w:tcPr>
            <w:tcW w:w="5" w:type="pct"/>
            <w:shd w:val="clear" w:color="auto" w:fill="auto"/>
            <w:vAlign w:val="bottom"/>
          </w:tcPr>
          <w:p w14:paraId="5A1B2C25" w14:textId="77777777" w:rsidR="00960BB8" w:rsidRDefault="00960BB8">
            <w:pPr>
              <w:rPr>
                <w:rFonts w:ascii="宋体"/>
              </w:rPr>
            </w:pPr>
          </w:p>
        </w:tc>
        <w:tc>
          <w:tcPr>
            <w:tcW w:w="50" w:type="pct"/>
            <w:shd w:val="clear" w:color="auto" w:fill="auto"/>
            <w:vAlign w:val="bottom"/>
          </w:tcPr>
          <w:p w14:paraId="5A1B2C26" w14:textId="77777777" w:rsidR="00960BB8" w:rsidRDefault="00960BB8">
            <w:pPr>
              <w:rPr>
                <w:rFonts w:ascii="宋体"/>
              </w:rPr>
            </w:pPr>
          </w:p>
        </w:tc>
        <w:tc>
          <w:tcPr>
            <w:tcW w:w="689" w:type="pct"/>
            <w:shd w:val="clear" w:color="auto" w:fill="auto"/>
            <w:vAlign w:val="bottom"/>
          </w:tcPr>
          <w:p w14:paraId="5A1B2C27" w14:textId="77777777" w:rsidR="00960BB8" w:rsidRDefault="00960BB8">
            <w:pPr>
              <w:rPr>
                <w:rFonts w:ascii="宋体"/>
              </w:rPr>
            </w:pPr>
          </w:p>
        </w:tc>
        <w:tc>
          <w:tcPr>
            <w:tcW w:w="5" w:type="pct"/>
            <w:shd w:val="clear" w:color="auto" w:fill="auto"/>
            <w:vAlign w:val="bottom"/>
          </w:tcPr>
          <w:p w14:paraId="5A1B2C28" w14:textId="77777777" w:rsidR="00960BB8" w:rsidRDefault="00960BB8">
            <w:pPr>
              <w:rPr>
                <w:rFonts w:ascii="宋体"/>
              </w:rPr>
            </w:pPr>
          </w:p>
        </w:tc>
        <w:tc>
          <w:tcPr>
            <w:tcW w:w="5" w:type="pct"/>
            <w:shd w:val="clear" w:color="auto" w:fill="auto"/>
            <w:vAlign w:val="bottom"/>
          </w:tcPr>
          <w:p w14:paraId="5A1B2C29" w14:textId="77777777" w:rsidR="00960BB8" w:rsidRDefault="00960BB8">
            <w:pPr>
              <w:rPr>
                <w:rFonts w:ascii="宋体"/>
              </w:rPr>
            </w:pPr>
          </w:p>
        </w:tc>
        <w:tc>
          <w:tcPr>
            <w:tcW w:w="17" w:type="pct"/>
            <w:shd w:val="clear" w:color="auto" w:fill="auto"/>
            <w:vAlign w:val="bottom"/>
          </w:tcPr>
          <w:p w14:paraId="5A1B2C2A" w14:textId="77777777" w:rsidR="00960BB8" w:rsidRDefault="00960BB8">
            <w:pPr>
              <w:rPr>
                <w:rFonts w:ascii="宋体"/>
              </w:rPr>
            </w:pPr>
          </w:p>
        </w:tc>
        <w:tc>
          <w:tcPr>
            <w:tcW w:w="5" w:type="pct"/>
            <w:shd w:val="clear" w:color="auto" w:fill="auto"/>
            <w:vAlign w:val="bottom"/>
          </w:tcPr>
          <w:p w14:paraId="5A1B2C2B" w14:textId="77777777" w:rsidR="00960BB8" w:rsidRDefault="00960BB8">
            <w:pPr>
              <w:rPr>
                <w:rFonts w:ascii="宋体"/>
              </w:rPr>
            </w:pPr>
          </w:p>
        </w:tc>
        <w:tc>
          <w:tcPr>
            <w:tcW w:w="50" w:type="pct"/>
            <w:shd w:val="clear" w:color="auto" w:fill="auto"/>
            <w:vAlign w:val="bottom"/>
          </w:tcPr>
          <w:p w14:paraId="5A1B2C2C" w14:textId="77777777" w:rsidR="00960BB8" w:rsidRDefault="00960BB8">
            <w:pPr>
              <w:rPr>
                <w:rFonts w:ascii="宋体"/>
              </w:rPr>
            </w:pPr>
          </w:p>
        </w:tc>
        <w:tc>
          <w:tcPr>
            <w:tcW w:w="689" w:type="pct"/>
            <w:shd w:val="clear" w:color="auto" w:fill="auto"/>
            <w:vAlign w:val="bottom"/>
          </w:tcPr>
          <w:p w14:paraId="5A1B2C2D" w14:textId="77777777" w:rsidR="00960BB8" w:rsidRDefault="00960BB8">
            <w:pPr>
              <w:rPr>
                <w:rFonts w:ascii="宋体"/>
              </w:rPr>
            </w:pPr>
          </w:p>
        </w:tc>
        <w:tc>
          <w:tcPr>
            <w:tcW w:w="5" w:type="pct"/>
            <w:shd w:val="clear" w:color="auto" w:fill="auto"/>
            <w:vAlign w:val="bottom"/>
          </w:tcPr>
          <w:p w14:paraId="5A1B2C2E" w14:textId="77777777" w:rsidR="00960BB8" w:rsidRDefault="00960BB8">
            <w:pPr>
              <w:rPr>
                <w:rFonts w:ascii="宋体"/>
              </w:rPr>
            </w:pPr>
          </w:p>
        </w:tc>
        <w:tc>
          <w:tcPr>
            <w:tcW w:w="0" w:type="auto"/>
            <w:shd w:val="clear" w:color="auto" w:fill="auto"/>
            <w:vAlign w:val="bottom"/>
          </w:tcPr>
          <w:p w14:paraId="5A1B2C2F" w14:textId="77777777" w:rsidR="00960BB8" w:rsidRDefault="00960BB8">
            <w:pPr>
              <w:rPr>
                <w:rFonts w:ascii="宋体"/>
                <w:vanish/>
              </w:rPr>
            </w:pPr>
          </w:p>
        </w:tc>
        <w:tc>
          <w:tcPr>
            <w:tcW w:w="0" w:type="auto"/>
            <w:shd w:val="clear" w:color="auto" w:fill="auto"/>
            <w:vAlign w:val="bottom"/>
          </w:tcPr>
          <w:p w14:paraId="5A1B2C30" w14:textId="77777777" w:rsidR="00960BB8" w:rsidRDefault="00960BB8">
            <w:pPr>
              <w:rPr>
                <w:rFonts w:ascii="宋体"/>
                <w:vanish/>
              </w:rPr>
            </w:pPr>
          </w:p>
        </w:tc>
        <w:tc>
          <w:tcPr>
            <w:tcW w:w="0" w:type="auto"/>
            <w:shd w:val="clear" w:color="auto" w:fill="auto"/>
            <w:vAlign w:val="bottom"/>
          </w:tcPr>
          <w:p w14:paraId="5A1B2C31" w14:textId="77777777" w:rsidR="00960BB8" w:rsidRDefault="00960BB8">
            <w:pPr>
              <w:rPr>
                <w:rFonts w:ascii="宋体"/>
                <w:vanish/>
              </w:rPr>
            </w:pPr>
          </w:p>
        </w:tc>
        <w:tc>
          <w:tcPr>
            <w:tcW w:w="0" w:type="auto"/>
            <w:shd w:val="clear" w:color="auto" w:fill="auto"/>
            <w:vAlign w:val="bottom"/>
          </w:tcPr>
          <w:p w14:paraId="5A1B2C32" w14:textId="77777777" w:rsidR="00960BB8" w:rsidRDefault="00960BB8">
            <w:pPr>
              <w:rPr>
                <w:rFonts w:ascii="宋体"/>
                <w:vanish/>
              </w:rPr>
            </w:pPr>
          </w:p>
        </w:tc>
      </w:tr>
      <w:tr w:rsidR="00960BB8" w14:paraId="5A1B2C43" w14:textId="77777777">
        <w:tc>
          <w:tcPr>
            <w:tcW w:w="0" w:type="auto"/>
            <w:gridSpan w:val="3"/>
            <w:shd w:val="clear" w:color="auto" w:fill="auto"/>
            <w:tcMar>
              <w:top w:w="40" w:type="dxa"/>
              <w:left w:w="20" w:type="dxa"/>
              <w:bottom w:w="40" w:type="dxa"/>
              <w:right w:w="20" w:type="dxa"/>
            </w:tcMar>
            <w:vAlign w:val="bottom"/>
          </w:tcPr>
          <w:p w14:paraId="5A1B2C34"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2C35" w14:textId="77777777" w:rsidR="00960BB8" w:rsidRDefault="00960BB8">
            <w:pPr>
              <w:rPr>
                <w:rFonts w:ascii="宋体"/>
              </w:rPr>
            </w:pPr>
          </w:p>
        </w:tc>
        <w:tc>
          <w:tcPr>
            <w:tcW w:w="0" w:type="auto"/>
            <w:shd w:val="clear" w:color="auto" w:fill="auto"/>
            <w:vAlign w:val="bottom"/>
          </w:tcPr>
          <w:p w14:paraId="5A1B2C36" w14:textId="77777777" w:rsidR="00960BB8" w:rsidRDefault="00960BB8">
            <w:pPr>
              <w:rPr>
                <w:rFonts w:ascii="宋体"/>
                <w:vanish/>
              </w:rPr>
            </w:pPr>
          </w:p>
        </w:tc>
        <w:tc>
          <w:tcPr>
            <w:tcW w:w="0" w:type="auto"/>
            <w:shd w:val="clear" w:color="auto" w:fill="auto"/>
            <w:vAlign w:val="bottom"/>
          </w:tcPr>
          <w:p w14:paraId="5A1B2C37" w14:textId="77777777" w:rsidR="00960BB8" w:rsidRDefault="00960BB8">
            <w:pPr>
              <w:rPr>
                <w:rFonts w:ascii="宋体"/>
                <w:vanish/>
              </w:rPr>
            </w:pPr>
          </w:p>
        </w:tc>
        <w:tc>
          <w:tcPr>
            <w:tcW w:w="0" w:type="auto"/>
            <w:gridSpan w:val="3"/>
            <w:shd w:val="clear" w:color="auto" w:fill="auto"/>
            <w:tcMar>
              <w:top w:w="40" w:type="dxa"/>
              <w:left w:w="20" w:type="dxa"/>
              <w:bottom w:w="40" w:type="dxa"/>
              <w:right w:w="20" w:type="dxa"/>
            </w:tcMar>
            <w:vAlign w:val="bottom"/>
          </w:tcPr>
          <w:p w14:paraId="5A1B2C38" w14:textId="77777777" w:rsidR="00960BB8" w:rsidRDefault="00C06650">
            <w:pPr>
              <w:jc w:val="center"/>
              <w:textAlignment w:val="bottom"/>
            </w:pPr>
            <w:r>
              <w:rPr>
                <w:rFonts w:ascii="Arial" w:eastAsia="宋体" w:hAnsi="Arial" w:cs="Arial"/>
                <w:b/>
                <w:bCs/>
                <w:color w:val="262626"/>
                <w:sz w:val="18"/>
                <w:szCs w:val="18"/>
              </w:rPr>
              <w:t>Unrealized Holding Gains (Losses) on Derivatives</w:t>
            </w:r>
          </w:p>
        </w:tc>
        <w:tc>
          <w:tcPr>
            <w:tcW w:w="0" w:type="auto"/>
            <w:gridSpan w:val="3"/>
            <w:shd w:val="clear" w:color="auto" w:fill="auto"/>
            <w:tcMar>
              <w:top w:w="0" w:type="dxa"/>
              <w:left w:w="20" w:type="dxa"/>
              <w:bottom w:w="0" w:type="dxa"/>
              <w:right w:w="20" w:type="dxa"/>
            </w:tcMar>
            <w:vAlign w:val="bottom"/>
          </w:tcPr>
          <w:p w14:paraId="5A1B2C3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C3A" w14:textId="77777777" w:rsidR="00960BB8" w:rsidRDefault="00C06650">
            <w:pPr>
              <w:jc w:val="center"/>
              <w:textAlignment w:val="bottom"/>
            </w:pPr>
            <w:r>
              <w:rPr>
                <w:rFonts w:ascii="Arial" w:eastAsia="宋体" w:hAnsi="Arial" w:cs="Arial"/>
                <w:b/>
                <w:bCs/>
                <w:color w:val="262626"/>
                <w:sz w:val="18"/>
                <w:szCs w:val="18"/>
              </w:rPr>
              <w:t xml:space="preserve">Actuarial Valuation and Other Pension Expenses </w:t>
            </w:r>
          </w:p>
        </w:tc>
        <w:tc>
          <w:tcPr>
            <w:tcW w:w="0" w:type="auto"/>
            <w:gridSpan w:val="3"/>
            <w:shd w:val="clear" w:color="auto" w:fill="auto"/>
            <w:tcMar>
              <w:top w:w="0" w:type="dxa"/>
              <w:left w:w="20" w:type="dxa"/>
              <w:bottom w:w="0" w:type="dxa"/>
              <w:right w:w="20" w:type="dxa"/>
            </w:tcMar>
            <w:vAlign w:val="bottom"/>
          </w:tcPr>
          <w:p w14:paraId="5A1B2C3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C3C" w14:textId="77777777" w:rsidR="00960BB8" w:rsidRDefault="00C06650">
            <w:pPr>
              <w:jc w:val="center"/>
              <w:textAlignment w:val="bottom"/>
            </w:pPr>
            <w:r>
              <w:rPr>
                <w:rFonts w:ascii="Arial" w:eastAsia="宋体" w:hAnsi="Arial" w:cs="Arial"/>
                <w:b/>
                <w:bCs/>
                <w:color w:val="262626"/>
                <w:sz w:val="18"/>
                <w:szCs w:val="18"/>
              </w:rPr>
              <w:t xml:space="preserve">Translation Adjustments and Other </w:t>
            </w:r>
          </w:p>
        </w:tc>
        <w:tc>
          <w:tcPr>
            <w:tcW w:w="0" w:type="auto"/>
            <w:gridSpan w:val="3"/>
            <w:shd w:val="clear" w:color="auto" w:fill="auto"/>
            <w:tcMar>
              <w:top w:w="0" w:type="dxa"/>
              <w:left w:w="20" w:type="dxa"/>
              <w:bottom w:w="0" w:type="dxa"/>
              <w:right w:w="20" w:type="dxa"/>
            </w:tcMar>
            <w:vAlign w:val="bottom"/>
          </w:tcPr>
          <w:p w14:paraId="5A1B2C3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C3E" w14:textId="77777777" w:rsidR="00960BB8" w:rsidRDefault="00C06650">
            <w:pPr>
              <w:jc w:val="center"/>
              <w:textAlignment w:val="bottom"/>
            </w:pPr>
            <w:r>
              <w:rPr>
                <w:rFonts w:ascii="Arial" w:eastAsia="宋体" w:hAnsi="Arial" w:cs="Arial"/>
                <w:b/>
                <w:bCs/>
                <w:color w:val="262626"/>
                <w:sz w:val="18"/>
                <w:szCs w:val="18"/>
              </w:rPr>
              <w:t>Total</w:t>
            </w:r>
          </w:p>
        </w:tc>
        <w:tc>
          <w:tcPr>
            <w:tcW w:w="0" w:type="auto"/>
            <w:shd w:val="clear" w:color="auto" w:fill="auto"/>
            <w:vAlign w:val="bottom"/>
          </w:tcPr>
          <w:p w14:paraId="5A1B2C3F" w14:textId="77777777" w:rsidR="00960BB8" w:rsidRDefault="00960BB8">
            <w:pPr>
              <w:rPr>
                <w:rFonts w:ascii="宋体"/>
                <w:vanish/>
              </w:rPr>
            </w:pPr>
          </w:p>
        </w:tc>
        <w:tc>
          <w:tcPr>
            <w:tcW w:w="0" w:type="auto"/>
            <w:shd w:val="clear" w:color="auto" w:fill="auto"/>
            <w:vAlign w:val="bottom"/>
          </w:tcPr>
          <w:p w14:paraId="5A1B2C40" w14:textId="77777777" w:rsidR="00960BB8" w:rsidRDefault="00960BB8">
            <w:pPr>
              <w:rPr>
                <w:rFonts w:ascii="宋体"/>
                <w:vanish/>
              </w:rPr>
            </w:pPr>
          </w:p>
        </w:tc>
        <w:tc>
          <w:tcPr>
            <w:tcW w:w="0" w:type="auto"/>
            <w:shd w:val="clear" w:color="auto" w:fill="auto"/>
            <w:vAlign w:val="bottom"/>
          </w:tcPr>
          <w:p w14:paraId="5A1B2C41" w14:textId="77777777" w:rsidR="00960BB8" w:rsidRDefault="00960BB8">
            <w:pPr>
              <w:rPr>
                <w:rFonts w:ascii="宋体"/>
                <w:vanish/>
              </w:rPr>
            </w:pPr>
          </w:p>
        </w:tc>
        <w:tc>
          <w:tcPr>
            <w:tcW w:w="0" w:type="auto"/>
            <w:shd w:val="clear" w:color="auto" w:fill="auto"/>
            <w:vAlign w:val="bottom"/>
          </w:tcPr>
          <w:p w14:paraId="5A1B2C42" w14:textId="77777777" w:rsidR="00960BB8" w:rsidRDefault="00960BB8">
            <w:pPr>
              <w:rPr>
                <w:rFonts w:ascii="宋体"/>
                <w:vanish/>
              </w:rPr>
            </w:pPr>
          </w:p>
        </w:tc>
      </w:tr>
      <w:tr w:rsidR="00960BB8" w14:paraId="5A1B2C53" w14:textId="77777777">
        <w:trPr>
          <w:hidden/>
        </w:trPr>
        <w:tc>
          <w:tcPr>
            <w:tcW w:w="0" w:type="auto"/>
            <w:gridSpan w:val="3"/>
            <w:shd w:val="clear" w:color="auto" w:fill="auto"/>
            <w:vAlign w:val="bottom"/>
          </w:tcPr>
          <w:p w14:paraId="5A1B2C44" w14:textId="77777777" w:rsidR="00960BB8" w:rsidRDefault="00960BB8">
            <w:pPr>
              <w:rPr>
                <w:rFonts w:ascii="宋体"/>
                <w:vanish/>
              </w:rPr>
            </w:pPr>
          </w:p>
        </w:tc>
        <w:tc>
          <w:tcPr>
            <w:tcW w:w="0" w:type="auto"/>
            <w:gridSpan w:val="3"/>
            <w:shd w:val="clear" w:color="auto" w:fill="auto"/>
            <w:vAlign w:val="bottom"/>
          </w:tcPr>
          <w:p w14:paraId="5A1B2C45" w14:textId="77777777" w:rsidR="00960BB8" w:rsidRDefault="00960BB8">
            <w:pPr>
              <w:rPr>
                <w:rFonts w:ascii="宋体"/>
                <w:vanish/>
              </w:rPr>
            </w:pPr>
          </w:p>
        </w:tc>
        <w:tc>
          <w:tcPr>
            <w:tcW w:w="0" w:type="auto"/>
            <w:shd w:val="clear" w:color="auto" w:fill="auto"/>
            <w:vAlign w:val="bottom"/>
          </w:tcPr>
          <w:p w14:paraId="5A1B2C46" w14:textId="77777777" w:rsidR="00960BB8" w:rsidRDefault="00960BB8">
            <w:pPr>
              <w:rPr>
                <w:rFonts w:ascii="宋体"/>
                <w:vanish/>
              </w:rPr>
            </w:pPr>
          </w:p>
        </w:tc>
        <w:tc>
          <w:tcPr>
            <w:tcW w:w="0" w:type="auto"/>
            <w:shd w:val="clear" w:color="auto" w:fill="auto"/>
            <w:vAlign w:val="bottom"/>
          </w:tcPr>
          <w:p w14:paraId="5A1B2C47" w14:textId="77777777" w:rsidR="00960BB8" w:rsidRDefault="00960BB8">
            <w:pPr>
              <w:rPr>
                <w:rFonts w:ascii="宋体"/>
                <w:vanish/>
              </w:rPr>
            </w:pPr>
          </w:p>
        </w:tc>
        <w:tc>
          <w:tcPr>
            <w:tcW w:w="0" w:type="auto"/>
            <w:gridSpan w:val="3"/>
            <w:shd w:val="clear" w:color="auto" w:fill="auto"/>
            <w:vAlign w:val="bottom"/>
          </w:tcPr>
          <w:p w14:paraId="5A1B2C48" w14:textId="77777777" w:rsidR="00960BB8" w:rsidRDefault="00960BB8">
            <w:pPr>
              <w:rPr>
                <w:rFonts w:ascii="宋体"/>
                <w:vanish/>
              </w:rPr>
            </w:pPr>
          </w:p>
        </w:tc>
        <w:tc>
          <w:tcPr>
            <w:tcW w:w="0" w:type="auto"/>
            <w:gridSpan w:val="3"/>
            <w:shd w:val="clear" w:color="auto" w:fill="auto"/>
            <w:vAlign w:val="bottom"/>
          </w:tcPr>
          <w:p w14:paraId="5A1B2C49" w14:textId="77777777" w:rsidR="00960BB8" w:rsidRDefault="00960BB8">
            <w:pPr>
              <w:rPr>
                <w:rFonts w:ascii="宋体"/>
                <w:vanish/>
              </w:rPr>
            </w:pPr>
          </w:p>
        </w:tc>
        <w:tc>
          <w:tcPr>
            <w:tcW w:w="0" w:type="auto"/>
            <w:gridSpan w:val="3"/>
            <w:shd w:val="clear" w:color="auto" w:fill="auto"/>
            <w:vAlign w:val="bottom"/>
          </w:tcPr>
          <w:p w14:paraId="5A1B2C4A" w14:textId="77777777" w:rsidR="00960BB8" w:rsidRDefault="00960BB8">
            <w:pPr>
              <w:rPr>
                <w:rFonts w:ascii="宋体"/>
                <w:vanish/>
              </w:rPr>
            </w:pPr>
          </w:p>
        </w:tc>
        <w:tc>
          <w:tcPr>
            <w:tcW w:w="0" w:type="auto"/>
            <w:gridSpan w:val="3"/>
            <w:shd w:val="clear" w:color="auto" w:fill="auto"/>
            <w:vAlign w:val="bottom"/>
          </w:tcPr>
          <w:p w14:paraId="5A1B2C4B" w14:textId="77777777" w:rsidR="00960BB8" w:rsidRDefault="00960BB8">
            <w:pPr>
              <w:rPr>
                <w:rFonts w:ascii="宋体"/>
                <w:vanish/>
              </w:rPr>
            </w:pPr>
          </w:p>
        </w:tc>
        <w:tc>
          <w:tcPr>
            <w:tcW w:w="0" w:type="auto"/>
            <w:gridSpan w:val="3"/>
            <w:shd w:val="clear" w:color="auto" w:fill="auto"/>
            <w:vAlign w:val="bottom"/>
          </w:tcPr>
          <w:p w14:paraId="5A1B2C4C" w14:textId="77777777" w:rsidR="00960BB8" w:rsidRDefault="00960BB8">
            <w:pPr>
              <w:rPr>
                <w:rFonts w:ascii="宋体"/>
                <w:vanish/>
              </w:rPr>
            </w:pPr>
          </w:p>
        </w:tc>
        <w:tc>
          <w:tcPr>
            <w:tcW w:w="0" w:type="auto"/>
            <w:gridSpan w:val="3"/>
            <w:shd w:val="clear" w:color="auto" w:fill="auto"/>
            <w:vAlign w:val="bottom"/>
          </w:tcPr>
          <w:p w14:paraId="5A1B2C4D" w14:textId="77777777" w:rsidR="00960BB8" w:rsidRDefault="00960BB8">
            <w:pPr>
              <w:rPr>
                <w:rFonts w:ascii="宋体"/>
                <w:vanish/>
              </w:rPr>
            </w:pPr>
          </w:p>
        </w:tc>
        <w:tc>
          <w:tcPr>
            <w:tcW w:w="0" w:type="auto"/>
            <w:gridSpan w:val="3"/>
            <w:shd w:val="clear" w:color="auto" w:fill="auto"/>
            <w:vAlign w:val="bottom"/>
          </w:tcPr>
          <w:p w14:paraId="5A1B2C4E" w14:textId="77777777" w:rsidR="00960BB8" w:rsidRDefault="00960BB8">
            <w:pPr>
              <w:rPr>
                <w:rFonts w:ascii="宋体"/>
                <w:vanish/>
              </w:rPr>
            </w:pPr>
          </w:p>
        </w:tc>
        <w:tc>
          <w:tcPr>
            <w:tcW w:w="0" w:type="auto"/>
            <w:shd w:val="clear" w:color="auto" w:fill="auto"/>
            <w:vAlign w:val="bottom"/>
          </w:tcPr>
          <w:p w14:paraId="5A1B2C4F" w14:textId="77777777" w:rsidR="00960BB8" w:rsidRDefault="00960BB8">
            <w:pPr>
              <w:rPr>
                <w:rFonts w:ascii="宋体"/>
                <w:vanish/>
              </w:rPr>
            </w:pPr>
          </w:p>
        </w:tc>
        <w:tc>
          <w:tcPr>
            <w:tcW w:w="0" w:type="auto"/>
            <w:shd w:val="clear" w:color="auto" w:fill="auto"/>
            <w:vAlign w:val="bottom"/>
          </w:tcPr>
          <w:p w14:paraId="5A1B2C50" w14:textId="77777777" w:rsidR="00960BB8" w:rsidRDefault="00960BB8">
            <w:pPr>
              <w:rPr>
                <w:rFonts w:ascii="宋体"/>
                <w:vanish/>
              </w:rPr>
            </w:pPr>
          </w:p>
        </w:tc>
        <w:tc>
          <w:tcPr>
            <w:tcW w:w="0" w:type="auto"/>
            <w:shd w:val="clear" w:color="auto" w:fill="auto"/>
            <w:vAlign w:val="bottom"/>
          </w:tcPr>
          <w:p w14:paraId="5A1B2C51" w14:textId="77777777" w:rsidR="00960BB8" w:rsidRDefault="00960BB8">
            <w:pPr>
              <w:rPr>
                <w:rFonts w:ascii="宋体"/>
                <w:vanish/>
              </w:rPr>
            </w:pPr>
          </w:p>
        </w:tc>
        <w:tc>
          <w:tcPr>
            <w:tcW w:w="0" w:type="auto"/>
            <w:shd w:val="clear" w:color="auto" w:fill="auto"/>
            <w:vAlign w:val="bottom"/>
          </w:tcPr>
          <w:p w14:paraId="5A1B2C52" w14:textId="77777777" w:rsidR="00960BB8" w:rsidRDefault="00960BB8">
            <w:pPr>
              <w:rPr>
                <w:rFonts w:ascii="宋体"/>
                <w:vanish/>
              </w:rPr>
            </w:pPr>
          </w:p>
        </w:tc>
      </w:tr>
      <w:tr w:rsidR="00960BB8" w14:paraId="5A1B2C63" w14:textId="77777777">
        <w:trPr>
          <w:hidden/>
        </w:trPr>
        <w:tc>
          <w:tcPr>
            <w:tcW w:w="0" w:type="auto"/>
            <w:gridSpan w:val="3"/>
            <w:shd w:val="clear" w:color="auto" w:fill="auto"/>
            <w:vAlign w:val="bottom"/>
          </w:tcPr>
          <w:p w14:paraId="5A1B2C54" w14:textId="77777777" w:rsidR="00960BB8" w:rsidRDefault="00960BB8">
            <w:pPr>
              <w:rPr>
                <w:rFonts w:ascii="宋体"/>
                <w:vanish/>
              </w:rPr>
            </w:pPr>
          </w:p>
        </w:tc>
        <w:tc>
          <w:tcPr>
            <w:tcW w:w="0" w:type="auto"/>
            <w:gridSpan w:val="3"/>
            <w:shd w:val="clear" w:color="auto" w:fill="auto"/>
            <w:vAlign w:val="bottom"/>
          </w:tcPr>
          <w:p w14:paraId="5A1B2C55" w14:textId="77777777" w:rsidR="00960BB8" w:rsidRDefault="00960BB8">
            <w:pPr>
              <w:rPr>
                <w:rFonts w:ascii="宋体"/>
                <w:vanish/>
              </w:rPr>
            </w:pPr>
          </w:p>
        </w:tc>
        <w:tc>
          <w:tcPr>
            <w:tcW w:w="0" w:type="auto"/>
            <w:shd w:val="clear" w:color="auto" w:fill="auto"/>
            <w:vAlign w:val="bottom"/>
          </w:tcPr>
          <w:p w14:paraId="5A1B2C56" w14:textId="77777777" w:rsidR="00960BB8" w:rsidRDefault="00960BB8">
            <w:pPr>
              <w:rPr>
                <w:rFonts w:ascii="宋体"/>
                <w:vanish/>
              </w:rPr>
            </w:pPr>
          </w:p>
        </w:tc>
        <w:tc>
          <w:tcPr>
            <w:tcW w:w="0" w:type="auto"/>
            <w:shd w:val="clear" w:color="auto" w:fill="auto"/>
            <w:vAlign w:val="bottom"/>
          </w:tcPr>
          <w:p w14:paraId="5A1B2C57" w14:textId="77777777" w:rsidR="00960BB8" w:rsidRDefault="00960BB8">
            <w:pPr>
              <w:rPr>
                <w:rFonts w:ascii="宋体"/>
                <w:vanish/>
              </w:rPr>
            </w:pPr>
          </w:p>
        </w:tc>
        <w:tc>
          <w:tcPr>
            <w:tcW w:w="0" w:type="auto"/>
            <w:gridSpan w:val="3"/>
            <w:shd w:val="clear" w:color="auto" w:fill="auto"/>
            <w:vAlign w:val="bottom"/>
          </w:tcPr>
          <w:p w14:paraId="5A1B2C58" w14:textId="77777777" w:rsidR="00960BB8" w:rsidRDefault="00960BB8">
            <w:pPr>
              <w:rPr>
                <w:rFonts w:ascii="宋体"/>
                <w:vanish/>
              </w:rPr>
            </w:pPr>
          </w:p>
        </w:tc>
        <w:tc>
          <w:tcPr>
            <w:tcW w:w="0" w:type="auto"/>
            <w:gridSpan w:val="3"/>
            <w:shd w:val="clear" w:color="auto" w:fill="auto"/>
            <w:vAlign w:val="bottom"/>
          </w:tcPr>
          <w:p w14:paraId="5A1B2C59" w14:textId="77777777" w:rsidR="00960BB8" w:rsidRDefault="00960BB8">
            <w:pPr>
              <w:rPr>
                <w:rFonts w:ascii="宋体"/>
                <w:vanish/>
              </w:rPr>
            </w:pPr>
          </w:p>
        </w:tc>
        <w:tc>
          <w:tcPr>
            <w:tcW w:w="0" w:type="auto"/>
            <w:gridSpan w:val="3"/>
            <w:shd w:val="clear" w:color="auto" w:fill="auto"/>
            <w:vAlign w:val="bottom"/>
          </w:tcPr>
          <w:p w14:paraId="5A1B2C5A" w14:textId="77777777" w:rsidR="00960BB8" w:rsidRDefault="00960BB8">
            <w:pPr>
              <w:rPr>
                <w:rFonts w:ascii="宋体"/>
                <w:vanish/>
              </w:rPr>
            </w:pPr>
          </w:p>
        </w:tc>
        <w:tc>
          <w:tcPr>
            <w:tcW w:w="0" w:type="auto"/>
            <w:gridSpan w:val="3"/>
            <w:shd w:val="clear" w:color="auto" w:fill="auto"/>
            <w:vAlign w:val="bottom"/>
          </w:tcPr>
          <w:p w14:paraId="5A1B2C5B" w14:textId="77777777" w:rsidR="00960BB8" w:rsidRDefault="00960BB8">
            <w:pPr>
              <w:rPr>
                <w:rFonts w:ascii="宋体"/>
                <w:vanish/>
              </w:rPr>
            </w:pPr>
          </w:p>
        </w:tc>
        <w:tc>
          <w:tcPr>
            <w:tcW w:w="0" w:type="auto"/>
            <w:gridSpan w:val="3"/>
            <w:shd w:val="clear" w:color="auto" w:fill="auto"/>
            <w:vAlign w:val="bottom"/>
          </w:tcPr>
          <w:p w14:paraId="5A1B2C5C" w14:textId="77777777" w:rsidR="00960BB8" w:rsidRDefault="00960BB8">
            <w:pPr>
              <w:rPr>
                <w:rFonts w:ascii="宋体"/>
                <w:vanish/>
              </w:rPr>
            </w:pPr>
          </w:p>
        </w:tc>
        <w:tc>
          <w:tcPr>
            <w:tcW w:w="0" w:type="auto"/>
            <w:gridSpan w:val="3"/>
            <w:shd w:val="clear" w:color="auto" w:fill="auto"/>
            <w:vAlign w:val="bottom"/>
          </w:tcPr>
          <w:p w14:paraId="5A1B2C5D" w14:textId="77777777" w:rsidR="00960BB8" w:rsidRDefault="00960BB8">
            <w:pPr>
              <w:rPr>
                <w:rFonts w:ascii="宋体"/>
                <w:vanish/>
              </w:rPr>
            </w:pPr>
          </w:p>
        </w:tc>
        <w:tc>
          <w:tcPr>
            <w:tcW w:w="0" w:type="auto"/>
            <w:gridSpan w:val="3"/>
            <w:shd w:val="clear" w:color="auto" w:fill="auto"/>
            <w:vAlign w:val="bottom"/>
          </w:tcPr>
          <w:p w14:paraId="5A1B2C5E" w14:textId="77777777" w:rsidR="00960BB8" w:rsidRDefault="00960BB8">
            <w:pPr>
              <w:rPr>
                <w:rFonts w:ascii="宋体"/>
                <w:vanish/>
              </w:rPr>
            </w:pPr>
          </w:p>
        </w:tc>
        <w:tc>
          <w:tcPr>
            <w:tcW w:w="0" w:type="auto"/>
            <w:shd w:val="clear" w:color="auto" w:fill="auto"/>
            <w:vAlign w:val="bottom"/>
          </w:tcPr>
          <w:p w14:paraId="5A1B2C5F" w14:textId="77777777" w:rsidR="00960BB8" w:rsidRDefault="00960BB8">
            <w:pPr>
              <w:rPr>
                <w:rFonts w:ascii="宋体"/>
                <w:vanish/>
              </w:rPr>
            </w:pPr>
          </w:p>
        </w:tc>
        <w:tc>
          <w:tcPr>
            <w:tcW w:w="0" w:type="auto"/>
            <w:shd w:val="clear" w:color="auto" w:fill="auto"/>
            <w:vAlign w:val="bottom"/>
          </w:tcPr>
          <w:p w14:paraId="5A1B2C60" w14:textId="77777777" w:rsidR="00960BB8" w:rsidRDefault="00960BB8">
            <w:pPr>
              <w:rPr>
                <w:rFonts w:ascii="宋体"/>
                <w:vanish/>
              </w:rPr>
            </w:pPr>
          </w:p>
        </w:tc>
        <w:tc>
          <w:tcPr>
            <w:tcW w:w="0" w:type="auto"/>
            <w:shd w:val="clear" w:color="auto" w:fill="auto"/>
            <w:vAlign w:val="bottom"/>
          </w:tcPr>
          <w:p w14:paraId="5A1B2C61" w14:textId="77777777" w:rsidR="00960BB8" w:rsidRDefault="00960BB8">
            <w:pPr>
              <w:rPr>
                <w:rFonts w:ascii="宋体"/>
                <w:vanish/>
              </w:rPr>
            </w:pPr>
          </w:p>
        </w:tc>
        <w:tc>
          <w:tcPr>
            <w:tcW w:w="0" w:type="auto"/>
            <w:shd w:val="clear" w:color="auto" w:fill="auto"/>
            <w:vAlign w:val="bottom"/>
          </w:tcPr>
          <w:p w14:paraId="5A1B2C62" w14:textId="77777777" w:rsidR="00960BB8" w:rsidRDefault="00960BB8">
            <w:pPr>
              <w:rPr>
                <w:rFonts w:ascii="宋体"/>
                <w:vanish/>
              </w:rPr>
            </w:pPr>
          </w:p>
        </w:tc>
      </w:tr>
      <w:tr w:rsidR="00960BB8" w14:paraId="5A1B2C7B"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C64" w14:textId="77777777" w:rsidR="00960BB8" w:rsidRDefault="00C06650">
            <w:pPr>
              <w:textAlignment w:val="bottom"/>
            </w:pPr>
            <w:r>
              <w:rPr>
                <w:rFonts w:ascii="Arial" w:eastAsia="宋体" w:hAnsi="Arial" w:cs="Arial"/>
                <w:b/>
                <w:bCs/>
                <w:color w:val="262626"/>
                <w:sz w:val="18"/>
                <w:szCs w:val="18"/>
              </w:rPr>
              <w:t>December 28, 2019</w:t>
            </w:r>
          </w:p>
        </w:tc>
        <w:tc>
          <w:tcPr>
            <w:tcW w:w="0" w:type="auto"/>
            <w:gridSpan w:val="3"/>
            <w:shd w:val="clear" w:color="auto" w:fill="auto"/>
            <w:tcMar>
              <w:top w:w="0" w:type="dxa"/>
              <w:left w:w="20" w:type="dxa"/>
              <w:bottom w:w="0" w:type="dxa"/>
              <w:right w:w="20" w:type="dxa"/>
            </w:tcMar>
            <w:vAlign w:val="bottom"/>
          </w:tcPr>
          <w:p w14:paraId="5A1B2C65" w14:textId="77777777" w:rsidR="00960BB8" w:rsidRDefault="00960BB8">
            <w:pPr>
              <w:rPr>
                <w:rFonts w:ascii="宋体"/>
              </w:rPr>
            </w:pPr>
          </w:p>
        </w:tc>
        <w:tc>
          <w:tcPr>
            <w:tcW w:w="0" w:type="auto"/>
            <w:shd w:val="clear" w:color="auto" w:fill="auto"/>
            <w:vAlign w:val="bottom"/>
          </w:tcPr>
          <w:p w14:paraId="5A1B2C66" w14:textId="77777777" w:rsidR="00960BB8" w:rsidRDefault="00960BB8">
            <w:pPr>
              <w:rPr>
                <w:rFonts w:ascii="宋体"/>
                <w:vanish/>
              </w:rPr>
            </w:pPr>
          </w:p>
        </w:tc>
        <w:tc>
          <w:tcPr>
            <w:tcW w:w="0" w:type="auto"/>
            <w:shd w:val="clear" w:color="auto" w:fill="auto"/>
            <w:vAlign w:val="bottom"/>
          </w:tcPr>
          <w:p w14:paraId="5A1B2C67" w14:textId="77777777" w:rsidR="00960BB8" w:rsidRDefault="00960BB8">
            <w:pPr>
              <w:rPr>
                <w:rFonts w:ascii="宋体"/>
                <w:vanish/>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C68"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C69" w14:textId="77777777" w:rsidR="00960BB8" w:rsidRDefault="00C06650">
            <w:pPr>
              <w:jc w:val="right"/>
              <w:textAlignment w:val="bottom"/>
            </w:pPr>
            <w:r>
              <w:rPr>
                <w:rFonts w:ascii="Arial" w:eastAsia="宋体" w:hAnsi="Arial" w:cs="Arial"/>
                <w:b/>
                <w:bCs/>
                <w:color w:val="262626"/>
                <w:sz w:val="18"/>
                <w:szCs w:val="18"/>
              </w:rPr>
              <w:t>54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C6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6B"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C6C"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C6D" w14:textId="77777777" w:rsidR="00960BB8" w:rsidRDefault="00C06650">
            <w:pPr>
              <w:jc w:val="right"/>
              <w:textAlignment w:val="bottom"/>
            </w:pPr>
            <w:r>
              <w:rPr>
                <w:rFonts w:ascii="Arial" w:eastAsia="宋体" w:hAnsi="Arial" w:cs="Arial"/>
                <w:b/>
                <w:bCs/>
                <w:color w:val="262626"/>
                <w:sz w:val="18"/>
                <w:szCs w:val="18"/>
              </w:rPr>
              <w:t>(1,382)</w:t>
            </w:r>
          </w:p>
        </w:tc>
        <w:tc>
          <w:tcPr>
            <w:tcW w:w="0" w:type="auto"/>
            <w:tcBorders>
              <w:top w:val="single" w:sz="8" w:space="0" w:color="0068B5"/>
            </w:tcBorders>
            <w:shd w:val="clear" w:color="auto" w:fill="auto"/>
            <w:tcMar>
              <w:top w:w="40" w:type="dxa"/>
              <w:left w:w="0" w:type="dxa"/>
              <w:bottom w:w="40" w:type="dxa"/>
              <w:right w:w="20" w:type="dxa"/>
            </w:tcMar>
            <w:vAlign w:val="bottom"/>
          </w:tcPr>
          <w:p w14:paraId="5A1B2C6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6F"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C70"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C71" w14:textId="77777777" w:rsidR="00960BB8" w:rsidRDefault="00C06650">
            <w:pPr>
              <w:jc w:val="right"/>
              <w:textAlignment w:val="bottom"/>
            </w:pPr>
            <w:r>
              <w:rPr>
                <w:rFonts w:ascii="Arial" w:eastAsia="宋体" w:hAnsi="Arial" w:cs="Arial"/>
                <w:b/>
                <w:bCs/>
                <w:color w:val="262626"/>
                <w:sz w:val="18"/>
                <w:szCs w:val="18"/>
              </w:rPr>
              <w:t>48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C7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7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C74"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C75" w14:textId="77777777" w:rsidR="00960BB8" w:rsidRDefault="00C06650">
            <w:pPr>
              <w:jc w:val="right"/>
              <w:textAlignment w:val="bottom"/>
            </w:pPr>
            <w:r>
              <w:rPr>
                <w:rFonts w:ascii="Arial" w:eastAsia="宋体" w:hAnsi="Arial" w:cs="Arial"/>
                <w:b/>
                <w:bCs/>
                <w:color w:val="262626"/>
                <w:sz w:val="18"/>
                <w:szCs w:val="18"/>
              </w:rPr>
              <w:t>(1,280)</w:t>
            </w:r>
          </w:p>
        </w:tc>
        <w:tc>
          <w:tcPr>
            <w:tcW w:w="0" w:type="auto"/>
            <w:tcBorders>
              <w:top w:val="single" w:sz="8" w:space="0" w:color="0068B5"/>
            </w:tcBorders>
            <w:shd w:val="clear" w:color="auto" w:fill="auto"/>
            <w:tcMar>
              <w:top w:w="40" w:type="dxa"/>
              <w:left w:w="0" w:type="dxa"/>
              <w:bottom w:w="40" w:type="dxa"/>
              <w:right w:w="20" w:type="dxa"/>
            </w:tcMar>
            <w:vAlign w:val="bottom"/>
          </w:tcPr>
          <w:p w14:paraId="5A1B2C76" w14:textId="77777777" w:rsidR="00960BB8" w:rsidRDefault="00960BB8">
            <w:pPr>
              <w:jc w:val="right"/>
              <w:rPr>
                <w:rFonts w:ascii="宋体"/>
              </w:rPr>
            </w:pPr>
          </w:p>
        </w:tc>
        <w:tc>
          <w:tcPr>
            <w:tcW w:w="0" w:type="auto"/>
            <w:shd w:val="clear" w:color="auto" w:fill="auto"/>
            <w:vAlign w:val="bottom"/>
          </w:tcPr>
          <w:p w14:paraId="5A1B2C77" w14:textId="77777777" w:rsidR="00960BB8" w:rsidRDefault="00960BB8">
            <w:pPr>
              <w:rPr>
                <w:rFonts w:ascii="宋体"/>
                <w:vanish/>
              </w:rPr>
            </w:pPr>
          </w:p>
        </w:tc>
        <w:tc>
          <w:tcPr>
            <w:tcW w:w="0" w:type="auto"/>
            <w:shd w:val="clear" w:color="auto" w:fill="auto"/>
            <w:vAlign w:val="bottom"/>
          </w:tcPr>
          <w:p w14:paraId="5A1B2C78" w14:textId="77777777" w:rsidR="00960BB8" w:rsidRDefault="00960BB8">
            <w:pPr>
              <w:rPr>
                <w:rFonts w:ascii="宋体"/>
                <w:vanish/>
              </w:rPr>
            </w:pPr>
          </w:p>
        </w:tc>
        <w:tc>
          <w:tcPr>
            <w:tcW w:w="0" w:type="auto"/>
            <w:shd w:val="clear" w:color="auto" w:fill="auto"/>
            <w:vAlign w:val="bottom"/>
          </w:tcPr>
          <w:p w14:paraId="5A1B2C79" w14:textId="77777777" w:rsidR="00960BB8" w:rsidRDefault="00960BB8">
            <w:pPr>
              <w:rPr>
                <w:rFonts w:ascii="宋体"/>
                <w:vanish/>
              </w:rPr>
            </w:pPr>
          </w:p>
        </w:tc>
        <w:tc>
          <w:tcPr>
            <w:tcW w:w="0" w:type="auto"/>
            <w:shd w:val="clear" w:color="auto" w:fill="auto"/>
            <w:vAlign w:val="bottom"/>
          </w:tcPr>
          <w:p w14:paraId="5A1B2C7A" w14:textId="77777777" w:rsidR="00960BB8" w:rsidRDefault="00960BB8">
            <w:pPr>
              <w:rPr>
                <w:rFonts w:ascii="宋体"/>
                <w:vanish/>
              </w:rPr>
            </w:pPr>
          </w:p>
        </w:tc>
      </w:tr>
      <w:tr w:rsidR="00960BB8" w14:paraId="5A1B2C8F" w14:textId="77777777">
        <w:tc>
          <w:tcPr>
            <w:tcW w:w="0" w:type="auto"/>
            <w:gridSpan w:val="3"/>
            <w:shd w:val="clear" w:color="auto" w:fill="auto"/>
            <w:tcMar>
              <w:top w:w="40" w:type="dxa"/>
              <w:left w:w="20" w:type="dxa"/>
              <w:bottom w:w="40" w:type="dxa"/>
              <w:right w:w="20" w:type="dxa"/>
            </w:tcMar>
            <w:vAlign w:val="bottom"/>
          </w:tcPr>
          <w:p w14:paraId="5A1B2C7C" w14:textId="77777777" w:rsidR="00960BB8" w:rsidRDefault="00C06650">
            <w:pPr>
              <w:textAlignment w:val="bottom"/>
            </w:pPr>
            <w:r>
              <w:rPr>
                <w:rFonts w:ascii="Arial" w:eastAsia="宋体" w:hAnsi="Arial" w:cs="Arial"/>
                <w:color w:val="262626"/>
                <w:sz w:val="18"/>
                <w:szCs w:val="18"/>
              </w:rPr>
              <w:t>Other comprehensive income (loss) before reclassifications</w:t>
            </w:r>
          </w:p>
        </w:tc>
        <w:tc>
          <w:tcPr>
            <w:tcW w:w="0" w:type="auto"/>
            <w:gridSpan w:val="3"/>
            <w:shd w:val="clear" w:color="auto" w:fill="auto"/>
            <w:tcMar>
              <w:top w:w="0" w:type="dxa"/>
              <w:left w:w="20" w:type="dxa"/>
              <w:bottom w:w="0" w:type="dxa"/>
              <w:right w:w="20" w:type="dxa"/>
            </w:tcMar>
            <w:vAlign w:val="bottom"/>
          </w:tcPr>
          <w:p w14:paraId="5A1B2C7D" w14:textId="77777777" w:rsidR="00960BB8" w:rsidRDefault="00960BB8">
            <w:pPr>
              <w:rPr>
                <w:rFonts w:ascii="宋体"/>
              </w:rPr>
            </w:pPr>
          </w:p>
        </w:tc>
        <w:tc>
          <w:tcPr>
            <w:tcW w:w="0" w:type="auto"/>
            <w:shd w:val="clear" w:color="auto" w:fill="auto"/>
            <w:vAlign w:val="bottom"/>
          </w:tcPr>
          <w:p w14:paraId="5A1B2C7E" w14:textId="77777777" w:rsidR="00960BB8" w:rsidRDefault="00960BB8">
            <w:pPr>
              <w:rPr>
                <w:rFonts w:ascii="宋体"/>
                <w:vanish/>
              </w:rPr>
            </w:pPr>
          </w:p>
        </w:tc>
        <w:tc>
          <w:tcPr>
            <w:tcW w:w="0" w:type="auto"/>
            <w:shd w:val="clear" w:color="auto" w:fill="auto"/>
            <w:vAlign w:val="bottom"/>
          </w:tcPr>
          <w:p w14:paraId="5A1B2C7F"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C80" w14:textId="77777777" w:rsidR="00960BB8" w:rsidRDefault="00C06650">
            <w:pPr>
              <w:jc w:val="right"/>
              <w:textAlignment w:val="bottom"/>
            </w:pPr>
            <w:r>
              <w:rPr>
                <w:rFonts w:ascii="Arial" w:eastAsia="宋体" w:hAnsi="Arial" w:cs="Arial"/>
                <w:color w:val="262626"/>
                <w:sz w:val="18"/>
                <w:szCs w:val="18"/>
              </w:rPr>
              <w:t>806 </w:t>
            </w:r>
          </w:p>
        </w:tc>
        <w:tc>
          <w:tcPr>
            <w:tcW w:w="0" w:type="auto"/>
            <w:shd w:val="clear" w:color="auto" w:fill="auto"/>
            <w:tcMar>
              <w:top w:w="40" w:type="dxa"/>
              <w:left w:w="0" w:type="dxa"/>
              <w:bottom w:w="40" w:type="dxa"/>
              <w:right w:w="20" w:type="dxa"/>
            </w:tcMar>
            <w:vAlign w:val="bottom"/>
          </w:tcPr>
          <w:p w14:paraId="5A1B2C8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8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C83" w14:textId="77777777" w:rsidR="00960BB8" w:rsidRDefault="00C06650">
            <w:pPr>
              <w:jc w:val="right"/>
              <w:textAlignment w:val="bottom"/>
            </w:pPr>
            <w:r>
              <w:rPr>
                <w:rFonts w:ascii="Arial" w:eastAsia="宋体" w:hAnsi="Arial" w:cs="Arial"/>
                <w:color w:val="262626"/>
                <w:sz w:val="18"/>
                <w:szCs w:val="18"/>
              </w:rPr>
              <w:t>(323)</w:t>
            </w:r>
          </w:p>
        </w:tc>
        <w:tc>
          <w:tcPr>
            <w:tcW w:w="0" w:type="auto"/>
            <w:shd w:val="clear" w:color="auto" w:fill="auto"/>
            <w:tcMar>
              <w:top w:w="40" w:type="dxa"/>
              <w:left w:w="0" w:type="dxa"/>
              <w:bottom w:w="40" w:type="dxa"/>
              <w:right w:w="20" w:type="dxa"/>
            </w:tcMar>
            <w:vAlign w:val="bottom"/>
          </w:tcPr>
          <w:p w14:paraId="5A1B2C8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8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C86" w14:textId="77777777" w:rsidR="00960BB8" w:rsidRDefault="00C06650">
            <w:pPr>
              <w:jc w:val="right"/>
              <w:textAlignment w:val="bottom"/>
            </w:pPr>
            <w:r>
              <w:rPr>
                <w:rFonts w:ascii="Arial" w:eastAsia="宋体" w:hAnsi="Arial" w:cs="Arial"/>
                <w:color w:val="262626"/>
                <w:sz w:val="18"/>
                <w:szCs w:val="18"/>
              </w:rPr>
              <w:t>55 </w:t>
            </w:r>
          </w:p>
        </w:tc>
        <w:tc>
          <w:tcPr>
            <w:tcW w:w="0" w:type="auto"/>
            <w:shd w:val="clear" w:color="auto" w:fill="auto"/>
            <w:tcMar>
              <w:top w:w="40" w:type="dxa"/>
              <w:left w:w="0" w:type="dxa"/>
              <w:bottom w:w="40" w:type="dxa"/>
              <w:right w:w="20" w:type="dxa"/>
            </w:tcMar>
            <w:vAlign w:val="bottom"/>
          </w:tcPr>
          <w:p w14:paraId="5A1B2C8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8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C89" w14:textId="77777777" w:rsidR="00960BB8" w:rsidRDefault="00C06650">
            <w:pPr>
              <w:jc w:val="right"/>
              <w:textAlignment w:val="bottom"/>
            </w:pPr>
            <w:r>
              <w:rPr>
                <w:rFonts w:ascii="Arial" w:eastAsia="宋体" w:hAnsi="Arial" w:cs="Arial"/>
                <w:color w:val="262626"/>
                <w:sz w:val="18"/>
                <w:szCs w:val="18"/>
              </w:rPr>
              <w:t>538 </w:t>
            </w:r>
          </w:p>
        </w:tc>
        <w:tc>
          <w:tcPr>
            <w:tcW w:w="0" w:type="auto"/>
            <w:shd w:val="clear" w:color="auto" w:fill="auto"/>
            <w:tcMar>
              <w:top w:w="40" w:type="dxa"/>
              <w:left w:w="0" w:type="dxa"/>
              <w:bottom w:w="40" w:type="dxa"/>
              <w:right w:w="20" w:type="dxa"/>
            </w:tcMar>
            <w:vAlign w:val="bottom"/>
          </w:tcPr>
          <w:p w14:paraId="5A1B2C8A" w14:textId="77777777" w:rsidR="00960BB8" w:rsidRDefault="00960BB8">
            <w:pPr>
              <w:jc w:val="right"/>
              <w:rPr>
                <w:rFonts w:ascii="宋体"/>
              </w:rPr>
            </w:pPr>
          </w:p>
        </w:tc>
        <w:tc>
          <w:tcPr>
            <w:tcW w:w="0" w:type="auto"/>
            <w:shd w:val="clear" w:color="auto" w:fill="auto"/>
            <w:vAlign w:val="bottom"/>
          </w:tcPr>
          <w:p w14:paraId="5A1B2C8B" w14:textId="77777777" w:rsidR="00960BB8" w:rsidRDefault="00960BB8">
            <w:pPr>
              <w:rPr>
                <w:rFonts w:ascii="宋体"/>
                <w:vanish/>
              </w:rPr>
            </w:pPr>
          </w:p>
        </w:tc>
        <w:tc>
          <w:tcPr>
            <w:tcW w:w="0" w:type="auto"/>
            <w:shd w:val="clear" w:color="auto" w:fill="auto"/>
            <w:vAlign w:val="bottom"/>
          </w:tcPr>
          <w:p w14:paraId="5A1B2C8C" w14:textId="77777777" w:rsidR="00960BB8" w:rsidRDefault="00960BB8">
            <w:pPr>
              <w:rPr>
                <w:rFonts w:ascii="宋体"/>
                <w:vanish/>
              </w:rPr>
            </w:pPr>
          </w:p>
        </w:tc>
        <w:tc>
          <w:tcPr>
            <w:tcW w:w="0" w:type="auto"/>
            <w:shd w:val="clear" w:color="auto" w:fill="auto"/>
            <w:vAlign w:val="bottom"/>
          </w:tcPr>
          <w:p w14:paraId="5A1B2C8D" w14:textId="77777777" w:rsidR="00960BB8" w:rsidRDefault="00960BB8">
            <w:pPr>
              <w:rPr>
                <w:rFonts w:ascii="宋体"/>
                <w:vanish/>
              </w:rPr>
            </w:pPr>
          </w:p>
        </w:tc>
        <w:tc>
          <w:tcPr>
            <w:tcW w:w="0" w:type="auto"/>
            <w:shd w:val="clear" w:color="auto" w:fill="auto"/>
            <w:vAlign w:val="bottom"/>
          </w:tcPr>
          <w:p w14:paraId="5A1B2C8E" w14:textId="77777777" w:rsidR="00960BB8" w:rsidRDefault="00960BB8">
            <w:pPr>
              <w:rPr>
                <w:rFonts w:ascii="宋体"/>
                <w:vanish/>
              </w:rPr>
            </w:pPr>
          </w:p>
        </w:tc>
      </w:tr>
      <w:tr w:rsidR="00960BB8" w14:paraId="5A1B2CA3" w14:textId="77777777">
        <w:tc>
          <w:tcPr>
            <w:tcW w:w="0" w:type="auto"/>
            <w:gridSpan w:val="3"/>
            <w:shd w:val="clear" w:color="auto" w:fill="auto"/>
            <w:tcMar>
              <w:top w:w="40" w:type="dxa"/>
              <w:left w:w="20" w:type="dxa"/>
              <w:bottom w:w="40" w:type="dxa"/>
              <w:right w:w="20" w:type="dxa"/>
            </w:tcMar>
            <w:vAlign w:val="bottom"/>
          </w:tcPr>
          <w:p w14:paraId="5A1B2C90" w14:textId="77777777" w:rsidR="00960BB8" w:rsidRDefault="00C06650">
            <w:pPr>
              <w:textAlignment w:val="bottom"/>
            </w:pPr>
            <w:r>
              <w:rPr>
                <w:rFonts w:ascii="Arial" w:eastAsia="宋体" w:hAnsi="Arial" w:cs="Arial"/>
                <w:color w:val="262626"/>
                <w:sz w:val="18"/>
                <w:szCs w:val="18"/>
              </w:rPr>
              <w:t>Amounts reclassified out of accumulated other comprehensive income (loss)</w:t>
            </w:r>
          </w:p>
        </w:tc>
        <w:tc>
          <w:tcPr>
            <w:tcW w:w="0" w:type="auto"/>
            <w:gridSpan w:val="3"/>
            <w:shd w:val="clear" w:color="auto" w:fill="auto"/>
            <w:tcMar>
              <w:top w:w="0" w:type="dxa"/>
              <w:left w:w="20" w:type="dxa"/>
              <w:bottom w:w="0" w:type="dxa"/>
              <w:right w:w="20" w:type="dxa"/>
            </w:tcMar>
            <w:vAlign w:val="bottom"/>
          </w:tcPr>
          <w:p w14:paraId="5A1B2C91" w14:textId="77777777" w:rsidR="00960BB8" w:rsidRDefault="00960BB8">
            <w:pPr>
              <w:rPr>
                <w:rFonts w:ascii="宋体"/>
              </w:rPr>
            </w:pPr>
          </w:p>
        </w:tc>
        <w:tc>
          <w:tcPr>
            <w:tcW w:w="0" w:type="auto"/>
            <w:shd w:val="clear" w:color="auto" w:fill="auto"/>
            <w:vAlign w:val="bottom"/>
          </w:tcPr>
          <w:p w14:paraId="5A1B2C92" w14:textId="77777777" w:rsidR="00960BB8" w:rsidRDefault="00960BB8">
            <w:pPr>
              <w:rPr>
                <w:rFonts w:ascii="宋体"/>
                <w:vanish/>
              </w:rPr>
            </w:pPr>
          </w:p>
        </w:tc>
        <w:tc>
          <w:tcPr>
            <w:tcW w:w="0" w:type="auto"/>
            <w:shd w:val="clear" w:color="auto" w:fill="auto"/>
            <w:vAlign w:val="bottom"/>
          </w:tcPr>
          <w:p w14:paraId="5A1B2C93"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C94" w14:textId="77777777" w:rsidR="00960BB8" w:rsidRDefault="00C06650">
            <w:pPr>
              <w:jc w:val="right"/>
              <w:textAlignment w:val="bottom"/>
            </w:pPr>
            <w:r>
              <w:rPr>
                <w:rFonts w:ascii="Arial" w:eastAsia="宋体" w:hAnsi="Arial" w:cs="Arial"/>
                <w:color w:val="262626"/>
                <w:sz w:val="18"/>
                <w:szCs w:val="18"/>
              </w:rPr>
              <w:t>(8)</w:t>
            </w:r>
          </w:p>
        </w:tc>
        <w:tc>
          <w:tcPr>
            <w:tcW w:w="0" w:type="auto"/>
            <w:shd w:val="clear" w:color="auto" w:fill="auto"/>
            <w:tcMar>
              <w:top w:w="40" w:type="dxa"/>
              <w:left w:w="0" w:type="dxa"/>
              <w:bottom w:w="40" w:type="dxa"/>
              <w:right w:w="20" w:type="dxa"/>
            </w:tcMar>
            <w:vAlign w:val="bottom"/>
          </w:tcPr>
          <w:p w14:paraId="5A1B2C9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9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C97" w14:textId="77777777" w:rsidR="00960BB8" w:rsidRDefault="00C06650">
            <w:pPr>
              <w:jc w:val="right"/>
              <w:textAlignment w:val="bottom"/>
            </w:pPr>
            <w:r>
              <w:rPr>
                <w:rFonts w:ascii="Arial" w:eastAsia="宋体" w:hAnsi="Arial" w:cs="Arial"/>
                <w:color w:val="262626"/>
                <w:sz w:val="18"/>
                <w:szCs w:val="18"/>
              </w:rPr>
              <w:t>89 </w:t>
            </w:r>
          </w:p>
        </w:tc>
        <w:tc>
          <w:tcPr>
            <w:tcW w:w="0" w:type="auto"/>
            <w:shd w:val="clear" w:color="auto" w:fill="auto"/>
            <w:tcMar>
              <w:top w:w="40" w:type="dxa"/>
              <w:left w:w="0" w:type="dxa"/>
              <w:bottom w:w="40" w:type="dxa"/>
              <w:right w:w="20" w:type="dxa"/>
            </w:tcMar>
            <w:vAlign w:val="bottom"/>
          </w:tcPr>
          <w:p w14:paraId="5A1B2C9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9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C9A" w14:textId="77777777" w:rsidR="00960BB8" w:rsidRDefault="00C06650">
            <w:pPr>
              <w:jc w:val="right"/>
              <w:textAlignment w:val="bottom"/>
            </w:pPr>
            <w:r>
              <w:rPr>
                <w:rFonts w:ascii="Arial" w:eastAsia="宋体" w:hAnsi="Arial" w:cs="Arial"/>
                <w:color w:val="262626"/>
                <w:sz w:val="18"/>
                <w:szCs w:val="18"/>
              </w:rPr>
              <w:t>(11)</w:t>
            </w:r>
          </w:p>
        </w:tc>
        <w:tc>
          <w:tcPr>
            <w:tcW w:w="0" w:type="auto"/>
            <w:shd w:val="clear" w:color="auto" w:fill="auto"/>
            <w:tcMar>
              <w:top w:w="40" w:type="dxa"/>
              <w:left w:w="0" w:type="dxa"/>
              <w:bottom w:w="40" w:type="dxa"/>
              <w:right w:w="20" w:type="dxa"/>
            </w:tcMar>
            <w:vAlign w:val="bottom"/>
          </w:tcPr>
          <w:p w14:paraId="5A1B2C9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9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C9D" w14:textId="77777777" w:rsidR="00960BB8" w:rsidRDefault="00C06650">
            <w:pPr>
              <w:jc w:val="right"/>
              <w:textAlignment w:val="bottom"/>
            </w:pPr>
            <w:r>
              <w:rPr>
                <w:rFonts w:ascii="Arial" w:eastAsia="宋体" w:hAnsi="Arial" w:cs="Arial"/>
                <w:color w:val="262626"/>
                <w:sz w:val="18"/>
                <w:szCs w:val="18"/>
              </w:rPr>
              <w:t>70 </w:t>
            </w:r>
          </w:p>
        </w:tc>
        <w:tc>
          <w:tcPr>
            <w:tcW w:w="0" w:type="auto"/>
            <w:shd w:val="clear" w:color="auto" w:fill="auto"/>
            <w:tcMar>
              <w:top w:w="40" w:type="dxa"/>
              <w:left w:w="0" w:type="dxa"/>
              <w:bottom w:w="40" w:type="dxa"/>
              <w:right w:w="20" w:type="dxa"/>
            </w:tcMar>
            <w:vAlign w:val="bottom"/>
          </w:tcPr>
          <w:p w14:paraId="5A1B2C9E" w14:textId="77777777" w:rsidR="00960BB8" w:rsidRDefault="00960BB8">
            <w:pPr>
              <w:jc w:val="right"/>
              <w:rPr>
                <w:rFonts w:ascii="宋体"/>
              </w:rPr>
            </w:pPr>
          </w:p>
        </w:tc>
        <w:tc>
          <w:tcPr>
            <w:tcW w:w="0" w:type="auto"/>
            <w:shd w:val="clear" w:color="auto" w:fill="auto"/>
            <w:vAlign w:val="bottom"/>
          </w:tcPr>
          <w:p w14:paraId="5A1B2C9F" w14:textId="77777777" w:rsidR="00960BB8" w:rsidRDefault="00960BB8">
            <w:pPr>
              <w:rPr>
                <w:rFonts w:ascii="宋体"/>
                <w:vanish/>
              </w:rPr>
            </w:pPr>
          </w:p>
        </w:tc>
        <w:tc>
          <w:tcPr>
            <w:tcW w:w="0" w:type="auto"/>
            <w:shd w:val="clear" w:color="auto" w:fill="auto"/>
            <w:vAlign w:val="bottom"/>
          </w:tcPr>
          <w:p w14:paraId="5A1B2CA0" w14:textId="77777777" w:rsidR="00960BB8" w:rsidRDefault="00960BB8">
            <w:pPr>
              <w:rPr>
                <w:rFonts w:ascii="宋体"/>
                <w:vanish/>
              </w:rPr>
            </w:pPr>
          </w:p>
        </w:tc>
        <w:tc>
          <w:tcPr>
            <w:tcW w:w="0" w:type="auto"/>
            <w:shd w:val="clear" w:color="auto" w:fill="auto"/>
            <w:vAlign w:val="bottom"/>
          </w:tcPr>
          <w:p w14:paraId="5A1B2CA1" w14:textId="77777777" w:rsidR="00960BB8" w:rsidRDefault="00960BB8">
            <w:pPr>
              <w:rPr>
                <w:rFonts w:ascii="宋体"/>
                <w:vanish/>
              </w:rPr>
            </w:pPr>
          </w:p>
        </w:tc>
        <w:tc>
          <w:tcPr>
            <w:tcW w:w="0" w:type="auto"/>
            <w:shd w:val="clear" w:color="auto" w:fill="auto"/>
            <w:vAlign w:val="bottom"/>
          </w:tcPr>
          <w:p w14:paraId="5A1B2CA2" w14:textId="77777777" w:rsidR="00960BB8" w:rsidRDefault="00960BB8">
            <w:pPr>
              <w:rPr>
                <w:rFonts w:ascii="宋体"/>
                <w:vanish/>
              </w:rPr>
            </w:pPr>
          </w:p>
        </w:tc>
      </w:tr>
      <w:tr w:rsidR="00960BB8" w14:paraId="5A1B2CB7" w14:textId="77777777">
        <w:tc>
          <w:tcPr>
            <w:tcW w:w="0" w:type="auto"/>
            <w:gridSpan w:val="3"/>
            <w:shd w:val="clear" w:color="auto" w:fill="auto"/>
            <w:tcMar>
              <w:top w:w="40" w:type="dxa"/>
              <w:left w:w="20" w:type="dxa"/>
              <w:bottom w:w="40" w:type="dxa"/>
              <w:right w:w="20" w:type="dxa"/>
            </w:tcMar>
            <w:vAlign w:val="bottom"/>
          </w:tcPr>
          <w:p w14:paraId="5A1B2CA4" w14:textId="77777777" w:rsidR="00960BB8" w:rsidRDefault="00C06650">
            <w:pPr>
              <w:textAlignment w:val="bottom"/>
            </w:pPr>
            <w:r>
              <w:rPr>
                <w:rFonts w:ascii="Arial" w:eastAsia="宋体" w:hAnsi="Arial" w:cs="Arial"/>
                <w:color w:val="262626"/>
                <w:sz w:val="18"/>
                <w:szCs w:val="18"/>
              </w:rPr>
              <w:t>Tax effects</w:t>
            </w:r>
          </w:p>
        </w:tc>
        <w:tc>
          <w:tcPr>
            <w:tcW w:w="0" w:type="auto"/>
            <w:gridSpan w:val="3"/>
            <w:shd w:val="clear" w:color="auto" w:fill="auto"/>
            <w:tcMar>
              <w:top w:w="0" w:type="dxa"/>
              <w:left w:w="20" w:type="dxa"/>
              <w:bottom w:w="0" w:type="dxa"/>
              <w:right w:w="20" w:type="dxa"/>
            </w:tcMar>
            <w:vAlign w:val="bottom"/>
          </w:tcPr>
          <w:p w14:paraId="5A1B2CA5" w14:textId="77777777" w:rsidR="00960BB8" w:rsidRDefault="00960BB8">
            <w:pPr>
              <w:rPr>
                <w:rFonts w:ascii="宋体"/>
              </w:rPr>
            </w:pPr>
          </w:p>
        </w:tc>
        <w:tc>
          <w:tcPr>
            <w:tcW w:w="0" w:type="auto"/>
            <w:shd w:val="clear" w:color="auto" w:fill="auto"/>
            <w:vAlign w:val="bottom"/>
          </w:tcPr>
          <w:p w14:paraId="5A1B2CA6" w14:textId="77777777" w:rsidR="00960BB8" w:rsidRDefault="00960BB8">
            <w:pPr>
              <w:rPr>
                <w:rFonts w:ascii="宋体"/>
                <w:vanish/>
              </w:rPr>
            </w:pPr>
          </w:p>
        </w:tc>
        <w:tc>
          <w:tcPr>
            <w:tcW w:w="0" w:type="auto"/>
            <w:shd w:val="clear" w:color="auto" w:fill="auto"/>
            <w:vAlign w:val="bottom"/>
          </w:tcPr>
          <w:p w14:paraId="5A1B2CA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CA8" w14:textId="77777777" w:rsidR="00960BB8" w:rsidRDefault="00C06650">
            <w:pPr>
              <w:jc w:val="right"/>
              <w:textAlignment w:val="bottom"/>
            </w:pPr>
            <w:r>
              <w:rPr>
                <w:rFonts w:ascii="Arial" w:eastAsia="宋体" w:hAnsi="Arial" w:cs="Arial"/>
                <w:color w:val="262626"/>
                <w:sz w:val="18"/>
                <w:szCs w:val="18"/>
              </w:rPr>
              <w:t>(121)</w:t>
            </w:r>
          </w:p>
        </w:tc>
        <w:tc>
          <w:tcPr>
            <w:tcW w:w="0" w:type="auto"/>
            <w:shd w:val="clear" w:color="auto" w:fill="auto"/>
            <w:tcMar>
              <w:top w:w="40" w:type="dxa"/>
              <w:left w:w="0" w:type="dxa"/>
              <w:bottom w:w="40" w:type="dxa"/>
              <w:right w:w="20" w:type="dxa"/>
            </w:tcMar>
            <w:vAlign w:val="bottom"/>
          </w:tcPr>
          <w:p w14:paraId="5A1B2CA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A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CAB" w14:textId="77777777" w:rsidR="00960BB8" w:rsidRDefault="00C06650">
            <w:pPr>
              <w:jc w:val="right"/>
              <w:textAlignment w:val="bottom"/>
            </w:pPr>
            <w:r>
              <w:rPr>
                <w:rFonts w:ascii="Arial" w:eastAsia="宋体" w:hAnsi="Arial" w:cs="Arial"/>
                <w:color w:val="262626"/>
                <w:sz w:val="18"/>
                <w:szCs w:val="18"/>
              </w:rPr>
              <w:t>51 </w:t>
            </w:r>
          </w:p>
        </w:tc>
        <w:tc>
          <w:tcPr>
            <w:tcW w:w="0" w:type="auto"/>
            <w:shd w:val="clear" w:color="auto" w:fill="auto"/>
            <w:tcMar>
              <w:top w:w="40" w:type="dxa"/>
              <w:left w:w="0" w:type="dxa"/>
              <w:bottom w:w="40" w:type="dxa"/>
              <w:right w:w="20" w:type="dxa"/>
            </w:tcMar>
            <w:vAlign w:val="bottom"/>
          </w:tcPr>
          <w:p w14:paraId="5A1B2CA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A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CAE" w14:textId="77777777" w:rsidR="00960BB8" w:rsidRDefault="00C06650">
            <w:pPr>
              <w:jc w:val="right"/>
              <w:textAlignment w:val="bottom"/>
            </w:pPr>
            <w:r>
              <w:rPr>
                <w:rFonts w:ascii="Arial" w:eastAsia="宋体" w:hAnsi="Arial" w:cs="Arial"/>
                <w:color w:val="262626"/>
                <w:sz w:val="18"/>
                <w:szCs w:val="18"/>
              </w:rPr>
              <w:t>(9)</w:t>
            </w:r>
          </w:p>
        </w:tc>
        <w:tc>
          <w:tcPr>
            <w:tcW w:w="0" w:type="auto"/>
            <w:shd w:val="clear" w:color="auto" w:fill="auto"/>
            <w:tcMar>
              <w:top w:w="40" w:type="dxa"/>
              <w:left w:w="0" w:type="dxa"/>
              <w:bottom w:w="40" w:type="dxa"/>
              <w:right w:w="20" w:type="dxa"/>
            </w:tcMar>
            <w:vAlign w:val="bottom"/>
          </w:tcPr>
          <w:p w14:paraId="5A1B2CA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B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CB1" w14:textId="77777777" w:rsidR="00960BB8" w:rsidRDefault="00C06650">
            <w:pPr>
              <w:jc w:val="right"/>
              <w:textAlignment w:val="bottom"/>
            </w:pPr>
            <w:r>
              <w:rPr>
                <w:rFonts w:ascii="Arial" w:eastAsia="宋体" w:hAnsi="Arial" w:cs="Arial"/>
                <w:color w:val="262626"/>
                <w:sz w:val="18"/>
                <w:szCs w:val="18"/>
              </w:rPr>
              <w:t>(79)</w:t>
            </w:r>
          </w:p>
        </w:tc>
        <w:tc>
          <w:tcPr>
            <w:tcW w:w="0" w:type="auto"/>
            <w:shd w:val="clear" w:color="auto" w:fill="auto"/>
            <w:tcMar>
              <w:top w:w="40" w:type="dxa"/>
              <w:left w:w="0" w:type="dxa"/>
              <w:bottom w:w="40" w:type="dxa"/>
              <w:right w:w="20" w:type="dxa"/>
            </w:tcMar>
            <w:vAlign w:val="bottom"/>
          </w:tcPr>
          <w:p w14:paraId="5A1B2CB2" w14:textId="77777777" w:rsidR="00960BB8" w:rsidRDefault="00960BB8">
            <w:pPr>
              <w:jc w:val="right"/>
              <w:rPr>
                <w:rFonts w:ascii="宋体"/>
              </w:rPr>
            </w:pPr>
          </w:p>
        </w:tc>
        <w:tc>
          <w:tcPr>
            <w:tcW w:w="0" w:type="auto"/>
            <w:shd w:val="clear" w:color="auto" w:fill="auto"/>
            <w:vAlign w:val="bottom"/>
          </w:tcPr>
          <w:p w14:paraId="5A1B2CB3" w14:textId="77777777" w:rsidR="00960BB8" w:rsidRDefault="00960BB8">
            <w:pPr>
              <w:rPr>
                <w:rFonts w:ascii="宋体"/>
                <w:vanish/>
              </w:rPr>
            </w:pPr>
          </w:p>
        </w:tc>
        <w:tc>
          <w:tcPr>
            <w:tcW w:w="0" w:type="auto"/>
            <w:shd w:val="clear" w:color="auto" w:fill="auto"/>
            <w:vAlign w:val="bottom"/>
          </w:tcPr>
          <w:p w14:paraId="5A1B2CB4" w14:textId="77777777" w:rsidR="00960BB8" w:rsidRDefault="00960BB8">
            <w:pPr>
              <w:rPr>
                <w:rFonts w:ascii="宋体"/>
                <w:vanish/>
              </w:rPr>
            </w:pPr>
          </w:p>
        </w:tc>
        <w:tc>
          <w:tcPr>
            <w:tcW w:w="0" w:type="auto"/>
            <w:shd w:val="clear" w:color="auto" w:fill="auto"/>
            <w:vAlign w:val="bottom"/>
          </w:tcPr>
          <w:p w14:paraId="5A1B2CB5" w14:textId="77777777" w:rsidR="00960BB8" w:rsidRDefault="00960BB8">
            <w:pPr>
              <w:rPr>
                <w:rFonts w:ascii="宋体"/>
                <w:vanish/>
              </w:rPr>
            </w:pPr>
          </w:p>
        </w:tc>
        <w:tc>
          <w:tcPr>
            <w:tcW w:w="0" w:type="auto"/>
            <w:shd w:val="clear" w:color="auto" w:fill="auto"/>
            <w:vAlign w:val="bottom"/>
          </w:tcPr>
          <w:p w14:paraId="5A1B2CB6" w14:textId="77777777" w:rsidR="00960BB8" w:rsidRDefault="00960BB8">
            <w:pPr>
              <w:rPr>
                <w:rFonts w:ascii="宋体"/>
                <w:vanish/>
              </w:rPr>
            </w:pPr>
          </w:p>
        </w:tc>
      </w:tr>
      <w:tr w:rsidR="00960BB8" w14:paraId="5A1B2CCB" w14:textId="77777777">
        <w:tc>
          <w:tcPr>
            <w:tcW w:w="0" w:type="auto"/>
            <w:gridSpan w:val="3"/>
            <w:shd w:val="clear" w:color="auto" w:fill="auto"/>
            <w:tcMar>
              <w:top w:w="40" w:type="dxa"/>
              <w:left w:w="20" w:type="dxa"/>
              <w:bottom w:w="40" w:type="dxa"/>
              <w:right w:w="20" w:type="dxa"/>
            </w:tcMar>
            <w:vAlign w:val="bottom"/>
          </w:tcPr>
          <w:p w14:paraId="5A1B2CB8" w14:textId="77777777" w:rsidR="00960BB8" w:rsidRDefault="00C06650">
            <w:pPr>
              <w:textAlignment w:val="bottom"/>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5A1B2CB9" w14:textId="77777777" w:rsidR="00960BB8" w:rsidRDefault="00960BB8">
            <w:pPr>
              <w:rPr>
                <w:rFonts w:ascii="宋体"/>
              </w:rPr>
            </w:pPr>
          </w:p>
        </w:tc>
        <w:tc>
          <w:tcPr>
            <w:tcW w:w="0" w:type="auto"/>
            <w:shd w:val="clear" w:color="auto" w:fill="auto"/>
            <w:vAlign w:val="bottom"/>
          </w:tcPr>
          <w:p w14:paraId="5A1B2CBA" w14:textId="77777777" w:rsidR="00960BB8" w:rsidRDefault="00960BB8">
            <w:pPr>
              <w:rPr>
                <w:rFonts w:ascii="宋体"/>
                <w:vanish/>
              </w:rPr>
            </w:pPr>
          </w:p>
        </w:tc>
        <w:tc>
          <w:tcPr>
            <w:tcW w:w="0" w:type="auto"/>
            <w:shd w:val="clear" w:color="auto" w:fill="auto"/>
            <w:vAlign w:val="bottom"/>
          </w:tcPr>
          <w:p w14:paraId="5A1B2CBB" w14:textId="77777777" w:rsidR="00960BB8" w:rsidRDefault="00960BB8">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CBC" w14:textId="77777777" w:rsidR="00960BB8" w:rsidRDefault="00C06650">
            <w:pPr>
              <w:jc w:val="right"/>
              <w:textAlignment w:val="bottom"/>
            </w:pPr>
            <w:r>
              <w:rPr>
                <w:rFonts w:ascii="Arial" w:eastAsia="宋体" w:hAnsi="Arial" w:cs="Arial"/>
                <w:b/>
                <w:bCs/>
                <w:color w:val="262626"/>
                <w:sz w:val="18"/>
                <w:szCs w:val="18"/>
              </w:rPr>
              <w:t>677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CB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BE"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CBF" w14:textId="77777777" w:rsidR="00960BB8" w:rsidRDefault="00C06650">
            <w:pPr>
              <w:jc w:val="right"/>
              <w:textAlignment w:val="bottom"/>
            </w:pPr>
            <w:r>
              <w:rPr>
                <w:rFonts w:ascii="Arial" w:eastAsia="宋体" w:hAnsi="Arial" w:cs="Arial"/>
                <w:b/>
                <w:bCs/>
                <w:color w:val="262626"/>
                <w:sz w:val="18"/>
                <w:szCs w:val="18"/>
              </w:rPr>
              <w:t>(183)</w:t>
            </w:r>
          </w:p>
        </w:tc>
        <w:tc>
          <w:tcPr>
            <w:tcW w:w="0" w:type="auto"/>
            <w:tcBorders>
              <w:top w:val="single" w:sz="4" w:space="0" w:color="262626"/>
            </w:tcBorders>
            <w:shd w:val="clear" w:color="auto" w:fill="auto"/>
            <w:tcMar>
              <w:top w:w="40" w:type="dxa"/>
              <w:left w:w="0" w:type="dxa"/>
              <w:bottom w:w="40" w:type="dxa"/>
              <w:right w:w="20" w:type="dxa"/>
            </w:tcMar>
            <w:vAlign w:val="bottom"/>
          </w:tcPr>
          <w:p w14:paraId="5A1B2CC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C1"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CC2" w14:textId="77777777" w:rsidR="00960BB8" w:rsidRDefault="00C06650">
            <w:pPr>
              <w:jc w:val="right"/>
              <w:textAlignment w:val="bottom"/>
            </w:pPr>
            <w:r>
              <w:rPr>
                <w:rFonts w:ascii="Arial" w:eastAsia="宋体" w:hAnsi="Arial" w:cs="Arial"/>
                <w:b/>
                <w:bCs/>
                <w:color w:val="262626"/>
                <w:sz w:val="18"/>
                <w:szCs w:val="18"/>
              </w:rPr>
              <w:t>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CC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C4"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CC5" w14:textId="77777777" w:rsidR="00960BB8" w:rsidRDefault="00C06650">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CC6" w14:textId="77777777" w:rsidR="00960BB8" w:rsidRDefault="00960BB8">
            <w:pPr>
              <w:jc w:val="right"/>
              <w:rPr>
                <w:rFonts w:ascii="宋体"/>
              </w:rPr>
            </w:pPr>
          </w:p>
        </w:tc>
        <w:tc>
          <w:tcPr>
            <w:tcW w:w="0" w:type="auto"/>
            <w:shd w:val="clear" w:color="auto" w:fill="auto"/>
            <w:vAlign w:val="bottom"/>
          </w:tcPr>
          <w:p w14:paraId="5A1B2CC7" w14:textId="77777777" w:rsidR="00960BB8" w:rsidRDefault="00960BB8">
            <w:pPr>
              <w:rPr>
                <w:rFonts w:ascii="宋体"/>
                <w:vanish/>
              </w:rPr>
            </w:pPr>
          </w:p>
        </w:tc>
        <w:tc>
          <w:tcPr>
            <w:tcW w:w="0" w:type="auto"/>
            <w:shd w:val="clear" w:color="auto" w:fill="auto"/>
            <w:vAlign w:val="bottom"/>
          </w:tcPr>
          <w:p w14:paraId="5A1B2CC8" w14:textId="77777777" w:rsidR="00960BB8" w:rsidRDefault="00960BB8">
            <w:pPr>
              <w:rPr>
                <w:rFonts w:ascii="宋体"/>
                <w:vanish/>
              </w:rPr>
            </w:pPr>
          </w:p>
        </w:tc>
        <w:tc>
          <w:tcPr>
            <w:tcW w:w="0" w:type="auto"/>
            <w:shd w:val="clear" w:color="auto" w:fill="auto"/>
            <w:vAlign w:val="bottom"/>
          </w:tcPr>
          <w:p w14:paraId="5A1B2CC9" w14:textId="77777777" w:rsidR="00960BB8" w:rsidRDefault="00960BB8">
            <w:pPr>
              <w:rPr>
                <w:rFonts w:ascii="宋体"/>
                <w:vanish/>
              </w:rPr>
            </w:pPr>
          </w:p>
        </w:tc>
        <w:tc>
          <w:tcPr>
            <w:tcW w:w="0" w:type="auto"/>
            <w:shd w:val="clear" w:color="auto" w:fill="auto"/>
            <w:vAlign w:val="bottom"/>
          </w:tcPr>
          <w:p w14:paraId="5A1B2CCA" w14:textId="77777777" w:rsidR="00960BB8" w:rsidRDefault="00960BB8">
            <w:pPr>
              <w:rPr>
                <w:rFonts w:ascii="宋体"/>
                <w:vanish/>
              </w:rPr>
            </w:pPr>
          </w:p>
        </w:tc>
      </w:tr>
      <w:tr w:rsidR="00960BB8" w14:paraId="5A1B2CDF" w14:textId="77777777">
        <w:tc>
          <w:tcPr>
            <w:tcW w:w="0" w:type="auto"/>
            <w:gridSpan w:val="3"/>
            <w:shd w:val="clear" w:color="auto" w:fill="auto"/>
            <w:tcMar>
              <w:top w:w="40" w:type="dxa"/>
              <w:left w:w="20" w:type="dxa"/>
              <w:bottom w:w="40" w:type="dxa"/>
              <w:right w:w="20" w:type="dxa"/>
            </w:tcMar>
            <w:vAlign w:val="bottom"/>
          </w:tcPr>
          <w:p w14:paraId="5A1B2CCC" w14:textId="77777777" w:rsidR="00960BB8" w:rsidRDefault="00C06650">
            <w:pPr>
              <w:textAlignment w:val="bottom"/>
            </w:pPr>
            <w:r>
              <w:rPr>
                <w:rFonts w:ascii="Arial" w:eastAsia="宋体" w:hAnsi="Arial" w:cs="Arial"/>
                <w:b/>
                <w:bCs/>
                <w:color w:val="262626"/>
                <w:sz w:val="18"/>
                <w:szCs w:val="18"/>
              </w:rPr>
              <w:t>December 26, 2020</w:t>
            </w:r>
          </w:p>
        </w:tc>
        <w:tc>
          <w:tcPr>
            <w:tcW w:w="0" w:type="auto"/>
            <w:gridSpan w:val="3"/>
            <w:shd w:val="clear" w:color="auto" w:fill="auto"/>
            <w:tcMar>
              <w:top w:w="0" w:type="dxa"/>
              <w:left w:w="20" w:type="dxa"/>
              <w:bottom w:w="0" w:type="dxa"/>
              <w:right w:w="20" w:type="dxa"/>
            </w:tcMar>
            <w:vAlign w:val="bottom"/>
          </w:tcPr>
          <w:p w14:paraId="5A1B2CCD" w14:textId="77777777" w:rsidR="00960BB8" w:rsidRDefault="00960BB8">
            <w:pPr>
              <w:rPr>
                <w:rFonts w:ascii="宋体"/>
              </w:rPr>
            </w:pPr>
          </w:p>
        </w:tc>
        <w:tc>
          <w:tcPr>
            <w:tcW w:w="0" w:type="auto"/>
            <w:shd w:val="clear" w:color="auto" w:fill="auto"/>
            <w:vAlign w:val="bottom"/>
          </w:tcPr>
          <w:p w14:paraId="5A1B2CCE" w14:textId="77777777" w:rsidR="00960BB8" w:rsidRDefault="00960BB8">
            <w:pPr>
              <w:rPr>
                <w:rFonts w:ascii="宋体"/>
                <w:vanish/>
              </w:rPr>
            </w:pPr>
          </w:p>
        </w:tc>
        <w:tc>
          <w:tcPr>
            <w:tcW w:w="0" w:type="auto"/>
            <w:shd w:val="clear" w:color="auto" w:fill="auto"/>
            <w:vAlign w:val="bottom"/>
          </w:tcPr>
          <w:p w14:paraId="5A1B2CCF" w14:textId="77777777" w:rsidR="00960BB8" w:rsidRDefault="00960BB8">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CD0" w14:textId="77777777" w:rsidR="00960BB8" w:rsidRDefault="00C06650">
            <w:pPr>
              <w:jc w:val="right"/>
              <w:textAlignment w:val="bottom"/>
            </w:pPr>
            <w:r>
              <w:rPr>
                <w:rFonts w:ascii="Arial" w:eastAsia="宋体" w:hAnsi="Arial" w:cs="Arial"/>
                <w:b/>
                <w:bCs/>
                <w:color w:val="262626"/>
                <w:sz w:val="18"/>
                <w:szCs w:val="18"/>
              </w:rPr>
              <w:t>731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CD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D2"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CD3" w14:textId="77777777" w:rsidR="00960BB8" w:rsidRDefault="00C06650">
            <w:pPr>
              <w:jc w:val="right"/>
              <w:textAlignment w:val="bottom"/>
            </w:pPr>
            <w:r>
              <w:rPr>
                <w:rFonts w:ascii="Arial" w:eastAsia="宋体" w:hAnsi="Arial" w:cs="Arial"/>
                <w:b/>
                <w:bCs/>
                <w:color w:val="262626"/>
                <w:sz w:val="18"/>
                <w:szCs w:val="18"/>
              </w:rPr>
              <w:t>(1,565)</w:t>
            </w:r>
          </w:p>
        </w:tc>
        <w:tc>
          <w:tcPr>
            <w:tcW w:w="0" w:type="auto"/>
            <w:tcBorders>
              <w:top w:val="single" w:sz="4" w:space="0" w:color="262626"/>
            </w:tcBorders>
            <w:shd w:val="clear" w:color="auto" w:fill="auto"/>
            <w:tcMar>
              <w:top w:w="40" w:type="dxa"/>
              <w:left w:w="0" w:type="dxa"/>
              <w:bottom w:w="40" w:type="dxa"/>
              <w:right w:w="20" w:type="dxa"/>
            </w:tcMar>
            <w:vAlign w:val="bottom"/>
          </w:tcPr>
          <w:p w14:paraId="5A1B2CD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D5"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CD6" w14:textId="77777777" w:rsidR="00960BB8" w:rsidRDefault="00C06650">
            <w:pPr>
              <w:jc w:val="right"/>
              <w:textAlignment w:val="bottom"/>
            </w:pPr>
            <w:r>
              <w:rPr>
                <w:rFonts w:ascii="Arial" w:eastAsia="宋体" w:hAnsi="Arial" w:cs="Arial"/>
                <w:b/>
                <w:bCs/>
                <w:color w:val="262626"/>
                <w:sz w:val="18"/>
                <w:szCs w:val="18"/>
              </w:rPr>
              <w:t>83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CD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CD8"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CD9" w14:textId="77777777" w:rsidR="00960BB8" w:rsidRDefault="00C06650">
            <w:pPr>
              <w:jc w:val="right"/>
              <w:textAlignment w:val="bottom"/>
            </w:pPr>
            <w:r>
              <w:rPr>
                <w:rFonts w:ascii="Arial" w:eastAsia="宋体" w:hAnsi="Arial" w:cs="Arial"/>
                <w:b/>
                <w:bCs/>
                <w:color w:val="262626"/>
                <w:sz w:val="18"/>
                <w:szCs w:val="18"/>
              </w:rPr>
              <w:t>(751)</w:t>
            </w:r>
          </w:p>
        </w:tc>
        <w:tc>
          <w:tcPr>
            <w:tcW w:w="0" w:type="auto"/>
            <w:tcBorders>
              <w:top w:val="single" w:sz="4" w:space="0" w:color="262626"/>
            </w:tcBorders>
            <w:shd w:val="clear" w:color="auto" w:fill="auto"/>
            <w:tcMar>
              <w:top w:w="40" w:type="dxa"/>
              <w:left w:w="0" w:type="dxa"/>
              <w:bottom w:w="40" w:type="dxa"/>
              <w:right w:w="20" w:type="dxa"/>
            </w:tcMar>
            <w:vAlign w:val="bottom"/>
          </w:tcPr>
          <w:p w14:paraId="5A1B2CDA" w14:textId="77777777" w:rsidR="00960BB8" w:rsidRDefault="00960BB8">
            <w:pPr>
              <w:jc w:val="right"/>
              <w:rPr>
                <w:rFonts w:ascii="宋体"/>
              </w:rPr>
            </w:pPr>
          </w:p>
        </w:tc>
        <w:tc>
          <w:tcPr>
            <w:tcW w:w="0" w:type="auto"/>
            <w:shd w:val="clear" w:color="auto" w:fill="auto"/>
            <w:vAlign w:val="bottom"/>
          </w:tcPr>
          <w:p w14:paraId="5A1B2CDB" w14:textId="77777777" w:rsidR="00960BB8" w:rsidRDefault="00960BB8">
            <w:pPr>
              <w:rPr>
                <w:rFonts w:ascii="宋体"/>
                <w:vanish/>
              </w:rPr>
            </w:pPr>
          </w:p>
        </w:tc>
        <w:tc>
          <w:tcPr>
            <w:tcW w:w="0" w:type="auto"/>
            <w:shd w:val="clear" w:color="auto" w:fill="auto"/>
            <w:vAlign w:val="bottom"/>
          </w:tcPr>
          <w:p w14:paraId="5A1B2CDC" w14:textId="77777777" w:rsidR="00960BB8" w:rsidRDefault="00960BB8">
            <w:pPr>
              <w:rPr>
                <w:rFonts w:ascii="宋体"/>
                <w:vanish/>
              </w:rPr>
            </w:pPr>
          </w:p>
        </w:tc>
        <w:tc>
          <w:tcPr>
            <w:tcW w:w="0" w:type="auto"/>
            <w:shd w:val="clear" w:color="auto" w:fill="auto"/>
            <w:vAlign w:val="bottom"/>
          </w:tcPr>
          <w:p w14:paraId="5A1B2CDD" w14:textId="77777777" w:rsidR="00960BB8" w:rsidRDefault="00960BB8">
            <w:pPr>
              <w:rPr>
                <w:rFonts w:ascii="宋体"/>
                <w:vanish/>
              </w:rPr>
            </w:pPr>
          </w:p>
        </w:tc>
        <w:tc>
          <w:tcPr>
            <w:tcW w:w="0" w:type="auto"/>
            <w:shd w:val="clear" w:color="auto" w:fill="auto"/>
            <w:vAlign w:val="bottom"/>
          </w:tcPr>
          <w:p w14:paraId="5A1B2CDE" w14:textId="77777777" w:rsidR="00960BB8" w:rsidRDefault="00960BB8">
            <w:pPr>
              <w:rPr>
                <w:rFonts w:ascii="宋体"/>
                <w:vanish/>
              </w:rPr>
            </w:pPr>
          </w:p>
        </w:tc>
      </w:tr>
      <w:tr w:rsidR="00960BB8" w14:paraId="5A1B2CEF" w14:textId="77777777">
        <w:trPr>
          <w:hidden/>
        </w:trPr>
        <w:tc>
          <w:tcPr>
            <w:tcW w:w="0" w:type="auto"/>
            <w:gridSpan w:val="3"/>
            <w:shd w:val="clear" w:color="auto" w:fill="auto"/>
            <w:vAlign w:val="bottom"/>
          </w:tcPr>
          <w:p w14:paraId="5A1B2CE0" w14:textId="77777777" w:rsidR="00960BB8" w:rsidRDefault="00960BB8">
            <w:pPr>
              <w:rPr>
                <w:rFonts w:ascii="宋体"/>
                <w:vanish/>
              </w:rPr>
            </w:pPr>
          </w:p>
        </w:tc>
        <w:tc>
          <w:tcPr>
            <w:tcW w:w="0" w:type="auto"/>
            <w:gridSpan w:val="3"/>
            <w:shd w:val="clear" w:color="auto" w:fill="auto"/>
            <w:vAlign w:val="bottom"/>
          </w:tcPr>
          <w:p w14:paraId="5A1B2CE1" w14:textId="77777777" w:rsidR="00960BB8" w:rsidRDefault="00960BB8">
            <w:pPr>
              <w:rPr>
                <w:rFonts w:ascii="宋体"/>
                <w:vanish/>
              </w:rPr>
            </w:pPr>
          </w:p>
        </w:tc>
        <w:tc>
          <w:tcPr>
            <w:tcW w:w="0" w:type="auto"/>
            <w:shd w:val="clear" w:color="auto" w:fill="auto"/>
            <w:vAlign w:val="bottom"/>
          </w:tcPr>
          <w:p w14:paraId="5A1B2CE2" w14:textId="77777777" w:rsidR="00960BB8" w:rsidRDefault="00960BB8">
            <w:pPr>
              <w:rPr>
                <w:rFonts w:ascii="宋体"/>
                <w:vanish/>
              </w:rPr>
            </w:pPr>
          </w:p>
        </w:tc>
        <w:tc>
          <w:tcPr>
            <w:tcW w:w="0" w:type="auto"/>
            <w:shd w:val="clear" w:color="auto" w:fill="auto"/>
            <w:vAlign w:val="bottom"/>
          </w:tcPr>
          <w:p w14:paraId="5A1B2CE3" w14:textId="77777777" w:rsidR="00960BB8" w:rsidRDefault="00960BB8">
            <w:pPr>
              <w:rPr>
                <w:rFonts w:ascii="宋体"/>
                <w:vanish/>
              </w:rPr>
            </w:pPr>
          </w:p>
        </w:tc>
        <w:tc>
          <w:tcPr>
            <w:tcW w:w="0" w:type="auto"/>
            <w:gridSpan w:val="3"/>
            <w:shd w:val="clear" w:color="auto" w:fill="auto"/>
            <w:vAlign w:val="bottom"/>
          </w:tcPr>
          <w:p w14:paraId="5A1B2CE4" w14:textId="77777777" w:rsidR="00960BB8" w:rsidRDefault="00960BB8">
            <w:pPr>
              <w:rPr>
                <w:rFonts w:ascii="宋体"/>
                <w:vanish/>
              </w:rPr>
            </w:pPr>
          </w:p>
        </w:tc>
        <w:tc>
          <w:tcPr>
            <w:tcW w:w="0" w:type="auto"/>
            <w:gridSpan w:val="3"/>
            <w:shd w:val="clear" w:color="auto" w:fill="auto"/>
            <w:vAlign w:val="bottom"/>
          </w:tcPr>
          <w:p w14:paraId="5A1B2CE5" w14:textId="77777777" w:rsidR="00960BB8" w:rsidRDefault="00960BB8">
            <w:pPr>
              <w:rPr>
                <w:rFonts w:ascii="宋体"/>
                <w:vanish/>
              </w:rPr>
            </w:pPr>
          </w:p>
        </w:tc>
        <w:tc>
          <w:tcPr>
            <w:tcW w:w="0" w:type="auto"/>
            <w:gridSpan w:val="3"/>
            <w:shd w:val="clear" w:color="auto" w:fill="auto"/>
            <w:vAlign w:val="bottom"/>
          </w:tcPr>
          <w:p w14:paraId="5A1B2CE6" w14:textId="77777777" w:rsidR="00960BB8" w:rsidRDefault="00960BB8">
            <w:pPr>
              <w:rPr>
                <w:rFonts w:ascii="宋体"/>
                <w:vanish/>
              </w:rPr>
            </w:pPr>
          </w:p>
        </w:tc>
        <w:tc>
          <w:tcPr>
            <w:tcW w:w="0" w:type="auto"/>
            <w:gridSpan w:val="3"/>
            <w:shd w:val="clear" w:color="auto" w:fill="auto"/>
            <w:vAlign w:val="bottom"/>
          </w:tcPr>
          <w:p w14:paraId="5A1B2CE7" w14:textId="77777777" w:rsidR="00960BB8" w:rsidRDefault="00960BB8">
            <w:pPr>
              <w:rPr>
                <w:rFonts w:ascii="宋体"/>
                <w:vanish/>
              </w:rPr>
            </w:pPr>
          </w:p>
        </w:tc>
        <w:tc>
          <w:tcPr>
            <w:tcW w:w="0" w:type="auto"/>
            <w:gridSpan w:val="3"/>
            <w:shd w:val="clear" w:color="auto" w:fill="auto"/>
            <w:vAlign w:val="bottom"/>
          </w:tcPr>
          <w:p w14:paraId="5A1B2CE8" w14:textId="77777777" w:rsidR="00960BB8" w:rsidRDefault="00960BB8">
            <w:pPr>
              <w:rPr>
                <w:rFonts w:ascii="宋体"/>
                <w:vanish/>
              </w:rPr>
            </w:pPr>
          </w:p>
        </w:tc>
        <w:tc>
          <w:tcPr>
            <w:tcW w:w="0" w:type="auto"/>
            <w:gridSpan w:val="3"/>
            <w:shd w:val="clear" w:color="auto" w:fill="auto"/>
            <w:vAlign w:val="bottom"/>
          </w:tcPr>
          <w:p w14:paraId="5A1B2CE9" w14:textId="77777777" w:rsidR="00960BB8" w:rsidRDefault="00960BB8">
            <w:pPr>
              <w:rPr>
                <w:rFonts w:ascii="宋体"/>
                <w:vanish/>
              </w:rPr>
            </w:pPr>
          </w:p>
        </w:tc>
        <w:tc>
          <w:tcPr>
            <w:tcW w:w="0" w:type="auto"/>
            <w:gridSpan w:val="3"/>
            <w:shd w:val="clear" w:color="auto" w:fill="auto"/>
            <w:vAlign w:val="bottom"/>
          </w:tcPr>
          <w:p w14:paraId="5A1B2CEA" w14:textId="77777777" w:rsidR="00960BB8" w:rsidRDefault="00960BB8">
            <w:pPr>
              <w:rPr>
                <w:rFonts w:ascii="宋体"/>
                <w:vanish/>
              </w:rPr>
            </w:pPr>
          </w:p>
        </w:tc>
        <w:tc>
          <w:tcPr>
            <w:tcW w:w="0" w:type="auto"/>
            <w:shd w:val="clear" w:color="auto" w:fill="auto"/>
            <w:vAlign w:val="bottom"/>
          </w:tcPr>
          <w:p w14:paraId="5A1B2CEB" w14:textId="77777777" w:rsidR="00960BB8" w:rsidRDefault="00960BB8">
            <w:pPr>
              <w:rPr>
                <w:rFonts w:ascii="宋体"/>
                <w:vanish/>
              </w:rPr>
            </w:pPr>
          </w:p>
        </w:tc>
        <w:tc>
          <w:tcPr>
            <w:tcW w:w="0" w:type="auto"/>
            <w:shd w:val="clear" w:color="auto" w:fill="auto"/>
            <w:vAlign w:val="bottom"/>
          </w:tcPr>
          <w:p w14:paraId="5A1B2CEC" w14:textId="77777777" w:rsidR="00960BB8" w:rsidRDefault="00960BB8">
            <w:pPr>
              <w:rPr>
                <w:rFonts w:ascii="宋体"/>
                <w:vanish/>
              </w:rPr>
            </w:pPr>
          </w:p>
        </w:tc>
        <w:tc>
          <w:tcPr>
            <w:tcW w:w="0" w:type="auto"/>
            <w:shd w:val="clear" w:color="auto" w:fill="auto"/>
            <w:vAlign w:val="bottom"/>
          </w:tcPr>
          <w:p w14:paraId="5A1B2CED" w14:textId="77777777" w:rsidR="00960BB8" w:rsidRDefault="00960BB8">
            <w:pPr>
              <w:rPr>
                <w:rFonts w:ascii="宋体"/>
                <w:vanish/>
              </w:rPr>
            </w:pPr>
          </w:p>
        </w:tc>
        <w:tc>
          <w:tcPr>
            <w:tcW w:w="0" w:type="auto"/>
            <w:shd w:val="clear" w:color="auto" w:fill="auto"/>
            <w:vAlign w:val="bottom"/>
          </w:tcPr>
          <w:p w14:paraId="5A1B2CEE" w14:textId="77777777" w:rsidR="00960BB8" w:rsidRDefault="00960BB8">
            <w:pPr>
              <w:rPr>
                <w:rFonts w:ascii="宋体"/>
                <w:vanish/>
              </w:rPr>
            </w:pPr>
          </w:p>
        </w:tc>
      </w:tr>
      <w:tr w:rsidR="00960BB8" w14:paraId="5A1B2CFF" w14:textId="77777777">
        <w:trPr>
          <w:hidden/>
        </w:trPr>
        <w:tc>
          <w:tcPr>
            <w:tcW w:w="0" w:type="auto"/>
            <w:gridSpan w:val="3"/>
            <w:shd w:val="clear" w:color="auto" w:fill="auto"/>
            <w:vAlign w:val="bottom"/>
          </w:tcPr>
          <w:p w14:paraId="5A1B2CF0" w14:textId="77777777" w:rsidR="00960BB8" w:rsidRDefault="00960BB8">
            <w:pPr>
              <w:rPr>
                <w:rFonts w:ascii="宋体"/>
                <w:vanish/>
              </w:rPr>
            </w:pPr>
          </w:p>
        </w:tc>
        <w:tc>
          <w:tcPr>
            <w:tcW w:w="0" w:type="auto"/>
            <w:gridSpan w:val="3"/>
            <w:shd w:val="clear" w:color="auto" w:fill="auto"/>
            <w:vAlign w:val="bottom"/>
          </w:tcPr>
          <w:p w14:paraId="5A1B2CF1" w14:textId="77777777" w:rsidR="00960BB8" w:rsidRDefault="00960BB8">
            <w:pPr>
              <w:rPr>
                <w:rFonts w:ascii="宋体"/>
                <w:vanish/>
              </w:rPr>
            </w:pPr>
          </w:p>
        </w:tc>
        <w:tc>
          <w:tcPr>
            <w:tcW w:w="0" w:type="auto"/>
            <w:shd w:val="clear" w:color="auto" w:fill="auto"/>
            <w:vAlign w:val="bottom"/>
          </w:tcPr>
          <w:p w14:paraId="5A1B2CF2" w14:textId="77777777" w:rsidR="00960BB8" w:rsidRDefault="00960BB8">
            <w:pPr>
              <w:rPr>
                <w:rFonts w:ascii="宋体"/>
                <w:vanish/>
              </w:rPr>
            </w:pPr>
          </w:p>
        </w:tc>
        <w:tc>
          <w:tcPr>
            <w:tcW w:w="0" w:type="auto"/>
            <w:shd w:val="clear" w:color="auto" w:fill="auto"/>
            <w:vAlign w:val="bottom"/>
          </w:tcPr>
          <w:p w14:paraId="5A1B2CF3" w14:textId="77777777" w:rsidR="00960BB8" w:rsidRDefault="00960BB8">
            <w:pPr>
              <w:rPr>
                <w:rFonts w:ascii="宋体"/>
                <w:vanish/>
              </w:rPr>
            </w:pPr>
          </w:p>
        </w:tc>
        <w:tc>
          <w:tcPr>
            <w:tcW w:w="0" w:type="auto"/>
            <w:gridSpan w:val="3"/>
            <w:shd w:val="clear" w:color="auto" w:fill="auto"/>
            <w:vAlign w:val="bottom"/>
          </w:tcPr>
          <w:p w14:paraId="5A1B2CF4" w14:textId="77777777" w:rsidR="00960BB8" w:rsidRDefault="00960BB8">
            <w:pPr>
              <w:rPr>
                <w:rFonts w:ascii="宋体"/>
                <w:vanish/>
              </w:rPr>
            </w:pPr>
          </w:p>
        </w:tc>
        <w:tc>
          <w:tcPr>
            <w:tcW w:w="0" w:type="auto"/>
            <w:gridSpan w:val="3"/>
            <w:shd w:val="clear" w:color="auto" w:fill="auto"/>
            <w:vAlign w:val="bottom"/>
          </w:tcPr>
          <w:p w14:paraId="5A1B2CF5" w14:textId="77777777" w:rsidR="00960BB8" w:rsidRDefault="00960BB8">
            <w:pPr>
              <w:rPr>
                <w:rFonts w:ascii="宋体"/>
                <w:vanish/>
              </w:rPr>
            </w:pPr>
          </w:p>
        </w:tc>
        <w:tc>
          <w:tcPr>
            <w:tcW w:w="0" w:type="auto"/>
            <w:gridSpan w:val="3"/>
            <w:shd w:val="clear" w:color="auto" w:fill="auto"/>
            <w:vAlign w:val="bottom"/>
          </w:tcPr>
          <w:p w14:paraId="5A1B2CF6" w14:textId="77777777" w:rsidR="00960BB8" w:rsidRDefault="00960BB8">
            <w:pPr>
              <w:rPr>
                <w:rFonts w:ascii="宋体"/>
                <w:vanish/>
              </w:rPr>
            </w:pPr>
          </w:p>
        </w:tc>
        <w:tc>
          <w:tcPr>
            <w:tcW w:w="0" w:type="auto"/>
            <w:gridSpan w:val="3"/>
            <w:shd w:val="clear" w:color="auto" w:fill="auto"/>
            <w:vAlign w:val="bottom"/>
          </w:tcPr>
          <w:p w14:paraId="5A1B2CF7" w14:textId="77777777" w:rsidR="00960BB8" w:rsidRDefault="00960BB8">
            <w:pPr>
              <w:rPr>
                <w:rFonts w:ascii="宋体"/>
                <w:vanish/>
              </w:rPr>
            </w:pPr>
          </w:p>
        </w:tc>
        <w:tc>
          <w:tcPr>
            <w:tcW w:w="0" w:type="auto"/>
            <w:gridSpan w:val="3"/>
            <w:shd w:val="clear" w:color="auto" w:fill="auto"/>
            <w:vAlign w:val="bottom"/>
          </w:tcPr>
          <w:p w14:paraId="5A1B2CF8" w14:textId="77777777" w:rsidR="00960BB8" w:rsidRDefault="00960BB8">
            <w:pPr>
              <w:rPr>
                <w:rFonts w:ascii="宋体"/>
                <w:vanish/>
              </w:rPr>
            </w:pPr>
          </w:p>
        </w:tc>
        <w:tc>
          <w:tcPr>
            <w:tcW w:w="0" w:type="auto"/>
            <w:gridSpan w:val="3"/>
            <w:shd w:val="clear" w:color="auto" w:fill="auto"/>
            <w:vAlign w:val="bottom"/>
          </w:tcPr>
          <w:p w14:paraId="5A1B2CF9" w14:textId="77777777" w:rsidR="00960BB8" w:rsidRDefault="00960BB8">
            <w:pPr>
              <w:rPr>
                <w:rFonts w:ascii="宋体"/>
                <w:vanish/>
              </w:rPr>
            </w:pPr>
          </w:p>
        </w:tc>
        <w:tc>
          <w:tcPr>
            <w:tcW w:w="0" w:type="auto"/>
            <w:gridSpan w:val="3"/>
            <w:shd w:val="clear" w:color="auto" w:fill="auto"/>
            <w:vAlign w:val="bottom"/>
          </w:tcPr>
          <w:p w14:paraId="5A1B2CFA" w14:textId="77777777" w:rsidR="00960BB8" w:rsidRDefault="00960BB8">
            <w:pPr>
              <w:rPr>
                <w:rFonts w:ascii="宋体"/>
                <w:vanish/>
              </w:rPr>
            </w:pPr>
          </w:p>
        </w:tc>
        <w:tc>
          <w:tcPr>
            <w:tcW w:w="0" w:type="auto"/>
            <w:shd w:val="clear" w:color="auto" w:fill="auto"/>
            <w:vAlign w:val="bottom"/>
          </w:tcPr>
          <w:p w14:paraId="5A1B2CFB" w14:textId="77777777" w:rsidR="00960BB8" w:rsidRDefault="00960BB8">
            <w:pPr>
              <w:rPr>
                <w:rFonts w:ascii="宋体"/>
                <w:vanish/>
              </w:rPr>
            </w:pPr>
          </w:p>
        </w:tc>
        <w:tc>
          <w:tcPr>
            <w:tcW w:w="0" w:type="auto"/>
            <w:shd w:val="clear" w:color="auto" w:fill="auto"/>
            <w:vAlign w:val="bottom"/>
          </w:tcPr>
          <w:p w14:paraId="5A1B2CFC" w14:textId="77777777" w:rsidR="00960BB8" w:rsidRDefault="00960BB8">
            <w:pPr>
              <w:rPr>
                <w:rFonts w:ascii="宋体"/>
                <w:vanish/>
              </w:rPr>
            </w:pPr>
          </w:p>
        </w:tc>
        <w:tc>
          <w:tcPr>
            <w:tcW w:w="0" w:type="auto"/>
            <w:shd w:val="clear" w:color="auto" w:fill="auto"/>
            <w:vAlign w:val="bottom"/>
          </w:tcPr>
          <w:p w14:paraId="5A1B2CFD" w14:textId="77777777" w:rsidR="00960BB8" w:rsidRDefault="00960BB8">
            <w:pPr>
              <w:rPr>
                <w:rFonts w:ascii="宋体"/>
                <w:vanish/>
              </w:rPr>
            </w:pPr>
          </w:p>
        </w:tc>
        <w:tc>
          <w:tcPr>
            <w:tcW w:w="0" w:type="auto"/>
            <w:shd w:val="clear" w:color="auto" w:fill="auto"/>
            <w:vAlign w:val="bottom"/>
          </w:tcPr>
          <w:p w14:paraId="5A1B2CFE" w14:textId="77777777" w:rsidR="00960BB8" w:rsidRDefault="00960BB8">
            <w:pPr>
              <w:rPr>
                <w:rFonts w:ascii="宋体"/>
                <w:vanish/>
              </w:rPr>
            </w:pPr>
          </w:p>
        </w:tc>
      </w:tr>
      <w:tr w:rsidR="00960BB8" w14:paraId="5A1B2D13" w14:textId="77777777">
        <w:tc>
          <w:tcPr>
            <w:tcW w:w="0" w:type="auto"/>
            <w:gridSpan w:val="3"/>
            <w:shd w:val="clear" w:color="auto" w:fill="auto"/>
            <w:tcMar>
              <w:top w:w="40" w:type="dxa"/>
              <w:left w:w="20" w:type="dxa"/>
              <w:bottom w:w="40" w:type="dxa"/>
              <w:right w:w="20" w:type="dxa"/>
            </w:tcMar>
            <w:vAlign w:val="bottom"/>
          </w:tcPr>
          <w:p w14:paraId="5A1B2D00" w14:textId="77777777" w:rsidR="00960BB8" w:rsidRDefault="00C06650">
            <w:pPr>
              <w:textAlignment w:val="bottom"/>
            </w:pPr>
            <w:r>
              <w:rPr>
                <w:rFonts w:ascii="Arial" w:eastAsia="宋体" w:hAnsi="Arial" w:cs="Arial"/>
                <w:color w:val="262626"/>
                <w:sz w:val="18"/>
                <w:szCs w:val="18"/>
              </w:rPr>
              <w:t>Other comprehensive income (loss) before reclassifications</w:t>
            </w:r>
          </w:p>
        </w:tc>
        <w:tc>
          <w:tcPr>
            <w:tcW w:w="0" w:type="auto"/>
            <w:gridSpan w:val="3"/>
            <w:shd w:val="clear" w:color="auto" w:fill="auto"/>
            <w:tcMar>
              <w:top w:w="0" w:type="dxa"/>
              <w:left w:w="20" w:type="dxa"/>
              <w:bottom w:w="0" w:type="dxa"/>
              <w:right w:w="20" w:type="dxa"/>
            </w:tcMar>
            <w:vAlign w:val="bottom"/>
          </w:tcPr>
          <w:p w14:paraId="5A1B2D01" w14:textId="77777777" w:rsidR="00960BB8" w:rsidRDefault="00960BB8">
            <w:pPr>
              <w:rPr>
                <w:rFonts w:ascii="宋体"/>
              </w:rPr>
            </w:pPr>
          </w:p>
        </w:tc>
        <w:tc>
          <w:tcPr>
            <w:tcW w:w="0" w:type="auto"/>
            <w:shd w:val="clear" w:color="auto" w:fill="auto"/>
            <w:vAlign w:val="bottom"/>
          </w:tcPr>
          <w:p w14:paraId="5A1B2D02" w14:textId="77777777" w:rsidR="00960BB8" w:rsidRDefault="00960BB8">
            <w:pPr>
              <w:rPr>
                <w:rFonts w:ascii="宋体"/>
                <w:vanish/>
              </w:rPr>
            </w:pPr>
          </w:p>
        </w:tc>
        <w:tc>
          <w:tcPr>
            <w:tcW w:w="0" w:type="auto"/>
            <w:shd w:val="clear" w:color="auto" w:fill="auto"/>
            <w:vAlign w:val="bottom"/>
          </w:tcPr>
          <w:p w14:paraId="5A1B2D03"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D04" w14:textId="77777777" w:rsidR="00960BB8" w:rsidRDefault="00C06650">
            <w:pPr>
              <w:jc w:val="right"/>
              <w:textAlignment w:val="bottom"/>
            </w:pPr>
            <w:r>
              <w:rPr>
                <w:rFonts w:ascii="Arial" w:eastAsia="宋体" w:hAnsi="Arial" w:cs="Arial"/>
                <w:color w:val="262626"/>
                <w:sz w:val="18"/>
                <w:szCs w:val="18"/>
              </w:rPr>
              <w:t>(434)</w:t>
            </w:r>
          </w:p>
        </w:tc>
        <w:tc>
          <w:tcPr>
            <w:tcW w:w="0" w:type="auto"/>
            <w:shd w:val="clear" w:color="auto" w:fill="auto"/>
            <w:tcMar>
              <w:top w:w="40" w:type="dxa"/>
              <w:left w:w="0" w:type="dxa"/>
              <w:bottom w:w="40" w:type="dxa"/>
              <w:right w:w="20" w:type="dxa"/>
            </w:tcMar>
            <w:vAlign w:val="bottom"/>
          </w:tcPr>
          <w:p w14:paraId="5A1B2D0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0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07" w14:textId="77777777" w:rsidR="00960BB8" w:rsidRDefault="00C06650">
            <w:pPr>
              <w:jc w:val="right"/>
              <w:textAlignment w:val="bottom"/>
            </w:pPr>
            <w:r>
              <w:rPr>
                <w:rFonts w:ascii="Arial" w:eastAsia="宋体" w:hAnsi="Arial" w:cs="Arial"/>
                <w:color w:val="262626"/>
                <w:sz w:val="18"/>
                <w:szCs w:val="18"/>
              </w:rPr>
              <w:t>476 </w:t>
            </w:r>
          </w:p>
        </w:tc>
        <w:tc>
          <w:tcPr>
            <w:tcW w:w="0" w:type="auto"/>
            <w:shd w:val="clear" w:color="auto" w:fill="auto"/>
            <w:tcMar>
              <w:top w:w="40" w:type="dxa"/>
              <w:left w:w="0" w:type="dxa"/>
              <w:bottom w:w="40" w:type="dxa"/>
              <w:right w:w="20" w:type="dxa"/>
            </w:tcMar>
            <w:vAlign w:val="bottom"/>
          </w:tcPr>
          <w:p w14:paraId="5A1B2D0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0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0A" w14:textId="77777777" w:rsidR="00960BB8" w:rsidRDefault="00C06650">
            <w:pPr>
              <w:jc w:val="right"/>
              <w:textAlignment w:val="bottom"/>
            </w:pPr>
            <w:r>
              <w:rPr>
                <w:rFonts w:ascii="Arial" w:eastAsia="宋体" w:hAnsi="Arial" w:cs="Arial"/>
                <w:color w:val="262626"/>
                <w:sz w:val="18"/>
                <w:szCs w:val="18"/>
              </w:rPr>
              <w:t>(58)</w:t>
            </w:r>
          </w:p>
        </w:tc>
        <w:tc>
          <w:tcPr>
            <w:tcW w:w="0" w:type="auto"/>
            <w:shd w:val="clear" w:color="auto" w:fill="auto"/>
            <w:tcMar>
              <w:top w:w="40" w:type="dxa"/>
              <w:left w:w="0" w:type="dxa"/>
              <w:bottom w:w="40" w:type="dxa"/>
              <w:right w:w="20" w:type="dxa"/>
            </w:tcMar>
            <w:vAlign w:val="bottom"/>
          </w:tcPr>
          <w:p w14:paraId="5A1B2D0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0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0D" w14:textId="77777777" w:rsidR="00960BB8" w:rsidRDefault="00C06650">
            <w:pPr>
              <w:jc w:val="right"/>
              <w:textAlignment w:val="bottom"/>
            </w:pPr>
            <w:r>
              <w:rPr>
                <w:rFonts w:ascii="Arial" w:eastAsia="宋体" w:hAnsi="Arial" w:cs="Arial"/>
                <w:color w:val="262626"/>
                <w:sz w:val="18"/>
                <w:szCs w:val="18"/>
              </w:rPr>
              <w:t>(16)</w:t>
            </w:r>
          </w:p>
        </w:tc>
        <w:tc>
          <w:tcPr>
            <w:tcW w:w="0" w:type="auto"/>
            <w:shd w:val="clear" w:color="auto" w:fill="auto"/>
            <w:tcMar>
              <w:top w:w="40" w:type="dxa"/>
              <w:left w:w="0" w:type="dxa"/>
              <w:bottom w:w="40" w:type="dxa"/>
              <w:right w:w="20" w:type="dxa"/>
            </w:tcMar>
            <w:vAlign w:val="bottom"/>
          </w:tcPr>
          <w:p w14:paraId="5A1B2D0E" w14:textId="77777777" w:rsidR="00960BB8" w:rsidRDefault="00960BB8">
            <w:pPr>
              <w:jc w:val="right"/>
              <w:rPr>
                <w:rFonts w:ascii="宋体"/>
              </w:rPr>
            </w:pPr>
          </w:p>
        </w:tc>
        <w:tc>
          <w:tcPr>
            <w:tcW w:w="0" w:type="auto"/>
            <w:shd w:val="clear" w:color="auto" w:fill="auto"/>
            <w:vAlign w:val="bottom"/>
          </w:tcPr>
          <w:p w14:paraId="5A1B2D0F" w14:textId="77777777" w:rsidR="00960BB8" w:rsidRDefault="00960BB8">
            <w:pPr>
              <w:rPr>
                <w:rFonts w:ascii="宋体"/>
                <w:vanish/>
              </w:rPr>
            </w:pPr>
          </w:p>
        </w:tc>
        <w:tc>
          <w:tcPr>
            <w:tcW w:w="0" w:type="auto"/>
            <w:shd w:val="clear" w:color="auto" w:fill="auto"/>
            <w:vAlign w:val="bottom"/>
          </w:tcPr>
          <w:p w14:paraId="5A1B2D10" w14:textId="77777777" w:rsidR="00960BB8" w:rsidRDefault="00960BB8">
            <w:pPr>
              <w:rPr>
                <w:rFonts w:ascii="宋体"/>
                <w:vanish/>
              </w:rPr>
            </w:pPr>
          </w:p>
        </w:tc>
        <w:tc>
          <w:tcPr>
            <w:tcW w:w="0" w:type="auto"/>
            <w:shd w:val="clear" w:color="auto" w:fill="auto"/>
            <w:vAlign w:val="bottom"/>
          </w:tcPr>
          <w:p w14:paraId="5A1B2D11" w14:textId="77777777" w:rsidR="00960BB8" w:rsidRDefault="00960BB8">
            <w:pPr>
              <w:rPr>
                <w:rFonts w:ascii="宋体"/>
                <w:vanish/>
              </w:rPr>
            </w:pPr>
          </w:p>
        </w:tc>
        <w:tc>
          <w:tcPr>
            <w:tcW w:w="0" w:type="auto"/>
            <w:shd w:val="clear" w:color="auto" w:fill="auto"/>
            <w:vAlign w:val="bottom"/>
          </w:tcPr>
          <w:p w14:paraId="5A1B2D12" w14:textId="77777777" w:rsidR="00960BB8" w:rsidRDefault="00960BB8">
            <w:pPr>
              <w:rPr>
                <w:rFonts w:ascii="宋体"/>
                <w:vanish/>
              </w:rPr>
            </w:pPr>
          </w:p>
        </w:tc>
      </w:tr>
      <w:tr w:rsidR="00960BB8" w14:paraId="5A1B2D27" w14:textId="77777777">
        <w:tc>
          <w:tcPr>
            <w:tcW w:w="0" w:type="auto"/>
            <w:gridSpan w:val="3"/>
            <w:shd w:val="clear" w:color="auto" w:fill="auto"/>
            <w:tcMar>
              <w:top w:w="40" w:type="dxa"/>
              <w:left w:w="20" w:type="dxa"/>
              <w:bottom w:w="40" w:type="dxa"/>
              <w:right w:w="20" w:type="dxa"/>
            </w:tcMar>
            <w:vAlign w:val="bottom"/>
          </w:tcPr>
          <w:p w14:paraId="5A1B2D14" w14:textId="77777777" w:rsidR="00960BB8" w:rsidRDefault="00C06650">
            <w:pPr>
              <w:textAlignment w:val="bottom"/>
            </w:pPr>
            <w:r>
              <w:rPr>
                <w:rFonts w:ascii="Arial" w:eastAsia="宋体" w:hAnsi="Arial" w:cs="Arial"/>
                <w:color w:val="262626"/>
                <w:sz w:val="18"/>
                <w:szCs w:val="18"/>
              </w:rPr>
              <w:t>Amounts reclassified out of accumulated other comprehensive income (loss)</w:t>
            </w:r>
          </w:p>
        </w:tc>
        <w:tc>
          <w:tcPr>
            <w:tcW w:w="0" w:type="auto"/>
            <w:gridSpan w:val="3"/>
            <w:shd w:val="clear" w:color="auto" w:fill="auto"/>
            <w:tcMar>
              <w:top w:w="0" w:type="dxa"/>
              <w:left w:w="20" w:type="dxa"/>
              <w:bottom w:w="0" w:type="dxa"/>
              <w:right w:w="20" w:type="dxa"/>
            </w:tcMar>
            <w:vAlign w:val="bottom"/>
          </w:tcPr>
          <w:p w14:paraId="5A1B2D15" w14:textId="77777777" w:rsidR="00960BB8" w:rsidRDefault="00960BB8">
            <w:pPr>
              <w:rPr>
                <w:rFonts w:ascii="宋体"/>
              </w:rPr>
            </w:pPr>
          </w:p>
        </w:tc>
        <w:tc>
          <w:tcPr>
            <w:tcW w:w="0" w:type="auto"/>
            <w:shd w:val="clear" w:color="auto" w:fill="auto"/>
            <w:vAlign w:val="bottom"/>
          </w:tcPr>
          <w:p w14:paraId="5A1B2D16" w14:textId="77777777" w:rsidR="00960BB8" w:rsidRDefault="00960BB8">
            <w:pPr>
              <w:rPr>
                <w:rFonts w:ascii="宋体"/>
                <w:vanish/>
              </w:rPr>
            </w:pPr>
          </w:p>
        </w:tc>
        <w:tc>
          <w:tcPr>
            <w:tcW w:w="0" w:type="auto"/>
            <w:shd w:val="clear" w:color="auto" w:fill="auto"/>
            <w:vAlign w:val="bottom"/>
          </w:tcPr>
          <w:p w14:paraId="5A1B2D1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D18" w14:textId="77777777" w:rsidR="00960BB8" w:rsidRDefault="00C06650">
            <w:pPr>
              <w:jc w:val="right"/>
              <w:textAlignment w:val="bottom"/>
            </w:pPr>
            <w:r>
              <w:rPr>
                <w:rFonts w:ascii="Arial" w:eastAsia="宋体" w:hAnsi="Arial" w:cs="Arial"/>
                <w:color w:val="262626"/>
                <w:sz w:val="18"/>
                <w:szCs w:val="18"/>
              </w:rPr>
              <w:t>(226)</w:t>
            </w:r>
          </w:p>
        </w:tc>
        <w:tc>
          <w:tcPr>
            <w:tcW w:w="0" w:type="auto"/>
            <w:shd w:val="clear" w:color="auto" w:fill="auto"/>
            <w:tcMar>
              <w:top w:w="40" w:type="dxa"/>
              <w:left w:w="0" w:type="dxa"/>
              <w:bottom w:w="40" w:type="dxa"/>
              <w:right w:w="20" w:type="dxa"/>
            </w:tcMar>
            <w:vAlign w:val="bottom"/>
          </w:tcPr>
          <w:p w14:paraId="5A1B2D1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1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1B" w14:textId="77777777" w:rsidR="00960BB8" w:rsidRDefault="00C06650">
            <w:pPr>
              <w:jc w:val="right"/>
              <w:textAlignment w:val="bottom"/>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vAlign w:val="bottom"/>
          </w:tcPr>
          <w:p w14:paraId="5A1B2D1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1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1E" w14:textId="77777777" w:rsidR="00960BB8" w:rsidRDefault="00C06650">
            <w:pPr>
              <w:jc w:val="right"/>
              <w:textAlignment w:val="bottom"/>
            </w:pPr>
            <w:r>
              <w:rPr>
                <w:rFonts w:ascii="Arial" w:eastAsia="宋体" w:hAnsi="Arial" w:cs="Arial"/>
                <w:color w:val="262626"/>
                <w:sz w:val="18"/>
                <w:szCs w:val="18"/>
              </w:rPr>
              <w:t>(19)</w:t>
            </w:r>
          </w:p>
        </w:tc>
        <w:tc>
          <w:tcPr>
            <w:tcW w:w="0" w:type="auto"/>
            <w:shd w:val="clear" w:color="auto" w:fill="auto"/>
            <w:tcMar>
              <w:top w:w="40" w:type="dxa"/>
              <w:left w:w="0" w:type="dxa"/>
              <w:bottom w:w="40" w:type="dxa"/>
              <w:right w:w="20" w:type="dxa"/>
            </w:tcMar>
            <w:vAlign w:val="bottom"/>
          </w:tcPr>
          <w:p w14:paraId="5A1B2D1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2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21" w14:textId="77777777" w:rsidR="00960BB8" w:rsidRDefault="00C06650">
            <w:pPr>
              <w:jc w:val="right"/>
              <w:textAlignment w:val="bottom"/>
            </w:pPr>
            <w:r>
              <w:rPr>
                <w:rFonts w:ascii="Arial" w:eastAsia="宋体" w:hAnsi="Arial" w:cs="Arial"/>
                <w:color w:val="262626"/>
                <w:sz w:val="18"/>
                <w:szCs w:val="18"/>
              </w:rPr>
              <w:t>(144)</w:t>
            </w:r>
          </w:p>
        </w:tc>
        <w:tc>
          <w:tcPr>
            <w:tcW w:w="0" w:type="auto"/>
            <w:shd w:val="clear" w:color="auto" w:fill="auto"/>
            <w:tcMar>
              <w:top w:w="40" w:type="dxa"/>
              <w:left w:w="0" w:type="dxa"/>
              <w:bottom w:w="40" w:type="dxa"/>
              <w:right w:w="20" w:type="dxa"/>
            </w:tcMar>
            <w:vAlign w:val="bottom"/>
          </w:tcPr>
          <w:p w14:paraId="5A1B2D22" w14:textId="77777777" w:rsidR="00960BB8" w:rsidRDefault="00960BB8">
            <w:pPr>
              <w:jc w:val="right"/>
              <w:rPr>
                <w:rFonts w:ascii="宋体"/>
              </w:rPr>
            </w:pPr>
          </w:p>
        </w:tc>
        <w:tc>
          <w:tcPr>
            <w:tcW w:w="0" w:type="auto"/>
            <w:shd w:val="clear" w:color="auto" w:fill="auto"/>
            <w:vAlign w:val="bottom"/>
          </w:tcPr>
          <w:p w14:paraId="5A1B2D23" w14:textId="77777777" w:rsidR="00960BB8" w:rsidRDefault="00960BB8">
            <w:pPr>
              <w:rPr>
                <w:rFonts w:ascii="宋体"/>
                <w:vanish/>
              </w:rPr>
            </w:pPr>
          </w:p>
        </w:tc>
        <w:tc>
          <w:tcPr>
            <w:tcW w:w="0" w:type="auto"/>
            <w:shd w:val="clear" w:color="auto" w:fill="auto"/>
            <w:vAlign w:val="bottom"/>
          </w:tcPr>
          <w:p w14:paraId="5A1B2D24" w14:textId="77777777" w:rsidR="00960BB8" w:rsidRDefault="00960BB8">
            <w:pPr>
              <w:rPr>
                <w:rFonts w:ascii="宋体"/>
                <w:vanish/>
              </w:rPr>
            </w:pPr>
          </w:p>
        </w:tc>
        <w:tc>
          <w:tcPr>
            <w:tcW w:w="0" w:type="auto"/>
            <w:shd w:val="clear" w:color="auto" w:fill="auto"/>
            <w:vAlign w:val="bottom"/>
          </w:tcPr>
          <w:p w14:paraId="5A1B2D25" w14:textId="77777777" w:rsidR="00960BB8" w:rsidRDefault="00960BB8">
            <w:pPr>
              <w:rPr>
                <w:rFonts w:ascii="宋体"/>
                <w:vanish/>
              </w:rPr>
            </w:pPr>
          </w:p>
        </w:tc>
        <w:tc>
          <w:tcPr>
            <w:tcW w:w="0" w:type="auto"/>
            <w:shd w:val="clear" w:color="auto" w:fill="auto"/>
            <w:vAlign w:val="bottom"/>
          </w:tcPr>
          <w:p w14:paraId="5A1B2D26" w14:textId="77777777" w:rsidR="00960BB8" w:rsidRDefault="00960BB8">
            <w:pPr>
              <w:rPr>
                <w:rFonts w:ascii="宋体"/>
                <w:vanish/>
              </w:rPr>
            </w:pPr>
          </w:p>
        </w:tc>
      </w:tr>
      <w:tr w:rsidR="00960BB8" w14:paraId="5A1B2D3B" w14:textId="77777777">
        <w:tc>
          <w:tcPr>
            <w:tcW w:w="0" w:type="auto"/>
            <w:gridSpan w:val="3"/>
            <w:shd w:val="clear" w:color="auto" w:fill="auto"/>
            <w:tcMar>
              <w:top w:w="40" w:type="dxa"/>
              <w:left w:w="20" w:type="dxa"/>
              <w:bottom w:w="40" w:type="dxa"/>
              <w:right w:w="20" w:type="dxa"/>
            </w:tcMar>
            <w:vAlign w:val="bottom"/>
          </w:tcPr>
          <w:p w14:paraId="5A1B2D28" w14:textId="77777777" w:rsidR="00960BB8" w:rsidRDefault="00C06650">
            <w:pPr>
              <w:textAlignment w:val="bottom"/>
            </w:pPr>
            <w:r>
              <w:rPr>
                <w:rFonts w:ascii="Arial" w:eastAsia="宋体" w:hAnsi="Arial" w:cs="Arial"/>
                <w:color w:val="262626"/>
                <w:sz w:val="18"/>
                <w:szCs w:val="18"/>
              </w:rPr>
              <w:t>Tax effects</w:t>
            </w:r>
          </w:p>
        </w:tc>
        <w:tc>
          <w:tcPr>
            <w:tcW w:w="0" w:type="auto"/>
            <w:gridSpan w:val="3"/>
            <w:shd w:val="clear" w:color="auto" w:fill="auto"/>
            <w:tcMar>
              <w:top w:w="0" w:type="dxa"/>
              <w:left w:w="20" w:type="dxa"/>
              <w:bottom w:w="0" w:type="dxa"/>
              <w:right w:w="20" w:type="dxa"/>
            </w:tcMar>
            <w:vAlign w:val="bottom"/>
          </w:tcPr>
          <w:p w14:paraId="5A1B2D29" w14:textId="77777777" w:rsidR="00960BB8" w:rsidRDefault="00960BB8">
            <w:pPr>
              <w:rPr>
                <w:rFonts w:ascii="宋体"/>
              </w:rPr>
            </w:pPr>
          </w:p>
        </w:tc>
        <w:tc>
          <w:tcPr>
            <w:tcW w:w="0" w:type="auto"/>
            <w:shd w:val="clear" w:color="auto" w:fill="auto"/>
            <w:vAlign w:val="bottom"/>
          </w:tcPr>
          <w:p w14:paraId="5A1B2D2A" w14:textId="77777777" w:rsidR="00960BB8" w:rsidRDefault="00960BB8">
            <w:pPr>
              <w:rPr>
                <w:rFonts w:ascii="宋体"/>
                <w:vanish/>
              </w:rPr>
            </w:pPr>
          </w:p>
        </w:tc>
        <w:tc>
          <w:tcPr>
            <w:tcW w:w="0" w:type="auto"/>
            <w:shd w:val="clear" w:color="auto" w:fill="auto"/>
            <w:vAlign w:val="bottom"/>
          </w:tcPr>
          <w:p w14:paraId="5A1B2D2B"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D2C" w14:textId="77777777" w:rsidR="00960BB8" w:rsidRDefault="00C06650">
            <w:pPr>
              <w:jc w:val="right"/>
              <w:textAlignment w:val="bottom"/>
            </w:pPr>
            <w:r>
              <w:rPr>
                <w:rFonts w:ascii="Arial" w:eastAsia="宋体" w:hAnsi="Arial" w:cs="Arial"/>
                <w:color w:val="262626"/>
                <w:sz w:val="18"/>
                <w:szCs w:val="18"/>
              </w:rPr>
              <w:t>140 </w:t>
            </w:r>
          </w:p>
        </w:tc>
        <w:tc>
          <w:tcPr>
            <w:tcW w:w="0" w:type="auto"/>
            <w:shd w:val="clear" w:color="auto" w:fill="auto"/>
            <w:tcMar>
              <w:top w:w="40" w:type="dxa"/>
              <w:left w:w="0" w:type="dxa"/>
              <w:bottom w:w="40" w:type="dxa"/>
              <w:right w:w="20" w:type="dxa"/>
            </w:tcMar>
            <w:vAlign w:val="bottom"/>
          </w:tcPr>
          <w:p w14:paraId="5A1B2D2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2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2F" w14:textId="77777777" w:rsidR="00960BB8" w:rsidRDefault="00C06650">
            <w:pPr>
              <w:jc w:val="right"/>
              <w:textAlignment w:val="bottom"/>
            </w:pPr>
            <w:r>
              <w:rPr>
                <w:rFonts w:ascii="Arial" w:eastAsia="宋体" w:hAnsi="Arial" w:cs="Arial"/>
                <w:color w:val="262626"/>
                <w:sz w:val="18"/>
                <w:szCs w:val="18"/>
              </w:rPr>
              <w:t>(126)</w:t>
            </w:r>
          </w:p>
        </w:tc>
        <w:tc>
          <w:tcPr>
            <w:tcW w:w="0" w:type="auto"/>
            <w:shd w:val="clear" w:color="auto" w:fill="auto"/>
            <w:tcMar>
              <w:top w:w="40" w:type="dxa"/>
              <w:left w:w="0" w:type="dxa"/>
              <w:bottom w:w="40" w:type="dxa"/>
              <w:right w:w="20" w:type="dxa"/>
            </w:tcMar>
            <w:vAlign w:val="bottom"/>
          </w:tcPr>
          <w:p w14:paraId="5A1B2D3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3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32" w14:textId="77777777" w:rsidR="00960BB8" w:rsidRDefault="00C06650">
            <w:pPr>
              <w:jc w:val="right"/>
              <w:textAlignment w:val="bottom"/>
            </w:pPr>
            <w:r>
              <w:rPr>
                <w:rFonts w:ascii="Arial" w:eastAsia="宋体" w:hAnsi="Arial" w:cs="Arial"/>
                <w:color w:val="262626"/>
                <w:sz w:val="18"/>
                <w:szCs w:val="18"/>
              </w:rPr>
              <w:t>17 </w:t>
            </w:r>
          </w:p>
        </w:tc>
        <w:tc>
          <w:tcPr>
            <w:tcW w:w="0" w:type="auto"/>
            <w:shd w:val="clear" w:color="auto" w:fill="auto"/>
            <w:tcMar>
              <w:top w:w="40" w:type="dxa"/>
              <w:left w:w="0" w:type="dxa"/>
              <w:bottom w:w="40" w:type="dxa"/>
              <w:right w:w="20" w:type="dxa"/>
            </w:tcMar>
            <w:vAlign w:val="bottom"/>
          </w:tcPr>
          <w:p w14:paraId="5A1B2D3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3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35" w14:textId="77777777" w:rsidR="00960BB8" w:rsidRDefault="00C06650">
            <w:pPr>
              <w:jc w:val="right"/>
              <w:textAlignment w:val="bottom"/>
            </w:pPr>
            <w:r>
              <w:rPr>
                <w:rFonts w:ascii="Arial" w:eastAsia="宋体" w:hAnsi="Arial" w:cs="Arial"/>
                <w:color w:val="262626"/>
                <w:sz w:val="18"/>
                <w:szCs w:val="18"/>
              </w:rPr>
              <w:t>31 </w:t>
            </w:r>
          </w:p>
        </w:tc>
        <w:tc>
          <w:tcPr>
            <w:tcW w:w="0" w:type="auto"/>
            <w:shd w:val="clear" w:color="auto" w:fill="auto"/>
            <w:tcMar>
              <w:top w:w="40" w:type="dxa"/>
              <w:left w:w="0" w:type="dxa"/>
              <w:bottom w:w="40" w:type="dxa"/>
              <w:right w:w="20" w:type="dxa"/>
            </w:tcMar>
            <w:vAlign w:val="bottom"/>
          </w:tcPr>
          <w:p w14:paraId="5A1B2D36" w14:textId="77777777" w:rsidR="00960BB8" w:rsidRDefault="00960BB8">
            <w:pPr>
              <w:jc w:val="right"/>
              <w:rPr>
                <w:rFonts w:ascii="宋体"/>
              </w:rPr>
            </w:pPr>
          </w:p>
        </w:tc>
        <w:tc>
          <w:tcPr>
            <w:tcW w:w="0" w:type="auto"/>
            <w:shd w:val="clear" w:color="auto" w:fill="auto"/>
            <w:vAlign w:val="bottom"/>
          </w:tcPr>
          <w:p w14:paraId="5A1B2D37" w14:textId="77777777" w:rsidR="00960BB8" w:rsidRDefault="00960BB8">
            <w:pPr>
              <w:rPr>
                <w:rFonts w:ascii="宋体"/>
                <w:vanish/>
              </w:rPr>
            </w:pPr>
          </w:p>
        </w:tc>
        <w:tc>
          <w:tcPr>
            <w:tcW w:w="0" w:type="auto"/>
            <w:shd w:val="clear" w:color="auto" w:fill="auto"/>
            <w:vAlign w:val="bottom"/>
          </w:tcPr>
          <w:p w14:paraId="5A1B2D38" w14:textId="77777777" w:rsidR="00960BB8" w:rsidRDefault="00960BB8">
            <w:pPr>
              <w:rPr>
                <w:rFonts w:ascii="宋体"/>
                <w:vanish/>
              </w:rPr>
            </w:pPr>
          </w:p>
        </w:tc>
        <w:tc>
          <w:tcPr>
            <w:tcW w:w="0" w:type="auto"/>
            <w:shd w:val="clear" w:color="auto" w:fill="auto"/>
            <w:vAlign w:val="bottom"/>
          </w:tcPr>
          <w:p w14:paraId="5A1B2D39" w14:textId="77777777" w:rsidR="00960BB8" w:rsidRDefault="00960BB8">
            <w:pPr>
              <w:rPr>
                <w:rFonts w:ascii="宋体"/>
                <w:vanish/>
              </w:rPr>
            </w:pPr>
          </w:p>
        </w:tc>
        <w:tc>
          <w:tcPr>
            <w:tcW w:w="0" w:type="auto"/>
            <w:shd w:val="clear" w:color="auto" w:fill="auto"/>
            <w:vAlign w:val="bottom"/>
          </w:tcPr>
          <w:p w14:paraId="5A1B2D3A" w14:textId="77777777" w:rsidR="00960BB8" w:rsidRDefault="00960BB8">
            <w:pPr>
              <w:rPr>
                <w:rFonts w:ascii="宋体"/>
                <w:vanish/>
              </w:rPr>
            </w:pPr>
          </w:p>
        </w:tc>
      </w:tr>
      <w:tr w:rsidR="00960BB8" w14:paraId="5A1B2D4F" w14:textId="77777777">
        <w:tc>
          <w:tcPr>
            <w:tcW w:w="0" w:type="auto"/>
            <w:gridSpan w:val="3"/>
            <w:shd w:val="clear" w:color="auto" w:fill="auto"/>
            <w:tcMar>
              <w:top w:w="40" w:type="dxa"/>
              <w:left w:w="20" w:type="dxa"/>
              <w:bottom w:w="40" w:type="dxa"/>
              <w:right w:w="20" w:type="dxa"/>
            </w:tcMar>
            <w:vAlign w:val="bottom"/>
          </w:tcPr>
          <w:p w14:paraId="5A1B2D3C" w14:textId="77777777" w:rsidR="00960BB8" w:rsidRDefault="00C06650">
            <w:pPr>
              <w:textAlignment w:val="bottom"/>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5A1B2D3D" w14:textId="77777777" w:rsidR="00960BB8" w:rsidRDefault="00960BB8">
            <w:pPr>
              <w:rPr>
                <w:rFonts w:ascii="宋体"/>
              </w:rPr>
            </w:pPr>
          </w:p>
        </w:tc>
        <w:tc>
          <w:tcPr>
            <w:tcW w:w="0" w:type="auto"/>
            <w:shd w:val="clear" w:color="auto" w:fill="auto"/>
            <w:vAlign w:val="bottom"/>
          </w:tcPr>
          <w:p w14:paraId="5A1B2D3E" w14:textId="77777777" w:rsidR="00960BB8" w:rsidRDefault="00960BB8">
            <w:pPr>
              <w:rPr>
                <w:rFonts w:ascii="宋体"/>
                <w:vanish/>
              </w:rPr>
            </w:pPr>
          </w:p>
        </w:tc>
        <w:tc>
          <w:tcPr>
            <w:tcW w:w="0" w:type="auto"/>
            <w:shd w:val="clear" w:color="auto" w:fill="auto"/>
            <w:vAlign w:val="bottom"/>
          </w:tcPr>
          <w:p w14:paraId="5A1B2D3F" w14:textId="77777777" w:rsidR="00960BB8" w:rsidRDefault="00960BB8">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D40" w14:textId="77777777" w:rsidR="00960BB8" w:rsidRDefault="00C06650">
            <w:pPr>
              <w:jc w:val="right"/>
              <w:textAlignment w:val="bottom"/>
            </w:pPr>
            <w:r>
              <w:rPr>
                <w:rFonts w:ascii="Arial" w:eastAsia="宋体" w:hAnsi="Arial" w:cs="Arial"/>
                <w:b/>
                <w:bCs/>
                <w:color w:val="262626"/>
                <w:sz w:val="18"/>
                <w:szCs w:val="18"/>
              </w:rPr>
              <w:t>(520)</w:t>
            </w:r>
          </w:p>
        </w:tc>
        <w:tc>
          <w:tcPr>
            <w:tcW w:w="0" w:type="auto"/>
            <w:tcBorders>
              <w:top w:val="single" w:sz="4" w:space="0" w:color="262626"/>
            </w:tcBorders>
            <w:shd w:val="clear" w:color="auto" w:fill="auto"/>
            <w:tcMar>
              <w:top w:w="40" w:type="dxa"/>
              <w:left w:w="0" w:type="dxa"/>
              <w:bottom w:w="40" w:type="dxa"/>
              <w:right w:w="20" w:type="dxa"/>
            </w:tcMar>
            <w:vAlign w:val="bottom"/>
          </w:tcPr>
          <w:p w14:paraId="5A1B2D4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42"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D43" w14:textId="77777777" w:rsidR="00960BB8" w:rsidRDefault="00C06650">
            <w:pPr>
              <w:jc w:val="right"/>
              <w:textAlignment w:val="bottom"/>
            </w:pPr>
            <w:r>
              <w:rPr>
                <w:rFonts w:ascii="Arial" w:eastAsia="宋体" w:hAnsi="Arial" w:cs="Arial"/>
                <w:b/>
                <w:bCs/>
                <w:color w:val="262626"/>
                <w:sz w:val="18"/>
                <w:szCs w:val="18"/>
              </w:rPr>
              <w:t>451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D4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45"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D46" w14:textId="77777777" w:rsidR="00960BB8" w:rsidRDefault="00C06650">
            <w:pPr>
              <w:jc w:val="right"/>
              <w:textAlignment w:val="bottom"/>
            </w:pPr>
            <w:r>
              <w:rPr>
                <w:rFonts w:ascii="Arial" w:eastAsia="宋体" w:hAnsi="Arial" w:cs="Arial"/>
                <w:b/>
                <w:bCs/>
                <w:color w:val="262626"/>
                <w:sz w:val="18"/>
                <w:szCs w:val="18"/>
              </w:rPr>
              <w:t>(60)</w:t>
            </w:r>
          </w:p>
        </w:tc>
        <w:tc>
          <w:tcPr>
            <w:tcW w:w="0" w:type="auto"/>
            <w:tcBorders>
              <w:top w:val="single" w:sz="4" w:space="0" w:color="262626"/>
            </w:tcBorders>
            <w:shd w:val="clear" w:color="auto" w:fill="auto"/>
            <w:tcMar>
              <w:top w:w="40" w:type="dxa"/>
              <w:left w:w="0" w:type="dxa"/>
              <w:bottom w:w="40" w:type="dxa"/>
              <w:right w:w="20" w:type="dxa"/>
            </w:tcMar>
            <w:vAlign w:val="bottom"/>
          </w:tcPr>
          <w:p w14:paraId="5A1B2D4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48"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D49" w14:textId="77777777" w:rsidR="00960BB8" w:rsidRDefault="00C06650">
            <w:pPr>
              <w:jc w:val="right"/>
              <w:textAlignment w:val="bottom"/>
            </w:pPr>
            <w:r>
              <w:rPr>
                <w:rFonts w:ascii="Arial" w:eastAsia="宋体" w:hAnsi="Arial" w:cs="Arial"/>
                <w:b/>
                <w:bCs/>
                <w:color w:val="262626"/>
                <w:sz w:val="18"/>
                <w:szCs w:val="18"/>
              </w:rPr>
              <w:t>(129)</w:t>
            </w:r>
          </w:p>
        </w:tc>
        <w:tc>
          <w:tcPr>
            <w:tcW w:w="0" w:type="auto"/>
            <w:tcBorders>
              <w:top w:val="single" w:sz="4" w:space="0" w:color="262626"/>
            </w:tcBorders>
            <w:shd w:val="clear" w:color="auto" w:fill="auto"/>
            <w:tcMar>
              <w:top w:w="40" w:type="dxa"/>
              <w:left w:w="0" w:type="dxa"/>
              <w:bottom w:w="40" w:type="dxa"/>
              <w:right w:w="20" w:type="dxa"/>
            </w:tcMar>
            <w:vAlign w:val="bottom"/>
          </w:tcPr>
          <w:p w14:paraId="5A1B2D4A" w14:textId="77777777" w:rsidR="00960BB8" w:rsidRDefault="00960BB8">
            <w:pPr>
              <w:jc w:val="right"/>
              <w:rPr>
                <w:rFonts w:ascii="宋体"/>
              </w:rPr>
            </w:pPr>
          </w:p>
        </w:tc>
        <w:tc>
          <w:tcPr>
            <w:tcW w:w="0" w:type="auto"/>
            <w:shd w:val="clear" w:color="auto" w:fill="auto"/>
            <w:vAlign w:val="bottom"/>
          </w:tcPr>
          <w:p w14:paraId="5A1B2D4B" w14:textId="77777777" w:rsidR="00960BB8" w:rsidRDefault="00960BB8">
            <w:pPr>
              <w:rPr>
                <w:rFonts w:ascii="宋体"/>
                <w:vanish/>
              </w:rPr>
            </w:pPr>
          </w:p>
        </w:tc>
        <w:tc>
          <w:tcPr>
            <w:tcW w:w="0" w:type="auto"/>
            <w:shd w:val="clear" w:color="auto" w:fill="auto"/>
            <w:vAlign w:val="bottom"/>
          </w:tcPr>
          <w:p w14:paraId="5A1B2D4C" w14:textId="77777777" w:rsidR="00960BB8" w:rsidRDefault="00960BB8">
            <w:pPr>
              <w:rPr>
                <w:rFonts w:ascii="宋体"/>
                <w:vanish/>
              </w:rPr>
            </w:pPr>
          </w:p>
        </w:tc>
        <w:tc>
          <w:tcPr>
            <w:tcW w:w="0" w:type="auto"/>
            <w:shd w:val="clear" w:color="auto" w:fill="auto"/>
            <w:vAlign w:val="bottom"/>
          </w:tcPr>
          <w:p w14:paraId="5A1B2D4D" w14:textId="77777777" w:rsidR="00960BB8" w:rsidRDefault="00960BB8">
            <w:pPr>
              <w:rPr>
                <w:rFonts w:ascii="宋体"/>
                <w:vanish/>
              </w:rPr>
            </w:pPr>
          </w:p>
        </w:tc>
        <w:tc>
          <w:tcPr>
            <w:tcW w:w="0" w:type="auto"/>
            <w:shd w:val="clear" w:color="auto" w:fill="auto"/>
            <w:vAlign w:val="bottom"/>
          </w:tcPr>
          <w:p w14:paraId="5A1B2D4E" w14:textId="77777777" w:rsidR="00960BB8" w:rsidRDefault="00960BB8">
            <w:pPr>
              <w:rPr>
                <w:rFonts w:ascii="宋体"/>
                <w:vanish/>
              </w:rPr>
            </w:pPr>
          </w:p>
        </w:tc>
      </w:tr>
      <w:tr w:rsidR="00960BB8" w14:paraId="5A1B2D63" w14:textId="77777777">
        <w:tc>
          <w:tcPr>
            <w:tcW w:w="0" w:type="auto"/>
            <w:gridSpan w:val="3"/>
            <w:shd w:val="clear" w:color="auto" w:fill="auto"/>
            <w:tcMar>
              <w:top w:w="40" w:type="dxa"/>
              <w:left w:w="20" w:type="dxa"/>
              <w:bottom w:w="40" w:type="dxa"/>
              <w:right w:w="20" w:type="dxa"/>
            </w:tcMar>
            <w:vAlign w:val="bottom"/>
          </w:tcPr>
          <w:p w14:paraId="5A1B2D50" w14:textId="77777777" w:rsidR="00960BB8" w:rsidRDefault="00C06650">
            <w:pPr>
              <w:textAlignment w:val="bottom"/>
            </w:pPr>
            <w:r>
              <w:rPr>
                <w:rFonts w:ascii="Arial" w:eastAsia="宋体" w:hAnsi="Arial" w:cs="Arial"/>
                <w:b/>
                <w:bCs/>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5A1B2D51" w14:textId="77777777" w:rsidR="00960BB8" w:rsidRDefault="00960BB8">
            <w:pPr>
              <w:rPr>
                <w:rFonts w:ascii="宋体"/>
              </w:rPr>
            </w:pPr>
          </w:p>
        </w:tc>
        <w:tc>
          <w:tcPr>
            <w:tcW w:w="0" w:type="auto"/>
            <w:shd w:val="clear" w:color="auto" w:fill="auto"/>
            <w:vAlign w:val="bottom"/>
          </w:tcPr>
          <w:p w14:paraId="5A1B2D52" w14:textId="77777777" w:rsidR="00960BB8" w:rsidRDefault="00960BB8">
            <w:pPr>
              <w:rPr>
                <w:rFonts w:ascii="宋体"/>
                <w:vanish/>
              </w:rPr>
            </w:pPr>
          </w:p>
        </w:tc>
        <w:tc>
          <w:tcPr>
            <w:tcW w:w="0" w:type="auto"/>
            <w:shd w:val="clear" w:color="auto" w:fill="auto"/>
            <w:vAlign w:val="bottom"/>
          </w:tcPr>
          <w:p w14:paraId="5A1B2D53" w14:textId="77777777" w:rsidR="00960BB8" w:rsidRDefault="00960BB8">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D54" w14:textId="77777777" w:rsidR="00960BB8" w:rsidRDefault="00C06650">
            <w:pPr>
              <w:jc w:val="right"/>
              <w:textAlignment w:val="bottom"/>
            </w:pPr>
            <w:r>
              <w:rPr>
                <w:rFonts w:ascii="Arial" w:eastAsia="宋体" w:hAnsi="Arial" w:cs="Arial"/>
                <w:b/>
                <w:bCs/>
                <w:color w:val="262626"/>
                <w:sz w:val="18"/>
                <w:szCs w:val="18"/>
              </w:rPr>
              <w:t>211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D5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56"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D57" w14:textId="77777777" w:rsidR="00960BB8" w:rsidRDefault="00C06650">
            <w:pPr>
              <w:jc w:val="right"/>
              <w:textAlignment w:val="bottom"/>
            </w:pPr>
            <w:r>
              <w:rPr>
                <w:rFonts w:ascii="Arial" w:eastAsia="宋体" w:hAnsi="Arial" w:cs="Arial"/>
                <w:b/>
                <w:bCs/>
                <w:color w:val="262626"/>
                <w:sz w:val="18"/>
                <w:szCs w:val="18"/>
              </w:rPr>
              <w:t>(1,114)</w:t>
            </w:r>
          </w:p>
        </w:tc>
        <w:tc>
          <w:tcPr>
            <w:tcW w:w="0" w:type="auto"/>
            <w:tcBorders>
              <w:top w:val="single" w:sz="4" w:space="0" w:color="262626"/>
            </w:tcBorders>
            <w:shd w:val="clear" w:color="auto" w:fill="auto"/>
            <w:tcMar>
              <w:top w:w="40" w:type="dxa"/>
              <w:left w:w="0" w:type="dxa"/>
              <w:bottom w:w="40" w:type="dxa"/>
              <w:right w:w="20" w:type="dxa"/>
            </w:tcMar>
            <w:vAlign w:val="bottom"/>
          </w:tcPr>
          <w:p w14:paraId="5A1B2D5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5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D5A" w14:textId="77777777" w:rsidR="00960BB8" w:rsidRDefault="00C06650">
            <w:pPr>
              <w:jc w:val="right"/>
              <w:textAlignment w:val="bottom"/>
            </w:pPr>
            <w:r>
              <w:rPr>
                <w:rFonts w:ascii="Arial" w:eastAsia="宋体" w:hAnsi="Arial" w:cs="Arial"/>
                <w:b/>
                <w:bCs/>
                <w:color w:val="262626"/>
                <w:sz w:val="18"/>
                <w:szCs w:val="18"/>
              </w:rPr>
              <w:t>23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D5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5C"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D5D" w14:textId="77777777" w:rsidR="00960BB8" w:rsidRDefault="00C06650">
            <w:pPr>
              <w:jc w:val="right"/>
              <w:textAlignment w:val="bottom"/>
            </w:pPr>
            <w:r>
              <w:rPr>
                <w:rFonts w:ascii="Arial" w:eastAsia="宋体" w:hAnsi="Arial" w:cs="Arial"/>
                <w:b/>
                <w:bCs/>
                <w:color w:val="262626"/>
                <w:sz w:val="18"/>
                <w:szCs w:val="18"/>
              </w:rPr>
              <w:t>(880)</w:t>
            </w:r>
          </w:p>
        </w:tc>
        <w:tc>
          <w:tcPr>
            <w:tcW w:w="0" w:type="auto"/>
            <w:tcBorders>
              <w:top w:val="single" w:sz="4" w:space="0" w:color="262626"/>
            </w:tcBorders>
            <w:shd w:val="clear" w:color="auto" w:fill="auto"/>
            <w:tcMar>
              <w:top w:w="40" w:type="dxa"/>
              <w:left w:w="0" w:type="dxa"/>
              <w:bottom w:w="40" w:type="dxa"/>
              <w:right w:w="20" w:type="dxa"/>
            </w:tcMar>
            <w:vAlign w:val="bottom"/>
          </w:tcPr>
          <w:p w14:paraId="5A1B2D5E" w14:textId="77777777" w:rsidR="00960BB8" w:rsidRDefault="00960BB8">
            <w:pPr>
              <w:jc w:val="right"/>
              <w:rPr>
                <w:rFonts w:ascii="宋体"/>
              </w:rPr>
            </w:pPr>
          </w:p>
        </w:tc>
        <w:tc>
          <w:tcPr>
            <w:tcW w:w="0" w:type="auto"/>
            <w:shd w:val="clear" w:color="auto" w:fill="auto"/>
            <w:vAlign w:val="bottom"/>
          </w:tcPr>
          <w:p w14:paraId="5A1B2D5F" w14:textId="77777777" w:rsidR="00960BB8" w:rsidRDefault="00960BB8">
            <w:pPr>
              <w:rPr>
                <w:rFonts w:ascii="宋体"/>
                <w:vanish/>
              </w:rPr>
            </w:pPr>
          </w:p>
        </w:tc>
        <w:tc>
          <w:tcPr>
            <w:tcW w:w="0" w:type="auto"/>
            <w:shd w:val="clear" w:color="auto" w:fill="auto"/>
            <w:vAlign w:val="bottom"/>
          </w:tcPr>
          <w:p w14:paraId="5A1B2D60" w14:textId="77777777" w:rsidR="00960BB8" w:rsidRDefault="00960BB8">
            <w:pPr>
              <w:rPr>
                <w:rFonts w:ascii="宋体"/>
                <w:vanish/>
              </w:rPr>
            </w:pPr>
          </w:p>
        </w:tc>
        <w:tc>
          <w:tcPr>
            <w:tcW w:w="0" w:type="auto"/>
            <w:shd w:val="clear" w:color="auto" w:fill="auto"/>
            <w:vAlign w:val="bottom"/>
          </w:tcPr>
          <w:p w14:paraId="5A1B2D61" w14:textId="77777777" w:rsidR="00960BB8" w:rsidRDefault="00960BB8">
            <w:pPr>
              <w:rPr>
                <w:rFonts w:ascii="宋体"/>
                <w:vanish/>
              </w:rPr>
            </w:pPr>
          </w:p>
        </w:tc>
        <w:tc>
          <w:tcPr>
            <w:tcW w:w="0" w:type="auto"/>
            <w:shd w:val="clear" w:color="auto" w:fill="auto"/>
            <w:vAlign w:val="bottom"/>
          </w:tcPr>
          <w:p w14:paraId="5A1B2D62" w14:textId="77777777" w:rsidR="00960BB8" w:rsidRDefault="00960BB8">
            <w:pPr>
              <w:rPr>
                <w:rFonts w:ascii="宋体"/>
                <w:vanish/>
              </w:rPr>
            </w:pPr>
          </w:p>
        </w:tc>
      </w:tr>
      <w:tr w:rsidR="00960BB8" w14:paraId="5A1B2D77" w14:textId="77777777">
        <w:tc>
          <w:tcPr>
            <w:tcW w:w="0" w:type="auto"/>
            <w:gridSpan w:val="3"/>
            <w:shd w:val="clear" w:color="auto" w:fill="auto"/>
            <w:tcMar>
              <w:top w:w="40" w:type="dxa"/>
              <w:left w:w="20" w:type="dxa"/>
              <w:bottom w:w="40" w:type="dxa"/>
              <w:right w:w="20" w:type="dxa"/>
            </w:tcMar>
            <w:vAlign w:val="bottom"/>
          </w:tcPr>
          <w:p w14:paraId="5A1B2D64" w14:textId="77777777" w:rsidR="00960BB8" w:rsidRDefault="00C06650">
            <w:pPr>
              <w:textAlignment w:val="bottom"/>
            </w:pPr>
            <w:r>
              <w:rPr>
                <w:rFonts w:ascii="Arial" w:eastAsia="宋体" w:hAnsi="Arial" w:cs="Arial"/>
                <w:color w:val="262626"/>
                <w:sz w:val="18"/>
                <w:szCs w:val="18"/>
              </w:rPr>
              <w:t>Other comprehensive income (loss) before reclassifications</w:t>
            </w:r>
          </w:p>
        </w:tc>
        <w:tc>
          <w:tcPr>
            <w:tcW w:w="0" w:type="auto"/>
            <w:gridSpan w:val="3"/>
            <w:shd w:val="clear" w:color="auto" w:fill="auto"/>
            <w:tcMar>
              <w:top w:w="0" w:type="dxa"/>
              <w:left w:w="20" w:type="dxa"/>
              <w:bottom w:w="0" w:type="dxa"/>
              <w:right w:w="20" w:type="dxa"/>
            </w:tcMar>
            <w:vAlign w:val="bottom"/>
          </w:tcPr>
          <w:p w14:paraId="5A1B2D65" w14:textId="77777777" w:rsidR="00960BB8" w:rsidRDefault="00960BB8">
            <w:pPr>
              <w:rPr>
                <w:rFonts w:ascii="宋体"/>
              </w:rPr>
            </w:pPr>
          </w:p>
        </w:tc>
        <w:tc>
          <w:tcPr>
            <w:tcW w:w="0" w:type="auto"/>
            <w:shd w:val="clear" w:color="auto" w:fill="auto"/>
            <w:vAlign w:val="bottom"/>
          </w:tcPr>
          <w:p w14:paraId="5A1B2D66" w14:textId="77777777" w:rsidR="00960BB8" w:rsidRDefault="00960BB8">
            <w:pPr>
              <w:rPr>
                <w:rFonts w:ascii="宋体"/>
                <w:vanish/>
              </w:rPr>
            </w:pPr>
          </w:p>
        </w:tc>
        <w:tc>
          <w:tcPr>
            <w:tcW w:w="0" w:type="auto"/>
            <w:shd w:val="clear" w:color="auto" w:fill="auto"/>
            <w:vAlign w:val="bottom"/>
          </w:tcPr>
          <w:p w14:paraId="5A1B2D67"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D68" w14:textId="77777777" w:rsidR="00960BB8" w:rsidRDefault="00C06650">
            <w:pPr>
              <w:jc w:val="right"/>
              <w:textAlignment w:val="bottom"/>
            </w:pPr>
            <w:r>
              <w:rPr>
                <w:rFonts w:ascii="Arial" w:eastAsia="宋体" w:hAnsi="Arial" w:cs="Arial"/>
                <w:color w:val="0068B5"/>
                <w:sz w:val="18"/>
                <w:szCs w:val="18"/>
              </w:rPr>
              <w:t>(910)</w:t>
            </w:r>
          </w:p>
        </w:tc>
        <w:tc>
          <w:tcPr>
            <w:tcW w:w="0" w:type="auto"/>
            <w:shd w:val="clear" w:color="auto" w:fill="auto"/>
            <w:tcMar>
              <w:top w:w="40" w:type="dxa"/>
              <w:left w:w="0" w:type="dxa"/>
              <w:bottom w:w="40" w:type="dxa"/>
              <w:right w:w="20" w:type="dxa"/>
            </w:tcMar>
            <w:vAlign w:val="bottom"/>
          </w:tcPr>
          <w:p w14:paraId="5A1B2D6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6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6B" w14:textId="77777777" w:rsidR="00960BB8" w:rsidRDefault="00C06650">
            <w:pPr>
              <w:jc w:val="right"/>
              <w:textAlignment w:val="bottom"/>
            </w:pPr>
            <w:r>
              <w:rPr>
                <w:rFonts w:ascii="Arial" w:eastAsia="宋体" w:hAnsi="Arial" w:cs="Arial"/>
                <w:color w:val="0068B5"/>
                <w:sz w:val="18"/>
                <w:szCs w:val="18"/>
              </w:rPr>
              <w:t>923 </w:t>
            </w:r>
          </w:p>
        </w:tc>
        <w:tc>
          <w:tcPr>
            <w:tcW w:w="0" w:type="auto"/>
            <w:shd w:val="clear" w:color="auto" w:fill="auto"/>
            <w:tcMar>
              <w:top w:w="40" w:type="dxa"/>
              <w:left w:w="0" w:type="dxa"/>
              <w:bottom w:w="40" w:type="dxa"/>
              <w:right w:w="20" w:type="dxa"/>
            </w:tcMar>
            <w:vAlign w:val="bottom"/>
          </w:tcPr>
          <w:p w14:paraId="5A1B2D6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6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6E" w14:textId="77777777" w:rsidR="00960BB8" w:rsidRDefault="00C06650">
            <w:pPr>
              <w:jc w:val="right"/>
              <w:textAlignment w:val="bottom"/>
            </w:pPr>
            <w:r>
              <w:rPr>
                <w:rFonts w:ascii="Arial" w:eastAsia="宋体" w:hAnsi="Arial" w:cs="Arial"/>
                <w:color w:val="0068B5"/>
                <w:sz w:val="18"/>
                <w:szCs w:val="18"/>
              </w:rPr>
              <w:t>(28)</w:t>
            </w:r>
          </w:p>
        </w:tc>
        <w:tc>
          <w:tcPr>
            <w:tcW w:w="0" w:type="auto"/>
            <w:shd w:val="clear" w:color="auto" w:fill="auto"/>
            <w:tcMar>
              <w:top w:w="40" w:type="dxa"/>
              <w:left w:w="0" w:type="dxa"/>
              <w:bottom w:w="40" w:type="dxa"/>
              <w:right w:w="20" w:type="dxa"/>
            </w:tcMar>
            <w:vAlign w:val="bottom"/>
          </w:tcPr>
          <w:p w14:paraId="5A1B2D6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7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71" w14:textId="77777777" w:rsidR="00960BB8" w:rsidRDefault="00C06650">
            <w:pPr>
              <w:jc w:val="right"/>
              <w:textAlignment w:val="bottom"/>
            </w:pPr>
            <w:r>
              <w:rPr>
                <w:rFonts w:ascii="Arial" w:eastAsia="宋体" w:hAnsi="Arial" w:cs="Arial"/>
                <w:color w:val="0068B5"/>
                <w:sz w:val="18"/>
                <w:szCs w:val="18"/>
              </w:rPr>
              <w:t>(15)</w:t>
            </w:r>
          </w:p>
        </w:tc>
        <w:tc>
          <w:tcPr>
            <w:tcW w:w="0" w:type="auto"/>
            <w:shd w:val="clear" w:color="auto" w:fill="auto"/>
            <w:tcMar>
              <w:top w:w="40" w:type="dxa"/>
              <w:left w:w="0" w:type="dxa"/>
              <w:bottom w:w="40" w:type="dxa"/>
              <w:right w:w="20" w:type="dxa"/>
            </w:tcMar>
            <w:vAlign w:val="bottom"/>
          </w:tcPr>
          <w:p w14:paraId="5A1B2D72" w14:textId="77777777" w:rsidR="00960BB8" w:rsidRDefault="00960BB8">
            <w:pPr>
              <w:jc w:val="right"/>
              <w:rPr>
                <w:rFonts w:ascii="宋体"/>
              </w:rPr>
            </w:pPr>
          </w:p>
        </w:tc>
        <w:tc>
          <w:tcPr>
            <w:tcW w:w="0" w:type="auto"/>
            <w:shd w:val="clear" w:color="auto" w:fill="auto"/>
            <w:vAlign w:val="bottom"/>
          </w:tcPr>
          <w:p w14:paraId="5A1B2D73" w14:textId="77777777" w:rsidR="00960BB8" w:rsidRDefault="00960BB8">
            <w:pPr>
              <w:rPr>
                <w:rFonts w:ascii="宋体"/>
                <w:vanish/>
              </w:rPr>
            </w:pPr>
          </w:p>
        </w:tc>
        <w:tc>
          <w:tcPr>
            <w:tcW w:w="0" w:type="auto"/>
            <w:shd w:val="clear" w:color="auto" w:fill="auto"/>
            <w:vAlign w:val="bottom"/>
          </w:tcPr>
          <w:p w14:paraId="5A1B2D74" w14:textId="77777777" w:rsidR="00960BB8" w:rsidRDefault="00960BB8">
            <w:pPr>
              <w:rPr>
                <w:rFonts w:ascii="宋体"/>
                <w:vanish/>
              </w:rPr>
            </w:pPr>
          </w:p>
        </w:tc>
        <w:tc>
          <w:tcPr>
            <w:tcW w:w="0" w:type="auto"/>
            <w:shd w:val="clear" w:color="auto" w:fill="auto"/>
            <w:vAlign w:val="bottom"/>
          </w:tcPr>
          <w:p w14:paraId="5A1B2D75" w14:textId="77777777" w:rsidR="00960BB8" w:rsidRDefault="00960BB8">
            <w:pPr>
              <w:rPr>
                <w:rFonts w:ascii="宋体"/>
                <w:vanish/>
              </w:rPr>
            </w:pPr>
          </w:p>
        </w:tc>
        <w:tc>
          <w:tcPr>
            <w:tcW w:w="0" w:type="auto"/>
            <w:shd w:val="clear" w:color="auto" w:fill="auto"/>
            <w:vAlign w:val="bottom"/>
          </w:tcPr>
          <w:p w14:paraId="5A1B2D76" w14:textId="77777777" w:rsidR="00960BB8" w:rsidRDefault="00960BB8">
            <w:pPr>
              <w:rPr>
                <w:rFonts w:ascii="宋体"/>
                <w:vanish/>
              </w:rPr>
            </w:pPr>
          </w:p>
        </w:tc>
      </w:tr>
      <w:tr w:rsidR="00960BB8" w14:paraId="5A1B2D8B" w14:textId="77777777">
        <w:tc>
          <w:tcPr>
            <w:tcW w:w="0" w:type="auto"/>
            <w:gridSpan w:val="3"/>
            <w:shd w:val="clear" w:color="auto" w:fill="auto"/>
            <w:tcMar>
              <w:top w:w="40" w:type="dxa"/>
              <w:left w:w="20" w:type="dxa"/>
              <w:bottom w:w="40" w:type="dxa"/>
              <w:right w:w="20" w:type="dxa"/>
            </w:tcMar>
            <w:vAlign w:val="bottom"/>
          </w:tcPr>
          <w:p w14:paraId="5A1B2D78" w14:textId="77777777" w:rsidR="00960BB8" w:rsidRDefault="00C06650">
            <w:pPr>
              <w:textAlignment w:val="bottom"/>
            </w:pPr>
            <w:r>
              <w:rPr>
                <w:rFonts w:ascii="Arial" w:eastAsia="宋体" w:hAnsi="Arial" w:cs="Arial"/>
                <w:color w:val="262626"/>
                <w:sz w:val="18"/>
                <w:szCs w:val="18"/>
              </w:rPr>
              <w:t>Amounts reclassified out of accumulated other comprehensive income (loss)</w:t>
            </w:r>
          </w:p>
        </w:tc>
        <w:tc>
          <w:tcPr>
            <w:tcW w:w="0" w:type="auto"/>
            <w:gridSpan w:val="3"/>
            <w:shd w:val="clear" w:color="auto" w:fill="auto"/>
            <w:tcMar>
              <w:top w:w="0" w:type="dxa"/>
              <w:left w:w="20" w:type="dxa"/>
              <w:bottom w:w="0" w:type="dxa"/>
              <w:right w:w="20" w:type="dxa"/>
            </w:tcMar>
            <w:vAlign w:val="bottom"/>
          </w:tcPr>
          <w:p w14:paraId="5A1B2D79" w14:textId="77777777" w:rsidR="00960BB8" w:rsidRDefault="00960BB8">
            <w:pPr>
              <w:rPr>
                <w:rFonts w:ascii="宋体"/>
              </w:rPr>
            </w:pPr>
          </w:p>
        </w:tc>
        <w:tc>
          <w:tcPr>
            <w:tcW w:w="0" w:type="auto"/>
            <w:shd w:val="clear" w:color="auto" w:fill="auto"/>
            <w:vAlign w:val="bottom"/>
          </w:tcPr>
          <w:p w14:paraId="5A1B2D7A" w14:textId="77777777" w:rsidR="00960BB8" w:rsidRDefault="00960BB8">
            <w:pPr>
              <w:rPr>
                <w:rFonts w:ascii="宋体"/>
                <w:vanish/>
              </w:rPr>
            </w:pPr>
          </w:p>
        </w:tc>
        <w:tc>
          <w:tcPr>
            <w:tcW w:w="0" w:type="auto"/>
            <w:shd w:val="clear" w:color="auto" w:fill="auto"/>
            <w:vAlign w:val="bottom"/>
          </w:tcPr>
          <w:p w14:paraId="5A1B2D7B"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D7C" w14:textId="77777777" w:rsidR="00960BB8" w:rsidRDefault="00C06650">
            <w:pPr>
              <w:jc w:val="right"/>
              <w:textAlignment w:val="bottom"/>
            </w:pPr>
            <w:r>
              <w:rPr>
                <w:rFonts w:ascii="Arial" w:eastAsia="宋体" w:hAnsi="Arial" w:cs="Arial"/>
                <w:color w:val="0068B5"/>
                <w:sz w:val="18"/>
                <w:szCs w:val="18"/>
              </w:rPr>
              <w:t>410 </w:t>
            </w:r>
          </w:p>
        </w:tc>
        <w:tc>
          <w:tcPr>
            <w:tcW w:w="0" w:type="auto"/>
            <w:shd w:val="clear" w:color="auto" w:fill="auto"/>
            <w:tcMar>
              <w:top w:w="40" w:type="dxa"/>
              <w:left w:w="0" w:type="dxa"/>
              <w:bottom w:w="40" w:type="dxa"/>
              <w:right w:w="20" w:type="dxa"/>
            </w:tcMar>
            <w:vAlign w:val="bottom"/>
          </w:tcPr>
          <w:p w14:paraId="5A1B2D7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7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7F" w14:textId="77777777" w:rsidR="00960BB8" w:rsidRDefault="00C06650">
            <w:pPr>
              <w:jc w:val="right"/>
              <w:textAlignment w:val="bottom"/>
            </w:pPr>
            <w:r>
              <w:rPr>
                <w:rFonts w:ascii="Arial" w:eastAsia="宋体" w:hAnsi="Arial" w:cs="Arial"/>
                <w:color w:val="0068B5"/>
                <w:sz w:val="18"/>
                <w:szCs w:val="18"/>
              </w:rPr>
              <w:t>82 </w:t>
            </w:r>
          </w:p>
        </w:tc>
        <w:tc>
          <w:tcPr>
            <w:tcW w:w="0" w:type="auto"/>
            <w:shd w:val="clear" w:color="auto" w:fill="auto"/>
            <w:tcMar>
              <w:top w:w="40" w:type="dxa"/>
              <w:left w:w="0" w:type="dxa"/>
              <w:bottom w:w="40" w:type="dxa"/>
              <w:right w:w="20" w:type="dxa"/>
            </w:tcMar>
            <w:vAlign w:val="bottom"/>
          </w:tcPr>
          <w:p w14:paraId="5A1B2D8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8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82" w14:textId="77777777" w:rsidR="00960BB8" w:rsidRDefault="00C06650">
            <w:pPr>
              <w:jc w:val="right"/>
              <w:textAlignment w:val="bottom"/>
            </w:pPr>
            <w:r>
              <w:rPr>
                <w:rFonts w:ascii="Arial" w:eastAsia="宋体" w:hAnsi="Arial" w:cs="Arial"/>
                <w:color w:val="0068B5"/>
                <w:sz w:val="18"/>
                <w:szCs w:val="18"/>
              </w:rPr>
              <w:t>(6)</w:t>
            </w:r>
          </w:p>
        </w:tc>
        <w:tc>
          <w:tcPr>
            <w:tcW w:w="0" w:type="auto"/>
            <w:shd w:val="clear" w:color="auto" w:fill="auto"/>
            <w:tcMar>
              <w:top w:w="40" w:type="dxa"/>
              <w:left w:w="0" w:type="dxa"/>
              <w:bottom w:w="40" w:type="dxa"/>
              <w:right w:w="20" w:type="dxa"/>
            </w:tcMar>
            <w:vAlign w:val="bottom"/>
          </w:tcPr>
          <w:p w14:paraId="5A1B2D8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8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85" w14:textId="77777777" w:rsidR="00960BB8" w:rsidRDefault="00C06650">
            <w:pPr>
              <w:jc w:val="right"/>
              <w:textAlignment w:val="bottom"/>
            </w:pPr>
            <w:r>
              <w:rPr>
                <w:rFonts w:ascii="Arial" w:eastAsia="宋体" w:hAnsi="Arial" w:cs="Arial"/>
                <w:color w:val="0068B5"/>
                <w:sz w:val="18"/>
                <w:szCs w:val="18"/>
              </w:rPr>
              <w:t>486 </w:t>
            </w:r>
          </w:p>
        </w:tc>
        <w:tc>
          <w:tcPr>
            <w:tcW w:w="0" w:type="auto"/>
            <w:shd w:val="clear" w:color="auto" w:fill="auto"/>
            <w:tcMar>
              <w:top w:w="40" w:type="dxa"/>
              <w:left w:w="0" w:type="dxa"/>
              <w:bottom w:w="40" w:type="dxa"/>
              <w:right w:w="20" w:type="dxa"/>
            </w:tcMar>
            <w:vAlign w:val="bottom"/>
          </w:tcPr>
          <w:p w14:paraId="5A1B2D86" w14:textId="77777777" w:rsidR="00960BB8" w:rsidRDefault="00960BB8">
            <w:pPr>
              <w:jc w:val="right"/>
              <w:rPr>
                <w:rFonts w:ascii="宋体"/>
              </w:rPr>
            </w:pPr>
          </w:p>
        </w:tc>
        <w:tc>
          <w:tcPr>
            <w:tcW w:w="0" w:type="auto"/>
            <w:shd w:val="clear" w:color="auto" w:fill="auto"/>
            <w:vAlign w:val="bottom"/>
          </w:tcPr>
          <w:p w14:paraId="5A1B2D87" w14:textId="77777777" w:rsidR="00960BB8" w:rsidRDefault="00960BB8">
            <w:pPr>
              <w:rPr>
                <w:rFonts w:ascii="宋体"/>
                <w:vanish/>
              </w:rPr>
            </w:pPr>
          </w:p>
        </w:tc>
        <w:tc>
          <w:tcPr>
            <w:tcW w:w="0" w:type="auto"/>
            <w:shd w:val="clear" w:color="auto" w:fill="auto"/>
            <w:vAlign w:val="bottom"/>
          </w:tcPr>
          <w:p w14:paraId="5A1B2D88" w14:textId="77777777" w:rsidR="00960BB8" w:rsidRDefault="00960BB8">
            <w:pPr>
              <w:rPr>
                <w:rFonts w:ascii="宋体"/>
                <w:vanish/>
              </w:rPr>
            </w:pPr>
          </w:p>
        </w:tc>
        <w:tc>
          <w:tcPr>
            <w:tcW w:w="0" w:type="auto"/>
            <w:shd w:val="clear" w:color="auto" w:fill="auto"/>
            <w:vAlign w:val="bottom"/>
          </w:tcPr>
          <w:p w14:paraId="5A1B2D89" w14:textId="77777777" w:rsidR="00960BB8" w:rsidRDefault="00960BB8">
            <w:pPr>
              <w:rPr>
                <w:rFonts w:ascii="宋体"/>
                <w:vanish/>
              </w:rPr>
            </w:pPr>
          </w:p>
        </w:tc>
        <w:tc>
          <w:tcPr>
            <w:tcW w:w="0" w:type="auto"/>
            <w:shd w:val="clear" w:color="auto" w:fill="auto"/>
            <w:vAlign w:val="bottom"/>
          </w:tcPr>
          <w:p w14:paraId="5A1B2D8A" w14:textId="77777777" w:rsidR="00960BB8" w:rsidRDefault="00960BB8">
            <w:pPr>
              <w:rPr>
                <w:rFonts w:ascii="宋体"/>
                <w:vanish/>
              </w:rPr>
            </w:pPr>
          </w:p>
        </w:tc>
      </w:tr>
      <w:tr w:rsidR="00960BB8" w14:paraId="5A1B2D9F" w14:textId="77777777">
        <w:tc>
          <w:tcPr>
            <w:tcW w:w="0" w:type="auto"/>
            <w:gridSpan w:val="3"/>
            <w:shd w:val="clear" w:color="auto" w:fill="auto"/>
            <w:tcMar>
              <w:top w:w="40" w:type="dxa"/>
              <w:left w:w="20" w:type="dxa"/>
              <w:bottom w:w="40" w:type="dxa"/>
              <w:right w:w="20" w:type="dxa"/>
            </w:tcMar>
            <w:vAlign w:val="bottom"/>
          </w:tcPr>
          <w:p w14:paraId="5A1B2D8C" w14:textId="77777777" w:rsidR="00960BB8" w:rsidRDefault="00C06650">
            <w:pPr>
              <w:textAlignment w:val="bottom"/>
            </w:pPr>
            <w:r>
              <w:rPr>
                <w:rFonts w:ascii="Arial" w:eastAsia="宋体" w:hAnsi="Arial" w:cs="Arial"/>
                <w:color w:val="262626"/>
                <w:sz w:val="18"/>
                <w:szCs w:val="18"/>
              </w:rPr>
              <w:t>Tax effects</w:t>
            </w:r>
          </w:p>
        </w:tc>
        <w:tc>
          <w:tcPr>
            <w:tcW w:w="0" w:type="auto"/>
            <w:gridSpan w:val="3"/>
            <w:shd w:val="clear" w:color="auto" w:fill="auto"/>
            <w:tcMar>
              <w:top w:w="0" w:type="dxa"/>
              <w:left w:w="20" w:type="dxa"/>
              <w:bottom w:w="0" w:type="dxa"/>
              <w:right w:w="20" w:type="dxa"/>
            </w:tcMar>
            <w:vAlign w:val="bottom"/>
          </w:tcPr>
          <w:p w14:paraId="5A1B2D8D" w14:textId="77777777" w:rsidR="00960BB8" w:rsidRDefault="00960BB8">
            <w:pPr>
              <w:rPr>
                <w:rFonts w:ascii="宋体"/>
              </w:rPr>
            </w:pPr>
          </w:p>
        </w:tc>
        <w:tc>
          <w:tcPr>
            <w:tcW w:w="0" w:type="auto"/>
            <w:shd w:val="clear" w:color="auto" w:fill="auto"/>
            <w:vAlign w:val="bottom"/>
          </w:tcPr>
          <w:p w14:paraId="5A1B2D8E" w14:textId="77777777" w:rsidR="00960BB8" w:rsidRDefault="00960BB8">
            <w:pPr>
              <w:rPr>
                <w:rFonts w:ascii="宋体"/>
                <w:vanish/>
              </w:rPr>
            </w:pPr>
          </w:p>
        </w:tc>
        <w:tc>
          <w:tcPr>
            <w:tcW w:w="0" w:type="auto"/>
            <w:shd w:val="clear" w:color="auto" w:fill="auto"/>
            <w:vAlign w:val="bottom"/>
          </w:tcPr>
          <w:p w14:paraId="5A1B2D8F" w14:textId="77777777" w:rsidR="00960BB8" w:rsidRDefault="00960BB8">
            <w:pPr>
              <w:rPr>
                <w:rFonts w:ascii="宋体"/>
                <w:vanish/>
              </w:rPr>
            </w:pPr>
          </w:p>
        </w:tc>
        <w:tc>
          <w:tcPr>
            <w:tcW w:w="0" w:type="auto"/>
            <w:gridSpan w:val="2"/>
            <w:shd w:val="clear" w:color="auto" w:fill="auto"/>
            <w:tcMar>
              <w:top w:w="40" w:type="dxa"/>
              <w:left w:w="20" w:type="dxa"/>
              <w:bottom w:w="40" w:type="dxa"/>
              <w:right w:w="0" w:type="dxa"/>
            </w:tcMar>
            <w:vAlign w:val="bottom"/>
          </w:tcPr>
          <w:p w14:paraId="5A1B2D90" w14:textId="77777777" w:rsidR="00960BB8" w:rsidRDefault="00C06650">
            <w:pPr>
              <w:jc w:val="right"/>
              <w:textAlignment w:val="bottom"/>
            </w:pPr>
            <w:r>
              <w:rPr>
                <w:rFonts w:ascii="Arial" w:eastAsia="宋体" w:hAnsi="Arial" w:cs="Arial"/>
                <w:color w:val="0068B5"/>
                <w:sz w:val="18"/>
                <w:szCs w:val="18"/>
              </w:rPr>
              <w:t>(10)</w:t>
            </w:r>
          </w:p>
        </w:tc>
        <w:tc>
          <w:tcPr>
            <w:tcW w:w="0" w:type="auto"/>
            <w:shd w:val="clear" w:color="auto" w:fill="auto"/>
            <w:tcMar>
              <w:top w:w="40" w:type="dxa"/>
              <w:left w:w="0" w:type="dxa"/>
              <w:bottom w:w="40" w:type="dxa"/>
              <w:right w:w="20" w:type="dxa"/>
            </w:tcMar>
            <w:vAlign w:val="bottom"/>
          </w:tcPr>
          <w:p w14:paraId="5A1B2D9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9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93" w14:textId="77777777" w:rsidR="00960BB8" w:rsidRDefault="00C06650">
            <w:pPr>
              <w:jc w:val="right"/>
              <w:textAlignment w:val="bottom"/>
            </w:pPr>
            <w:r>
              <w:rPr>
                <w:rFonts w:ascii="Arial" w:eastAsia="宋体" w:hAnsi="Arial" w:cs="Arial"/>
                <w:color w:val="0068B5"/>
                <w:sz w:val="18"/>
                <w:szCs w:val="18"/>
              </w:rPr>
              <w:t>(150)</w:t>
            </w:r>
          </w:p>
        </w:tc>
        <w:tc>
          <w:tcPr>
            <w:tcW w:w="0" w:type="auto"/>
            <w:shd w:val="clear" w:color="auto" w:fill="auto"/>
            <w:tcMar>
              <w:top w:w="40" w:type="dxa"/>
              <w:left w:w="0" w:type="dxa"/>
              <w:bottom w:w="40" w:type="dxa"/>
              <w:right w:w="20" w:type="dxa"/>
            </w:tcMar>
            <w:vAlign w:val="bottom"/>
          </w:tcPr>
          <w:p w14:paraId="5A1B2D9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9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96" w14:textId="77777777" w:rsidR="00960BB8" w:rsidRDefault="00C06650">
            <w:pPr>
              <w:jc w:val="right"/>
              <w:textAlignment w:val="bottom"/>
            </w:pPr>
            <w:r>
              <w:rPr>
                <w:rFonts w:ascii="Arial" w:eastAsia="宋体" w:hAnsi="Arial" w:cs="Arial"/>
                <w:color w:val="0068B5"/>
                <w:sz w:val="18"/>
                <w:szCs w:val="18"/>
              </w:rPr>
              <w:t>7 </w:t>
            </w:r>
          </w:p>
        </w:tc>
        <w:tc>
          <w:tcPr>
            <w:tcW w:w="0" w:type="auto"/>
            <w:shd w:val="clear" w:color="auto" w:fill="auto"/>
            <w:tcMar>
              <w:top w:w="40" w:type="dxa"/>
              <w:left w:w="0" w:type="dxa"/>
              <w:bottom w:w="40" w:type="dxa"/>
              <w:right w:w="20" w:type="dxa"/>
            </w:tcMar>
            <w:vAlign w:val="bottom"/>
          </w:tcPr>
          <w:p w14:paraId="5A1B2D9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9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D99" w14:textId="77777777" w:rsidR="00960BB8" w:rsidRDefault="00C06650">
            <w:pPr>
              <w:jc w:val="right"/>
              <w:textAlignment w:val="bottom"/>
            </w:pPr>
            <w:r>
              <w:rPr>
                <w:rFonts w:ascii="Arial" w:eastAsia="宋体" w:hAnsi="Arial" w:cs="Arial"/>
                <w:color w:val="0068B5"/>
                <w:sz w:val="18"/>
                <w:szCs w:val="18"/>
              </w:rPr>
              <w:t>(153)</w:t>
            </w:r>
          </w:p>
        </w:tc>
        <w:tc>
          <w:tcPr>
            <w:tcW w:w="0" w:type="auto"/>
            <w:shd w:val="clear" w:color="auto" w:fill="auto"/>
            <w:tcMar>
              <w:top w:w="40" w:type="dxa"/>
              <w:left w:w="0" w:type="dxa"/>
              <w:bottom w:w="40" w:type="dxa"/>
              <w:right w:w="20" w:type="dxa"/>
            </w:tcMar>
            <w:vAlign w:val="bottom"/>
          </w:tcPr>
          <w:p w14:paraId="5A1B2D9A" w14:textId="77777777" w:rsidR="00960BB8" w:rsidRDefault="00960BB8">
            <w:pPr>
              <w:jc w:val="right"/>
              <w:rPr>
                <w:rFonts w:ascii="宋体"/>
              </w:rPr>
            </w:pPr>
          </w:p>
        </w:tc>
        <w:tc>
          <w:tcPr>
            <w:tcW w:w="0" w:type="auto"/>
            <w:shd w:val="clear" w:color="auto" w:fill="auto"/>
            <w:vAlign w:val="bottom"/>
          </w:tcPr>
          <w:p w14:paraId="5A1B2D9B" w14:textId="77777777" w:rsidR="00960BB8" w:rsidRDefault="00960BB8">
            <w:pPr>
              <w:rPr>
                <w:rFonts w:ascii="宋体"/>
                <w:vanish/>
              </w:rPr>
            </w:pPr>
          </w:p>
        </w:tc>
        <w:tc>
          <w:tcPr>
            <w:tcW w:w="0" w:type="auto"/>
            <w:shd w:val="clear" w:color="auto" w:fill="auto"/>
            <w:vAlign w:val="bottom"/>
          </w:tcPr>
          <w:p w14:paraId="5A1B2D9C" w14:textId="77777777" w:rsidR="00960BB8" w:rsidRDefault="00960BB8">
            <w:pPr>
              <w:rPr>
                <w:rFonts w:ascii="宋体"/>
                <w:vanish/>
              </w:rPr>
            </w:pPr>
          </w:p>
        </w:tc>
        <w:tc>
          <w:tcPr>
            <w:tcW w:w="0" w:type="auto"/>
            <w:shd w:val="clear" w:color="auto" w:fill="auto"/>
            <w:vAlign w:val="bottom"/>
          </w:tcPr>
          <w:p w14:paraId="5A1B2D9D" w14:textId="77777777" w:rsidR="00960BB8" w:rsidRDefault="00960BB8">
            <w:pPr>
              <w:rPr>
                <w:rFonts w:ascii="宋体"/>
                <w:vanish/>
              </w:rPr>
            </w:pPr>
          </w:p>
        </w:tc>
        <w:tc>
          <w:tcPr>
            <w:tcW w:w="0" w:type="auto"/>
            <w:shd w:val="clear" w:color="auto" w:fill="auto"/>
            <w:vAlign w:val="bottom"/>
          </w:tcPr>
          <w:p w14:paraId="5A1B2D9E" w14:textId="77777777" w:rsidR="00960BB8" w:rsidRDefault="00960BB8">
            <w:pPr>
              <w:rPr>
                <w:rFonts w:ascii="宋体"/>
                <w:vanish/>
              </w:rPr>
            </w:pPr>
          </w:p>
        </w:tc>
      </w:tr>
      <w:tr w:rsidR="00960BB8" w14:paraId="5A1B2DB3" w14:textId="77777777">
        <w:tc>
          <w:tcPr>
            <w:tcW w:w="0" w:type="auto"/>
            <w:gridSpan w:val="3"/>
            <w:shd w:val="clear" w:color="auto" w:fill="auto"/>
            <w:tcMar>
              <w:top w:w="40" w:type="dxa"/>
              <w:left w:w="20" w:type="dxa"/>
              <w:bottom w:w="40" w:type="dxa"/>
              <w:right w:w="20" w:type="dxa"/>
            </w:tcMar>
            <w:vAlign w:val="bottom"/>
          </w:tcPr>
          <w:p w14:paraId="5A1B2DA0" w14:textId="77777777" w:rsidR="00960BB8" w:rsidRDefault="00C06650">
            <w:pPr>
              <w:textAlignment w:val="bottom"/>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5A1B2DA1" w14:textId="77777777" w:rsidR="00960BB8" w:rsidRDefault="00960BB8">
            <w:pPr>
              <w:rPr>
                <w:rFonts w:ascii="宋体"/>
              </w:rPr>
            </w:pPr>
          </w:p>
        </w:tc>
        <w:tc>
          <w:tcPr>
            <w:tcW w:w="0" w:type="auto"/>
            <w:shd w:val="clear" w:color="auto" w:fill="auto"/>
            <w:vAlign w:val="bottom"/>
          </w:tcPr>
          <w:p w14:paraId="5A1B2DA2" w14:textId="77777777" w:rsidR="00960BB8" w:rsidRDefault="00960BB8">
            <w:pPr>
              <w:rPr>
                <w:rFonts w:ascii="宋体"/>
                <w:vanish/>
              </w:rPr>
            </w:pPr>
          </w:p>
        </w:tc>
        <w:tc>
          <w:tcPr>
            <w:tcW w:w="0" w:type="auto"/>
            <w:shd w:val="clear" w:color="auto" w:fill="auto"/>
            <w:vAlign w:val="bottom"/>
          </w:tcPr>
          <w:p w14:paraId="5A1B2DA3" w14:textId="77777777" w:rsidR="00960BB8" w:rsidRDefault="00960BB8">
            <w:pPr>
              <w:rPr>
                <w:rFonts w:ascii="宋体"/>
                <w:vanish/>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DA4" w14:textId="77777777" w:rsidR="00960BB8" w:rsidRDefault="00C06650">
            <w:pPr>
              <w:jc w:val="right"/>
              <w:textAlignment w:val="bottom"/>
            </w:pPr>
            <w:r>
              <w:rPr>
                <w:rFonts w:ascii="Arial" w:eastAsia="宋体" w:hAnsi="Arial" w:cs="Arial"/>
                <w:b/>
                <w:bCs/>
                <w:color w:val="0068B5"/>
                <w:sz w:val="18"/>
                <w:szCs w:val="18"/>
              </w:rPr>
              <w:t>(510)</w:t>
            </w:r>
          </w:p>
        </w:tc>
        <w:tc>
          <w:tcPr>
            <w:tcW w:w="0" w:type="auto"/>
            <w:tcBorders>
              <w:top w:val="single" w:sz="4" w:space="0" w:color="333333"/>
            </w:tcBorders>
            <w:shd w:val="clear" w:color="auto" w:fill="auto"/>
            <w:tcMar>
              <w:top w:w="40" w:type="dxa"/>
              <w:left w:w="0" w:type="dxa"/>
              <w:bottom w:w="40" w:type="dxa"/>
              <w:right w:w="20" w:type="dxa"/>
            </w:tcMar>
            <w:vAlign w:val="bottom"/>
          </w:tcPr>
          <w:p w14:paraId="5A1B2DA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A6"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DA7" w14:textId="77777777" w:rsidR="00960BB8" w:rsidRDefault="00C06650">
            <w:pPr>
              <w:jc w:val="right"/>
              <w:textAlignment w:val="bottom"/>
            </w:pPr>
            <w:r>
              <w:rPr>
                <w:rFonts w:ascii="Arial" w:eastAsia="宋体" w:hAnsi="Arial" w:cs="Arial"/>
                <w:b/>
                <w:bCs/>
                <w:color w:val="0068B5"/>
                <w:sz w:val="18"/>
                <w:szCs w:val="18"/>
              </w:rPr>
              <w:t>855</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DA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A9"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DAA" w14:textId="77777777" w:rsidR="00960BB8" w:rsidRDefault="00C06650">
            <w:pPr>
              <w:jc w:val="right"/>
              <w:textAlignment w:val="bottom"/>
            </w:pPr>
            <w:r>
              <w:rPr>
                <w:rFonts w:ascii="Arial" w:eastAsia="宋体" w:hAnsi="Arial" w:cs="Arial"/>
                <w:b/>
                <w:bCs/>
                <w:color w:val="0068B5"/>
                <w:sz w:val="18"/>
                <w:szCs w:val="18"/>
              </w:rPr>
              <w:t>(27)</w:t>
            </w:r>
          </w:p>
        </w:tc>
        <w:tc>
          <w:tcPr>
            <w:tcW w:w="0" w:type="auto"/>
            <w:tcBorders>
              <w:top w:val="single" w:sz="4" w:space="0" w:color="333333"/>
            </w:tcBorders>
            <w:shd w:val="clear" w:color="auto" w:fill="auto"/>
            <w:tcMar>
              <w:top w:w="40" w:type="dxa"/>
              <w:left w:w="0" w:type="dxa"/>
              <w:bottom w:w="40" w:type="dxa"/>
              <w:right w:w="20" w:type="dxa"/>
            </w:tcMar>
            <w:vAlign w:val="bottom"/>
          </w:tcPr>
          <w:p w14:paraId="5A1B2DA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AC"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DAD" w14:textId="77777777" w:rsidR="00960BB8" w:rsidRDefault="00C06650">
            <w:pPr>
              <w:jc w:val="right"/>
              <w:textAlignment w:val="bottom"/>
            </w:pPr>
            <w:r>
              <w:rPr>
                <w:rFonts w:ascii="Arial" w:eastAsia="宋体" w:hAnsi="Arial" w:cs="Arial"/>
                <w:b/>
                <w:bCs/>
                <w:color w:val="0068B5"/>
                <w:sz w:val="18"/>
                <w:szCs w:val="18"/>
              </w:rPr>
              <w:t>318</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DAE" w14:textId="77777777" w:rsidR="00960BB8" w:rsidRDefault="00960BB8">
            <w:pPr>
              <w:jc w:val="right"/>
              <w:rPr>
                <w:rFonts w:ascii="宋体"/>
              </w:rPr>
            </w:pPr>
          </w:p>
        </w:tc>
        <w:tc>
          <w:tcPr>
            <w:tcW w:w="0" w:type="auto"/>
            <w:shd w:val="clear" w:color="auto" w:fill="auto"/>
            <w:vAlign w:val="bottom"/>
          </w:tcPr>
          <w:p w14:paraId="5A1B2DAF" w14:textId="77777777" w:rsidR="00960BB8" w:rsidRDefault="00960BB8">
            <w:pPr>
              <w:rPr>
                <w:rFonts w:ascii="宋体"/>
                <w:vanish/>
              </w:rPr>
            </w:pPr>
          </w:p>
        </w:tc>
        <w:tc>
          <w:tcPr>
            <w:tcW w:w="0" w:type="auto"/>
            <w:shd w:val="clear" w:color="auto" w:fill="auto"/>
            <w:vAlign w:val="bottom"/>
          </w:tcPr>
          <w:p w14:paraId="5A1B2DB0" w14:textId="77777777" w:rsidR="00960BB8" w:rsidRDefault="00960BB8">
            <w:pPr>
              <w:rPr>
                <w:rFonts w:ascii="宋体"/>
                <w:vanish/>
              </w:rPr>
            </w:pPr>
          </w:p>
        </w:tc>
        <w:tc>
          <w:tcPr>
            <w:tcW w:w="0" w:type="auto"/>
            <w:shd w:val="clear" w:color="auto" w:fill="auto"/>
            <w:vAlign w:val="bottom"/>
          </w:tcPr>
          <w:p w14:paraId="5A1B2DB1" w14:textId="77777777" w:rsidR="00960BB8" w:rsidRDefault="00960BB8">
            <w:pPr>
              <w:rPr>
                <w:rFonts w:ascii="宋体"/>
                <w:vanish/>
              </w:rPr>
            </w:pPr>
          </w:p>
        </w:tc>
        <w:tc>
          <w:tcPr>
            <w:tcW w:w="0" w:type="auto"/>
            <w:shd w:val="clear" w:color="auto" w:fill="auto"/>
            <w:vAlign w:val="bottom"/>
          </w:tcPr>
          <w:p w14:paraId="5A1B2DB2" w14:textId="77777777" w:rsidR="00960BB8" w:rsidRDefault="00960BB8">
            <w:pPr>
              <w:rPr>
                <w:rFonts w:ascii="宋体"/>
                <w:vanish/>
              </w:rPr>
            </w:pPr>
          </w:p>
        </w:tc>
      </w:tr>
      <w:tr w:rsidR="00960BB8" w14:paraId="5A1B2DCB" w14:textId="77777777">
        <w:tc>
          <w:tcPr>
            <w:tcW w:w="0" w:type="auto"/>
            <w:gridSpan w:val="3"/>
            <w:shd w:val="clear" w:color="auto" w:fill="auto"/>
            <w:tcMar>
              <w:top w:w="40" w:type="dxa"/>
              <w:left w:w="20" w:type="dxa"/>
              <w:bottom w:w="40" w:type="dxa"/>
              <w:right w:w="20" w:type="dxa"/>
            </w:tcMar>
            <w:vAlign w:val="bottom"/>
          </w:tcPr>
          <w:p w14:paraId="5A1B2DB4" w14:textId="77777777" w:rsidR="00960BB8" w:rsidRDefault="00C06650">
            <w:pPr>
              <w:textAlignment w:val="bottom"/>
            </w:pPr>
            <w:r>
              <w:rPr>
                <w:rFonts w:ascii="Arial" w:eastAsia="宋体" w:hAnsi="Arial" w:cs="Arial"/>
                <w:b/>
                <w:bCs/>
                <w:color w:val="262626"/>
                <w:sz w:val="18"/>
                <w:szCs w:val="18"/>
              </w:rPr>
              <w:t>December 31, 2022</w:t>
            </w:r>
          </w:p>
        </w:tc>
        <w:tc>
          <w:tcPr>
            <w:tcW w:w="0" w:type="auto"/>
            <w:gridSpan w:val="3"/>
            <w:shd w:val="clear" w:color="auto" w:fill="auto"/>
            <w:tcMar>
              <w:top w:w="0" w:type="dxa"/>
              <w:left w:w="20" w:type="dxa"/>
              <w:bottom w:w="0" w:type="dxa"/>
              <w:right w:w="20" w:type="dxa"/>
            </w:tcMar>
            <w:vAlign w:val="bottom"/>
          </w:tcPr>
          <w:p w14:paraId="5A1B2DB5" w14:textId="77777777" w:rsidR="00960BB8" w:rsidRDefault="00960BB8">
            <w:pPr>
              <w:rPr>
                <w:rFonts w:ascii="宋体"/>
              </w:rPr>
            </w:pPr>
          </w:p>
        </w:tc>
        <w:tc>
          <w:tcPr>
            <w:tcW w:w="0" w:type="auto"/>
            <w:shd w:val="clear" w:color="auto" w:fill="auto"/>
            <w:vAlign w:val="bottom"/>
          </w:tcPr>
          <w:p w14:paraId="5A1B2DB6" w14:textId="77777777" w:rsidR="00960BB8" w:rsidRDefault="00960BB8">
            <w:pPr>
              <w:rPr>
                <w:rFonts w:ascii="宋体"/>
                <w:vanish/>
              </w:rPr>
            </w:pPr>
          </w:p>
        </w:tc>
        <w:tc>
          <w:tcPr>
            <w:tcW w:w="0" w:type="auto"/>
            <w:shd w:val="clear" w:color="auto" w:fill="auto"/>
            <w:vAlign w:val="bottom"/>
          </w:tcPr>
          <w:p w14:paraId="5A1B2DB7" w14:textId="77777777" w:rsidR="00960BB8" w:rsidRDefault="00960BB8">
            <w:pPr>
              <w:rPr>
                <w:rFonts w:ascii="宋体"/>
                <w:vanish/>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DB8"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DB9" w14:textId="77777777" w:rsidR="00960BB8" w:rsidRDefault="00C06650">
            <w:pPr>
              <w:jc w:val="right"/>
              <w:textAlignment w:val="bottom"/>
            </w:pPr>
            <w:r>
              <w:rPr>
                <w:rFonts w:ascii="Arial" w:eastAsia="宋体" w:hAnsi="Arial" w:cs="Arial"/>
                <w:b/>
                <w:bCs/>
                <w:color w:val="0068B5"/>
                <w:sz w:val="18"/>
                <w:szCs w:val="18"/>
              </w:rPr>
              <w:t>(299)</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DB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BB"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DBC"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DBD" w14:textId="77777777" w:rsidR="00960BB8" w:rsidRDefault="00C06650">
            <w:pPr>
              <w:jc w:val="right"/>
              <w:textAlignment w:val="bottom"/>
            </w:pPr>
            <w:r>
              <w:rPr>
                <w:rFonts w:ascii="Arial" w:eastAsia="宋体" w:hAnsi="Arial" w:cs="Arial"/>
                <w:b/>
                <w:bCs/>
                <w:color w:val="0068B5"/>
                <w:sz w:val="18"/>
                <w:szCs w:val="18"/>
              </w:rPr>
              <w:t>(259)</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DB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BF"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DC0"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DC1" w14:textId="77777777" w:rsidR="00960BB8" w:rsidRDefault="00C06650">
            <w:pPr>
              <w:jc w:val="right"/>
              <w:textAlignment w:val="bottom"/>
            </w:pPr>
            <w:r>
              <w:rPr>
                <w:rFonts w:ascii="Arial" w:eastAsia="宋体" w:hAnsi="Arial" w:cs="Arial"/>
                <w:b/>
                <w:bCs/>
                <w:color w:val="0068B5"/>
                <w:sz w:val="18"/>
                <w:szCs w:val="18"/>
              </w:rPr>
              <w:t>(4)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DC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DC3"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DC4"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DC5" w14:textId="77777777" w:rsidR="00960BB8" w:rsidRDefault="00C06650">
            <w:pPr>
              <w:jc w:val="right"/>
              <w:textAlignment w:val="bottom"/>
            </w:pPr>
            <w:r>
              <w:rPr>
                <w:rFonts w:ascii="Arial" w:eastAsia="宋体" w:hAnsi="Arial" w:cs="Arial"/>
                <w:b/>
                <w:bCs/>
                <w:color w:val="0068B5"/>
                <w:sz w:val="18"/>
                <w:szCs w:val="18"/>
              </w:rPr>
              <w:t>(562)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DC6" w14:textId="77777777" w:rsidR="00960BB8" w:rsidRDefault="00960BB8">
            <w:pPr>
              <w:jc w:val="right"/>
              <w:rPr>
                <w:rFonts w:ascii="宋体"/>
              </w:rPr>
            </w:pPr>
          </w:p>
        </w:tc>
        <w:tc>
          <w:tcPr>
            <w:tcW w:w="0" w:type="auto"/>
            <w:shd w:val="clear" w:color="auto" w:fill="auto"/>
            <w:vAlign w:val="bottom"/>
          </w:tcPr>
          <w:p w14:paraId="5A1B2DC7" w14:textId="77777777" w:rsidR="00960BB8" w:rsidRDefault="00960BB8">
            <w:pPr>
              <w:rPr>
                <w:rFonts w:ascii="宋体"/>
                <w:vanish/>
              </w:rPr>
            </w:pPr>
          </w:p>
        </w:tc>
        <w:tc>
          <w:tcPr>
            <w:tcW w:w="0" w:type="auto"/>
            <w:shd w:val="clear" w:color="auto" w:fill="auto"/>
            <w:vAlign w:val="bottom"/>
          </w:tcPr>
          <w:p w14:paraId="5A1B2DC8" w14:textId="77777777" w:rsidR="00960BB8" w:rsidRDefault="00960BB8">
            <w:pPr>
              <w:rPr>
                <w:rFonts w:ascii="宋体"/>
                <w:vanish/>
              </w:rPr>
            </w:pPr>
          </w:p>
        </w:tc>
        <w:tc>
          <w:tcPr>
            <w:tcW w:w="0" w:type="auto"/>
            <w:shd w:val="clear" w:color="auto" w:fill="auto"/>
            <w:vAlign w:val="bottom"/>
          </w:tcPr>
          <w:p w14:paraId="5A1B2DC9" w14:textId="77777777" w:rsidR="00960BB8" w:rsidRDefault="00960BB8">
            <w:pPr>
              <w:rPr>
                <w:rFonts w:ascii="宋体"/>
                <w:vanish/>
              </w:rPr>
            </w:pPr>
          </w:p>
        </w:tc>
        <w:tc>
          <w:tcPr>
            <w:tcW w:w="0" w:type="auto"/>
            <w:shd w:val="clear" w:color="auto" w:fill="auto"/>
            <w:vAlign w:val="bottom"/>
          </w:tcPr>
          <w:p w14:paraId="5A1B2DCA" w14:textId="77777777" w:rsidR="00960BB8" w:rsidRDefault="00960BB8">
            <w:pPr>
              <w:rPr>
                <w:rFonts w:ascii="宋体"/>
                <w:vanish/>
              </w:rPr>
            </w:pPr>
          </w:p>
        </w:tc>
      </w:tr>
      <w:tr w:rsidR="00960BB8" w14:paraId="5A1B2DDB" w14:textId="77777777">
        <w:trPr>
          <w:hidden/>
        </w:trPr>
        <w:tc>
          <w:tcPr>
            <w:tcW w:w="0" w:type="auto"/>
            <w:gridSpan w:val="3"/>
            <w:shd w:val="clear" w:color="auto" w:fill="auto"/>
            <w:vAlign w:val="bottom"/>
          </w:tcPr>
          <w:p w14:paraId="5A1B2DCC" w14:textId="77777777" w:rsidR="00960BB8" w:rsidRDefault="00960BB8">
            <w:pPr>
              <w:rPr>
                <w:rFonts w:ascii="宋体"/>
                <w:vanish/>
              </w:rPr>
            </w:pPr>
          </w:p>
        </w:tc>
        <w:tc>
          <w:tcPr>
            <w:tcW w:w="0" w:type="auto"/>
            <w:gridSpan w:val="3"/>
            <w:shd w:val="clear" w:color="auto" w:fill="auto"/>
            <w:vAlign w:val="bottom"/>
          </w:tcPr>
          <w:p w14:paraId="5A1B2DCD" w14:textId="77777777" w:rsidR="00960BB8" w:rsidRDefault="00960BB8">
            <w:pPr>
              <w:rPr>
                <w:rFonts w:ascii="宋体"/>
                <w:vanish/>
              </w:rPr>
            </w:pPr>
          </w:p>
        </w:tc>
        <w:tc>
          <w:tcPr>
            <w:tcW w:w="0" w:type="auto"/>
            <w:shd w:val="clear" w:color="auto" w:fill="auto"/>
            <w:vAlign w:val="bottom"/>
          </w:tcPr>
          <w:p w14:paraId="5A1B2DCE" w14:textId="77777777" w:rsidR="00960BB8" w:rsidRDefault="00960BB8">
            <w:pPr>
              <w:rPr>
                <w:rFonts w:ascii="宋体"/>
                <w:vanish/>
              </w:rPr>
            </w:pPr>
          </w:p>
        </w:tc>
        <w:tc>
          <w:tcPr>
            <w:tcW w:w="0" w:type="auto"/>
            <w:shd w:val="clear" w:color="auto" w:fill="auto"/>
            <w:vAlign w:val="bottom"/>
          </w:tcPr>
          <w:p w14:paraId="5A1B2DCF" w14:textId="77777777" w:rsidR="00960BB8" w:rsidRDefault="00960BB8">
            <w:pPr>
              <w:rPr>
                <w:rFonts w:ascii="宋体"/>
                <w:vanish/>
              </w:rPr>
            </w:pPr>
          </w:p>
        </w:tc>
        <w:tc>
          <w:tcPr>
            <w:tcW w:w="0" w:type="auto"/>
            <w:gridSpan w:val="3"/>
            <w:shd w:val="clear" w:color="auto" w:fill="auto"/>
            <w:vAlign w:val="bottom"/>
          </w:tcPr>
          <w:p w14:paraId="5A1B2DD0" w14:textId="77777777" w:rsidR="00960BB8" w:rsidRDefault="00960BB8">
            <w:pPr>
              <w:rPr>
                <w:rFonts w:ascii="宋体"/>
                <w:vanish/>
              </w:rPr>
            </w:pPr>
          </w:p>
        </w:tc>
        <w:tc>
          <w:tcPr>
            <w:tcW w:w="0" w:type="auto"/>
            <w:gridSpan w:val="3"/>
            <w:shd w:val="clear" w:color="auto" w:fill="auto"/>
            <w:vAlign w:val="bottom"/>
          </w:tcPr>
          <w:p w14:paraId="5A1B2DD1" w14:textId="77777777" w:rsidR="00960BB8" w:rsidRDefault="00960BB8">
            <w:pPr>
              <w:rPr>
                <w:rFonts w:ascii="宋体"/>
                <w:vanish/>
              </w:rPr>
            </w:pPr>
          </w:p>
        </w:tc>
        <w:tc>
          <w:tcPr>
            <w:tcW w:w="0" w:type="auto"/>
            <w:gridSpan w:val="3"/>
            <w:shd w:val="clear" w:color="auto" w:fill="auto"/>
            <w:vAlign w:val="bottom"/>
          </w:tcPr>
          <w:p w14:paraId="5A1B2DD2" w14:textId="77777777" w:rsidR="00960BB8" w:rsidRDefault="00960BB8">
            <w:pPr>
              <w:rPr>
                <w:rFonts w:ascii="宋体"/>
                <w:vanish/>
              </w:rPr>
            </w:pPr>
          </w:p>
        </w:tc>
        <w:tc>
          <w:tcPr>
            <w:tcW w:w="0" w:type="auto"/>
            <w:gridSpan w:val="3"/>
            <w:shd w:val="clear" w:color="auto" w:fill="auto"/>
            <w:vAlign w:val="bottom"/>
          </w:tcPr>
          <w:p w14:paraId="5A1B2DD3" w14:textId="77777777" w:rsidR="00960BB8" w:rsidRDefault="00960BB8">
            <w:pPr>
              <w:rPr>
                <w:rFonts w:ascii="宋体"/>
                <w:vanish/>
              </w:rPr>
            </w:pPr>
          </w:p>
        </w:tc>
        <w:tc>
          <w:tcPr>
            <w:tcW w:w="0" w:type="auto"/>
            <w:gridSpan w:val="3"/>
            <w:shd w:val="clear" w:color="auto" w:fill="auto"/>
            <w:vAlign w:val="bottom"/>
          </w:tcPr>
          <w:p w14:paraId="5A1B2DD4" w14:textId="77777777" w:rsidR="00960BB8" w:rsidRDefault="00960BB8">
            <w:pPr>
              <w:rPr>
                <w:rFonts w:ascii="宋体"/>
                <w:vanish/>
              </w:rPr>
            </w:pPr>
          </w:p>
        </w:tc>
        <w:tc>
          <w:tcPr>
            <w:tcW w:w="0" w:type="auto"/>
            <w:gridSpan w:val="3"/>
            <w:shd w:val="clear" w:color="auto" w:fill="auto"/>
            <w:vAlign w:val="bottom"/>
          </w:tcPr>
          <w:p w14:paraId="5A1B2DD5" w14:textId="77777777" w:rsidR="00960BB8" w:rsidRDefault="00960BB8">
            <w:pPr>
              <w:rPr>
                <w:rFonts w:ascii="宋体"/>
                <w:vanish/>
              </w:rPr>
            </w:pPr>
          </w:p>
        </w:tc>
        <w:tc>
          <w:tcPr>
            <w:tcW w:w="0" w:type="auto"/>
            <w:gridSpan w:val="3"/>
            <w:shd w:val="clear" w:color="auto" w:fill="auto"/>
            <w:vAlign w:val="bottom"/>
          </w:tcPr>
          <w:p w14:paraId="5A1B2DD6" w14:textId="77777777" w:rsidR="00960BB8" w:rsidRDefault="00960BB8">
            <w:pPr>
              <w:rPr>
                <w:rFonts w:ascii="宋体"/>
                <w:vanish/>
              </w:rPr>
            </w:pPr>
          </w:p>
        </w:tc>
        <w:tc>
          <w:tcPr>
            <w:tcW w:w="0" w:type="auto"/>
            <w:shd w:val="clear" w:color="auto" w:fill="auto"/>
            <w:vAlign w:val="bottom"/>
          </w:tcPr>
          <w:p w14:paraId="5A1B2DD7" w14:textId="77777777" w:rsidR="00960BB8" w:rsidRDefault="00960BB8">
            <w:pPr>
              <w:rPr>
                <w:rFonts w:ascii="宋体"/>
                <w:vanish/>
              </w:rPr>
            </w:pPr>
          </w:p>
        </w:tc>
        <w:tc>
          <w:tcPr>
            <w:tcW w:w="0" w:type="auto"/>
            <w:shd w:val="clear" w:color="auto" w:fill="auto"/>
            <w:vAlign w:val="bottom"/>
          </w:tcPr>
          <w:p w14:paraId="5A1B2DD8" w14:textId="77777777" w:rsidR="00960BB8" w:rsidRDefault="00960BB8">
            <w:pPr>
              <w:rPr>
                <w:rFonts w:ascii="宋体"/>
                <w:vanish/>
              </w:rPr>
            </w:pPr>
          </w:p>
        </w:tc>
        <w:tc>
          <w:tcPr>
            <w:tcW w:w="0" w:type="auto"/>
            <w:shd w:val="clear" w:color="auto" w:fill="auto"/>
            <w:vAlign w:val="bottom"/>
          </w:tcPr>
          <w:p w14:paraId="5A1B2DD9" w14:textId="77777777" w:rsidR="00960BB8" w:rsidRDefault="00960BB8">
            <w:pPr>
              <w:rPr>
                <w:rFonts w:ascii="宋体"/>
                <w:vanish/>
              </w:rPr>
            </w:pPr>
          </w:p>
        </w:tc>
        <w:tc>
          <w:tcPr>
            <w:tcW w:w="0" w:type="auto"/>
            <w:shd w:val="clear" w:color="auto" w:fill="auto"/>
            <w:vAlign w:val="bottom"/>
          </w:tcPr>
          <w:p w14:paraId="5A1B2DDA" w14:textId="77777777" w:rsidR="00960BB8" w:rsidRDefault="00960BB8">
            <w:pPr>
              <w:rPr>
                <w:rFonts w:ascii="宋体"/>
                <w:vanish/>
              </w:rPr>
            </w:pPr>
          </w:p>
        </w:tc>
      </w:tr>
      <w:tr w:rsidR="00960BB8" w14:paraId="5A1B2DEB" w14:textId="77777777">
        <w:trPr>
          <w:hidden/>
        </w:trPr>
        <w:tc>
          <w:tcPr>
            <w:tcW w:w="0" w:type="auto"/>
            <w:gridSpan w:val="3"/>
            <w:shd w:val="clear" w:color="auto" w:fill="auto"/>
            <w:vAlign w:val="bottom"/>
          </w:tcPr>
          <w:p w14:paraId="5A1B2DDC" w14:textId="77777777" w:rsidR="00960BB8" w:rsidRDefault="00960BB8">
            <w:pPr>
              <w:rPr>
                <w:rFonts w:ascii="宋体"/>
                <w:vanish/>
              </w:rPr>
            </w:pPr>
          </w:p>
        </w:tc>
        <w:tc>
          <w:tcPr>
            <w:tcW w:w="0" w:type="auto"/>
            <w:gridSpan w:val="3"/>
            <w:shd w:val="clear" w:color="auto" w:fill="auto"/>
            <w:vAlign w:val="bottom"/>
          </w:tcPr>
          <w:p w14:paraId="5A1B2DDD" w14:textId="77777777" w:rsidR="00960BB8" w:rsidRDefault="00960BB8">
            <w:pPr>
              <w:rPr>
                <w:rFonts w:ascii="宋体"/>
                <w:vanish/>
              </w:rPr>
            </w:pPr>
          </w:p>
        </w:tc>
        <w:tc>
          <w:tcPr>
            <w:tcW w:w="0" w:type="auto"/>
            <w:shd w:val="clear" w:color="auto" w:fill="auto"/>
            <w:vAlign w:val="bottom"/>
          </w:tcPr>
          <w:p w14:paraId="5A1B2DDE" w14:textId="77777777" w:rsidR="00960BB8" w:rsidRDefault="00960BB8">
            <w:pPr>
              <w:rPr>
                <w:rFonts w:ascii="宋体"/>
                <w:vanish/>
              </w:rPr>
            </w:pPr>
          </w:p>
        </w:tc>
        <w:tc>
          <w:tcPr>
            <w:tcW w:w="0" w:type="auto"/>
            <w:shd w:val="clear" w:color="auto" w:fill="auto"/>
            <w:vAlign w:val="bottom"/>
          </w:tcPr>
          <w:p w14:paraId="5A1B2DDF" w14:textId="77777777" w:rsidR="00960BB8" w:rsidRDefault="00960BB8">
            <w:pPr>
              <w:rPr>
                <w:rFonts w:ascii="宋体"/>
                <w:vanish/>
              </w:rPr>
            </w:pPr>
          </w:p>
        </w:tc>
        <w:tc>
          <w:tcPr>
            <w:tcW w:w="0" w:type="auto"/>
            <w:gridSpan w:val="3"/>
            <w:shd w:val="clear" w:color="auto" w:fill="auto"/>
            <w:vAlign w:val="bottom"/>
          </w:tcPr>
          <w:p w14:paraId="5A1B2DE0" w14:textId="77777777" w:rsidR="00960BB8" w:rsidRDefault="00960BB8">
            <w:pPr>
              <w:rPr>
                <w:rFonts w:ascii="宋体"/>
                <w:vanish/>
              </w:rPr>
            </w:pPr>
          </w:p>
        </w:tc>
        <w:tc>
          <w:tcPr>
            <w:tcW w:w="0" w:type="auto"/>
            <w:gridSpan w:val="3"/>
            <w:shd w:val="clear" w:color="auto" w:fill="auto"/>
            <w:vAlign w:val="bottom"/>
          </w:tcPr>
          <w:p w14:paraId="5A1B2DE1" w14:textId="77777777" w:rsidR="00960BB8" w:rsidRDefault="00960BB8">
            <w:pPr>
              <w:rPr>
                <w:rFonts w:ascii="宋体"/>
                <w:vanish/>
              </w:rPr>
            </w:pPr>
          </w:p>
        </w:tc>
        <w:tc>
          <w:tcPr>
            <w:tcW w:w="0" w:type="auto"/>
            <w:gridSpan w:val="3"/>
            <w:shd w:val="clear" w:color="auto" w:fill="auto"/>
            <w:vAlign w:val="bottom"/>
          </w:tcPr>
          <w:p w14:paraId="5A1B2DE2" w14:textId="77777777" w:rsidR="00960BB8" w:rsidRDefault="00960BB8">
            <w:pPr>
              <w:rPr>
                <w:rFonts w:ascii="宋体"/>
                <w:vanish/>
              </w:rPr>
            </w:pPr>
          </w:p>
        </w:tc>
        <w:tc>
          <w:tcPr>
            <w:tcW w:w="0" w:type="auto"/>
            <w:gridSpan w:val="3"/>
            <w:shd w:val="clear" w:color="auto" w:fill="auto"/>
            <w:vAlign w:val="bottom"/>
          </w:tcPr>
          <w:p w14:paraId="5A1B2DE3" w14:textId="77777777" w:rsidR="00960BB8" w:rsidRDefault="00960BB8">
            <w:pPr>
              <w:rPr>
                <w:rFonts w:ascii="宋体"/>
                <w:vanish/>
              </w:rPr>
            </w:pPr>
          </w:p>
        </w:tc>
        <w:tc>
          <w:tcPr>
            <w:tcW w:w="0" w:type="auto"/>
            <w:gridSpan w:val="3"/>
            <w:shd w:val="clear" w:color="auto" w:fill="auto"/>
            <w:vAlign w:val="bottom"/>
          </w:tcPr>
          <w:p w14:paraId="5A1B2DE4" w14:textId="77777777" w:rsidR="00960BB8" w:rsidRDefault="00960BB8">
            <w:pPr>
              <w:rPr>
                <w:rFonts w:ascii="宋体"/>
                <w:vanish/>
              </w:rPr>
            </w:pPr>
          </w:p>
        </w:tc>
        <w:tc>
          <w:tcPr>
            <w:tcW w:w="0" w:type="auto"/>
            <w:gridSpan w:val="3"/>
            <w:shd w:val="clear" w:color="auto" w:fill="auto"/>
            <w:vAlign w:val="bottom"/>
          </w:tcPr>
          <w:p w14:paraId="5A1B2DE5" w14:textId="77777777" w:rsidR="00960BB8" w:rsidRDefault="00960BB8">
            <w:pPr>
              <w:rPr>
                <w:rFonts w:ascii="宋体"/>
                <w:vanish/>
              </w:rPr>
            </w:pPr>
          </w:p>
        </w:tc>
        <w:tc>
          <w:tcPr>
            <w:tcW w:w="0" w:type="auto"/>
            <w:gridSpan w:val="3"/>
            <w:shd w:val="clear" w:color="auto" w:fill="auto"/>
            <w:vAlign w:val="bottom"/>
          </w:tcPr>
          <w:p w14:paraId="5A1B2DE6" w14:textId="77777777" w:rsidR="00960BB8" w:rsidRDefault="00960BB8">
            <w:pPr>
              <w:rPr>
                <w:rFonts w:ascii="宋体"/>
                <w:vanish/>
              </w:rPr>
            </w:pPr>
          </w:p>
        </w:tc>
        <w:tc>
          <w:tcPr>
            <w:tcW w:w="0" w:type="auto"/>
            <w:shd w:val="clear" w:color="auto" w:fill="auto"/>
            <w:vAlign w:val="bottom"/>
          </w:tcPr>
          <w:p w14:paraId="5A1B2DE7" w14:textId="77777777" w:rsidR="00960BB8" w:rsidRDefault="00960BB8">
            <w:pPr>
              <w:rPr>
                <w:rFonts w:ascii="宋体"/>
                <w:vanish/>
              </w:rPr>
            </w:pPr>
          </w:p>
        </w:tc>
        <w:tc>
          <w:tcPr>
            <w:tcW w:w="0" w:type="auto"/>
            <w:shd w:val="clear" w:color="auto" w:fill="auto"/>
            <w:vAlign w:val="bottom"/>
          </w:tcPr>
          <w:p w14:paraId="5A1B2DE8" w14:textId="77777777" w:rsidR="00960BB8" w:rsidRDefault="00960BB8">
            <w:pPr>
              <w:rPr>
                <w:rFonts w:ascii="宋体"/>
                <w:vanish/>
              </w:rPr>
            </w:pPr>
          </w:p>
        </w:tc>
        <w:tc>
          <w:tcPr>
            <w:tcW w:w="0" w:type="auto"/>
            <w:shd w:val="clear" w:color="auto" w:fill="auto"/>
            <w:vAlign w:val="bottom"/>
          </w:tcPr>
          <w:p w14:paraId="5A1B2DE9" w14:textId="77777777" w:rsidR="00960BB8" w:rsidRDefault="00960BB8">
            <w:pPr>
              <w:rPr>
                <w:rFonts w:ascii="宋体"/>
                <w:vanish/>
              </w:rPr>
            </w:pPr>
          </w:p>
        </w:tc>
        <w:tc>
          <w:tcPr>
            <w:tcW w:w="0" w:type="auto"/>
            <w:shd w:val="clear" w:color="auto" w:fill="auto"/>
            <w:vAlign w:val="bottom"/>
          </w:tcPr>
          <w:p w14:paraId="5A1B2DEA" w14:textId="77777777" w:rsidR="00960BB8" w:rsidRDefault="00960BB8">
            <w:pPr>
              <w:rPr>
                <w:rFonts w:ascii="宋体"/>
                <w:vanish/>
              </w:rPr>
            </w:pPr>
          </w:p>
        </w:tc>
      </w:tr>
    </w:tbl>
    <w:p w14:paraId="5A1B2DEC" w14:textId="77777777" w:rsidR="00960BB8" w:rsidRDefault="00C06650">
      <w:pPr>
        <w:spacing w:before="180" w:after="180"/>
      </w:pPr>
      <w:r>
        <w:rPr>
          <w:rFonts w:ascii="Arial" w:eastAsia="宋体" w:hAnsi="Arial" w:cs="Arial"/>
          <w:color w:val="333333"/>
          <w:sz w:val="18"/>
          <w:szCs w:val="18"/>
        </w:rPr>
        <w:t xml:space="preserve">We estimate that we will reclassify approximately $254 million (before taxes) of net derivative losses from accumulated other comprehensive income (loss) into earnings within the next 12 months.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2DF9" w14:textId="77777777">
        <w:tc>
          <w:tcPr>
            <w:tcW w:w="50" w:type="pct"/>
            <w:shd w:val="clear" w:color="auto" w:fill="auto"/>
            <w:vAlign w:val="bottom"/>
          </w:tcPr>
          <w:p w14:paraId="5A1B2DED" w14:textId="77777777" w:rsidR="00960BB8" w:rsidRDefault="00960BB8">
            <w:pPr>
              <w:rPr>
                <w:rFonts w:ascii="宋体"/>
              </w:rPr>
            </w:pPr>
          </w:p>
        </w:tc>
        <w:tc>
          <w:tcPr>
            <w:tcW w:w="276" w:type="pct"/>
            <w:shd w:val="clear" w:color="auto" w:fill="auto"/>
            <w:vAlign w:val="bottom"/>
          </w:tcPr>
          <w:p w14:paraId="5A1B2DEE" w14:textId="77777777" w:rsidR="00960BB8" w:rsidRDefault="00960BB8">
            <w:pPr>
              <w:rPr>
                <w:rFonts w:ascii="宋体"/>
              </w:rPr>
            </w:pPr>
          </w:p>
        </w:tc>
        <w:tc>
          <w:tcPr>
            <w:tcW w:w="5" w:type="pct"/>
            <w:shd w:val="clear" w:color="auto" w:fill="auto"/>
            <w:vAlign w:val="bottom"/>
          </w:tcPr>
          <w:p w14:paraId="5A1B2DEF" w14:textId="77777777" w:rsidR="00960BB8" w:rsidRDefault="00960BB8">
            <w:pPr>
              <w:rPr>
                <w:rFonts w:ascii="宋体"/>
              </w:rPr>
            </w:pPr>
          </w:p>
        </w:tc>
        <w:tc>
          <w:tcPr>
            <w:tcW w:w="50" w:type="pct"/>
            <w:shd w:val="clear" w:color="auto" w:fill="auto"/>
            <w:vAlign w:val="bottom"/>
          </w:tcPr>
          <w:p w14:paraId="5A1B2DF0" w14:textId="77777777" w:rsidR="00960BB8" w:rsidRDefault="00960BB8">
            <w:pPr>
              <w:rPr>
                <w:rFonts w:ascii="宋体"/>
              </w:rPr>
            </w:pPr>
          </w:p>
        </w:tc>
        <w:tc>
          <w:tcPr>
            <w:tcW w:w="940" w:type="pct"/>
            <w:shd w:val="clear" w:color="auto" w:fill="auto"/>
            <w:vAlign w:val="bottom"/>
          </w:tcPr>
          <w:p w14:paraId="5A1B2DF1" w14:textId="77777777" w:rsidR="00960BB8" w:rsidRDefault="00960BB8">
            <w:pPr>
              <w:rPr>
                <w:rFonts w:ascii="宋体"/>
              </w:rPr>
            </w:pPr>
          </w:p>
        </w:tc>
        <w:tc>
          <w:tcPr>
            <w:tcW w:w="5" w:type="pct"/>
            <w:shd w:val="clear" w:color="auto" w:fill="auto"/>
            <w:vAlign w:val="bottom"/>
          </w:tcPr>
          <w:p w14:paraId="5A1B2DF2" w14:textId="77777777" w:rsidR="00960BB8" w:rsidRDefault="00960BB8">
            <w:pPr>
              <w:rPr>
                <w:rFonts w:ascii="宋体"/>
              </w:rPr>
            </w:pPr>
          </w:p>
        </w:tc>
        <w:tc>
          <w:tcPr>
            <w:tcW w:w="50" w:type="pct"/>
            <w:shd w:val="clear" w:color="auto" w:fill="auto"/>
            <w:vAlign w:val="bottom"/>
          </w:tcPr>
          <w:p w14:paraId="5A1B2DF3" w14:textId="77777777" w:rsidR="00960BB8" w:rsidRDefault="00960BB8">
            <w:pPr>
              <w:rPr>
                <w:rFonts w:ascii="宋体"/>
              </w:rPr>
            </w:pPr>
          </w:p>
        </w:tc>
        <w:tc>
          <w:tcPr>
            <w:tcW w:w="1837" w:type="pct"/>
            <w:shd w:val="clear" w:color="auto" w:fill="auto"/>
            <w:vAlign w:val="bottom"/>
          </w:tcPr>
          <w:p w14:paraId="5A1B2DF4" w14:textId="77777777" w:rsidR="00960BB8" w:rsidRDefault="00960BB8">
            <w:pPr>
              <w:rPr>
                <w:rFonts w:ascii="宋体"/>
              </w:rPr>
            </w:pPr>
          </w:p>
        </w:tc>
        <w:tc>
          <w:tcPr>
            <w:tcW w:w="5" w:type="pct"/>
            <w:shd w:val="clear" w:color="auto" w:fill="auto"/>
            <w:vAlign w:val="bottom"/>
          </w:tcPr>
          <w:p w14:paraId="5A1B2DF5" w14:textId="77777777" w:rsidR="00960BB8" w:rsidRDefault="00960BB8">
            <w:pPr>
              <w:rPr>
                <w:rFonts w:ascii="宋体"/>
              </w:rPr>
            </w:pPr>
          </w:p>
        </w:tc>
        <w:tc>
          <w:tcPr>
            <w:tcW w:w="50" w:type="pct"/>
            <w:shd w:val="clear" w:color="auto" w:fill="auto"/>
            <w:vAlign w:val="bottom"/>
          </w:tcPr>
          <w:p w14:paraId="5A1B2DF6" w14:textId="77777777" w:rsidR="00960BB8" w:rsidRDefault="00960BB8">
            <w:pPr>
              <w:rPr>
                <w:rFonts w:ascii="宋体"/>
              </w:rPr>
            </w:pPr>
          </w:p>
        </w:tc>
        <w:tc>
          <w:tcPr>
            <w:tcW w:w="1724" w:type="pct"/>
            <w:shd w:val="clear" w:color="auto" w:fill="auto"/>
            <w:vAlign w:val="bottom"/>
          </w:tcPr>
          <w:p w14:paraId="5A1B2DF7" w14:textId="77777777" w:rsidR="00960BB8" w:rsidRDefault="00960BB8">
            <w:pPr>
              <w:rPr>
                <w:rFonts w:ascii="宋体"/>
              </w:rPr>
            </w:pPr>
          </w:p>
        </w:tc>
        <w:tc>
          <w:tcPr>
            <w:tcW w:w="5" w:type="pct"/>
            <w:shd w:val="clear" w:color="auto" w:fill="auto"/>
            <w:vAlign w:val="bottom"/>
          </w:tcPr>
          <w:p w14:paraId="5A1B2DF8" w14:textId="77777777" w:rsidR="00960BB8" w:rsidRDefault="00960BB8">
            <w:pPr>
              <w:rPr>
                <w:rFonts w:ascii="宋体"/>
              </w:rPr>
            </w:pPr>
          </w:p>
        </w:tc>
      </w:tr>
      <w:tr w:rsidR="00960BB8" w14:paraId="5A1B2DFE"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DFA"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BA" wp14:editId="5A1B44BB">
                  <wp:extent cx="304800" cy="304800"/>
                  <wp:effectExtent l="0" t="0" r="0" b="0"/>
                  <wp:docPr id="171" name="图片 29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9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DFB"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2DFC"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2DFD" w14:textId="77777777" w:rsidR="00960BB8" w:rsidRDefault="00C06650">
            <w:pPr>
              <w:jc w:val="right"/>
              <w:textAlignment w:val="center"/>
            </w:pPr>
            <w:r>
              <w:rPr>
                <w:rFonts w:ascii="Arial" w:eastAsia="宋体" w:hAnsi="Arial" w:cs="Arial"/>
                <w:color w:val="262626"/>
                <w:sz w:val="16"/>
                <w:szCs w:val="16"/>
              </w:rPr>
              <w:t>104</w:t>
            </w:r>
          </w:p>
        </w:tc>
      </w:tr>
    </w:tbl>
    <w:p w14:paraId="5A1B2DFF" w14:textId="77777777" w:rsidR="00960BB8" w:rsidRDefault="00C06650">
      <w:r>
        <w:pict w14:anchorId="5A1B44BC">
          <v:rect id="_x0000_i1130" style="width:415.3pt;height:1.5pt" o:hralign="center" o:hrstd="t" o:hr="t" fillcolor="#a0a0a0" stroked="f"/>
        </w:pict>
      </w:r>
    </w:p>
    <w:p w14:paraId="5A1B2E00" w14:textId="77777777" w:rsidR="00960BB8" w:rsidRDefault="00C06650">
      <w:pPr>
        <w:jc w:val="right"/>
      </w:pPr>
      <w:hyperlink r:id="rId153" w:anchor="i8aaa7b4dbd2e419ca0f5c30af85a11aa_16" w:history="1">
        <w:r>
          <w:rPr>
            <w:rStyle w:val="a5"/>
            <w:rFonts w:ascii="Arial" w:eastAsia="宋体" w:hAnsi="Arial" w:cs="Arial"/>
            <w:b/>
            <w:bCs/>
            <w:sz w:val="16"/>
            <w:szCs w:val="16"/>
          </w:rPr>
          <w:t>Table of Contents</w:t>
        </w:r>
      </w:hyperlink>
    </w:p>
    <w:p w14:paraId="5A1B2E01"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960BB8" w14:paraId="5A1B2E08" w14:textId="77777777">
        <w:tc>
          <w:tcPr>
            <w:tcW w:w="50" w:type="pct"/>
            <w:shd w:val="clear" w:color="auto" w:fill="auto"/>
            <w:vAlign w:val="bottom"/>
          </w:tcPr>
          <w:p w14:paraId="5A1B2E02" w14:textId="77777777" w:rsidR="00960BB8" w:rsidRDefault="00960BB8">
            <w:pPr>
              <w:rPr>
                <w:rFonts w:ascii="宋体"/>
              </w:rPr>
            </w:pPr>
          </w:p>
        </w:tc>
        <w:tc>
          <w:tcPr>
            <w:tcW w:w="539" w:type="pct"/>
            <w:shd w:val="clear" w:color="auto" w:fill="auto"/>
            <w:vAlign w:val="bottom"/>
          </w:tcPr>
          <w:p w14:paraId="5A1B2E03" w14:textId="77777777" w:rsidR="00960BB8" w:rsidRDefault="00960BB8">
            <w:pPr>
              <w:rPr>
                <w:rFonts w:ascii="宋体"/>
              </w:rPr>
            </w:pPr>
          </w:p>
        </w:tc>
        <w:tc>
          <w:tcPr>
            <w:tcW w:w="5" w:type="pct"/>
            <w:shd w:val="clear" w:color="auto" w:fill="auto"/>
            <w:vAlign w:val="bottom"/>
          </w:tcPr>
          <w:p w14:paraId="5A1B2E04" w14:textId="77777777" w:rsidR="00960BB8" w:rsidRDefault="00960BB8">
            <w:pPr>
              <w:rPr>
                <w:rFonts w:ascii="宋体"/>
              </w:rPr>
            </w:pPr>
          </w:p>
        </w:tc>
        <w:tc>
          <w:tcPr>
            <w:tcW w:w="50" w:type="pct"/>
            <w:shd w:val="clear" w:color="auto" w:fill="auto"/>
            <w:vAlign w:val="bottom"/>
          </w:tcPr>
          <w:p w14:paraId="5A1B2E05" w14:textId="77777777" w:rsidR="00960BB8" w:rsidRDefault="00960BB8">
            <w:pPr>
              <w:rPr>
                <w:rFonts w:ascii="宋体"/>
              </w:rPr>
            </w:pPr>
          </w:p>
        </w:tc>
        <w:tc>
          <w:tcPr>
            <w:tcW w:w="4350" w:type="pct"/>
            <w:shd w:val="clear" w:color="auto" w:fill="auto"/>
            <w:vAlign w:val="bottom"/>
          </w:tcPr>
          <w:p w14:paraId="5A1B2E06" w14:textId="77777777" w:rsidR="00960BB8" w:rsidRDefault="00960BB8">
            <w:pPr>
              <w:rPr>
                <w:rFonts w:ascii="宋体"/>
              </w:rPr>
            </w:pPr>
          </w:p>
        </w:tc>
        <w:tc>
          <w:tcPr>
            <w:tcW w:w="5" w:type="pct"/>
            <w:shd w:val="clear" w:color="auto" w:fill="auto"/>
            <w:vAlign w:val="bottom"/>
          </w:tcPr>
          <w:p w14:paraId="5A1B2E07" w14:textId="77777777" w:rsidR="00960BB8" w:rsidRDefault="00960BB8">
            <w:pPr>
              <w:rPr>
                <w:rFonts w:ascii="宋体"/>
              </w:rPr>
            </w:pPr>
          </w:p>
        </w:tc>
      </w:tr>
      <w:tr w:rsidR="00960BB8" w14:paraId="5A1B2E0B"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2E09" w14:textId="77777777" w:rsidR="00960BB8" w:rsidRDefault="00C06650">
            <w:pPr>
              <w:textAlignment w:val="bottom"/>
            </w:pPr>
            <w:r>
              <w:rPr>
                <w:rFonts w:ascii="Arial" w:eastAsia="宋体" w:hAnsi="Arial" w:cs="Arial"/>
                <w:color w:val="FFFFFF"/>
                <w:sz w:val="28"/>
                <w:szCs w:val="28"/>
              </w:rPr>
              <w:t xml:space="preserve">Note 16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2E0A" w14:textId="77777777" w:rsidR="00960BB8" w:rsidRDefault="00C06650">
            <w:pPr>
              <w:textAlignment w:val="bottom"/>
            </w:pPr>
            <w:r>
              <w:rPr>
                <w:rFonts w:ascii="Arial" w:eastAsia="宋体" w:hAnsi="Arial" w:cs="Arial"/>
                <w:color w:val="0068B5"/>
                <w:sz w:val="28"/>
                <w:szCs w:val="28"/>
              </w:rPr>
              <w:t>Derivative Financial Instruments</w:t>
            </w:r>
          </w:p>
        </w:tc>
      </w:tr>
    </w:tbl>
    <w:p w14:paraId="5A1B2E0C" w14:textId="77777777" w:rsidR="00960BB8" w:rsidRDefault="00C06650">
      <w:pPr>
        <w:spacing w:after="180"/>
      </w:pPr>
      <w:r>
        <w:rPr>
          <w:rFonts w:ascii="Arial" w:eastAsia="宋体" w:hAnsi="Arial" w:cs="Arial"/>
          <w:color w:val="0068B5"/>
        </w:rPr>
        <w:t xml:space="preserve">Volume of Derivative </w:t>
      </w:r>
      <w:r>
        <w:rPr>
          <w:rFonts w:ascii="Arial" w:eastAsia="宋体" w:hAnsi="Arial" w:cs="Arial"/>
          <w:color w:val="0068B5"/>
        </w:rPr>
        <w:t>Activity</w:t>
      </w:r>
    </w:p>
    <w:p w14:paraId="5A1B2E0D" w14:textId="77777777" w:rsidR="00960BB8" w:rsidRDefault="00C06650">
      <w:pPr>
        <w:spacing w:after="120"/>
      </w:pPr>
      <w:r>
        <w:rPr>
          <w:rFonts w:ascii="Arial" w:eastAsia="宋体" w:hAnsi="Arial" w:cs="Arial"/>
          <w:color w:val="262626"/>
          <w:sz w:val="18"/>
          <w:szCs w:val="18"/>
        </w:rPr>
        <w:t>Total gross notional amounts for outstanding derivatives (recorded at fair value) at the end of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050"/>
        <w:gridCol w:w="36"/>
        <w:gridCol w:w="36"/>
        <w:gridCol w:w="36"/>
        <w:gridCol w:w="36"/>
        <w:gridCol w:w="121"/>
        <w:gridCol w:w="805"/>
        <w:gridCol w:w="36"/>
        <w:gridCol w:w="36"/>
        <w:gridCol w:w="36"/>
        <w:gridCol w:w="36"/>
        <w:gridCol w:w="121"/>
        <w:gridCol w:w="806"/>
        <w:gridCol w:w="36"/>
        <w:gridCol w:w="36"/>
        <w:gridCol w:w="36"/>
        <w:gridCol w:w="36"/>
        <w:gridCol w:w="121"/>
        <w:gridCol w:w="807"/>
        <w:gridCol w:w="36"/>
      </w:tblGrid>
      <w:tr w:rsidR="00960BB8" w14:paraId="5A1B2E23" w14:textId="77777777">
        <w:tc>
          <w:tcPr>
            <w:tcW w:w="50" w:type="pct"/>
            <w:shd w:val="clear" w:color="auto" w:fill="auto"/>
            <w:vAlign w:val="bottom"/>
          </w:tcPr>
          <w:p w14:paraId="5A1B2E0E" w14:textId="77777777" w:rsidR="00960BB8" w:rsidRDefault="00960BB8">
            <w:pPr>
              <w:rPr>
                <w:rFonts w:ascii="宋体"/>
              </w:rPr>
            </w:pPr>
          </w:p>
        </w:tc>
        <w:tc>
          <w:tcPr>
            <w:tcW w:w="3059" w:type="pct"/>
            <w:shd w:val="clear" w:color="auto" w:fill="auto"/>
            <w:vAlign w:val="bottom"/>
          </w:tcPr>
          <w:p w14:paraId="5A1B2E0F" w14:textId="77777777" w:rsidR="00960BB8" w:rsidRDefault="00960BB8">
            <w:pPr>
              <w:rPr>
                <w:rFonts w:ascii="宋体"/>
              </w:rPr>
            </w:pPr>
          </w:p>
        </w:tc>
        <w:tc>
          <w:tcPr>
            <w:tcW w:w="5" w:type="pct"/>
            <w:shd w:val="clear" w:color="auto" w:fill="auto"/>
            <w:vAlign w:val="bottom"/>
          </w:tcPr>
          <w:p w14:paraId="5A1B2E10" w14:textId="77777777" w:rsidR="00960BB8" w:rsidRDefault="00960BB8">
            <w:pPr>
              <w:rPr>
                <w:rFonts w:ascii="宋体"/>
              </w:rPr>
            </w:pPr>
          </w:p>
        </w:tc>
        <w:tc>
          <w:tcPr>
            <w:tcW w:w="5" w:type="pct"/>
            <w:shd w:val="clear" w:color="auto" w:fill="auto"/>
            <w:vAlign w:val="bottom"/>
          </w:tcPr>
          <w:p w14:paraId="5A1B2E11" w14:textId="77777777" w:rsidR="00960BB8" w:rsidRDefault="00960BB8">
            <w:pPr>
              <w:rPr>
                <w:rFonts w:ascii="宋体"/>
              </w:rPr>
            </w:pPr>
          </w:p>
        </w:tc>
        <w:tc>
          <w:tcPr>
            <w:tcW w:w="24" w:type="pct"/>
            <w:shd w:val="clear" w:color="auto" w:fill="auto"/>
            <w:vAlign w:val="bottom"/>
          </w:tcPr>
          <w:p w14:paraId="5A1B2E12" w14:textId="77777777" w:rsidR="00960BB8" w:rsidRDefault="00960BB8">
            <w:pPr>
              <w:rPr>
                <w:rFonts w:ascii="宋体"/>
              </w:rPr>
            </w:pPr>
          </w:p>
        </w:tc>
        <w:tc>
          <w:tcPr>
            <w:tcW w:w="5" w:type="pct"/>
            <w:shd w:val="clear" w:color="auto" w:fill="auto"/>
            <w:vAlign w:val="bottom"/>
          </w:tcPr>
          <w:p w14:paraId="5A1B2E13" w14:textId="77777777" w:rsidR="00960BB8" w:rsidRDefault="00960BB8">
            <w:pPr>
              <w:rPr>
                <w:rFonts w:ascii="宋体"/>
              </w:rPr>
            </w:pPr>
          </w:p>
        </w:tc>
        <w:tc>
          <w:tcPr>
            <w:tcW w:w="50" w:type="pct"/>
            <w:shd w:val="clear" w:color="auto" w:fill="auto"/>
            <w:vAlign w:val="bottom"/>
          </w:tcPr>
          <w:p w14:paraId="5A1B2E14" w14:textId="77777777" w:rsidR="00960BB8" w:rsidRDefault="00960BB8">
            <w:pPr>
              <w:rPr>
                <w:rFonts w:ascii="宋体"/>
              </w:rPr>
            </w:pPr>
          </w:p>
        </w:tc>
        <w:tc>
          <w:tcPr>
            <w:tcW w:w="539" w:type="pct"/>
            <w:shd w:val="clear" w:color="auto" w:fill="auto"/>
            <w:vAlign w:val="bottom"/>
          </w:tcPr>
          <w:p w14:paraId="5A1B2E15" w14:textId="77777777" w:rsidR="00960BB8" w:rsidRDefault="00960BB8">
            <w:pPr>
              <w:rPr>
                <w:rFonts w:ascii="宋体"/>
              </w:rPr>
            </w:pPr>
          </w:p>
        </w:tc>
        <w:tc>
          <w:tcPr>
            <w:tcW w:w="5" w:type="pct"/>
            <w:shd w:val="clear" w:color="auto" w:fill="auto"/>
            <w:vAlign w:val="bottom"/>
          </w:tcPr>
          <w:p w14:paraId="5A1B2E16" w14:textId="77777777" w:rsidR="00960BB8" w:rsidRDefault="00960BB8">
            <w:pPr>
              <w:rPr>
                <w:rFonts w:ascii="宋体"/>
              </w:rPr>
            </w:pPr>
          </w:p>
        </w:tc>
        <w:tc>
          <w:tcPr>
            <w:tcW w:w="5" w:type="pct"/>
            <w:shd w:val="clear" w:color="auto" w:fill="auto"/>
            <w:vAlign w:val="bottom"/>
          </w:tcPr>
          <w:p w14:paraId="5A1B2E17" w14:textId="77777777" w:rsidR="00960BB8" w:rsidRDefault="00960BB8">
            <w:pPr>
              <w:rPr>
                <w:rFonts w:ascii="宋体"/>
              </w:rPr>
            </w:pPr>
          </w:p>
        </w:tc>
        <w:tc>
          <w:tcPr>
            <w:tcW w:w="24" w:type="pct"/>
            <w:shd w:val="clear" w:color="auto" w:fill="auto"/>
            <w:vAlign w:val="bottom"/>
          </w:tcPr>
          <w:p w14:paraId="5A1B2E18" w14:textId="77777777" w:rsidR="00960BB8" w:rsidRDefault="00960BB8">
            <w:pPr>
              <w:rPr>
                <w:rFonts w:ascii="宋体"/>
              </w:rPr>
            </w:pPr>
          </w:p>
        </w:tc>
        <w:tc>
          <w:tcPr>
            <w:tcW w:w="5" w:type="pct"/>
            <w:shd w:val="clear" w:color="auto" w:fill="auto"/>
            <w:vAlign w:val="bottom"/>
          </w:tcPr>
          <w:p w14:paraId="5A1B2E19" w14:textId="77777777" w:rsidR="00960BB8" w:rsidRDefault="00960BB8">
            <w:pPr>
              <w:rPr>
                <w:rFonts w:ascii="宋体"/>
              </w:rPr>
            </w:pPr>
          </w:p>
        </w:tc>
        <w:tc>
          <w:tcPr>
            <w:tcW w:w="50" w:type="pct"/>
            <w:shd w:val="clear" w:color="auto" w:fill="auto"/>
            <w:vAlign w:val="bottom"/>
          </w:tcPr>
          <w:p w14:paraId="5A1B2E1A" w14:textId="77777777" w:rsidR="00960BB8" w:rsidRDefault="00960BB8">
            <w:pPr>
              <w:rPr>
                <w:rFonts w:ascii="宋体"/>
              </w:rPr>
            </w:pPr>
          </w:p>
        </w:tc>
        <w:tc>
          <w:tcPr>
            <w:tcW w:w="539" w:type="pct"/>
            <w:shd w:val="clear" w:color="auto" w:fill="auto"/>
            <w:vAlign w:val="bottom"/>
          </w:tcPr>
          <w:p w14:paraId="5A1B2E1B" w14:textId="77777777" w:rsidR="00960BB8" w:rsidRDefault="00960BB8">
            <w:pPr>
              <w:rPr>
                <w:rFonts w:ascii="宋体"/>
              </w:rPr>
            </w:pPr>
          </w:p>
        </w:tc>
        <w:tc>
          <w:tcPr>
            <w:tcW w:w="5" w:type="pct"/>
            <w:shd w:val="clear" w:color="auto" w:fill="auto"/>
            <w:vAlign w:val="bottom"/>
          </w:tcPr>
          <w:p w14:paraId="5A1B2E1C" w14:textId="77777777" w:rsidR="00960BB8" w:rsidRDefault="00960BB8">
            <w:pPr>
              <w:rPr>
                <w:rFonts w:ascii="宋体"/>
              </w:rPr>
            </w:pPr>
          </w:p>
        </w:tc>
        <w:tc>
          <w:tcPr>
            <w:tcW w:w="5" w:type="pct"/>
            <w:shd w:val="clear" w:color="auto" w:fill="auto"/>
            <w:vAlign w:val="bottom"/>
          </w:tcPr>
          <w:p w14:paraId="5A1B2E1D" w14:textId="77777777" w:rsidR="00960BB8" w:rsidRDefault="00960BB8">
            <w:pPr>
              <w:rPr>
                <w:rFonts w:ascii="宋体"/>
              </w:rPr>
            </w:pPr>
          </w:p>
        </w:tc>
        <w:tc>
          <w:tcPr>
            <w:tcW w:w="24" w:type="pct"/>
            <w:shd w:val="clear" w:color="auto" w:fill="auto"/>
            <w:vAlign w:val="bottom"/>
          </w:tcPr>
          <w:p w14:paraId="5A1B2E1E" w14:textId="77777777" w:rsidR="00960BB8" w:rsidRDefault="00960BB8">
            <w:pPr>
              <w:rPr>
                <w:rFonts w:ascii="宋体"/>
              </w:rPr>
            </w:pPr>
          </w:p>
        </w:tc>
        <w:tc>
          <w:tcPr>
            <w:tcW w:w="5" w:type="pct"/>
            <w:shd w:val="clear" w:color="auto" w:fill="auto"/>
            <w:vAlign w:val="bottom"/>
          </w:tcPr>
          <w:p w14:paraId="5A1B2E1F" w14:textId="77777777" w:rsidR="00960BB8" w:rsidRDefault="00960BB8">
            <w:pPr>
              <w:rPr>
                <w:rFonts w:ascii="宋体"/>
              </w:rPr>
            </w:pPr>
          </w:p>
        </w:tc>
        <w:tc>
          <w:tcPr>
            <w:tcW w:w="50" w:type="pct"/>
            <w:shd w:val="clear" w:color="auto" w:fill="auto"/>
            <w:vAlign w:val="bottom"/>
          </w:tcPr>
          <w:p w14:paraId="5A1B2E20" w14:textId="77777777" w:rsidR="00960BB8" w:rsidRDefault="00960BB8">
            <w:pPr>
              <w:rPr>
                <w:rFonts w:ascii="宋体"/>
              </w:rPr>
            </w:pPr>
          </w:p>
        </w:tc>
        <w:tc>
          <w:tcPr>
            <w:tcW w:w="539" w:type="pct"/>
            <w:shd w:val="clear" w:color="auto" w:fill="auto"/>
            <w:vAlign w:val="bottom"/>
          </w:tcPr>
          <w:p w14:paraId="5A1B2E21" w14:textId="77777777" w:rsidR="00960BB8" w:rsidRDefault="00960BB8">
            <w:pPr>
              <w:rPr>
                <w:rFonts w:ascii="宋体"/>
              </w:rPr>
            </w:pPr>
          </w:p>
        </w:tc>
        <w:tc>
          <w:tcPr>
            <w:tcW w:w="5" w:type="pct"/>
            <w:shd w:val="clear" w:color="auto" w:fill="auto"/>
            <w:vAlign w:val="bottom"/>
          </w:tcPr>
          <w:p w14:paraId="5A1B2E22" w14:textId="77777777" w:rsidR="00960BB8" w:rsidRDefault="00960BB8">
            <w:pPr>
              <w:rPr>
                <w:rFonts w:ascii="宋体"/>
              </w:rPr>
            </w:pPr>
          </w:p>
        </w:tc>
      </w:tr>
      <w:tr w:rsidR="00960BB8" w14:paraId="5A1B2E2B" w14:textId="77777777">
        <w:tc>
          <w:tcPr>
            <w:tcW w:w="0" w:type="auto"/>
            <w:gridSpan w:val="3"/>
            <w:shd w:val="clear" w:color="auto" w:fill="auto"/>
            <w:tcMar>
              <w:top w:w="40" w:type="dxa"/>
              <w:left w:w="20" w:type="dxa"/>
              <w:bottom w:w="40" w:type="dxa"/>
              <w:right w:w="20" w:type="dxa"/>
            </w:tcMar>
            <w:vAlign w:val="bottom"/>
          </w:tcPr>
          <w:p w14:paraId="5A1B2E24" w14:textId="77777777" w:rsidR="00960BB8" w:rsidRDefault="00C06650">
            <w:pPr>
              <w:textAlignment w:val="bottom"/>
            </w:pPr>
            <w:r>
              <w:rPr>
                <w:rFonts w:ascii="Arial" w:eastAsia="宋体" w:hAnsi="Arial" w:cs="Arial"/>
                <w:b/>
                <w:bCs/>
                <w:color w:val="262626"/>
                <w:sz w:val="18"/>
                <w:szCs w:val="18"/>
              </w:rPr>
              <w:t>(In Millio</w:t>
            </w:r>
            <w:r>
              <w:rPr>
                <w:rFonts w:ascii="Arial" w:eastAsia="宋体" w:hAnsi="Arial" w:cs="Arial"/>
                <w:b/>
                <w:bCs/>
                <w:color w:val="262626"/>
                <w:sz w:val="18"/>
                <w:szCs w:val="18"/>
              </w:rPr>
              <w:t>ns)</w:t>
            </w:r>
          </w:p>
        </w:tc>
        <w:tc>
          <w:tcPr>
            <w:tcW w:w="0" w:type="auto"/>
            <w:gridSpan w:val="3"/>
            <w:shd w:val="clear" w:color="auto" w:fill="auto"/>
            <w:tcMar>
              <w:top w:w="0" w:type="dxa"/>
              <w:left w:w="20" w:type="dxa"/>
              <w:bottom w:w="0" w:type="dxa"/>
              <w:right w:w="20" w:type="dxa"/>
            </w:tcMar>
            <w:vAlign w:val="bottom"/>
          </w:tcPr>
          <w:p w14:paraId="5A1B2E2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E26"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2E2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E28"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2E2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E2A"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2E3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E2C" w14:textId="77777777" w:rsidR="00960BB8" w:rsidRDefault="00C06650">
            <w:pPr>
              <w:textAlignment w:val="bottom"/>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5A1B2E2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E2E"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E2F" w14:textId="77777777" w:rsidR="00960BB8" w:rsidRDefault="00C06650">
            <w:pPr>
              <w:jc w:val="right"/>
              <w:textAlignment w:val="bottom"/>
            </w:pPr>
            <w:r>
              <w:rPr>
                <w:rFonts w:ascii="Arial" w:eastAsia="宋体" w:hAnsi="Arial" w:cs="Arial"/>
                <w:color w:val="0068B5"/>
                <w:sz w:val="18"/>
                <w:szCs w:val="18"/>
              </w:rPr>
              <w:t>31,603 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E3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31"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E32"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E33" w14:textId="77777777" w:rsidR="00960BB8" w:rsidRDefault="00C06650">
            <w:pPr>
              <w:jc w:val="right"/>
              <w:textAlignment w:val="bottom"/>
            </w:pPr>
            <w:r>
              <w:rPr>
                <w:rFonts w:ascii="Arial" w:eastAsia="宋体" w:hAnsi="Arial" w:cs="Arial"/>
                <w:color w:val="262626"/>
                <w:sz w:val="18"/>
                <w:szCs w:val="18"/>
              </w:rPr>
              <w:t>38,024 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E3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35"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2E36"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2E37" w14:textId="77777777" w:rsidR="00960BB8" w:rsidRDefault="00C06650">
            <w:pPr>
              <w:jc w:val="right"/>
              <w:textAlignment w:val="bottom"/>
            </w:pPr>
            <w:r>
              <w:rPr>
                <w:rFonts w:ascii="Arial" w:eastAsia="宋体" w:hAnsi="Arial" w:cs="Arial"/>
                <w:color w:val="262626"/>
                <w:sz w:val="18"/>
                <w:szCs w:val="18"/>
              </w:rPr>
              <w:t>31,209 </w:t>
            </w:r>
          </w:p>
        </w:tc>
        <w:tc>
          <w:tcPr>
            <w:tcW w:w="0" w:type="auto"/>
            <w:tcBorders>
              <w:top w:val="single" w:sz="8" w:space="0" w:color="0068B5"/>
            </w:tcBorders>
            <w:shd w:val="clear" w:color="auto" w:fill="auto"/>
            <w:tcMar>
              <w:top w:w="40" w:type="dxa"/>
              <w:left w:w="0" w:type="dxa"/>
              <w:bottom w:w="40" w:type="dxa"/>
              <w:right w:w="20" w:type="dxa"/>
            </w:tcMar>
            <w:vAlign w:val="bottom"/>
          </w:tcPr>
          <w:p w14:paraId="5A1B2E38" w14:textId="77777777" w:rsidR="00960BB8" w:rsidRDefault="00960BB8">
            <w:pPr>
              <w:jc w:val="right"/>
              <w:rPr>
                <w:rFonts w:ascii="宋体"/>
              </w:rPr>
            </w:pPr>
          </w:p>
        </w:tc>
      </w:tr>
      <w:tr w:rsidR="00960BB8" w14:paraId="5A1B2E44" w14:textId="77777777">
        <w:tc>
          <w:tcPr>
            <w:tcW w:w="0" w:type="auto"/>
            <w:gridSpan w:val="3"/>
            <w:shd w:val="clear" w:color="auto" w:fill="auto"/>
            <w:tcMar>
              <w:top w:w="40" w:type="dxa"/>
              <w:left w:w="20" w:type="dxa"/>
              <w:bottom w:w="40" w:type="dxa"/>
              <w:right w:w="20" w:type="dxa"/>
            </w:tcMar>
            <w:vAlign w:val="bottom"/>
          </w:tcPr>
          <w:p w14:paraId="5A1B2E3A" w14:textId="77777777" w:rsidR="00960BB8" w:rsidRDefault="00C06650">
            <w:pPr>
              <w:textAlignment w:val="bottom"/>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5A1B2E3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3C" w14:textId="77777777" w:rsidR="00960BB8" w:rsidRDefault="00C06650">
            <w:pPr>
              <w:jc w:val="right"/>
              <w:textAlignment w:val="bottom"/>
            </w:pPr>
            <w:r>
              <w:rPr>
                <w:rFonts w:ascii="Arial" w:eastAsia="宋体" w:hAnsi="Arial" w:cs="Arial"/>
                <w:color w:val="0068B5"/>
                <w:sz w:val="18"/>
                <w:szCs w:val="18"/>
              </w:rPr>
              <w:t>16,011 </w:t>
            </w:r>
          </w:p>
        </w:tc>
        <w:tc>
          <w:tcPr>
            <w:tcW w:w="0" w:type="auto"/>
            <w:shd w:val="clear" w:color="auto" w:fill="auto"/>
            <w:tcMar>
              <w:top w:w="40" w:type="dxa"/>
              <w:left w:w="0" w:type="dxa"/>
              <w:bottom w:w="40" w:type="dxa"/>
              <w:right w:w="20" w:type="dxa"/>
            </w:tcMar>
            <w:vAlign w:val="bottom"/>
          </w:tcPr>
          <w:p w14:paraId="5A1B2E3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3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3F" w14:textId="77777777" w:rsidR="00960BB8" w:rsidRDefault="00C06650">
            <w:pPr>
              <w:jc w:val="right"/>
              <w:textAlignment w:val="bottom"/>
            </w:pPr>
            <w:r>
              <w:rPr>
                <w:rFonts w:ascii="Arial" w:eastAsia="宋体" w:hAnsi="Arial" w:cs="Arial"/>
                <w:color w:val="262626"/>
                <w:sz w:val="18"/>
                <w:szCs w:val="18"/>
              </w:rPr>
              <w:t>15,209 </w:t>
            </w:r>
          </w:p>
        </w:tc>
        <w:tc>
          <w:tcPr>
            <w:tcW w:w="0" w:type="auto"/>
            <w:shd w:val="clear" w:color="auto" w:fill="auto"/>
            <w:tcMar>
              <w:top w:w="40" w:type="dxa"/>
              <w:left w:w="0" w:type="dxa"/>
              <w:bottom w:w="40" w:type="dxa"/>
              <w:right w:w="20" w:type="dxa"/>
            </w:tcMar>
            <w:vAlign w:val="bottom"/>
          </w:tcPr>
          <w:p w14:paraId="5A1B2E4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4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42" w14:textId="77777777" w:rsidR="00960BB8" w:rsidRDefault="00C06650">
            <w:pPr>
              <w:jc w:val="right"/>
              <w:textAlignment w:val="bottom"/>
            </w:pPr>
            <w:r>
              <w:rPr>
                <w:rFonts w:ascii="Arial" w:eastAsia="宋体" w:hAnsi="Arial" w:cs="Arial"/>
                <w:color w:val="262626"/>
                <w:sz w:val="18"/>
                <w:szCs w:val="18"/>
              </w:rPr>
              <w:t>14,461 </w:t>
            </w:r>
          </w:p>
        </w:tc>
        <w:tc>
          <w:tcPr>
            <w:tcW w:w="0" w:type="auto"/>
            <w:shd w:val="clear" w:color="auto" w:fill="auto"/>
            <w:tcMar>
              <w:top w:w="40" w:type="dxa"/>
              <w:left w:w="0" w:type="dxa"/>
              <w:bottom w:w="40" w:type="dxa"/>
              <w:right w:w="20" w:type="dxa"/>
            </w:tcMar>
            <w:vAlign w:val="bottom"/>
          </w:tcPr>
          <w:p w14:paraId="5A1B2E43" w14:textId="77777777" w:rsidR="00960BB8" w:rsidRDefault="00960BB8">
            <w:pPr>
              <w:jc w:val="right"/>
              <w:rPr>
                <w:rFonts w:ascii="宋体"/>
              </w:rPr>
            </w:pPr>
          </w:p>
        </w:tc>
      </w:tr>
      <w:tr w:rsidR="00960BB8" w14:paraId="5A1B2E4F" w14:textId="77777777">
        <w:tc>
          <w:tcPr>
            <w:tcW w:w="0" w:type="auto"/>
            <w:gridSpan w:val="3"/>
            <w:shd w:val="clear" w:color="auto" w:fill="auto"/>
            <w:tcMar>
              <w:top w:w="40" w:type="dxa"/>
              <w:left w:w="20" w:type="dxa"/>
              <w:bottom w:w="40" w:type="dxa"/>
              <w:right w:w="20" w:type="dxa"/>
            </w:tcMar>
            <w:vAlign w:val="bottom"/>
          </w:tcPr>
          <w:p w14:paraId="5A1B2E45" w14:textId="77777777" w:rsidR="00960BB8" w:rsidRDefault="00C06650">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5A1B2E4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47" w14:textId="77777777" w:rsidR="00960BB8" w:rsidRDefault="00C06650">
            <w:pPr>
              <w:jc w:val="right"/>
              <w:textAlignment w:val="bottom"/>
            </w:pPr>
            <w:r>
              <w:rPr>
                <w:rFonts w:ascii="Arial" w:eastAsia="宋体" w:hAnsi="Arial" w:cs="Arial"/>
                <w:color w:val="0068B5"/>
                <w:sz w:val="18"/>
                <w:szCs w:val="18"/>
              </w:rPr>
              <w:t>2,094 </w:t>
            </w:r>
          </w:p>
        </w:tc>
        <w:tc>
          <w:tcPr>
            <w:tcW w:w="0" w:type="auto"/>
            <w:shd w:val="clear" w:color="auto" w:fill="auto"/>
            <w:tcMar>
              <w:top w:w="40" w:type="dxa"/>
              <w:left w:w="0" w:type="dxa"/>
              <w:bottom w:w="40" w:type="dxa"/>
              <w:right w:w="20" w:type="dxa"/>
            </w:tcMar>
            <w:vAlign w:val="bottom"/>
          </w:tcPr>
          <w:p w14:paraId="5A1B2E4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4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4A" w14:textId="77777777" w:rsidR="00960BB8" w:rsidRDefault="00C06650">
            <w:pPr>
              <w:jc w:val="right"/>
              <w:textAlignment w:val="bottom"/>
            </w:pPr>
            <w:r>
              <w:rPr>
                <w:rFonts w:ascii="Arial" w:eastAsia="宋体" w:hAnsi="Arial" w:cs="Arial"/>
                <w:color w:val="262626"/>
                <w:sz w:val="18"/>
                <w:szCs w:val="18"/>
              </w:rPr>
              <w:t>2,517 </w:t>
            </w:r>
          </w:p>
        </w:tc>
        <w:tc>
          <w:tcPr>
            <w:tcW w:w="0" w:type="auto"/>
            <w:shd w:val="clear" w:color="auto" w:fill="auto"/>
            <w:tcMar>
              <w:top w:w="40" w:type="dxa"/>
              <w:left w:w="0" w:type="dxa"/>
              <w:bottom w:w="40" w:type="dxa"/>
              <w:right w:w="20" w:type="dxa"/>
            </w:tcMar>
            <w:vAlign w:val="bottom"/>
          </w:tcPr>
          <w:p w14:paraId="5A1B2E4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4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4D" w14:textId="77777777" w:rsidR="00960BB8" w:rsidRDefault="00C06650">
            <w:pPr>
              <w:jc w:val="right"/>
              <w:textAlignment w:val="bottom"/>
            </w:pPr>
            <w:r>
              <w:rPr>
                <w:rFonts w:ascii="Arial" w:eastAsia="宋体" w:hAnsi="Arial" w:cs="Arial"/>
                <w:color w:val="262626"/>
                <w:sz w:val="18"/>
                <w:szCs w:val="18"/>
              </w:rPr>
              <w:t>2,026 </w:t>
            </w:r>
          </w:p>
        </w:tc>
        <w:tc>
          <w:tcPr>
            <w:tcW w:w="0" w:type="auto"/>
            <w:shd w:val="clear" w:color="auto" w:fill="auto"/>
            <w:tcMar>
              <w:top w:w="40" w:type="dxa"/>
              <w:left w:w="0" w:type="dxa"/>
              <w:bottom w:w="40" w:type="dxa"/>
              <w:right w:w="20" w:type="dxa"/>
            </w:tcMar>
            <w:vAlign w:val="bottom"/>
          </w:tcPr>
          <w:p w14:paraId="5A1B2E4E" w14:textId="77777777" w:rsidR="00960BB8" w:rsidRDefault="00960BB8">
            <w:pPr>
              <w:jc w:val="right"/>
              <w:rPr>
                <w:rFonts w:ascii="宋体"/>
              </w:rPr>
            </w:pPr>
          </w:p>
        </w:tc>
      </w:tr>
      <w:tr w:rsidR="00960BB8" w14:paraId="5A1B2E5D" w14:textId="77777777">
        <w:tc>
          <w:tcPr>
            <w:tcW w:w="0" w:type="auto"/>
            <w:gridSpan w:val="3"/>
            <w:shd w:val="clear" w:color="auto" w:fill="auto"/>
            <w:tcMar>
              <w:top w:w="40" w:type="dxa"/>
              <w:left w:w="20" w:type="dxa"/>
              <w:bottom w:w="40" w:type="dxa"/>
              <w:right w:w="20" w:type="dxa"/>
            </w:tcMar>
            <w:vAlign w:val="bottom"/>
          </w:tcPr>
          <w:p w14:paraId="5A1B2E50" w14:textId="77777777" w:rsidR="00960BB8" w:rsidRDefault="00C06650">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5A1B2E51"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E52"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E53" w14:textId="77777777" w:rsidR="00960BB8" w:rsidRDefault="00C06650">
            <w:pPr>
              <w:jc w:val="right"/>
              <w:textAlignment w:val="bottom"/>
            </w:pPr>
            <w:r>
              <w:rPr>
                <w:rFonts w:ascii="Arial" w:eastAsia="宋体" w:hAnsi="Arial" w:cs="Arial"/>
                <w:b/>
                <w:bCs/>
                <w:color w:val="0068B5"/>
                <w:sz w:val="18"/>
                <w:szCs w:val="18"/>
              </w:rPr>
              <w:t>49,708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E5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55"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E56"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E57" w14:textId="77777777" w:rsidR="00960BB8" w:rsidRDefault="00C06650">
            <w:pPr>
              <w:jc w:val="right"/>
              <w:textAlignment w:val="bottom"/>
            </w:pPr>
            <w:r>
              <w:rPr>
                <w:rFonts w:ascii="Arial" w:eastAsia="宋体" w:hAnsi="Arial" w:cs="Arial"/>
                <w:b/>
                <w:bCs/>
                <w:color w:val="262626"/>
                <w:sz w:val="18"/>
                <w:szCs w:val="18"/>
              </w:rPr>
              <w:t>55,750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E5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59"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E5A"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E5B" w14:textId="77777777" w:rsidR="00960BB8" w:rsidRDefault="00C06650">
            <w:pPr>
              <w:jc w:val="right"/>
              <w:textAlignment w:val="bottom"/>
            </w:pPr>
            <w:r>
              <w:rPr>
                <w:rFonts w:ascii="Arial" w:eastAsia="宋体" w:hAnsi="Arial" w:cs="Arial"/>
                <w:b/>
                <w:bCs/>
                <w:color w:val="262626"/>
                <w:sz w:val="18"/>
                <w:szCs w:val="18"/>
              </w:rPr>
              <w:t>47,696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E5C" w14:textId="77777777" w:rsidR="00960BB8" w:rsidRDefault="00960BB8">
            <w:pPr>
              <w:jc w:val="right"/>
              <w:rPr>
                <w:rFonts w:ascii="宋体"/>
              </w:rPr>
            </w:pPr>
          </w:p>
        </w:tc>
      </w:tr>
    </w:tbl>
    <w:p w14:paraId="5A1B2E5E" w14:textId="77777777" w:rsidR="00960BB8" w:rsidRDefault="00C06650">
      <w:pPr>
        <w:spacing w:before="120" w:after="180"/>
      </w:pPr>
      <w:r>
        <w:rPr>
          <w:rFonts w:ascii="Arial" w:eastAsia="宋体" w:hAnsi="Arial" w:cs="Arial"/>
          <w:color w:val="262626"/>
          <w:sz w:val="18"/>
          <w:szCs w:val="18"/>
        </w:rPr>
        <w:t>During 2022 and 2021, we did not enter into any new pay-variable, receive-fixed interest rate swaps to hedge against changes in the fair value attributable to benchmark interest rates r</w:t>
      </w:r>
      <w:r>
        <w:rPr>
          <w:rFonts w:ascii="Arial" w:eastAsia="宋体" w:hAnsi="Arial" w:cs="Arial"/>
          <w:color w:val="262626"/>
          <w:sz w:val="18"/>
          <w:szCs w:val="18"/>
        </w:rPr>
        <w:t xml:space="preserve">elated to our outstanding senior notes. The total notional amount of outstanding pay-variable, receive-fixed interest rate swaps was $12.0 billion as of December 31, 2022, and $12.0 billion as of December 25, 2021. </w:t>
      </w:r>
    </w:p>
    <w:p w14:paraId="5A1B2E5F" w14:textId="77777777" w:rsidR="00960BB8" w:rsidRDefault="00C06650">
      <w:pPr>
        <w:spacing w:after="180"/>
      </w:pPr>
      <w:r>
        <w:rPr>
          <w:rFonts w:ascii="Arial" w:eastAsia="宋体" w:hAnsi="Arial" w:cs="Arial"/>
          <w:color w:val="0068B5"/>
        </w:rPr>
        <w:t xml:space="preserve">Fair Value of Derivative Instruments in </w:t>
      </w:r>
      <w:r>
        <w:rPr>
          <w:rFonts w:ascii="Arial" w:eastAsia="宋体" w:hAnsi="Arial" w:cs="Arial"/>
          <w:color w:val="0068B5"/>
        </w:rPr>
        <w:t>the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38"/>
        <w:gridCol w:w="3981"/>
        <w:gridCol w:w="37"/>
        <w:gridCol w:w="36"/>
        <w:gridCol w:w="36"/>
        <w:gridCol w:w="36"/>
        <w:gridCol w:w="122"/>
        <w:gridCol w:w="784"/>
        <w:gridCol w:w="37"/>
        <w:gridCol w:w="36"/>
        <w:gridCol w:w="36"/>
        <w:gridCol w:w="36"/>
        <w:gridCol w:w="122"/>
        <w:gridCol w:w="846"/>
        <w:gridCol w:w="36"/>
        <w:gridCol w:w="36"/>
        <w:gridCol w:w="36"/>
        <w:gridCol w:w="36"/>
        <w:gridCol w:w="122"/>
        <w:gridCol w:w="738"/>
        <w:gridCol w:w="37"/>
        <w:gridCol w:w="36"/>
        <w:gridCol w:w="36"/>
        <w:gridCol w:w="36"/>
        <w:gridCol w:w="122"/>
        <w:gridCol w:w="846"/>
        <w:gridCol w:w="36"/>
      </w:tblGrid>
      <w:tr w:rsidR="00960BB8" w14:paraId="5A1B2E7B" w14:textId="77777777">
        <w:tc>
          <w:tcPr>
            <w:tcW w:w="50" w:type="pct"/>
            <w:shd w:val="clear" w:color="auto" w:fill="auto"/>
            <w:vAlign w:val="bottom"/>
          </w:tcPr>
          <w:p w14:paraId="5A1B2E60" w14:textId="77777777" w:rsidR="00960BB8" w:rsidRDefault="00960BB8">
            <w:pPr>
              <w:rPr>
                <w:rFonts w:ascii="宋体"/>
              </w:rPr>
            </w:pPr>
          </w:p>
        </w:tc>
        <w:tc>
          <w:tcPr>
            <w:tcW w:w="2431" w:type="pct"/>
            <w:shd w:val="clear" w:color="auto" w:fill="auto"/>
            <w:vAlign w:val="bottom"/>
          </w:tcPr>
          <w:p w14:paraId="5A1B2E61" w14:textId="77777777" w:rsidR="00960BB8" w:rsidRDefault="00960BB8">
            <w:pPr>
              <w:rPr>
                <w:rFonts w:ascii="宋体"/>
              </w:rPr>
            </w:pPr>
          </w:p>
        </w:tc>
        <w:tc>
          <w:tcPr>
            <w:tcW w:w="5" w:type="pct"/>
            <w:shd w:val="clear" w:color="auto" w:fill="auto"/>
            <w:vAlign w:val="bottom"/>
          </w:tcPr>
          <w:p w14:paraId="5A1B2E62" w14:textId="77777777" w:rsidR="00960BB8" w:rsidRDefault="00960BB8">
            <w:pPr>
              <w:rPr>
                <w:rFonts w:ascii="宋体"/>
              </w:rPr>
            </w:pPr>
          </w:p>
        </w:tc>
        <w:tc>
          <w:tcPr>
            <w:tcW w:w="5" w:type="pct"/>
            <w:shd w:val="clear" w:color="auto" w:fill="auto"/>
            <w:vAlign w:val="bottom"/>
          </w:tcPr>
          <w:p w14:paraId="5A1B2E63" w14:textId="77777777" w:rsidR="00960BB8" w:rsidRDefault="00960BB8">
            <w:pPr>
              <w:rPr>
                <w:rFonts w:ascii="宋体"/>
              </w:rPr>
            </w:pPr>
          </w:p>
        </w:tc>
        <w:tc>
          <w:tcPr>
            <w:tcW w:w="24" w:type="pct"/>
            <w:shd w:val="clear" w:color="auto" w:fill="auto"/>
            <w:vAlign w:val="bottom"/>
          </w:tcPr>
          <w:p w14:paraId="5A1B2E64" w14:textId="77777777" w:rsidR="00960BB8" w:rsidRDefault="00960BB8">
            <w:pPr>
              <w:rPr>
                <w:rFonts w:ascii="宋体"/>
              </w:rPr>
            </w:pPr>
          </w:p>
        </w:tc>
        <w:tc>
          <w:tcPr>
            <w:tcW w:w="5" w:type="pct"/>
            <w:shd w:val="clear" w:color="auto" w:fill="auto"/>
            <w:vAlign w:val="bottom"/>
          </w:tcPr>
          <w:p w14:paraId="5A1B2E65" w14:textId="77777777" w:rsidR="00960BB8" w:rsidRDefault="00960BB8">
            <w:pPr>
              <w:rPr>
                <w:rFonts w:ascii="宋体"/>
              </w:rPr>
            </w:pPr>
          </w:p>
        </w:tc>
        <w:tc>
          <w:tcPr>
            <w:tcW w:w="50" w:type="pct"/>
            <w:shd w:val="clear" w:color="auto" w:fill="auto"/>
            <w:vAlign w:val="bottom"/>
          </w:tcPr>
          <w:p w14:paraId="5A1B2E66" w14:textId="77777777" w:rsidR="00960BB8" w:rsidRDefault="00960BB8">
            <w:pPr>
              <w:rPr>
                <w:rFonts w:ascii="宋体"/>
              </w:rPr>
            </w:pPr>
          </w:p>
        </w:tc>
        <w:tc>
          <w:tcPr>
            <w:tcW w:w="539" w:type="pct"/>
            <w:shd w:val="clear" w:color="auto" w:fill="auto"/>
            <w:vAlign w:val="bottom"/>
          </w:tcPr>
          <w:p w14:paraId="5A1B2E67" w14:textId="77777777" w:rsidR="00960BB8" w:rsidRDefault="00960BB8">
            <w:pPr>
              <w:rPr>
                <w:rFonts w:ascii="宋体"/>
              </w:rPr>
            </w:pPr>
          </w:p>
        </w:tc>
        <w:tc>
          <w:tcPr>
            <w:tcW w:w="5" w:type="pct"/>
            <w:shd w:val="clear" w:color="auto" w:fill="auto"/>
            <w:vAlign w:val="bottom"/>
          </w:tcPr>
          <w:p w14:paraId="5A1B2E68" w14:textId="77777777" w:rsidR="00960BB8" w:rsidRDefault="00960BB8">
            <w:pPr>
              <w:rPr>
                <w:rFonts w:ascii="宋体"/>
              </w:rPr>
            </w:pPr>
          </w:p>
        </w:tc>
        <w:tc>
          <w:tcPr>
            <w:tcW w:w="5" w:type="pct"/>
            <w:shd w:val="clear" w:color="auto" w:fill="auto"/>
            <w:vAlign w:val="bottom"/>
          </w:tcPr>
          <w:p w14:paraId="5A1B2E69" w14:textId="77777777" w:rsidR="00960BB8" w:rsidRDefault="00960BB8">
            <w:pPr>
              <w:rPr>
                <w:rFonts w:ascii="宋体"/>
              </w:rPr>
            </w:pPr>
          </w:p>
        </w:tc>
        <w:tc>
          <w:tcPr>
            <w:tcW w:w="24" w:type="pct"/>
            <w:shd w:val="clear" w:color="auto" w:fill="auto"/>
            <w:vAlign w:val="bottom"/>
          </w:tcPr>
          <w:p w14:paraId="5A1B2E6A" w14:textId="77777777" w:rsidR="00960BB8" w:rsidRDefault="00960BB8">
            <w:pPr>
              <w:rPr>
                <w:rFonts w:ascii="宋体"/>
              </w:rPr>
            </w:pPr>
          </w:p>
        </w:tc>
        <w:tc>
          <w:tcPr>
            <w:tcW w:w="5" w:type="pct"/>
            <w:shd w:val="clear" w:color="auto" w:fill="auto"/>
            <w:vAlign w:val="bottom"/>
          </w:tcPr>
          <w:p w14:paraId="5A1B2E6B" w14:textId="77777777" w:rsidR="00960BB8" w:rsidRDefault="00960BB8">
            <w:pPr>
              <w:rPr>
                <w:rFonts w:ascii="宋体"/>
              </w:rPr>
            </w:pPr>
          </w:p>
        </w:tc>
        <w:tc>
          <w:tcPr>
            <w:tcW w:w="50" w:type="pct"/>
            <w:shd w:val="clear" w:color="auto" w:fill="auto"/>
            <w:vAlign w:val="bottom"/>
          </w:tcPr>
          <w:p w14:paraId="5A1B2E6C" w14:textId="77777777" w:rsidR="00960BB8" w:rsidRDefault="00960BB8">
            <w:pPr>
              <w:rPr>
                <w:rFonts w:ascii="宋体"/>
              </w:rPr>
            </w:pPr>
          </w:p>
        </w:tc>
        <w:tc>
          <w:tcPr>
            <w:tcW w:w="539" w:type="pct"/>
            <w:shd w:val="clear" w:color="auto" w:fill="auto"/>
            <w:vAlign w:val="bottom"/>
          </w:tcPr>
          <w:p w14:paraId="5A1B2E6D" w14:textId="77777777" w:rsidR="00960BB8" w:rsidRDefault="00960BB8">
            <w:pPr>
              <w:rPr>
                <w:rFonts w:ascii="宋体"/>
              </w:rPr>
            </w:pPr>
          </w:p>
        </w:tc>
        <w:tc>
          <w:tcPr>
            <w:tcW w:w="5" w:type="pct"/>
            <w:shd w:val="clear" w:color="auto" w:fill="auto"/>
            <w:vAlign w:val="bottom"/>
          </w:tcPr>
          <w:p w14:paraId="5A1B2E6E" w14:textId="77777777" w:rsidR="00960BB8" w:rsidRDefault="00960BB8">
            <w:pPr>
              <w:rPr>
                <w:rFonts w:ascii="宋体"/>
              </w:rPr>
            </w:pPr>
          </w:p>
        </w:tc>
        <w:tc>
          <w:tcPr>
            <w:tcW w:w="5" w:type="pct"/>
            <w:shd w:val="clear" w:color="auto" w:fill="auto"/>
            <w:vAlign w:val="bottom"/>
          </w:tcPr>
          <w:p w14:paraId="5A1B2E6F" w14:textId="77777777" w:rsidR="00960BB8" w:rsidRDefault="00960BB8">
            <w:pPr>
              <w:rPr>
                <w:rFonts w:ascii="宋体"/>
              </w:rPr>
            </w:pPr>
          </w:p>
        </w:tc>
        <w:tc>
          <w:tcPr>
            <w:tcW w:w="24" w:type="pct"/>
            <w:shd w:val="clear" w:color="auto" w:fill="auto"/>
            <w:vAlign w:val="bottom"/>
          </w:tcPr>
          <w:p w14:paraId="5A1B2E70" w14:textId="77777777" w:rsidR="00960BB8" w:rsidRDefault="00960BB8">
            <w:pPr>
              <w:rPr>
                <w:rFonts w:ascii="宋体"/>
              </w:rPr>
            </w:pPr>
          </w:p>
        </w:tc>
        <w:tc>
          <w:tcPr>
            <w:tcW w:w="5" w:type="pct"/>
            <w:shd w:val="clear" w:color="auto" w:fill="auto"/>
            <w:vAlign w:val="bottom"/>
          </w:tcPr>
          <w:p w14:paraId="5A1B2E71" w14:textId="77777777" w:rsidR="00960BB8" w:rsidRDefault="00960BB8">
            <w:pPr>
              <w:rPr>
                <w:rFonts w:ascii="宋体"/>
              </w:rPr>
            </w:pPr>
          </w:p>
        </w:tc>
        <w:tc>
          <w:tcPr>
            <w:tcW w:w="50" w:type="pct"/>
            <w:shd w:val="clear" w:color="auto" w:fill="auto"/>
            <w:vAlign w:val="bottom"/>
          </w:tcPr>
          <w:p w14:paraId="5A1B2E72" w14:textId="77777777" w:rsidR="00960BB8" w:rsidRDefault="00960BB8">
            <w:pPr>
              <w:rPr>
                <w:rFonts w:ascii="宋体"/>
              </w:rPr>
            </w:pPr>
          </w:p>
        </w:tc>
        <w:tc>
          <w:tcPr>
            <w:tcW w:w="539" w:type="pct"/>
            <w:shd w:val="clear" w:color="auto" w:fill="auto"/>
            <w:vAlign w:val="bottom"/>
          </w:tcPr>
          <w:p w14:paraId="5A1B2E73" w14:textId="77777777" w:rsidR="00960BB8" w:rsidRDefault="00960BB8">
            <w:pPr>
              <w:rPr>
                <w:rFonts w:ascii="宋体"/>
              </w:rPr>
            </w:pPr>
          </w:p>
        </w:tc>
        <w:tc>
          <w:tcPr>
            <w:tcW w:w="5" w:type="pct"/>
            <w:shd w:val="clear" w:color="auto" w:fill="auto"/>
            <w:vAlign w:val="bottom"/>
          </w:tcPr>
          <w:p w14:paraId="5A1B2E74" w14:textId="77777777" w:rsidR="00960BB8" w:rsidRDefault="00960BB8">
            <w:pPr>
              <w:rPr>
                <w:rFonts w:ascii="宋体"/>
              </w:rPr>
            </w:pPr>
          </w:p>
        </w:tc>
        <w:tc>
          <w:tcPr>
            <w:tcW w:w="5" w:type="pct"/>
            <w:shd w:val="clear" w:color="auto" w:fill="auto"/>
            <w:vAlign w:val="bottom"/>
          </w:tcPr>
          <w:p w14:paraId="5A1B2E75" w14:textId="77777777" w:rsidR="00960BB8" w:rsidRDefault="00960BB8">
            <w:pPr>
              <w:rPr>
                <w:rFonts w:ascii="宋体"/>
              </w:rPr>
            </w:pPr>
          </w:p>
        </w:tc>
        <w:tc>
          <w:tcPr>
            <w:tcW w:w="24" w:type="pct"/>
            <w:shd w:val="clear" w:color="auto" w:fill="auto"/>
            <w:vAlign w:val="bottom"/>
          </w:tcPr>
          <w:p w14:paraId="5A1B2E76" w14:textId="77777777" w:rsidR="00960BB8" w:rsidRDefault="00960BB8">
            <w:pPr>
              <w:rPr>
                <w:rFonts w:ascii="宋体"/>
              </w:rPr>
            </w:pPr>
          </w:p>
        </w:tc>
        <w:tc>
          <w:tcPr>
            <w:tcW w:w="5" w:type="pct"/>
            <w:shd w:val="clear" w:color="auto" w:fill="auto"/>
            <w:vAlign w:val="bottom"/>
          </w:tcPr>
          <w:p w14:paraId="5A1B2E77" w14:textId="77777777" w:rsidR="00960BB8" w:rsidRDefault="00960BB8">
            <w:pPr>
              <w:rPr>
                <w:rFonts w:ascii="宋体"/>
              </w:rPr>
            </w:pPr>
          </w:p>
        </w:tc>
        <w:tc>
          <w:tcPr>
            <w:tcW w:w="50" w:type="pct"/>
            <w:shd w:val="clear" w:color="auto" w:fill="auto"/>
            <w:vAlign w:val="bottom"/>
          </w:tcPr>
          <w:p w14:paraId="5A1B2E78" w14:textId="77777777" w:rsidR="00960BB8" w:rsidRDefault="00960BB8">
            <w:pPr>
              <w:rPr>
                <w:rFonts w:ascii="宋体"/>
              </w:rPr>
            </w:pPr>
          </w:p>
        </w:tc>
        <w:tc>
          <w:tcPr>
            <w:tcW w:w="539" w:type="pct"/>
            <w:shd w:val="clear" w:color="auto" w:fill="auto"/>
            <w:vAlign w:val="bottom"/>
          </w:tcPr>
          <w:p w14:paraId="5A1B2E79" w14:textId="77777777" w:rsidR="00960BB8" w:rsidRDefault="00960BB8">
            <w:pPr>
              <w:rPr>
                <w:rFonts w:ascii="宋体"/>
              </w:rPr>
            </w:pPr>
          </w:p>
        </w:tc>
        <w:tc>
          <w:tcPr>
            <w:tcW w:w="5" w:type="pct"/>
            <w:shd w:val="clear" w:color="auto" w:fill="auto"/>
            <w:vAlign w:val="bottom"/>
          </w:tcPr>
          <w:p w14:paraId="5A1B2E7A" w14:textId="77777777" w:rsidR="00960BB8" w:rsidRDefault="00960BB8">
            <w:pPr>
              <w:rPr>
                <w:rFonts w:ascii="宋体"/>
              </w:rPr>
            </w:pPr>
          </w:p>
        </w:tc>
      </w:tr>
      <w:tr w:rsidR="00960BB8" w14:paraId="5A1B2E81" w14:textId="77777777">
        <w:tc>
          <w:tcPr>
            <w:tcW w:w="0" w:type="auto"/>
            <w:gridSpan w:val="3"/>
            <w:shd w:val="clear" w:color="auto" w:fill="auto"/>
            <w:tcMar>
              <w:top w:w="0" w:type="dxa"/>
              <w:left w:w="20" w:type="dxa"/>
              <w:bottom w:w="0" w:type="dxa"/>
              <w:right w:w="20" w:type="dxa"/>
            </w:tcMar>
            <w:vAlign w:val="bottom"/>
          </w:tcPr>
          <w:p w14:paraId="5A1B2E7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E7D"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vAlign w:val="bottom"/>
          </w:tcPr>
          <w:p w14:paraId="5A1B2E7E" w14:textId="77777777" w:rsidR="00960BB8" w:rsidRDefault="00C06650">
            <w:pPr>
              <w:jc w:val="center"/>
              <w:textAlignment w:val="bottom"/>
            </w:pPr>
            <w:r>
              <w:rPr>
                <w:rFonts w:ascii="Arial" w:eastAsia="宋体" w:hAnsi="Arial" w:cs="Arial"/>
                <w:b/>
                <w:bCs/>
                <w:color w:val="262626"/>
                <w:sz w:val="18"/>
                <w:szCs w:val="18"/>
              </w:rPr>
              <w:t>December 31, 2022</w:t>
            </w:r>
          </w:p>
        </w:tc>
        <w:tc>
          <w:tcPr>
            <w:tcW w:w="0" w:type="auto"/>
            <w:gridSpan w:val="3"/>
            <w:shd w:val="clear" w:color="auto" w:fill="auto"/>
            <w:tcMar>
              <w:top w:w="0" w:type="dxa"/>
              <w:left w:w="20" w:type="dxa"/>
              <w:bottom w:w="0" w:type="dxa"/>
              <w:right w:w="20" w:type="dxa"/>
            </w:tcMar>
            <w:vAlign w:val="bottom"/>
          </w:tcPr>
          <w:p w14:paraId="5A1B2E7F"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vAlign w:val="bottom"/>
          </w:tcPr>
          <w:p w14:paraId="5A1B2E80" w14:textId="77777777" w:rsidR="00960BB8" w:rsidRDefault="00C06650">
            <w:pPr>
              <w:jc w:val="center"/>
              <w:textAlignment w:val="bottom"/>
            </w:pPr>
            <w:r>
              <w:rPr>
                <w:rFonts w:ascii="Arial" w:eastAsia="宋体" w:hAnsi="Arial" w:cs="Arial"/>
                <w:b/>
                <w:bCs/>
                <w:color w:val="262626"/>
                <w:sz w:val="18"/>
                <w:szCs w:val="18"/>
              </w:rPr>
              <w:t>December 25, 2021</w:t>
            </w:r>
          </w:p>
        </w:tc>
      </w:tr>
      <w:tr w:rsidR="00960BB8" w14:paraId="5A1B2E8B" w14:textId="77777777">
        <w:tc>
          <w:tcPr>
            <w:tcW w:w="0" w:type="auto"/>
            <w:gridSpan w:val="3"/>
            <w:shd w:val="clear" w:color="auto" w:fill="auto"/>
            <w:tcMar>
              <w:top w:w="40" w:type="dxa"/>
              <w:left w:w="20" w:type="dxa"/>
              <w:bottom w:w="40" w:type="dxa"/>
              <w:right w:w="20" w:type="dxa"/>
            </w:tcMar>
            <w:vAlign w:val="bottom"/>
          </w:tcPr>
          <w:p w14:paraId="5A1B2E82"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2E83"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E84" w14:textId="77777777" w:rsidR="00960BB8" w:rsidRDefault="00C06650">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E85"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E86" w14:textId="77777777" w:rsidR="00960BB8" w:rsidRDefault="00C06650">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5A1B2E87"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E88" w14:textId="77777777" w:rsidR="00960BB8" w:rsidRDefault="00C06650">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E89"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2E8A" w14:textId="77777777" w:rsidR="00960BB8" w:rsidRDefault="00C06650">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r>
      <w:tr w:rsidR="00960BB8" w14:paraId="5A1B2E9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E8C" w14:textId="77777777" w:rsidR="00960BB8" w:rsidRDefault="00C06650">
            <w:pPr>
              <w:textAlignment w:val="bottom"/>
            </w:pPr>
            <w:r>
              <w:rPr>
                <w:rFonts w:ascii="Arial" w:eastAsia="宋体" w:hAnsi="Arial" w:cs="Arial"/>
                <w:color w:val="262626"/>
                <w:sz w:val="18"/>
                <w:szCs w:val="18"/>
              </w:rPr>
              <w:t>Derivatives designated as hedging instruments:</w:t>
            </w:r>
          </w:p>
        </w:tc>
        <w:tc>
          <w:tcPr>
            <w:tcW w:w="0" w:type="auto"/>
            <w:gridSpan w:val="3"/>
            <w:shd w:val="clear" w:color="auto" w:fill="auto"/>
            <w:tcMar>
              <w:top w:w="0" w:type="dxa"/>
              <w:left w:w="20" w:type="dxa"/>
              <w:bottom w:w="0" w:type="dxa"/>
              <w:right w:w="20" w:type="dxa"/>
            </w:tcMar>
            <w:vAlign w:val="bottom"/>
          </w:tcPr>
          <w:p w14:paraId="5A1B2E8D"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E8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E8F"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E9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E91"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E9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E93"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E94" w14:textId="77777777" w:rsidR="00960BB8" w:rsidRDefault="00960BB8">
            <w:pPr>
              <w:rPr>
                <w:rFonts w:ascii="宋体"/>
              </w:rPr>
            </w:pPr>
          </w:p>
        </w:tc>
      </w:tr>
      <w:tr w:rsidR="00960BB8" w14:paraId="5A1B2EA7" w14:textId="77777777">
        <w:tc>
          <w:tcPr>
            <w:tcW w:w="0" w:type="auto"/>
            <w:gridSpan w:val="3"/>
            <w:shd w:val="clear" w:color="auto" w:fill="auto"/>
            <w:tcMar>
              <w:top w:w="40" w:type="dxa"/>
              <w:left w:w="20" w:type="dxa"/>
              <w:bottom w:w="40" w:type="dxa"/>
              <w:right w:w="20" w:type="dxa"/>
            </w:tcMar>
            <w:vAlign w:val="bottom"/>
          </w:tcPr>
          <w:p w14:paraId="5A1B2E96" w14:textId="77777777" w:rsidR="00960BB8" w:rsidRDefault="00C06650">
            <w:pPr>
              <w:textAlignment w:val="bottom"/>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5A1B2E9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E98"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E99" w14:textId="77777777" w:rsidR="00960BB8" w:rsidRDefault="00C06650">
            <w:pPr>
              <w:jc w:val="right"/>
              <w:textAlignment w:val="bottom"/>
            </w:pPr>
            <w:r>
              <w:rPr>
                <w:rFonts w:ascii="Arial" w:eastAsia="宋体" w:hAnsi="Arial" w:cs="Arial"/>
                <w:color w:val="0068B5"/>
                <w:sz w:val="18"/>
                <w:szCs w:val="18"/>
              </w:rPr>
              <w:t>142 </w:t>
            </w:r>
          </w:p>
        </w:tc>
        <w:tc>
          <w:tcPr>
            <w:tcW w:w="0" w:type="auto"/>
            <w:shd w:val="clear" w:color="auto" w:fill="auto"/>
            <w:tcMar>
              <w:top w:w="40" w:type="dxa"/>
              <w:left w:w="0" w:type="dxa"/>
              <w:bottom w:w="40" w:type="dxa"/>
              <w:right w:w="20" w:type="dxa"/>
            </w:tcMar>
            <w:vAlign w:val="bottom"/>
          </w:tcPr>
          <w:p w14:paraId="5A1B2E9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9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E9C"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E9D" w14:textId="77777777" w:rsidR="00960BB8" w:rsidRDefault="00C06650">
            <w:pPr>
              <w:jc w:val="right"/>
              <w:textAlignment w:val="bottom"/>
            </w:pPr>
            <w:r>
              <w:rPr>
                <w:rFonts w:ascii="Arial" w:eastAsia="宋体" w:hAnsi="Arial" w:cs="Arial"/>
                <w:color w:val="0068B5"/>
                <w:sz w:val="18"/>
                <w:szCs w:val="18"/>
              </w:rPr>
              <w:t>290 </w:t>
            </w:r>
          </w:p>
        </w:tc>
        <w:tc>
          <w:tcPr>
            <w:tcW w:w="0" w:type="auto"/>
            <w:shd w:val="clear" w:color="auto" w:fill="auto"/>
            <w:tcMar>
              <w:top w:w="40" w:type="dxa"/>
              <w:left w:w="0" w:type="dxa"/>
              <w:bottom w:w="40" w:type="dxa"/>
              <w:right w:w="20" w:type="dxa"/>
            </w:tcMar>
            <w:vAlign w:val="bottom"/>
          </w:tcPr>
          <w:p w14:paraId="5A1B2E9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9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EA0"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2EA1" w14:textId="77777777" w:rsidR="00960BB8" w:rsidRDefault="00C06650">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5A1B2EA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A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EA4"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2EA5" w14:textId="77777777" w:rsidR="00960BB8" w:rsidRDefault="00C06650">
            <w:pPr>
              <w:jc w:val="right"/>
              <w:textAlignment w:val="bottom"/>
            </w:pPr>
            <w:r>
              <w:rPr>
                <w:rFonts w:ascii="Arial" w:eastAsia="宋体" w:hAnsi="Arial" w:cs="Arial"/>
                <w:color w:val="262626"/>
                <w:sz w:val="18"/>
                <w:szCs w:val="18"/>
              </w:rPr>
              <w:t>163 </w:t>
            </w:r>
          </w:p>
        </w:tc>
        <w:tc>
          <w:tcPr>
            <w:tcW w:w="0" w:type="auto"/>
            <w:shd w:val="clear" w:color="auto" w:fill="auto"/>
            <w:tcMar>
              <w:top w:w="40" w:type="dxa"/>
              <w:left w:w="0" w:type="dxa"/>
              <w:bottom w:w="40" w:type="dxa"/>
              <w:right w:w="20" w:type="dxa"/>
            </w:tcMar>
            <w:vAlign w:val="bottom"/>
          </w:tcPr>
          <w:p w14:paraId="5A1B2EA6" w14:textId="77777777" w:rsidR="00960BB8" w:rsidRDefault="00960BB8">
            <w:pPr>
              <w:jc w:val="right"/>
              <w:rPr>
                <w:rFonts w:ascii="宋体"/>
              </w:rPr>
            </w:pPr>
          </w:p>
        </w:tc>
      </w:tr>
      <w:tr w:rsidR="00960BB8" w14:paraId="5A1B2EB5" w14:textId="77777777">
        <w:tc>
          <w:tcPr>
            <w:tcW w:w="0" w:type="auto"/>
            <w:gridSpan w:val="3"/>
            <w:shd w:val="clear" w:color="auto" w:fill="auto"/>
            <w:tcMar>
              <w:top w:w="40" w:type="dxa"/>
              <w:left w:w="155" w:type="dxa"/>
              <w:bottom w:w="40" w:type="dxa"/>
              <w:right w:w="20" w:type="dxa"/>
            </w:tcMar>
            <w:vAlign w:val="bottom"/>
          </w:tcPr>
          <w:p w14:paraId="5A1B2EA8" w14:textId="77777777" w:rsidR="00960BB8" w:rsidRDefault="00C06650">
            <w:pPr>
              <w:textAlignment w:val="bottom"/>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5A1B2EA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AA"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EA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A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AD" w14:textId="77777777" w:rsidR="00960BB8" w:rsidRDefault="00C06650">
            <w:pPr>
              <w:jc w:val="right"/>
              <w:textAlignment w:val="bottom"/>
            </w:pPr>
            <w:r>
              <w:rPr>
                <w:rFonts w:ascii="Arial" w:eastAsia="宋体" w:hAnsi="Arial" w:cs="Arial"/>
                <w:color w:val="0068B5"/>
                <w:sz w:val="18"/>
                <w:szCs w:val="18"/>
              </w:rPr>
              <w:t>777 </w:t>
            </w:r>
          </w:p>
        </w:tc>
        <w:tc>
          <w:tcPr>
            <w:tcW w:w="0" w:type="auto"/>
            <w:shd w:val="clear" w:color="auto" w:fill="auto"/>
            <w:tcMar>
              <w:top w:w="40" w:type="dxa"/>
              <w:left w:w="0" w:type="dxa"/>
              <w:bottom w:w="40" w:type="dxa"/>
              <w:right w:w="20" w:type="dxa"/>
            </w:tcMar>
            <w:vAlign w:val="bottom"/>
          </w:tcPr>
          <w:p w14:paraId="5A1B2EA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A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B0" w14:textId="77777777" w:rsidR="00960BB8" w:rsidRDefault="00C06650">
            <w:pPr>
              <w:jc w:val="right"/>
              <w:textAlignment w:val="bottom"/>
            </w:pPr>
            <w:r>
              <w:rPr>
                <w:rFonts w:ascii="Arial" w:eastAsia="宋体" w:hAnsi="Arial" w:cs="Arial"/>
                <w:color w:val="262626"/>
                <w:sz w:val="18"/>
                <w:szCs w:val="18"/>
              </w:rPr>
              <w:t>774 </w:t>
            </w:r>
          </w:p>
        </w:tc>
        <w:tc>
          <w:tcPr>
            <w:tcW w:w="0" w:type="auto"/>
            <w:shd w:val="clear" w:color="auto" w:fill="auto"/>
            <w:tcMar>
              <w:top w:w="40" w:type="dxa"/>
              <w:left w:w="0" w:type="dxa"/>
              <w:bottom w:w="40" w:type="dxa"/>
              <w:right w:w="20" w:type="dxa"/>
            </w:tcMar>
            <w:vAlign w:val="bottom"/>
          </w:tcPr>
          <w:p w14:paraId="5A1B2EB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B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B3"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2EB4" w14:textId="77777777" w:rsidR="00960BB8" w:rsidRDefault="00960BB8">
            <w:pPr>
              <w:jc w:val="right"/>
              <w:rPr>
                <w:rFonts w:ascii="宋体"/>
              </w:rPr>
            </w:pPr>
          </w:p>
        </w:tc>
      </w:tr>
      <w:tr w:rsidR="00960BB8" w14:paraId="5A1B2EBF" w14:textId="77777777">
        <w:trPr>
          <w:hidden/>
        </w:trPr>
        <w:tc>
          <w:tcPr>
            <w:tcW w:w="0" w:type="auto"/>
            <w:gridSpan w:val="3"/>
            <w:shd w:val="clear" w:color="auto" w:fill="auto"/>
            <w:vAlign w:val="bottom"/>
          </w:tcPr>
          <w:p w14:paraId="5A1B2EB6" w14:textId="77777777" w:rsidR="00960BB8" w:rsidRDefault="00960BB8">
            <w:pPr>
              <w:rPr>
                <w:rFonts w:ascii="宋体"/>
                <w:vanish/>
              </w:rPr>
            </w:pPr>
          </w:p>
        </w:tc>
        <w:tc>
          <w:tcPr>
            <w:tcW w:w="0" w:type="auto"/>
            <w:gridSpan w:val="3"/>
            <w:shd w:val="clear" w:color="auto" w:fill="auto"/>
            <w:vAlign w:val="bottom"/>
          </w:tcPr>
          <w:p w14:paraId="5A1B2EB7" w14:textId="77777777" w:rsidR="00960BB8" w:rsidRDefault="00960BB8">
            <w:pPr>
              <w:rPr>
                <w:rFonts w:ascii="宋体"/>
                <w:vanish/>
              </w:rPr>
            </w:pPr>
          </w:p>
        </w:tc>
        <w:tc>
          <w:tcPr>
            <w:tcW w:w="0" w:type="auto"/>
            <w:gridSpan w:val="3"/>
            <w:shd w:val="clear" w:color="auto" w:fill="auto"/>
            <w:vAlign w:val="bottom"/>
          </w:tcPr>
          <w:p w14:paraId="5A1B2EB8" w14:textId="77777777" w:rsidR="00960BB8" w:rsidRDefault="00960BB8">
            <w:pPr>
              <w:rPr>
                <w:rFonts w:ascii="宋体"/>
                <w:vanish/>
              </w:rPr>
            </w:pPr>
          </w:p>
        </w:tc>
        <w:tc>
          <w:tcPr>
            <w:tcW w:w="0" w:type="auto"/>
            <w:gridSpan w:val="3"/>
            <w:shd w:val="clear" w:color="auto" w:fill="auto"/>
            <w:vAlign w:val="bottom"/>
          </w:tcPr>
          <w:p w14:paraId="5A1B2EB9" w14:textId="77777777" w:rsidR="00960BB8" w:rsidRDefault="00960BB8">
            <w:pPr>
              <w:rPr>
                <w:rFonts w:ascii="宋体"/>
                <w:vanish/>
              </w:rPr>
            </w:pPr>
          </w:p>
        </w:tc>
        <w:tc>
          <w:tcPr>
            <w:tcW w:w="0" w:type="auto"/>
            <w:gridSpan w:val="3"/>
            <w:shd w:val="clear" w:color="auto" w:fill="auto"/>
            <w:vAlign w:val="bottom"/>
          </w:tcPr>
          <w:p w14:paraId="5A1B2EBA" w14:textId="77777777" w:rsidR="00960BB8" w:rsidRDefault="00960BB8">
            <w:pPr>
              <w:rPr>
                <w:rFonts w:ascii="宋体"/>
                <w:vanish/>
              </w:rPr>
            </w:pPr>
          </w:p>
        </w:tc>
        <w:tc>
          <w:tcPr>
            <w:tcW w:w="0" w:type="auto"/>
            <w:gridSpan w:val="3"/>
            <w:shd w:val="clear" w:color="auto" w:fill="auto"/>
            <w:vAlign w:val="bottom"/>
          </w:tcPr>
          <w:p w14:paraId="5A1B2EBB" w14:textId="77777777" w:rsidR="00960BB8" w:rsidRDefault="00960BB8">
            <w:pPr>
              <w:rPr>
                <w:rFonts w:ascii="宋体"/>
                <w:vanish/>
              </w:rPr>
            </w:pPr>
          </w:p>
        </w:tc>
        <w:tc>
          <w:tcPr>
            <w:tcW w:w="0" w:type="auto"/>
            <w:gridSpan w:val="3"/>
            <w:shd w:val="clear" w:color="auto" w:fill="auto"/>
            <w:vAlign w:val="bottom"/>
          </w:tcPr>
          <w:p w14:paraId="5A1B2EBC" w14:textId="77777777" w:rsidR="00960BB8" w:rsidRDefault="00960BB8">
            <w:pPr>
              <w:rPr>
                <w:rFonts w:ascii="宋体"/>
                <w:vanish/>
              </w:rPr>
            </w:pPr>
          </w:p>
        </w:tc>
        <w:tc>
          <w:tcPr>
            <w:tcW w:w="0" w:type="auto"/>
            <w:gridSpan w:val="3"/>
            <w:shd w:val="clear" w:color="auto" w:fill="auto"/>
            <w:vAlign w:val="bottom"/>
          </w:tcPr>
          <w:p w14:paraId="5A1B2EBD" w14:textId="77777777" w:rsidR="00960BB8" w:rsidRDefault="00960BB8">
            <w:pPr>
              <w:rPr>
                <w:rFonts w:ascii="宋体"/>
                <w:vanish/>
              </w:rPr>
            </w:pPr>
          </w:p>
        </w:tc>
        <w:tc>
          <w:tcPr>
            <w:tcW w:w="0" w:type="auto"/>
            <w:gridSpan w:val="3"/>
            <w:shd w:val="clear" w:color="auto" w:fill="auto"/>
            <w:vAlign w:val="bottom"/>
          </w:tcPr>
          <w:p w14:paraId="5A1B2EBE" w14:textId="77777777" w:rsidR="00960BB8" w:rsidRDefault="00960BB8">
            <w:pPr>
              <w:rPr>
                <w:rFonts w:ascii="宋体"/>
                <w:vanish/>
              </w:rPr>
            </w:pPr>
          </w:p>
        </w:tc>
      </w:tr>
      <w:tr w:rsidR="00960BB8" w14:paraId="5A1B2ECD" w14:textId="77777777">
        <w:tc>
          <w:tcPr>
            <w:tcW w:w="0" w:type="auto"/>
            <w:gridSpan w:val="3"/>
            <w:shd w:val="clear" w:color="auto" w:fill="auto"/>
            <w:tcMar>
              <w:top w:w="40" w:type="dxa"/>
              <w:left w:w="20" w:type="dxa"/>
              <w:bottom w:w="40" w:type="dxa"/>
              <w:right w:w="20" w:type="dxa"/>
            </w:tcMar>
            <w:vAlign w:val="bottom"/>
          </w:tcPr>
          <w:p w14:paraId="5A1B2EC0" w14:textId="77777777" w:rsidR="00960BB8" w:rsidRDefault="00C06650">
            <w:pPr>
              <w:textAlignment w:val="bottom"/>
            </w:pPr>
            <w:r>
              <w:rPr>
                <w:rFonts w:ascii="Arial" w:eastAsia="宋体" w:hAnsi="Arial" w:cs="Arial"/>
                <w:b/>
                <w:bCs/>
                <w:color w:val="262626"/>
                <w:sz w:val="18"/>
                <w:szCs w:val="18"/>
              </w:rPr>
              <w:t>Total derivatives designated as hedging instruments</w:t>
            </w:r>
          </w:p>
        </w:tc>
        <w:tc>
          <w:tcPr>
            <w:tcW w:w="0" w:type="auto"/>
            <w:gridSpan w:val="3"/>
            <w:shd w:val="clear" w:color="auto" w:fill="auto"/>
            <w:tcMar>
              <w:top w:w="0" w:type="dxa"/>
              <w:left w:w="20" w:type="dxa"/>
              <w:bottom w:w="0" w:type="dxa"/>
              <w:right w:w="20" w:type="dxa"/>
            </w:tcMar>
            <w:vAlign w:val="bottom"/>
          </w:tcPr>
          <w:p w14:paraId="5A1B2EC1"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EC2" w14:textId="77777777" w:rsidR="00960BB8" w:rsidRDefault="00C06650">
            <w:pPr>
              <w:jc w:val="right"/>
              <w:textAlignment w:val="bottom"/>
            </w:pPr>
            <w:r>
              <w:rPr>
                <w:rFonts w:ascii="Arial" w:eastAsia="宋体" w:hAnsi="Arial" w:cs="Arial"/>
                <w:b/>
                <w:bCs/>
                <w:color w:val="0068B5"/>
                <w:sz w:val="18"/>
                <w:szCs w:val="18"/>
              </w:rPr>
              <w:t>142</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EC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C4"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EC5" w14:textId="77777777" w:rsidR="00960BB8" w:rsidRDefault="00C06650">
            <w:pPr>
              <w:jc w:val="right"/>
              <w:textAlignment w:val="bottom"/>
            </w:pPr>
            <w:r>
              <w:rPr>
                <w:rFonts w:ascii="Arial" w:eastAsia="宋体" w:hAnsi="Arial" w:cs="Arial"/>
                <w:b/>
                <w:bCs/>
                <w:color w:val="0068B5"/>
                <w:sz w:val="18"/>
                <w:szCs w:val="18"/>
              </w:rPr>
              <w:t>1,067</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EC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C7"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EC8" w14:textId="77777777" w:rsidR="00960BB8" w:rsidRDefault="00C06650">
            <w:pPr>
              <w:jc w:val="right"/>
              <w:textAlignment w:val="bottom"/>
            </w:pPr>
            <w:r>
              <w:rPr>
                <w:rFonts w:ascii="Arial" w:eastAsia="宋体" w:hAnsi="Arial" w:cs="Arial"/>
                <w:b/>
                <w:bCs/>
                <w:color w:val="262626"/>
                <w:sz w:val="18"/>
                <w:szCs w:val="18"/>
              </w:rPr>
              <w:t>854</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EC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CA"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ECB" w14:textId="77777777" w:rsidR="00960BB8" w:rsidRDefault="00C06650">
            <w:pPr>
              <w:jc w:val="right"/>
              <w:textAlignment w:val="bottom"/>
            </w:pPr>
            <w:r>
              <w:rPr>
                <w:rFonts w:ascii="Arial" w:eastAsia="宋体" w:hAnsi="Arial" w:cs="Arial"/>
                <w:b/>
                <w:bCs/>
                <w:color w:val="262626"/>
                <w:sz w:val="18"/>
                <w:szCs w:val="18"/>
              </w:rPr>
              <w:t>163</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ECC" w14:textId="77777777" w:rsidR="00960BB8" w:rsidRDefault="00960BB8">
            <w:pPr>
              <w:jc w:val="right"/>
              <w:rPr>
                <w:rFonts w:ascii="宋体"/>
              </w:rPr>
            </w:pPr>
          </w:p>
        </w:tc>
      </w:tr>
      <w:tr w:rsidR="00960BB8" w14:paraId="5A1B2ED7" w14:textId="77777777">
        <w:tc>
          <w:tcPr>
            <w:tcW w:w="0" w:type="auto"/>
            <w:gridSpan w:val="3"/>
            <w:shd w:val="clear" w:color="auto" w:fill="auto"/>
            <w:tcMar>
              <w:top w:w="40" w:type="dxa"/>
              <w:left w:w="20" w:type="dxa"/>
              <w:bottom w:w="40" w:type="dxa"/>
              <w:right w:w="20" w:type="dxa"/>
            </w:tcMar>
            <w:vAlign w:val="bottom"/>
          </w:tcPr>
          <w:p w14:paraId="5A1B2ECE" w14:textId="77777777" w:rsidR="00960BB8" w:rsidRDefault="00C06650">
            <w:pPr>
              <w:textAlignment w:val="bottom"/>
            </w:pPr>
            <w:r>
              <w:rPr>
                <w:rFonts w:ascii="Arial" w:eastAsia="宋体" w:hAnsi="Arial" w:cs="Arial"/>
                <w:color w:val="262626"/>
                <w:sz w:val="18"/>
                <w:szCs w:val="18"/>
              </w:rPr>
              <w:t>Derivatives not designated as hedging instruments:</w:t>
            </w:r>
          </w:p>
        </w:tc>
        <w:tc>
          <w:tcPr>
            <w:tcW w:w="0" w:type="auto"/>
            <w:gridSpan w:val="3"/>
            <w:shd w:val="clear" w:color="auto" w:fill="auto"/>
            <w:tcMar>
              <w:top w:w="0" w:type="dxa"/>
              <w:left w:w="20" w:type="dxa"/>
              <w:bottom w:w="0" w:type="dxa"/>
              <w:right w:w="20" w:type="dxa"/>
            </w:tcMar>
            <w:vAlign w:val="bottom"/>
          </w:tcPr>
          <w:p w14:paraId="5A1B2ECF"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2ED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ED1"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2ED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ED3"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2ED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ED5"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2ED6" w14:textId="77777777" w:rsidR="00960BB8" w:rsidRDefault="00960BB8">
            <w:pPr>
              <w:rPr>
                <w:rFonts w:ascii="宋体"/>
              </w:rPr>
            </w:pPr>
          </w:p>
        </w:tc>
      </w:tr>
      <w:tr w:rsidR="00960BB8" w14:paraId="5A1B2EE5" w14:textId="77777777">
        <w:tc>
          <w:tcPr>
            <w:tcW w:w="0" w:type="auto"/>
            <w:gridSpan w:val="3"/>
            <w:shd w:val="clear" w:color="auto" w:fill="auto"/>
            <w:tcMar>
              <w:top w:w="40" w:type="dxa"/>
              <w:left w:w="20" w:type="dxa"/>
              <w:bottom w:w="40" w:type="dxa"/>
              <w:right w:w="20" w:type="dxa"/>
            </w:tcMar>
            <w:vAlign w:val="bottom"/>
          </w:tcPr>
          <w:p w14:paraId="5A1B2ED8" w14:textId="77777777" w:rsidR="00960BB8" w:rsidRDefault="00C06650">
            <w:pPr>
              <w:textAlignment w:val="bottom"/>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5A1B2ED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DA" w14:textId="77777777" w:rsidR="00960BB8" w:rsidRDefault="00C06650">
            <w:pPr>
              <w:jc w:val="right"/>
              <w:textAlignment w:val="bottom"/>
            </w:pPr>
            <w:r>
              <w:rPr>
                <w:rFonts w:ascii="Arial" w:eastAsia="宋体" w:hAnsi="Arial" w:cs="Arial"/>
                <w:color w:val="0068B5"/>
                <w:sz w:val="18"/>
                <w:szCs w:val="18"/>
              </w:rPr>
              <w:t>866 </w:t>
            </w:r>
          </w:p>
        </w:tc>
        <w:tc>
          <w:tcPr>
            <w:tcW w:w="0" w:type="auto"/>
            <w:shd w:val="clear" w:color="auto" w:fill="auto"/>
            <w:tcMar>
              <w:top w:w="40" w:type="dxa"/>
              <w:left w:w="0" w:type="dxa"/>
              <w:bottom w:w="40" w:type="dxa"/>
              <w:right w:w="20" w:type="dxa"/>
            </w:tcMar>
            <w:vAlign w:val="bottom"/>
          </w:tcPr>
          <w:p w14:paraId="5A1B2ED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D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DD" w14:textId="77777777" w:rsidR="00960BB8" w:rsidRDefault="00C06650">
            <w:pPr>
              <w:jc w:val="right"/>
              <w:textAlignment w:val="bottom"/>
            </w:pPr>
            <w:r>
              <w:rPr>
                <w:rFonts w:ascii="Arial" w:eastAsia="宋体" w:hAnsi="Arial" w:cs="Arial"/>
                <w:color w:val="0068B5"/>
                <w:sz w:val="18"/>
                <w:szCs w:val="18"/>
              </w:rPr>
              <w:t>194 </w:t>
            </w:r>
          </w:p>
        </w:tc>
        <w:tc>
          <w:tcPr>
            <w:tcW w:w="0" w:type="auto"/>
            <w:shd w:val="clear" w:color="auto" w:fill="auto"/>
            <w:tcMar>
              <w:top w:w="40" w:type="dxa"/>
              <w:left w:w="0" w:type="dxa"/>
              <w:bottom w:w="40" w:type="dxa"/>
              <w:right w:w="20" w:type="dxa"/>
            </w:tcMar>
            <w:vAlign w:val="bottom"/>
          </w:tcPr>
          <w:p w14:paraId="5A1B2ED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D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E0" w14:textId="77777777" w:rsidR="00960BB8" w:rsidRDefault="00C06650">
            <w:pPr>
              <w:jc w:val="right"/>
              <w:textAlignment w:val="bottom"/>
            </w:pPr>
            <w:r>
              <w:rPr>
                <w:rFonts w:ascii="Arial" w:eastAsia="宋体" w:hAnsi="Arial" w:cs="Arial"/>
                <w:color w:val="262626"/>
                <w:sz w:val="18"/>
                <w:szCs w:val="18"/>
              </w:rPr>
              <w:t>475 </w:t>
            </w:r>
          </w:p>
        </w:tc>
        <w:tc>
          <w:tcPr>
            <w:tcW w:w="0" w:type="auto"/>
            <w:shd w:val="clear" w:color="auto" w:fill="auto"/>
            <w:tcMar>
              <w:top w:w="40" w:type="dxa"/>
              <w:left w:w="0" w:type="dxa"/>
              <w:bottom w:w="40" w:type="dxa"/>
              <w:right w:w="20" w:type="dxa"/>
            </w:tcMar>
            <w:vAlign w:val="bottom"/>
          </w:tcPr>
          <w:p w14:paraId="5A1B2EE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E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E3" w14:textId="77777777" w:rsidR="00960BB8" w:rsidRDefault="00C06650">
            <w:pPr>
              <w:jc w:val="right"/>
              <w:textAlignment w:val="bottom"/>
            </w:pPr>
            <w:r>
              <w:rPr>
                <w:rFonts w:ascii="Arial" w:eastAsia="宋体" w:hAnsi="Arial" w:cs="Arial"/>
                <w:color w:val="262626"/>
                <w:sz w:val="18"/>
                <w:szCs w:val="18"/>
              </w:rPr>
              <w:t>297 </w:t>
            </w:r>
          </w:p>
        </w:tc>
        <w:tc>
          <w:tcPr>
            <w:tcW w:w="0" w:type="auto"/>
            <w:shd w:val="clear" w:color="auto" w:fill="auto"/>
            <w:tcMar>
              <w:top w:w="40" w:type="dxa"/>
              <w:left w:w="0" w:type="dxa"/>
              <w:bottom w:w="40" w:type="dxa"/>
              <w:right w:w="20" w:type="dxa"/>
            </w:tcMar>
            <w:vAlign w:val="bottom"/>
          </w:tcPr>
          <w:p w14:paraId="5A1B2EE4" w14:textId="77777777" w:rsidR="00960BB8" w:rsidRDefault="00960BB8">
            <w:pPr>
              <w:jc w:val="right"/>
              <w:rPr>
                <w:rFonts w:ascii="宋体"/>
              </w:rPr>
            </w:pPr>
          </w:p>
        </w:tc>
      </w:tr>
      <w:tr w:rsidR="00960BB8" w14:paraId="5A1B2EF3" w14:textId="77777777">
        <w:tc>
          <w:tcPr>
            <w:tcW w:w="0" w:type="auto"/>
            <w:gridSpan w:val="3"/>
            <w:shd w:val="clear" w:color="auto" w:fill="auto"/>
            <w:tcMar>
              <w:top w:w="40" w:type="dxa"/>
              <w:left w:w="140" w:type="dxa"/>
              <w:bottom w:w="40" w:type="dxa"/>
              <w:right w:w="20" w:type="dxa"/>
            </w:tcMar>
            <w:vAlign w:val="bottom"/>
          </w:tcPr>
          <w:p w14:paraId="5A1B2EE6" w14:textId="77777777" w:rsidR="00960BB8" w:rsidRDefault="00C06650">
            <w:pPr>
              <w:textAlignment w:val="bottom"/>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5A1B2EE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E8" w14:textId="77777777" w:rsidR="00960BB8" w:rsidRDefault="00C06650">
            <w:pPr>
              <w:jc w:val="right"/>
              <w:textAlignment w:val="bottom"/>
            </w:pPr>
            <w:r>
              <w:rPr>
                <w:rFonts w:ascii="Arial" w:eastAsia="宋体" w:hAnsi="Arial" w:cs="Arial"/>
                <w:color w:val="0068B5"/>
                <w:sz w:val="18"/>
                <w:szCs w:val="18"/>
              </w:rPr>
              <w:t>266 </w:t>
            </w:r>
          </w:p>
        </w:tc>
        <w:tc>
          <w:tcPr>
            <w:tcW w:w="0" w:type="auto"/>
            <w:shd w:val="clear" w:color="auto" w:fill="auto"/>
            <w:tcMar>
              <w:top w:w="40" w:type="dxa"/>
              <w:left w:w="0" w:type="dxa"/>
              <w:bottom w:w="40" w:type="dxa"/>
              <w:right w:w="20" w:type="dxa"/>
            </w:tcMar>
            <w:vAlign w:val="bottom"/>
          </w:tcPr>
          <w:p w14:paraId="5A1B2EE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E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EB" w14:textId="77777777" w:rsidR="00960BB8" w:rsidRDefault="00C06650">
            <w:pPr>
              <w:jc w:val="right"/>
              <w:textAlignment w:val="bottom"/>
            </w:pPr>
            <w:r>
              <w:rPr>
                <w:rFonts w:ascii="Arial" w:eastAsia="宋体" w:hAnsi="Arial" w:cs="Arial"/>
                <w:color w:val="0068B5"/>
                <w:sz w:val="18"/>
                <w:szCs w:val="18"/>
              </w:rPr>
              <w:t>12 </w:t>
            </w:r>
          </w:p>
        </w:tc>
        <w:tc>
          <w:tcPr>
            <w:tcW w:w="0" w:type="auto"/>
            <w:shd w:val="clear" w:color="auto" w:fill="auto"/>
            <w:tcMar>
              <w:top w:w="40" w:type="dxa"/>
              <w:left w:w="0" w:type="dxa"/>
              <w:bottom w:w="40" w:type="dxa"/>
              <w:right w:w="20" w:type="dxa"/>
            </w:tcMar>
            <w:vAlign w:val="bottom"/>
          </w:tcPr>
          <w:p w14:paraId="5A1B2EE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E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EE" w14:textId="77777777" w:rsidR="00960BB8" w:rsidRDefault="00C06650">
            <w:pPr>
              <w:jc w:val="right"/>
              <w:textAlignment w:val="bottom"/>
            </w:pPr>
            <w:r>
              <w:rPr>
                <w:rFonts w:ascii="Arial" w:eastAsia="宋体" w:hAnsi="Arial" w:cs="Arial"/>
                <w:color w:val="262626"/>
                <w:sz w:val="18"/>
                <w:szCs w:val="18"/>
              </w:rPr>
              <w:t>26 </w:t>
            </w:r>
          </w:p>
        </w:tc>
        <w:tc>
          <w:tcPr>
            <w:tcW w:w="0" w:type="auto"/>
            <w:shd w:val="clear" w:color="auto" w:fill="auto"/>
            <w:tcMar>
              <w:top w:w="40" w:type="dxa"/>
              <w:left w:w="0" w:type="dxa"/>
              <w:bottom w:w="40" w:type="dxa"/>
              <w:right w:w="20" w:type="dxa"/>
            </w:tcMar>
            <w:vAlign w:val="bottom"/>
          </w:tcPr>
          <w:p w14:paraId="5A1B2EE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F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F1" w14:textId="77777777" w:rsidR="00960BB8" w:rsidRDefault="00C06650">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5A1B2EF2" w14:textId="77777777" w:rsidR="00960BB8" w:rsidRDefault="00960BB8">
            <w:pPr>
              <w:jc w:val="right"/>
              <w:rPr>
                <w:rFonts w:ascii="宋体"/>
              </w:rPr>
            </w:pPr>
          </w:p>
        </w:tc>
      </w:tr>
      <w:tr w:rsidR="00960BB8" w14:paraId="5A1B2F01" w14:textId="77777777">
        <w:tc>
          <w:tcPr>
            <w:tcW w:w="0" w:type="auto"/>
            <w:gridSpan w:val="3"/>
            <w:shd w:val="clear" w:color="auto" w:fill="auto"/>
            <w:tcMar>
              <w:top w:w="40" w:type="dxa"/>
              <w:left w:w="140" w:type="dxa"/>
              <w:bottom w:w="40" w:type="dxa"/>
              <w:right w:w="20" w:type="dxa"/>
            </w:tcMar>
            <w:vAlign w:val="bottom"/>
          </w:tcPr>
          <w:p w14:paraId="5A1B2EF4" w14:textId="77777777" w:rsidR="00960BB8" w:rsidRDefault="00C06650">
            <w:pPr>
              <w:textAlignment w:val="bottom"/>
            </w:pPr>
            <w:r>
              <w:rPr>
                <w:rFonts w:ascii="Arial" w:eastAsia="宋体" w:hAnsi="Arial" w:cs="Arial"/>
                <w:color w:val="262626"/>
                <w:sz w:val="18"/>
                <w:szCs w:val="18"/>
              </w:rPr>
              <w:t>Equity contracts</w:t>
            </w:r>
          </w:p>
        </w:tc>
        <w:tc>
          <w:tcPr>
            <w:tcW w:w="0" w:type="auto"/>
            <w:gridSpan w:val="3"/>
            <w:shd w:val="clear" w:color="auto" w:fill="auto"/>
            <w:tcMar>
              <w:top w:w="0" w:type="dxa"/>
              <w:left w:w="20" w:type="dxa"/>
              <w:bottom w:w="0" w:type="dxa"/>
              <w:right w:w="20" w:type="dxa"/>
            </w:tcMar>
            <w:vAlign w:val="bottom"/>
          </w:tcPr>
          <w:p w14:paraId="5A1B2EF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F6"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EF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F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F9" w14:textId="77777777" w:rsidR="00960BB8" w:rsidRDefault="00C06650">
            <w:pPr>
              <w:jc w:val="right"/>
              <w:textAlignment w:val="bottom"/>
            </w:pPr>
            <w:r>
              <w:rPr>
                <w:rFonts w:ascii="Arial" w:eastAsia="宋体" w:hAnsi="Arial" w:cs="Arial"/>
                <w:color w:val="0068B5"/>
                <w:sz w:val="18"/>
                <w:szCs w:val="18"/>
              </w:rPr>
              <w:t>111 </w:t>
            </w:r>
          </w:p>
        </w:tc>
        <w:tc>
          <w:tcPr>
            <w:tcW w:w="0" w:type="auto"/>
            <w:shd w:val="clear" w:color="auto" w:fill="auto"/>
            <w:tcMar>
              <w:top w:w="40" w:type="dxa"/>
              <w:left w:w="0" w:type="dxa"/>
              <w:bottom w:w="40" w:type="dxa"/>
              <w:right w:w="20" w:type="dxa"/>
            </w:tcMar>
            <w:vAlign w:val="bottom"/>
          </w:tcPr>
          <w:p w14:paraId="5A1B2EF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F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FC" w14:textId="77777777" w:rsidR="00960BB8" w:rsidRDefault="00C06650">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5A1B2EF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EF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EFF" w14:textId="77777777" w:rsidR="00960BB8" w:rsidRDefault="00C06650">
            <w:pPr>
              <w:jc w:val="right"/>
              <w:textAlignment w:val="bottom"/>
            </w:pPr>
            <w:r>
              <w:rPr>
                <w:rFonts w:ascii="Arial" w:eastAsia="宋体" w:hAnsi="Arial" w:cs="Arial"/>
                <w:color w:val="262626"/>
                <w:sz w:val="18"/>
                <w:szCs w:val="18"/>
              </w:rPr>
              <w:t>4 </w:t>
            </w:r>
          </w:p>
        </w:tc>
        <w:tc>
          <w:tcPr>
            <w:tcW w:w="0" w:type="auto"/>
            <w:shd w:val="clear" w:color="auto" w:fill="auto"/>
            <w:tcMar>
              <w:top w:w="40" w:type="dxa"/>
              <w:left w:w="0" w:type="dxa"/>
              <w:bottom w:w="40" w:type="dxa"/>
              <w:right w:w="20" w:type="dxa"/>
            </w:tcMar>
            <w:vAlign w:val="bottom"/>
          </w:tcPr>
          <w:p w14:paraId="5A1B2F00" w14:textId="77777777" w:rsidR="00960BB8" w:rsidRDefault="00960BB8">
            <w:pPr>
              <w:jc w:val="right"/>
              <w:rPr>
                <w:rFonts w:ascii="宋体"/>
              </w:rPr>
            </w:pPr>
          </w:p>
        </w:tc>
      </w:tr>
      <w:tr w:rsidR="00960BB8" w14:paraId="5A1B2F0F" w14:textId="77777777">
        <w:tc>
          <w:tcPr>
            <w:tcW w:w="0" w:type="auto"/>
            <w:gridSpan w:val="3"/>
            <w:shd w:val="clear" w:color="auto" w:fill="auto"/>
            <w:tcMar>
              <w:top w:w="40" w:type="dxa"/>
              <w:left w:w="20" w:type="dxa"/>
              <w:bottom w:w="40" w:type="dxa"/>
              <w:right w:w="20" w:type="dxa"/>
            </w:tcMar>
            <w:vAlign w:val="bottom"/>
          </w:tcPr>
          <w:p w14:paraId="5A1B2F02" w14:textId="77777777" w:rsidR="00960BB8" w:rsidRDefault="00C06650">
            <w:pPr>
              <w:textAlignment w:val="bottom"/>
            </w:pPr>
            <w:r>
              <w:rPr>
                <w:rFonts w:ascii="Arial" w:eastAsia="宋体" w:hAnsi="Arial" w:cs="Arial"/>
                <w:b/>
                <w:bCs/>
                <w:color w:val="262626"/>
                <w:sz w:val="18"/>
                <w:szCs w:val="18"/>
              </w:rPr>
              <w:t>Total derivatives not designated as hedging instruments</w:t>
            </w:r>
          </w:p>
        </w:tc>
        <w:tc>
          <w:tcPr>
            <w:tcW w:w="0" w:type="auto"/>
            <w:gridSpan w:val="3"/>
            <w:shd w:val="clear" w:color="auto" w:fill="auto"/>
            <w:tcMar>
              <w:top w:w="0" w:type="dxa"/>
              <w:left w:w="20" w:type="dxa"/>
              <w:bottom w:w="0" w:type="dxa"/>
              <w:right w:w="20" w:type="dxa"/>
            </w:tcMar>
            <w:vAlign w:val="bottom"/>
          </w:tcPr>
          <w:p w14:paraId="5A1B2F03"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F04" w14:textId="77777777" w:rsidR="00960BB8" w:rsidRDefault="00C06650">
            <w:pPr>
              <w:jc w:val="right"/>
              <w:textAlignment w:val="bottom"/>
            </w:pPr>
            <w:r>
              <w:rPr>
                <w:rFonts w:ascii="Arial" w:eastAsia="宋体" w:hAnsi="Arial" w:cs="Arial"/>
                <w:b/>
                <w:bCs/>
                <w:color w:val="0068B5"/>
                <w:sz w:val="18"/>
                <w:szCs w:val="18"/>
              </w:rPr>
              <w:t>1,132</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F0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06"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F07" w14:textId="77777777" w:rsidR="00960BB8" w:rsidRDefault="00C06650">
            <w:pPr>
              <w:jc w:val="right"/>
              <w:textAlignment w:val="bottom"/>
            </w:pPr>
            <w:r>
              <w:rPr>
                <w:rFonts w:ascii="Arial" w:eastAsia="宋体" w:hAnsi="Arial" w:cs="Arial"/>
                <w:b/>
                <w:bCs/>
                <w:color w:val="0068B5"/>
                <w:sz w:val="18"/>
                <w:szCs w:val="18"/>
              </w:rPr>
              <w:t>317</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F0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09"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F0A" w14:textId="77777777" w:rsidR="00960BB8" w:rsidRDefault="00C06650">
            <w:pPr>
              <w:jc w:val="right"/>
              <w:textAlignment w:val="bottom"/>
            </w:pPr>
            <w:r>
              <w:rPr>
                <w:rFonts w:ascii="Arial" w:eastAsia="宋体" w:hAnsi="Arial" w:cs="Arial"/>
                <w:b/>
                <w:bCs/>
                <w:color w:val="262626"/>
                <w:sz w:val="18"/>
                <w:szCs w:val="18"/>
              </w:rPr>
              <w:t>581</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F0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0C"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2F0D" w14:textId="77777777" w:rsidR="00960BB8" w:rsidRDefault="00C06650">
            <w:pPr>
              <w:jc w:val="right"/>
              <w:textAlignment w:val="bottom"/>
            </w:pPr>
            <w:r>
              <w:rPr>
                <w:rFonts w:ascii="Arial" w:eastAsia="宋体" w:hAnsi="Arial" w:cs="Arial"/>
                <w:b/>
                <w:bCs/>
                <w:color w:val="262626"/>
                <w:sz w:val="18"/>
                <w:szCs w:val="18"/>
              </w:rPr>
              <w:t>366</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2F0E" w14:textId="77777777" w:rsidR="00960BB8" w:rsidRDefault="00960BB8">
            <w:pPr>
              <w:jc w:val="right"/>
              <w:rPr>
                <w:rFonts w:ascii="宋体"/>
              </w:rPr>
            </w:pPr>
          </w:p>
        </w:tc>
      </w:tr>
      <w:tr w:rsidR="00960BB8" w14:paraId="5A1B2F21" w14:textId="77777777">
        <w:tc>
          <w:tcPr>
            <w:tcW w:w="0" w:type="auto"/>
            <w:gridSpan w:val="3"/>
            <w:shd w:val="clear" w:color="auto" w:fill="auto"/>
            <w:tcMar>
              <w:top w:w="40" w:type="dxa"/>
              <w:left w:w="20" w:type="dxa"/>
              <w:bottom w:w="40" w:type="dxa"/>
              <w:right w:w="20" w:type="dxa"/>
            </w:tcMar>
            <w:vAlign w:val="bottom"/>
          </w:tcPr>
          <w:p w14:paraId="5A1B2F10" w14:textId="77777777" w:rsidR="00960BB8" w:rsidRDefault="00C06650">
            <w:pPr>
              <w:textAlignment w:val="bottom"/>
            </w:pPr>
            <w:r>
              <w:rPr>
                <w:rFonts w:ascii="Arial" w:eastAsia="宋体" w:hAnsi="Arial" w:cs="Arial"/>
                <w:b/>
                <w:bCs/>
                <w:color w:val="262626"/>
                <w:sz w:val="18"/>
                <w:szCs w:val="18"/>
              </w:rPr>
              <w:t>Total derivatives</w:t>
            </w:r>
          </w:p>
        </w:tc>
        <w:tc>
          <w:tcPr>
            <w:tcW w:w="0" w:type="auto"/>
            <w:gridSpan w:val="3"/>
            <w:shd w:val="clear" w:color="auto" w:fill="auto"/>
            <w:tcMar>
              <w:top w:w="0" w:type="dxa"/>
              <w:left w:w="20" w:type="dxa"/>
              <w:bottom w:w="0" w:type="dxa"/>
              <w:right w:w="20" w:type="dxa"/>
            </w:tcMar>
            <w:vAlign w:val="bottom"/>
          </w:tcPr>
          <w:p w14:paraId="5A1B2F11"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F12"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F13" w14:textId="77777777" w:rsidR="00960BB8" w:rsidRDefault="00C06650">
            <w:pPr>
              <w:jc w:val="right"/>
              <w:textAlignment w:val="bottom"/>
            </w:pPr>
            <w:r>
              <w:rPr>
                <w:rFonts w:ascii="Arial" w:eastAsia="宋体" w:hAnsi="Arial" w:cs="Arial"/>
                <w:b/>
                <w:bCs/>
                <w:color w:val="0068B5"/>
                <w:sz w:val="18"/>
                <w:szCs w:val="18"/>
              </w:rPr>
              <w:t>1,274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F1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15"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F16"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F17" w14:textId="77777777" w:rsidR="00960BB8" w:rsidRDefault="00C06650">
            <w:pPr>
              <w:jc w:val="right"/>
              <w:textAlignment w:val="bottom"/>
            </w:pPr>
            <w:r>
              <w:rPr>
                <w:rFonts w:ascii="Arial" w:eastAsia="宋体" w:hAnsi="Arial" w:cs="Arial"/>
                <w:b/>
                <w:bCs/>
                <w:color w:val="0068B5"/>
                <w:sz w:val="18"/>
                <w:szCs w:val="18"/>
              </w:rPr>
              <w:t>1,384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F1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19"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F1A"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F1B" w14:textId="77777777" w:rsidR="00960BB8" w:rsidRDefault="00C06650">
            <w:pPr>
              <w:jc w:val="right"/>
              <w:textAlignment w:val="bottom"/>
            </w:pPr>
            <w:r>
              <w:rPr>
                <w:rFonts w:ascii="Arial" w:eastAsia="宋体" w:hAnsi="Arial" w:cs="Arial"/>
                <w:b/>
                <w:bCs/>
                <w:color w:val="262626"/>
                <w:sz w:val="18"/>
                <w:szCs w:val="18"/>
              </w:rPr>
              <w:t>1,435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F1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1D"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F1E"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F1F" w14:textId="77777777" w:rsidR="00960BB8" w:rsidRDefault="00C06650">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F20" w14:textId="77777777" w:rsidR="00960BB8" w:rsidRDefault="00960BB8">
            <w:pPr>
              <w:jc w:val="right"/>
              <w:rPr>
                <w:rFonts w:ascii="宋体"/>
              </w:rPr>
            </w:pPr>
          </w:p>
        </w:tc>
      </w:tr>
    </w:tbl>
    <w:p w14:paraId="5A1B2F22" w14:textId="77777777" w:rsidR="00960BB8" w:rsidRDefault="00C06650">
      <w:pPr>
        <w:ind w:hanging="180"/>
      </w:pPr>
      <w:r>
        <w:rPr>
          <w:rFonts w:ascii="Arial" w:eastAsia="宋体" w:hAnsi="Arial" w:cs="Arial"/>
          <w:i/>
          <w:iCs/>
          <w:color w:val="262626"/>
          <w:sz w:val="10"/>
          <w:szCs w:val="10"/>
        </w:rPr>
        <w:t>1</w:t>
      </w:r>
      <w:r>
        <w:rPr>
          <w:rFonts w:ascii="Arial" w:eastAsia="宋体" w:hAnsi="Arial" w:cs="Arial"/>
          <w:i/>
          <w:iCs/>
          <w:color w:val="262626"/>
          <w:sz w:val="16"/>
          <w:szCs w:val="16"/>
        </w:rPr>
        <w:t>Derivative assets are recorded as other assets, current and long-term.</w:t>
      </w:r>
    </w:p>
    <w:p w14:paraId="5A1B2F23" w14:textId="77777777" w:rsidR="00960BB8" w:rsidRDefault="00C06650">
      <w:pPr>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Derivative </w:t>
      </w:r>
      <w:r>
        <w:rPr>
          <w:rFonts w:ascii="Arial" w:eastAsia="宋体" w:hAnsi="Arial" w:cs="Arial"/>
          <w:i/>
          <w:iCs/>
          <w:color w:val="262626"/>
          <w:sz w:val="16"/>
          <w:szCs w:val="16"/>
        </w:rPr>
        <w:t>liabilities are recorded as other liabilities, current and long-term.</w:t>
      </w:r>
    </w:p>
    <w:p w14:paraId="5A1B2F24" w14:textId="77777777" w:rsidR="00960BB8" w:rsidRDefault="00C06650">
      <w:pPr>
        <w:spacing w:after="180"/>
        <w:ind w:hanging="180"/>
      </w:pPr>
      <w:r>
        <w:rPr>
          <w:rFonts w:ascii="Arial" w:eastAsia="宋体" w:hAnsi="Arial" w:cs="Arial"/>
          <w:i/>
          <w:iCs/>
          <w:color w:val="262626"/>
          <w:sz w:val="10"/>
          <w:szCs w:val="10"/>
        </w:rPr>
        <w:t>3</w:t>
      </w:r>
      <w:r>
        <w:rPr>
          <w:rFonts w:ascii="Arial" w:eastAsia="宋体" w:hAnsi="Arial" w:cs="Arial"/>
          <w:i/>
          <w:iCs/>
          <w:color w:val="262626"/>
          <w:sz w:val="16"/>
          <w:szCs w:val="16"/>
        </w:rPr>
        <w:t>The majority of these instruments mature within 12 months.</w:t>
      </w:r>
    </w:p>
    <w:p w14:paraId="5A1B2F25" w14:textId="77777777" w:rsidR="00960BB8" w:rsidRDefault="00C06650">
      <w:pPr>
        <w:spacing w:after="180"/>
      </w:pPr>
      <w:r>
        <w:rPr>
          <w:rFonts w:ascii="Arial" w:eastAsia="宋体" w:hAnsi="Arial" w:cs="Arial"/>
          <w:color w:val="0068B5"/>
        </w:rPr>
        <w:t>Amounts Offset in the Consolidated Balance Sheets</w:t>
      </w:r>
    </w:p>
    <w:p w14:paraId="5A1B2F26" w14:textId="77777777" w:rsidR="00960BB8" w:rsidRDefault="00C06650">
      <w:pPr>
        <w:spacing w:after="120"/>
      </w:pPr>
      <w:r>
        <w:rPr>
          <w:rFonts w:ascii="Arial" w:eastAsia="宋体" w:hAnsi="Arial" w:cs="Arial"/>
          <w:color w:val="262626"/>
          <w:sz w:val="18"/>
          <w:szCs w:val="18"/>
        </w:rPr>
        <w:t>Agreements subject to master netting arrangements with various counterpartie</w:t>
      </w:r>
      <w:r>
        <w:rPr>
          <w:rFonts w:ascii="Arial" w:eastAsia="宋体" w:hAnsi="Arial" w:cs="Arial"/>
          <w:color w:val="262626"/>
          <w:sz w:val="18"/>
          <w:szCs w:val="18"/>
        </w:rPr>
        <w:t>s, and cash and non-cash collateral posted under such agreements at the end of each period were as follows:</w:t>
      </w: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960BB8" w14:paraId="5A1B2F4E" w14:textId="77777777">
        <w:tc>
          <w:tcPr>
            <w:tcW w:w="50" w:type="pct"/>
            <w:shd w:val="clear" w:color="auto" w:fill="auto"/>
            <w:vAlign w:val="bottom"/>
          </w:tcPr>
          <w:p w14:paraId="5A1B2F27" w14:textId="77777777" w:rsidR="00960BB8" w:rsidRDefault="00960BB8">
            <w:pPr>
              <w:rPr>
                <w:rFonts w:ascii="宋体"/>
              </w:rPr>
            </w:pPr>
          </w:p>
        </w:tc>
        <w:tc>
          <w:tcPr>
            <w:tcW w:w="1451" w:type="pct"/>
            <w:shd w:val="clear" w:color="auto" w:fill="auto"/>
            <w:vAlign w:val="bottom"/>
          </w:tcPr>
          <w:p w14:paraId="5A1B2F28" w14:textId="77777777" w:rsidR="00960BB8" w:rsidRDefault="00960BB8">
            <w:pPr>
              <w:rPr>
                <w:rFonts w:ascii="宋体"/>
              </w:rPr>
            </w:pPr>
          </w:p>
        </w:tc>
        <w:tc>
          <w:tcPr>
            <w:tcW w:w="5" w:type="pct"/>
            <w:shd w:val="clear" w:color="auto" w:fill="auto"/>
            <w:vAlign w:val="bottom"/>
          </w:tcPr>
          <w:p w14:paraId="5A1B2F29" w14:textId="77777777" w:rsidR="00960BB8" w:rsidRDefault="00960BB8">
            <w:pPr>
              <w:rPr>
                <w:rFonts w:ascii="宋体"/>
              </w:rPr>
            </w:pPr>
          </w:p>
        </w:tc>
        <w:tc>
          <w:tcPr>
            <w:tcW w:w="5" w:type="pct"/>
            <w:shd w:val="clear" w:color="auto" w:fill="auto"/>
            <w:vAlign w:val="bottom"/>
          </w:tcPr>
          <w:p w14:paraId="5A1B2F2A" w14:textId="77777777" w:rsidR="00960BB8" w:rsidRDefault="00960BB8">
            <w:pPr>
              <w:rPr>
                <w:rFonts w:ascii="宋体"/>
              </w:rPr>
            </w:pPr>
          </w:p>
        </w:tc>
        <w:tc>
          <w:tcPr>
            <w:tcW w:w="24" w:type="pct"/>
            <w:shd w:val="clear" w:color="auto" w:fill="auto"/>
            <w:vAlign w:val="bottom"/>
          </w:tcPr>
          <w:p w14:paraId="5A1B2F2B" w14:textId="77777777" w:rsidR="00960BB8" w:rsidRDefault="00960BB8">
            <w:pPr>
              <w:rPr>
                <w:rFonts w:ascii="宋体"/>
              </w:rPr>
            </w:pPr>
          </w:p>
        </w:tc>
        <w:tc>
          <w:tcPr>
            <w:tcW w:w="5" w:type="pct"/>
            <w:shd w:val="clear" w:color="auto" w:fill="auto"/>
            <w:vAlign w:val="bottom"/>
          </w:tcPr>
          <w:p w14:paraId="5A1B2F2C" w14:textId="77777777" w:rsidR="00960BB8" w:rsidRDefault="00960BB8">
            <w:pPr>
              <w:rPr>
                <w:rFonts w:ascii="宋体"/>
              </w:rPr>
            </w:pPr>
          </w:p>
        </w:tc>
        <w:tc>
          <w:tcPr>
            <w:tcW w:w="50" w:type="pct"/>
            <w:shd w:val="clear" w:color="auto" w:fill="auto"/>
            <w:vAlign w:val="bottom"/>
          </w:tcPr>
          <w:p w14:paraId="5A1B2F2D" w14:textId="77777777" w:rsidR="00960BB8" w:rsidRDefault="00960BB8">
            <w:pPr>
              <w:rPr>
                <w:rFonts w:ascii="宋体"/>
              </w:rPr>
            </w:pPr>
          </w:p>
        </w:tc>
        <w:tc>
          <w:tcPr>
            <w:tcW w:w="492" w:type="pct"/>
            <w:shd w:val="clear" w:color="auto" w:fill="auto"/>
            <w:vAlign w:val="bottom"/>
          </w:tcPr>
          <w:p w14:paraId="5A1B2F2E" w14:textId="77777777" w:rsidR="00960BB8" w:rsidRDefault="00960BB8">
            <w:pPr>
              <w:rPr>
                <w:rFonts w:ascii="宋体"/>
              </w:rPr>
            </w:pPr>
          </w:p>
        </w:tc>
        <w:tc>
          <w:tcPr>
            <w:tcW w:w="5" w:type="pct"/>
            <w:shd w:val="clear" w:color="auto" w:fill="auto"/>
            <w:vAlign w:val="bottom"/>
          </w:tcPr>
          <w:p w14:paraId="5A1B2F2F" w14:textId="77777777" w:rsidR="00960BB8" w:rsidRDefault="00960BB8">
            <w:pPr>
              <w:rPr>
                <w:rFonts w:ascii="宋体"/>
              </w:rPr>
            </w:pPr>
          </w:p>
        </w:tc>
        <w:tc>
          <w:tcPr>
            <w:tcW w:w="5" w:type="pct"/>
            <w:shd w:val="clear" w:color="auto" w:fill="auto"/>
            <w:vAlign w:val="bottom"/>
          </w:tcPr>
          <w:p w14:paraId="5A1B2F30" w14:textId="77777777" w:rsidR="00960BB8" w:rsidRDefault="00960BB8">
            <w:pPr>
              <w:rPr>
                <w:rFonts w:ascii="宋体"/>
              </w:rPr>
            </w:pPr>
          </w:p>
        </w:tc>
        <w:tc>
          <w:tcPr>
            <w:tcW w:w="24" w:type="pct"/>
            <w:shd w:val="clear" w:color="auto" w:fill="auto"/>
            <w:vAlign w:val="bottom"/>
          </w:tcPr>
          <w:p w14:paraId="5A1B2F31" w14:textId="77777777" w:rsidR="00960BB8" w:rsidRDefault="00960BB8">
            <w:pPr>
              <w:rPr>
                <w:rFonts w:ascii="宋体"/>
              </w:rPr>
            </w:pPr>
          </w:p>
        </w:tc>
        <w:tc>
          <w:tcPr>
            <w:tcW w:w="5" w:type="pct"/>
            <w:shd w:val="clear" w:color="auto" w:fill="auto"/>
            <w:vAlign w:val="bottom"/>
          </w:tcPr>
          <w:p w14:paraId="5A1B2F32" w14:textId="77777777" w:rsidR="00960BB8" w:rsidRDefault="00960BB8">
            <w:pPr>
              <w:rPr>
                <w:rFonts w:ascii="宋体"/>
              </w:rPr>
            </w:pPr>
          </w:p>
        </w:tc>
        <w:tc>
          <w:tcPr>
            <w:tcW w:w="50" w:type="pct"/>
            <w:shd w:val="clear" w:color="auto" w:fill="auto"/>
            <w:vAlign w:val="bottom"/>
          </w:tcPr>
          <w:p w14:paraId="5A1B2F33" w14:textId="77777777" w:rsidR="00960BB8" w:rsidRDefault="00960BB8">
            <w:pPr>
              <w:rPr>
                <w:rFonts w:ascii="宋体"/>
              </w:rPr>
            </w:pPr>
          </w:p>
        </w:tc>
        <w:tc>
          <w:tcPr>
            <w:tcW w:w="492" w:type="pct"/>
            <w:shd w:val="clear" w:color="auto" w:fill="auto"/>
            <w:vAlign w:val="bottom"/>
          </w:tcPr>
          <w:p w14:paraId="5A1B2F34" w14:textId="77777777" w:rsidR="00960BB8" w:rsidRDefault="00960BB8">
            <w:pPr>
              <w:rPr>
                <w:rFonts w:ascii="宋体"/>
              </w:rPr>
            </w:pPr>
          </w:p>
        </w:tc>
        <w:tc>
          <w:tcPr>
            <w:tcW w:w="5" w:type="pct"/>
            <w:shd w:val="clear" w:color="auto" w:fill="auto"/>
            <w:vAlign w:val="bottom"/>
          </w:tcPr>
          <w:p w14:paraId="5A1B2F35" w14:textId="77777777" w:rsidR="00960BB8" w:rsidRDefault="00960BB8">
            <w:pPr>
              <w:rPr>
                <w:rFonts w:ascii="宋体"/>
              </w:rPr>
            </w:pPr>
          </w:p>
        </w:tc>
        <w:tc>
          <w:tcPr>
            <w:tcW w:w="5" w:type="pct"/>
            <w:shd w:val="clear" w:color="auto" w:fill="auto"/>
            <w:vAlign w:val="bottom"/>
          </w:tcPr>
          <w:p w14:paraId="5A1B2F36" w14:textId="77777777" w:rsidR="00960BB8" w:rsidRDefault="00960BB8">
            <w:pPr>
              <w:rPr>
                <w:rFonts w:ascii="宋体"/>
              </w:rPr>
            </w:pPr>
          </w:p>
        </w:tc>
        <w:tc>
          <w:tcPr>
            <w:tcW w:w="24" w:type="pct"/>
            <w:shd w:val="clear" w:color="auto" w:fill="auto"/>
            <w:vAlign w:val="bottom"/>
          </w:tcPr>
          <w:p w14:paraId="5A1B2F37" w14:textId="77777777" w:rsidR="00960BB8" w:rsidRDefault="00960BB8">
            <w:pPr>
              <w:rPr>
                <w:rFonts w:ascii="宋体"/>
              </w:rPr>
            </w:pPr>
          </w:p>
        </w:tc>
        <w:tc>
          <w:tcPr>
            <w:tcW w:w="5" w:type="pct"/>
            <w:shd w:val="clear" w:color="auto" w:fill="auto"/>
            <w:vAlign w:val="bottom"/>
          </w:tcPr>
          <w:p w14:paraId="5A1B2F38" w14:textId="77777777" w:rsidR="00960BB8" w:rsidRDefault="00960BB8">
            <w:pPr>
              <w:rPr>
                <w:rFonts w:ascii="宋体"/>
              </w:rPr>
            </w:pPr>
          </w:p>
        </w:tc>
        <w:tc>
          <w:tcPr>
            <w:tcW w:w="50" w:type="pct"/>
            <w:shd w:val="clear" w:color="auto" w:fill="auto"/>
            <w:vAlign w:val="bottom"/>
          </w:tcPr>
          <w:p w14:paraId="5A1B2F39" w14:textId="77777777" w:rsidR="00960BB8" w:rsidRDefault="00960BB8">
            <w:pPr>
              <w:rPr>
                <w:rFonts w:ascii="宋体"/>
              </w:rPr>
            </w:pPr>
          </w:p>
        </w:tc>
        <w:tc>
          <w:tcPr>
            <w:tcW w:w="492" w:type="pct"/>
            <w:shd w:val="clear" w:color="auto" w:fill="auto"/>
            <w:vAlign w:val="bottom"/>
          </w:tcPr>
          <w:p w14:paraId="5A1B2F3A" w14:textId="77777777" w:rsidR="00960BB8" w:rsidRDefault="00960BB8">
            <w:pPr>
              <w:rPr>
                <w:rFonts w:ascii="宋体"/>
              </w:rPr>
            </w:pPr>
          </w:p>
        </w:tc>
        <w:tc>
          <w:tcPr>
            <w:tcW w:w="5" w:type="pct"/>
            <w:shd w:val="clear" w:color="auto" w:fill="auto"/>
            <w:vAlign w:val="bottom"/>
          </w:tcPr>
          <w:p w14:paraId="5A1B2F3B" w14:textId="77777777" w:rsidR="00960BB8" w:rsidRDefault="00960BB8">
            <w:pPr>
              <w:rPr>
                <w:rFonts w:ascii="宋体"/>
              </w:rPr>
            </w:pPr>
          </w:p>
        </w:tc>
        <w:tc>
          <w:tcPr>
            <w:tcW w:w="5" w:type="pct"/>
            <w:shd w:val="clear" w:color="auto" w:fill="auto"/>
            <w:vAlign w:val="bottom"/>
          </w:tcPr>
          <w:p w14:paraId="5A1B2F3C" w14:textId="77777777" w:rsidR="00960BB8" w:rsidRDefault="00960BB8">
            <w:pPr>
              <w:rPr>
                <w:rFonts w:ascii="宋体"/>
              </w:rPr>
            </w:pPr>
          </w:p>
        </w:tc>
        <w:tc>
          <w:tcPr>
            <w:tcW w:w="24" w:type="pct"/>
            <w:shd w:val="clear" w:color="auto" w:fill="auto"/>
            <w:vAlign w:val="bottom"/>
          </w:tcPr>
          <w:p w14:paraId="5A1B2F3D" w14:textId="77777777" w:rsidR="00960BB8" w:rsidRDefault="00960BB8">
            <w:pPr>
              <w:rPr>
                <w:rFonts w:ascii="宋体"/>
              </w:rPr>
            </w:pPr>
          </w:p>
        </w:tc>
        <w:tc>
          <w:tcPr>
            <w:tcW w:w="5" w:type="pct"/>
            <w:shd w:val="clear" w:color="auto" w:fill="auto"/>
            <w:vAlign w:val="bottom"/>
          </w:tcPr>
          <w:p w14:paraId="5A1B2F3E" w14:textId="77777777" w:rsidR="00960BB8" w:rsidRDefault="00960BB8">
            <w:pPr>
              <w:rPr>
                <w:rFonts w:ascii="宋体"/>
              </w:rPr>
            </w:pPr>
          </w:p>
        </w:tc>
        <w:tc>
          <w:tcPr>
            <w:tcW w:w="50" w:type="pct"/>
            <w:shd w:val="clear" w:color="auto" w:fill="auto"/>
            <w:vAlign w:val="bottom"/>
          </w:tcPr>
          <w:p w14:paraId="5A1B2F3F" w14:textId="77777777" w:rsidR="00960BB8" w:rsidRDefault="00960BB8">
            <w:pPr>
              <w:rPr>
                <w:rFonts w:ascii="宋体"/>
              </w:rPr>
            </w:pPr>
          </w:p>
        </w:tc>
        <w:tc>
          <w:tcPr>
            <w:tcW w:w="492" w:type="pct"/>
            <w:shd w:val="clear" w:color="auto" w:fill="auto"/>
            <w:vAlign w:val="bottom"/>
          </w:tcPr>
          <w:p w14:paraId="5A1B2F40" w14:textId="77777777" w:rsidR="00960BB8" w:rsidRDefault="00960BB8">
            <w:pPr>
              <w:rPr>
                <w:rFonts w:ascii="宋体"/>
              </w:rPr>
            </w:pPr>
          </w:p>
        </w:tc>
        <w:tc>
          <w:tcPr>
            <w:tcW w:w="5" w:type="pct"/>
            <w:shd w:val="clear" w:color="auto" w:fill="auto"/>
            <w:vAlign w:val="bottom"/>
          </w:tcPr>
          <w:p w14:paraId="5A1B2F41" w14:textId="77777777" w:rsidR="00960BB8" w:rsidRDefault="00960BB8">
            <w:pPr>
              <w:rPr>
                <w:rFonts w:ascii="宋体"/>
              </w:rPr>
            </w:pPr>
          </w:p>
        </w:tc>
        <w:tc>
          <w:tcPr>
            <w:tcW w:w="5" w:type="pct"/>
            <w:shd w:val="clear" w:color="auto" w:fill="auto"/>
            <w:vAlign w:val="bottom"/>
          </w:tcPr>
          <w:p w14:paraId="5A1B2F42" w14:textId="77777777" w:rsidR="00960BB8" w:rsidRDefault="00960BB8">
            <w:pPr>
              <w:rPr>
                <w:rFonts w:ascii="宋体"/>
              </w:rPr>
            </w:pPr>
          </w:p>
        </w:tc>
        <w:tc>
          <w:tcPr>
            <w:tcW w:w="24" w:type="pct"/>
            <w:shd w:val="clear" w:color="auto" w:fill="auto"/>
            <w:vAlign w:val="bottom"/>
          </w:tcPr>
          <w:p w14:paraId="5A1B2F43" w14:textId="77777777" w:rsidR="00960BB8" w:rsidRDefault="00960BB8">
            <w:pPr>
              <w:rPr>
                <w:rFonts w:ascii="宋体"/>
              </w:rPr>
            </w:pPr>
          </w:p>
        </w:tc>
        <w:tc>
          <w:tcPr>
            <w:tcW w:w="5" w:type="pct"/>
            <w:shd w:val="clear" w:color="auto" w:fill="auto"/>
            <w:vAlign w:val="bottom"/>
          </w:tcPr>
          <w:p w14:paraId="5A1B2F44" w14:textId="77777777" w:rsidR="00960BB8" w:rsidRDefault="00960BB8">
            <w:pPr>
              <w:rPr>
                <w:rFonts w:ascii="宋体"/>
              </w:rPr>
            </w:pPr>
          </w:p>
        </w:tc>
        <w:tc>
          <w:tcPr>
            <w:tcW w:w="50" w:type="pct"/>
            <w:shd w:val="clear" w:color="auto" w:fill="auto"/>
            <w:vAlign w:val="bottom"/>
          </w:tcPr>
          <w:p w14:paraId="5A1B2F45" w14:textId="77777777" w:rsidR="00960BB8" w:rsidRDefault="00960BB8">
            <w:pPr>
              <w:rPr>
                <w:rFonts w:ascii="宋体"/>
              </w:rPr>
            </w:pPr>
          </w:p>
        </w:tc>
        <w:tc>
          <w:tcPr>
            <w:tcW w:w="492" w:type="pct"/>
            <w:shd w:val="clear" w:color="auto" w:fill="auto"/>
            <w:vAlign w:val="bottom"/>
          </w:tcPr>
          <w:p w14:paraId="5A1B2F46" w14:textId="77777777" w:rsidR="00960BB8" w:rsidRDefault="00960BB8">
            <w:pPr>
              <w:rPr>
                <w:rFonts w:ascii="宋体"/>
              </w:rPr>
            </w:pPr>
          </w:p>
        </w:tc>
        <w:tc>
          <w:tcPr>
            <w:tcW w:w="5" w:type="pct"/>
            <w:shd w:val="clear" w:color="auto" w:fill="auto"/>
            <w:vAlign w:val="bottom"/>
          </w:tcPr>
          <w:p w14:paraId="5A1B2F47" w14:textId="77777777" w:rsidR="00960BB8" w:rsidRDefault="00960BB8">
            <w:pPr>
              <w:rPr>
                <w:rFonts w:ascii="宋体"/>
              </w:rPr>
            </w:pPr>
          </w:p>
        </w:tc>
        <w:tc>
          <w:tcPr>
            <w:tcW w:w="5" w:type="pct"/>
            <w:shd w:val="clear" w:color="auto" w:fill="auto"/>
            <w:vAlign w:val="bottom"/>
          </w:tcPr>
          <w:p w14:paraId="5A1B2F48" w14:textId="77777777" w:rsidR="00960BB8" w:rsidRDefault="00960BB8">
            <w:pPr>
              <w:rPr>
                <w:rFonts w:ascii="宋体"/>
              </w:rPr>
            </w:pPr>
          </w:p>
        </w:tc>
        <w:tc>
          <w:tcPr>
            <w:tcW w:w="24" w:type="pct"/>
            <w:shd w:val="clear" w:color="auto" w:fill="auto"/>
            <w:vAlign w:val="bottom"/>
          </w:tcPr>
          <w:p w14:paraId="5A1B2F49" w14:textId="77777777" w:rsidR="00960BB8" w:rsidRDefault="00960BB8">
            <w:pPr>
              <w:rPr>
                <w:rFonts w:ascii="宋体"/>
              </w:rPr>
            </w:pPr>
          </w:p>
        </w:tc>
        <w:tc>
          <w:tcPr>
            <w:tcW w:w="5" w:type="pct"/>
            <w:shd w:val="clear" w:color="auto" w:fill="auto"/>
            <w:vAlign w:val="bottom"/>
          </w:tcPr>
          <w:p w14:paraId="5A1B2F4A" w14:textId="77777777" w:rsidR="00960BB8" w:rsidRDefault="00960BB8">
            <w:pPr>
              <w:rPr>
                <w:rFonts w:ascii="宋体"/>
              </w:rPr>
            </w:pPr>
          </w:p>
        </w:tc>
        <w:tc>
          <w:tcPr>
            <w:tcW w:w="50" w:type="pct"/>
            <w:shd w:val="clear" w:color="auto" w:fill="auto"/>
            <w:vAlign w:val="bottom"/>
          </w:tcPr>
          <w:p w14:paraId="5A1B2F4B" w14:textId="77777777" w:rsidR="00960BB8" w:rsidRDefault="00960BB8">
            <w:pPr>
              <w:rPr>
                <w:rFonts w:ascii="宋体"/>
              </w:rPr>
            </w:pPr>
          </w:p>
        </w:tc>
        <w:tc>
          <w:tcPr>
            <w:tcW w:w="493" w:type="pct"/>
            <w:shd w:val="clear" w:color="auto" w:fill="auto"/>
            <w:vAlign w:val="bottom"/>
          </w:tcPr>
          <w:p w14:paraId="5A1B2F4C" w14:textId="77777777" w:rsidR="00960BB8" w:rsidRDefault="00960BB8">
            <w:pPr>
              <w:rPr>
                <w:rFonts w:ascii="宋体"/>
              </w:rPr>
            </w:pPr>
          </w:p>
        </w:tc>
        <w:tc>
          <w:tcPr>
            <w:tcW w:w="5" w:type="pct"/>
            <w:shd w:val="clear" w:color="auto" w:fill="auto"/>
            <w:vAlign w:val="bottom"/>
          </w:tcPr>
          <w:p w14:paraId="5A1B2F4D" w14:textId="77777777" w:rsidR="00960BB8" w:rsidRDefault="00960BB8">
            <w:pPr>
              <w:rPr>
                <w:rFonts w:ascii="宋体"/>
              </w:rPr>
            </w:pPr>
          </w:p>
        </w:tc>
      </w:tr>
      <w:tr w:rsidR="00960BB8" w14:paraId="5A1B2F52" w14:textId="77777777">
        <w:tc>
          <w:tcPr>
            <w:tcW w:w="0" w:type="auto"/>
            <w:gridSpan w:val="3"/>
            <w:shd w:val="clear" w:color="auto" w:fill="auto"/>
            <w:tcMar>
              <w:top w:w="0" w:type="dxa"/>
              <w:left w:w="20" w:type="dxa"/>
              <w:bottom w:w="0" w:type="dxa"/>
              <w:right w:w="20" w:type="dxa"/>
            </w:tcMar>
            <w:vAlign w:val="bottom"/>
          </w:tcPr>
          <w:p w14:paraId="5A1B2F4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50" w14:textId="77777777" w:rsidR="00960BB8" w:rsidRDefault="00960BB8">
            <w:pPr>
              <w:rPr>
                <w:rFonts w:ascii="宋体"/>
              </w:rPr>
            </w:pPr>
          </w:p>
        </w:tc>
        <w:tc>
          <w:tcPr>
            <w:tcW w:w="0" w:type="auto"/>
            <w:gridSpan w:val="33"/>
            <w:shd w:val="clear" w:color="auto" w:fill="auto"/>
            <w:tcMar>
              <w:top w:w="40" w:type="dxa"/>
              <w:left w:w="20" w:type="dxa"/>
              <w:bottom w:w="40" w:type="dxa"/>
              <w:right w:w="20" w:type="dxa"/>
            </w:tcMar>
            <w:vAlign w:val="bottom"/>
          </w:tcPr>
          <w:p w14:paraId="5A1B2F51" w14:textId="77777777" w:rsidR="00960BB8" w:rsidRDefault="00C06650">
            <w:pPr>
              <w:jc w:val="center"/>
              <w:textAlignment w:val="bottom"/>
            </w:pPr>
            <w:r>
              <w:rPr>
                <w:rFonts w:ascii="Arial" w:eastAsia="宋体" w:hAnsi="Arial" w:cs="Arial"/>
                <w:b/>
                <w:bCs/>
                <w:color w:val="262626"/>
                <w:sz w:val="18"/>
                <w:szCs w:val="18"/>
              </w:rPr>
              <w:t>December 31, 2022</w:t>
            </w:r>
          </w:p>
        </w:tc>
      </w:tr>
      <w:tr w:rsidR="00960BB8" w14:paraId="5A1B2F5E" w14:textId="77777777">
        <w:tc>
          <w:tcPr>
            <w:tcW w:w="0" w:type="auto"/>
            <w:gridSpan w:val="3"/>
            <w:shd w:val="clear" w:color="auto" w:fill="auto"/>
            <w:tcMar>
              <w:top w:w="0" w:type="dxa"/>
              <w:left w:w="20" w:type="dxa"/>
              <w:bottom w:w="0" w:type="dxa"/>
              <w:right w:w="20" w:type="dxa"/>
            </w:tcMar>
            <w:vAlign w:val="bottom"/>
          </w:tcPr>
          <w:p w14:paraId="5A1B2F5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54"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F55"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F56"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F57"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F58"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F59"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F5A" w14:textId="77777777" w:rsidR="00960BB8" w:rsidRDefault="00960BB8">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5A1B2F5B" w14:textId="77777777" w:rsidR="00960BB8" w:rsidRDefault="00C06650">
            <w:pPr>
              <w:jc w:val="center"/>
              <w:textAlignment w:val="bottom"/>
            </w:pPr>
            <w:r>
              <w:rPr>
                <w:rFonts w:ascii="Arial" w:eastAsia="宋体" w:hAnsi="Arial" w:cs="Arial"/>
                <w:b/>
                <w:bCs/>
                <w:color w:val="262626"/>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F5C"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2F5D" w14:textId="77777777" w:rsidR="00960BB8" w:rsidRDefault="00960BB8">
            <w:pPr>
              <w:rPr>
                <w:rFonts w:ascii="宋体"/>
              </w:rPr>
            </w:pPr>
          </w:p>
        </w:tc>
      </w:tr>
      <w:tr w:rsidR="00960BB8" w14:paraId="5A1B2F6C" w14:textId="77777777">
        <w:tc>
          <w:tcPr>
            <w:tcW w:w="0" w:type="auto"/>
            <w:gridSpan w:val="3"/>
            <w:shd w:val="clear" w:color="auto" w:fill="auto"/>
            <w:tcMar>
              <w:top w:w="40" w:type="dxa"/>
              <w:left w:w="20" w:type="dxa"/>
              <w:bottom w:w="40" w:type="dxa"/>
              <w:right w:w="20" w:type="dxa"/>
            </w:tcMar>
            <w:vAlign w:val="bottom"/>
          </w:tcPr>
          <w:p w14:paraId="5A1B2F5F" w14:textId="77777777" w:rsidR="00960BB8" w:rsidRDefault="00C06650">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5A1B2F6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F61" w14:textId="77777777" w:rsidR="00960BB8" w:rsidRDefault="00C06650">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5A1B2F6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F63" w14:textId="77777777" w:rsidR="00960BB8" w:rsidRDefault="00C06650">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5A1B2F6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F65" w14:textId="77777777" w:rsidR="00960BB8" w:rsidRDefault="00C06650">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5A1B2F66" w14:textId="77777777" w:rsidR="00960BB8" w:rsidRDefault="00960BB8">
            <w:pPr>
              <w:rPr>
                <w:rFonts w:ascii="宋体"/>
              </w:rPr>
            </w:pPr>
          </w:p>
        </w:tc>
        <w:tc>
          <w:tcPr>
            <w:tcW w:w="0" w:type="auto"/>
            <w:gridSpan w:val="3"/>
            <w:tcBorders>
              <w:top w:val="single" w:sz="4" w:space="0" w:color="0071C5"/>
            </w:tcBorders>
            <w:shd w:val="clear" w:color="auto" w:fill="auto"/>
            <w:tcMar>
              <w:top w:w="40" w:type="dxa"/>
              <w:left w:w="20" w:type="dxa"/>
              <w:bottom w:w="40" w:type="dxa"/>
              <w:right w:w="20" w:type="dxa"/>
            </w:tcMar>
            <w:vAlign w:val="bottom"/>
          </w:tcPr>
          <w:p w14:paraId="5A1B2F67" w14:textId="77777777" w:rsidR="00960BB8" w:rsidRDefault="00C06650">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4" w:space="0" w:color="0071C5"/>
            </w:tcBorders>
            <w:shd w:val="clear" w:color="auto" w:fill="auto"/>
            <w:tcMar>
              <w:top w:w="0" w:type="dxa"/>
              <w:left w:w="20" w:type="dxa"/>
              <w:bottom w:w="0" w:type="dxa"/>
              <w:right w:w="20" w:type="dxa"/>
            </w:tcMar>
            <w:vAlign w:val="bottom"/>
          </w:tcPr>
          <w:p w14:paraId="5A1B2F68" w14:textId="77777777" w:rsidR="00960BB8" w:rsidRDefault="00960BB8">
            <w:pPr>
              <w:rPr>
                <w:rFonts w:ascii="宋体"/>
              </w:rPr>
            </w:pPr>
          </w:p>
        </w:tc>
        <w:tc>
          <w:tcPr>
            <w:tcW w:w="0" w:type="auto"/>
            <w:gridSpan w:val="3"/>
            <w:tcBorders>
              <w:top w:val="single" w:sz="4" w:space="0" w:color="0071C5"/>
            </w:tcBorders>
            <w:shd w:val="clear" w:color="auto" w:fill="auto"/>
            <w:tcMar>
              <w:top w:w="40" w:type="dxa"/>
              <w:left w:w="20" w:type="dxa"/>
              <w:bottom w:w="40" w:type="dxa"/>
              <w:right w:w="20" w:type="dxa"/>
            </w:tcMar>
            <w:vAlign w:val="bottom"/>
          </w:tcPr>
          <w:p w14:paraId="5A1B2F69" w14:textId="77777777" w:rsidR="00960BB8" w:rsidRDefault="00C06650">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5A1B2F6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2F6B" w14:textId="77777777" w:rsidR="00960BB8" w:rsidRDefault="00C06650">
            <w:pPr>
              <w:jc w:val="center"/>
              <w:textAlignment w:val="bottom"/>
            </w:pPr>
            <w:r>
              <w:rPr>
                <w:rFonts w:ascii="Arial" w:eastAsia="宋体" w:hAnsi="Arial" w:cs="Arial"/>
                <w:b/>
                <w:bCs/>
                <w:color w:val="262626"/>
                <w:sz w:val="18"/>
                <w:szCs w:val="18"/>
              </w:rPr>
              <w:t>Net Amount</w:t>
            </w:r>
          </w:p>
        </w:tc>
      </w:tr>
      <w:tr w:rsidR="00960BB8" w14:paraId="5A1B2F7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2F6D" w14:textId="77777777" w:rsidR="00960BB8" w:rsidRDefault="00C06650">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5A1B2F6E"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F6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70"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F7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72"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F7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74"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F7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76"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F7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78"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2F79" w14:textId="77777777" w:rsidR="00960BB8" w:rsidRDefault="00960BB8">
            <w:pPr>
              <w:rPr>
                <w:rFonts w:ascii="宋体"/>
              </w:rPr>
            </w:pPr>
          </w:p>
        </w:tc>
      </w:tr>
      <w:tr w:rsidR="00960BB8" w14:paraId="5A1B2F94" w14:textId="77777777">
        <w:tc>
          <w:tcPr>
            <w:tcW w:w="0" w:type="auto"/>
            <w:gridSpan w:val="3"/>
            <w:shd w:val="clear" w:color="auto" w:fill="auto"/>
            <w:tcMar>
              <w:top w:w="40" w:type="dxa"/>
              <w:left w:w="140" w:type="dxa"/>
              <w:bottom w:w="40" w:type="dxa"/>
              <w:right w:w="20" w:type="dxa"/>
            </w:tcMar>
            <w:vAlign w:val="center"/>
          </w:tcPr>
          <w:p w14:paraId="5A1B2F7B" w14:textId="77777777" w:rsidR="00960BB8" w:rsidRDefault="00C06650">
            <w:pPr>
              <w:textAlignment w:val="center"/>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5A1B2F7C"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F7D"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F7E" w14:textId="77777777" w:rsidR="00960BB8" w:rsidRDefault="00C06650">
            <w:pPr>
              <w:jc w:val="right"/>
              <w:textAlignment w:val="bottom"/>
            </w:pPr>
            <w:r>
              <w:rPr>
                <w:rFonts w:ascii="Arial" w:eastAsia="宋体" w:hAnsi="Arial" w:cs="Arial"/>
                <w:color w:val="0068B5"/>
                <w:sz w:val="18"/>
                <w:szCs w:val="18"/>
              </w:rPr>
              <w:t>1,231 </w:t>
            </w:r>
          </w:p>
        </w:tc>
        <w:tc>
          <w:tcPr>
            <w:tcW w:w="0" w:type="auto"/>
            <w:shd w:val="clear" w:color="auto" w:fill="auto"/>
            <w:tcMar>
              <w:top w:w="40" w:type="dxa"/>
              <w:left w:w="0" w:type="dxa"/>
              <w:bottom w:w="40" w:type="dxa"/>
              <w:right w:w="20" w:type="dxa"/>
            </w:tcMar>
            <w:vAlign w:val="bottom"/>
          </w:tcPr>
          <w:p w14:paraId="5A1B2F7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80"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F81"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F82"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F8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84"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F85"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F86" w14:textId="77777777" w:rsidR="00960BB8" w:rsidRDefault="00C06650">
            <w:pPr>
              <w:jc w:val="right"/>
              <w:textAlignment w:val="bottom"/>
            </w:pPr>
            <w:r>
              <w:rPr>
                <w:rFonts w:ascii="Arial" w:eastAsia="宋体" w:hAnsi="Arial" w:cs="Arial"/>
                <w:color w:val="0068B5"/>
                <w:sz w:val="18"/>
                <w:szCs w:val="18"/>
              </w:rPr>
              <w:t>1,231 </w:t>
            </w:r>
          </w:p>
        </w:tc>
        <w:tc>
          <w:tcPr>
            <w:tcW w:w="0" w:type="auto"/>
            <w:shd w:val="clear" w:color="auto" w:fill="auto"/>
            <w:tcMar>
              <w:top w:w="40" w:type="dxa"/>
              <w:left w:w="0" w:type="dxa"/>
              <w:bottom w:w="40" w:type="dxa"/>
              <w:right w:w="20" w:type="dxa"/>
            </w:tcMar>
            <w:vAlign w:val="bottom"/>
          </w:tcPr>
          <w:p w14:paraId="5A1B2F8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88"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F89"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F8A" w14:textId="77777777" w:rsidR="00960BB8" w:rsidRDefault="00C06650">
            <w:pPr>
              <w:jc w:val="right"/>
              <w:textAlignment w:val="bottom"/>
            </w:pPr>
            <w:r>
              <w:rPr>
                <w:rFonts w:ascii="Arial" w:eastAsia="宋体" w:hAnsi="Arial" w:cs="Arial"/>
                <w:color w:val="0068B5"/>
                <w:sz w:val="18"/>
                <w:szCs w:val="18"/>
              </w:rPr>
              <w:t>(546)</w:t>
            </w:r>
          </w:p>
        </w:tc>
        <w:tc>
          <w:tcPr>
            <w:tcW w:w="0" w:type="auto"/>
            <w:shd w:val="clear" w:color="auto" w:fill="auto"/>
            <w:tcMar>
              <w:top w:w="40" w:type="dxa"/>
              <w:left w:w="0" w:type="dxa"/>
              <w:bottom w:w="40" w:type="dxa"/>
              <w:right w:w="20" w:type="dxa"/>
            </w:tcMar>
            <w:vAlign w:val="bottom"/>
          </w:tcPr>
          <w:p w14:paraId="5A1B2F8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8C"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F8D"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F8E" w14:textId="77777777" w:rsidR="00960BB8" w:rsidRDefault="00C06650">
            <w:pPr>
              <w:jc w:val="right"/>
              <w:textAlignment w:val="bottom"/>
            </w:pPr>
            <w:r>
              <w:rPr>
                <w:rFonts w:ascii="Arial" w:eastAsia="宋体" w:hAnsi="Arial" w:cs="Arial"/>
                <w:color w:val="0068B5"/>
                <w:sz w:val="18"/>
                <w:szCs w:val="18"/>
              </w:rPr>
              <w:t>(682)</w:t>
            </w:r>
          </w:p>
        </w:tc>
        <w:tc>
          <w:tcPr>
            <w:tcW w:w="0" w:type="auto"/>
            <w:shd w:val="clear" w:color="auto" w:fill="auto"/>
            <w:tcMar>
              <w:top w:w="40" w:type="dxa"/>
              <w:left w:w="0" w:type="dxa"/>
              <w:bottom w:w="40" w:type="dxa"/>
              <w:right w:w="20" w:type="dxa"/>
            </w:tcMar>
            <w:vAlign w:val="bottom"/>
          </w:tcPr>
          <w:p w14:paraId="5A1B2F8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90"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2F91"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2F92" w14:textId="77777777" w:rsidR="00960BB8" w:rsidRDefault="00C06650">
            <w:pPr>
              <w:jc w:val="right"/>
              <w:textAlignment w:val="bottom"/>
            </w:pPr>
            <w:r>
              <w:rPr>
                <w:rFonts w:ascii="Arial" w:eastAsia="宋体" w:hAnsi="Arial" w:cs="Arial"/>
                <w:color w:val="0068B5"/>
                <w:sz w:val="18"/>
                <w:szCs w:val="18"/>
              </w:rPr>
              <w:t>3 </w:t>
            </w:r>
          </w:p>
        </w:tc>
        <w:tc>
          <w:tcPr>
            <w:tcW w:w="0" w:type="auto"/>
            <w:shd w:val="clear" w:color="auto" w:fill="auto"/>
            <w:tcMar>
              <w:top w:w="40" w:type="dxa"/>
              <w:left w:w="0" w:type="dxa"/>
              <w:bottom w:w="40" w:type="dxa"/>
              <w:right w:w="20" w:type="dxa"/>
            </w:tcMar>
            <w:vAlign w:val="bottom"/>
          </w:tcPr>
          <w:p w14:paraId="5A1B2F93" w14:textId="77777777" w:rsidR="00960BB8" w:rsidRDefault="00960BB8">
            <w:pPr>
              <w:jc w:val="right"/>
              <w:rPr>
                <w:rFonts w:ascii="宋体"/>
              </w:rPr>
            </w:pPr>
          </w:p>
        </w:tc>
      </w:tr>
      <w:tr w:rsidR="00960BB8" w14:paraId="5A1B2FA8" w14:textId="77777777">
        <w:tc>
          <w:tcPr>
            <w:tcW w:w="0" w:type="auto"/>
            <w:gridSpan w:val="3"/>
            <w:shd w:val="clear" w:color="auto" w:fill="auto"/>
            <w:tcMar>
              <w:top w:w="40" w:type="dxa"/>
              <w:left w:w="140" w:type="dxa"/>
              <w:bottom w:w="40" w:type="dxa"/>
              <w:right w:w="20" w:type="dxa"/>
            </w:tcMar>
            <w:vAlign w:val="bottom"/>
          </w:tcPr>
          <w:p w14:paraId="5A1B2F95" w14:textId="77777777" w:rsidR="00960BB8" w:rsidRDefault="00C06650">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5A1B2F9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97" w14:textId="77777777" w:rsidR="00960BB8" w:rsidRDefault="00C06650">
            <w:pPr>
              <w:jc w:val="right"/>
              <w:textAlignment w:val="bottom"/>
            </w:pPr>
            <w:r>
              <w:rPr>
                <w:rFonts w:ascii="Arial" w:eastAsia="宋体" w:hAnsi="Arial" w:cs="Arial"/>
                <w:color w:val="0068B5"/>
                <w:sz w:val="18"/>
                <w:szCs w:val="18"/>
              </w:rPr>
              <w:t>1,701 </w:t>
            </w:r>
          </w:p>
        </w:tc>
        <w:tc>
          <w:tcPr>
            <w:tcW w:w="0" w:type="auto"/>
            <w:shd w:val="clear" w:color="auto" w:fill="auto"/>
            <w:tcMar>
              <w:top w:w="40" w:type="dxa"/>
              <w:left w:w="0" w:type="dxa"/>
              <w:bottom w:w="40" w:type="dxa"/>
              <w:right w:w="20" w:type="dxa"/>
            </w:tcMar>
            <w:vAlign w:val="bottom"/>
          </w:tcPr>
          <w:p w14:paraId="5A1B2F9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9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9A"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F9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9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9D" w14:textId="77777777" w:rsidR="00960BB8" w:rsidRDefault="00C06650">
            <w:pPr>
              <w:jc w:val="right"/>
              <w:textAlignment w:val="bottom"/>
            </w:pPr>
            <w:r>
              <w:rPr>
                <w:rFonts w:ascii="Arial" w:eastAsia="宋体" w:hAnsi="Arial" w:cs="Arial"/>
                <w:color w:val="0068B5"/>
                <w:sz w:val="18"/>
                <w:szCs w:val="18"/>
              </w:rPr>
              <w:t>1,701 </w:t>
            </w:r>
          </w:p>
        </w:tc>
        <w:tc>
          <w:tcPr>
            <w:tcW w:w="0" w:type="auto"/>
            <w:shd w:val="clear" w:color="auto" w:fill="auto"/>
            <w:tcMar>
              <w:top w:w="40" w:type="dxa"/>
              <w:left w:w="0" w:type="dxa"/>
              <w:bottom w:w="40" w:type="dxa"/>
              <w:right w:w="20" w:type="dxa"/>
            </w:tcMar>
            <w:vAlign w:val="bottom"/>
          </w:tcPr>
          <w:p w14:paraId="5A1B2F9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9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A0"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FA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A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A3" w14:textId="77777777" w:rsidR="00960BB8" w:rsidRDefault="00C06650">
            <w:pPr>
              <w:jc w:val="right"/>
              <w:textAlignment w:val="bottom"/>
            </w:pPr>
            <w:r>
              <w:rPr>
                <w:rFonts w:ascii="Arial" w:eastAsia="宋体" w:hAnsi="Arial" w:cs="Arial"/>
                <w:color w:val="0068B5"/>
                <w:sz w:val="18"/>
                <w:szCs w:val="18"/>
              </w:rPr>
              <w:t>(1,701)</w:t>
            </w:r>
          </w:p>
        </w:tc>
        <w:tc>
          <w:tcPr>
            <w:tcW w:w="0" w:type="auto"/>
            <w:shd w:val="clear" w:color="auto" w:fill="auto"/>
            <w:tcMar>
              <w:top w:w="40" w:type="dxa"/>
              <w:left w:w="0" w:type="dxa"/>
              <w:bottom w:w="40" w:type="dxa"/>
              <w:right w:w="20" w:type="dxa"/>
            </w:tcMar>
            <w:vAlign w:val="bottom"/>
          </w:tcPr>
          <w:p w14:paraId="5A1B2FA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A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A6"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FA7" w14:textId="77777777" w:rsidR="00960BB8" w:rsidRDefault="00960BB8">
            <w:pPr>
              <w:jc w:val="right"/>
              <w:rPr>
                <w:rFonts w:ascii="宋体"/>
              </w:rPr>
            </w:pPr>
          </w:p>
        </w:tc>
      </w:tr>
      <w:tr w:rsidR="00960BB8" w14:paraId="5A1B2FBC" w14:textId="77777777">
        <w:tc>
          <w:tcPr>
            <w:tcW w:w="0" w:type="auto"/>
            <w:gridSpan w:val="3"/>
            <w:shd w:val="clear" w:color="auto" w:fill="auto"/>
            <w:tcMar>
              <w:top w:w="40" w:type="dxa"/>
              <w:left w:w="20" w:type="dxa"/>
              <w:bottom w:w="40" w:type="dxa"/>
              <w:right w:w="20" w:type="dxa"/>
            </w:tcMar>
            <w:vAlign w:val="bottom"/>
          </w:tcPr>
          <w:p w14:paraId="5A1B2FA9" w14:textId="77777777" w:rsidR="00960BB8" w:rsidRDefault="00C06650">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5A1B2FAA"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FAB" w14:textId="77777777" w:rsidR="00960BB8" w:rsidRDefault="00C06650">
            <w:pPr>
              <w:jc w:val="right"/>
              <w:textAlignment w:val="bottom"/>
            </w:pPr>
            <w:r>
              <w:rPr>
                <w:rFonts w:ascii="Arial" w:eastAsia="宋体" w:hAnsi="Arial" w:cs="Arial"/>
                <w:b/>
                <w:bCs/>
                <w:color w:val="0068B5"/>
                <w:sz w:val="18"/>
                <w:szCs w:val="18"/>
              </w:rPr>
              <w:t>2,932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FA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AD"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FAE" w14:textId="77777777" w:rsidR="00960BB8" w:rsidRDefault="00C06650">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FA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B0"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FB1" w14:textId="77777777" w:rsidR="00960BB8" w:rsidRDefault="00C06650">
            <w:pPr>
              <w:jc w:val="right"/>
              <w:textAlignment w:val="bottom"/>
            </w:pPr>
            <w:r>
              <w:rPr>
                <w:rFonts w:ascii="Arial" w:eastAsia="宋体" w:hAnsi="Arial" w:cs="Arial"/>
                <w:b/>
                <w:bCs/>
                <w:color w:val="0068B5"/>
                <w:sz w:val="18"/>
                <w:szCs w:val="18"/>
              </w:rPr>
              <w:t>2,932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FB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B3"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FB4" w14:textId="77777777" w:rsidR="00960BB8" w:rsidRDefault="00C06650">
            <w:pPr>
              <w:jc w:val="right"/>
              <w:textAlignment w:val="bottom"/>
            </w:pPr>
            <w:r>
              <w:rPr>
                <w:rFonts w:ascii="Arial" w:eastAsia="宋体" w:hAnsi="Arial" w:cs="Arial"/>
                <w:b/>
                <w:bCs/>
                <w:color w:val="0068B5"/>
                <w:sz w:val="18"/>
                <w:szCs w:val="18"/>
              </w:rPr>
              <w:t>(546)</w:t>
            </w:r>
          </w:p>
        </w:tc>
        <w:tc>
          <w:tcPr>
            <w:tcW w:w="0" w:type="auto"/>
            <w:tcBorders>
              <w:top w:val="single" w:sz="4" w:space="0" w:color="262626"/>
            </w:tcBorders>
            <w:shd w:val="clear" w:color="auto" w:fill="auto"/>
            <w:tcMar>
              <w:top w:w="40" w:type="dxa"/>
              <w:left w:w="0" w:type="dxa"/>
              <w:bottom w:w="40" w:type="dxa"/>
              <w:right w:w="20" w:type="dxa"/>
            </w:tcMar>
            <w:vAlign w:val="bottom"/>
          </w:tcPr>
          <w:p w14:paraId="5A1B2FB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B6"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FB7" w14:textId="77777777" w:rsidR="00960BB8" w:rsidRDefault="00C06650">
            <w:pPr>
              <w:jc w:val="right"/>
              <w:textAlignment w:val="bottom"/>
            </w:pPr>
            <w:r>
              <w:rPr>
                <w:rFonts w:ascii="Arial" w:eastAsia="宋体" w:hAnsi="Arial" w:cs="Arial"/>
                <w:b/>
                <w:bCs/>
                <w:color w:val="0068B5"/>
                <w:sz w:val="18"/>
                <w:szCs w:val="18"/>
              </w:rPr>
              <w:t>(2,383)</w:t>
            </w:r>
          </w:p>
        </w:tc>
        <w:tc>
          <w:tcPr>
            <w:tcW w:w="0" w:type="auto"/>
            <w:tcBorders>
              <w:top w:val="single" w:sz="4" w:space="0" w:color="262626"/>
            </w:tcBorders>
            <w:shd w:val="clear" w:color="auto" w:fill="auto"/>
            <w:tcMar>
              <w:top w:w="40" w:type="dxa"/>
              <w:left w:w="0" w:type="dxa"/>
              <w:bottom w:w="40" w:type="dxa"/>
              <w:right w:w="20" w:type="dxa"/>
            </w:tcMar>
            <w:vAlign w:val="bottom"/>
          </w:tcPr>
          <w:p w14:paraId="5A1B2FB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B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2FBA" w14:textId="77777777" w:rsidR="00960BB8" w:rsidRDefault="00C06650">
            <w:pPr>
              <w:jc w:val="right"/>
              <w:textAlignment w:val="bottom"/>
            </w:pPr>
            <w:r>
              <w:rPr>
                <w:rFonts w:ascii="Arial" w:eastAsia="宋体" w:hAnsi="Arial" w:cs="Arial"/>
                <w:b/>
                <w:bCs/>
                <w:color w:val="0068B5"/>
                <w:sz w:val="18"/>
                <w:szCs w:val="18"/>
              </w:rPr>
              <w:t>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2FBB" w14:textId="77777777" w:rsidR="00960BB8" w:rsidRDefault="00960BB8">
            <w:pPr>
              <w:jc w:val="right"/>
              <w:rPr>
                <w:rFonts w:ascii="宋体"/>
              </w:rPr>
            </w:pPr>
          </w:p>
        </w:tc>
      </w:tr>
      <w:tr w:rsidR="00960BB8" w14:paraId="5A1B2FCA" w14:textId="77777777">
        <w:tc>
          <w:tcPr>
            <w:tcW w:w="0" w:type="auto"/>
            <w:gridSpan w:val="3"/>
            <w:shd w:val="clear" w:color="auto" w:fill="auto"/>
            <w:tcMar>
              <w:top w:w="40" w:type="dxa"/>
              <w:left w:w="20" w:type="dxa"/>
              <w:bottom w:w="40" w:type="dxa"/>
              <w:right w:w="20" w:type="dxa"/>
            </w:tcMar>
            <w:vAlign w:val="bottom"/>
          </w:tcPr>
          <w:p w14:paraId="5A1B2FBD" w14:textId="77777777" w:rsidR="00960BB8" w:rsidRDefault="00C06650">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5A1B2FBE"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FB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C0"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FC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C2"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FC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C4"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FC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C6"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FC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2FC8"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2FC9" w14:textId="77777777" w:rsidR="00960BB8" w:rsidRDefault="00960BB8">
            <w:pPr>
              <w:rPr>
                <w:rFonts w:ascii="宋体"/>
              </w:rPr>
            </w:pPr>
          </w:p>
        </w:tc>
      </w:tr>
      <w:tr w:rsidR="00960BB8" w14:paraId="5A1B2FDE" w14:textId="77777777">
        <w:tc>
          <w:tcPr>
            <w:tcW w:w="0" w:type="auto"/>
            <w:gridSpan w:val="3"/>
            <w:shd w:val="clear" w:color="auto" w:fill="auto"/>
            <w:tcMar>
              <w:top w:w="40" w:type="dxa"/>
              <w:left w:w="140" w:type="dxa"/>
              <w:bottom w:w="40" w:type="dxa"/>
              <w:right w:w="20" w:type="dxa"/>
            </w:tcMar>
            <w:vAlign w:val="center"/>
          </w:tcPr>
          <w:p w14:paraId="5A1B2FCB" w14:textId="77777777" w:rsidR="00960BB8" w:rsidRDefault="00C06650">
            <w:pPr>
              <w:textAlignment w:val="center"/>
            </w:pPr>
            <w:r>
              <w:rPr>
                <w:rFonts w:ascii="Arial" w:eastAsia="宋体" w:hAnsi="Arial" w:cs="Arial"/>
                <w:color w:val="262626"/>
                <w:sz w:val="18"/>
                <w:szCs w:val="18"/>
              </w:rPr>
              <w:t xml:space="preserve">Derivative </w:t>
            </w:r>
            <w:r>
              <w:rPr>
                <w:rFonts w:ascii="Arial" w:eastAsia="宋体" w:hAnsi="Arial" w:cs="Arial"/>
                <w:color w:val="262626"/>
                <w:sz w:val="18"/>
                <w:szCs w:val="18"/>
              </w:rPr>
              <w:t>liabilities subject to master netting arrangements</w:t>
            </w:r>
          </w:p>
        </w:tc>
        <w:tc>
          <w:tcPr>
            <w:tcW w:w="0" w:type="auto"/>
            <w:gridSpan w:val="3"/>
            <w:shd w:val="clear" w:color="auto" w:fill="auto"/>
            <w:tcMar>
              <w:top w:w="0" w:type="dxa"/>
              <w:left w:w="20" w:type="dxa"/>
              <w:bottom w:w="0" w:type="dxa"/>
              <w:right w:w="20" w:type="dxa"/>
            </w:tcMar>
            <w:vAlign w:val="bottom"/>
          </w:tcPr>
          <w:p w14:paraId="5A1B2FC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CD" w14:textId="77777777" w:rsidR="00960BB8" w:rsidRDefault="00C06650">
            <w:pPr>
              <w:jc w:val="right"/>
              <w:textAlignment w:val="bottom"/>
            </w:pPr>
            <w:r>
              <w:rPr>
                <w:rFonts w:ascii="Arial" w:eastAsia="宋体" w:hAnsi="Arial" w:cs="Arial"/>
                <w:color w:val="0068B5"/>
                <w:sz w:val="18"/>
                <w:szCs w:val="18"/>
              </w:rPr>
              <w:t>1,337 </w:t>
            </w:r>
          </w:p>
        </w:tc>
        <w:tc>
          <w:tcPr>
            <w:tcW w:w="0" w:type="auto"/>
            <w:shd w:val="clear" w:color="auto" w:fill="auto"/>
            <w:tcMar>
              <w:top w:w="40" w:type="dxa"/>
              <w:left w:w="0" w:type="dxa"/>
              <w:bottom w:w="40" w:type="dxa"/>
              <w:right w:w="20" w:type="dxa"/>
            </w:tcMar>
            <w:vAlign w:val="bottom"/>
          </w:tcPr>
          <w:p w14:paraId="5A1B2FC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C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D0"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2FD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D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D3" w14:textId="77777777" w:rsidR="00960BB8" w:rsidRDefault="00C06650">
            <w:pPr>
              <w:jc w:val="right"/>
              <w:textAlignment w:val="bottom"/>
            </w:pPr>
            <w:r>
              <w:rPr>
                <w:rFonts w:ascii="Arial" w:eastAsia="宋体" w:hAnsi="Arial" w:cs="Arial"/>
                <w:color w:val="0068B5"/>
                <w:sz w:val="18"/>
                <w:szCs w:val="18"/>
              </w:rPr>
              <w:t>1,337 </w:t>
            </w:r>
          </w:p>
        </w:tc>
        <w:tc>
          <w:tcPr>
            <w:tcW w:w="0" w:type="auto"/>
            <w:shd w:val="clear" w:color="auto" w:fill="auto"/>
            <w:tcMar>
              <w:top w:w="40" w:type="dxa"/>
              <w:left w:w="0" w:type="dxa"/>
              <w:bottom w:w="40" w:type="dxa"/>
              <w:right w:w="20" w:type="dxa"/>
            </w:tcMar>
            <w:vAlign w:val="bottom"/>
          </w:tcPr>
          <w:p w14:paraId="5A1B2FD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D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D6" w14:textId="77777777" w:rsidR="00960BB8" w:rsidRDefault="00C06650">
            <w:pPr>
              <w:jc w:val="right"/>
              <w:textAlignment w:val="bottom"/>
            </w:pPr>
            <w:r>
              <w:rPr>
                <w:rFonts w:ascii="Arial" w:eastAsia="宋体" w:hAnsi="Arial" w:cs="Arial"/>
                <w:color w:val="0068B5"/>
                <w:sz w:val="18"/>
                <w:szCs w:val="18"/>
              </w:rPr>
              <w:t>(546)</w:t>
            </w:r>
          </w:p>
        </w:tc>
        <w:tc>
          <w:tcPr>
            <w:tcW w:w="0" w:type="auto"/>
            <w:shd w:val="clear" w:color="auto" w:fill="auto"/>
            <w:tcMar>
              <w:top w:w="40" w:type="dxa"/>
              <w:left w:w="0" w:type="dxa"/>
              <w:bottom w:w="40" w:type="dxa"/>
              <w:right w:w="20" w:type="dxa"/>
            </w:tcMar>
            <w:vAlign w:val="bottom"/>
          </w:tcPr>
          <w:p w14:paraId="5A1B2FD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D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D9" w14:textId="77777777" w:rsidR="00960BB8" w:rsidRDefault="00C06650">
            <w:pPr>
              <w:jc w:val="right"/>
              <w:textAlignment w:val="bottom"/>
            </w:pPr>
            <w:r>
              <w:rPr>
                <w:rFonts w:ascii="Arial" w:eastAsia="宋体" w:hAnsi="Arial" w:cs="Arial"/>
                <w:color w:val="0068B5"/>
                <w:sz w:val="18"/>
                <w:szCs w:val="18"/>
              </w:rPr>
              <w:t>(712)</w:t>
            </w:r>
          </w:p>
        </w:tc>
        <w:tc>
          <w:tcPr>
            <w:tcW w:w="0" w:type="auto"/>
            <w:shd w:val="clear" w:color="auto" w:fill="auto"/>
            <w:tcMar>
              <w:top w:w="40" w:type="dxa"/>
              <w:left w:w="0" w:type="dxa"/>
              <w:bottom w:w="40" w:type="dxa"/>
              <w:right w:w="20" w:type="dxa"/>
            </w:tcMar>
            <w:vAlign w:val="bottom"/>
          </w:tcPr>
          <w:p w14:paraId="5A1B2FD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D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2FDC" w14:textId="77777777" w:rsidR="00960BB8" w:rsidRDefault="00C06650">
            <w:pPr>
              <w:jc w:val="right"/>
              <w:textAlignment w:val="bottom"/>
            </w:pPr>
            <w:r>
              <w:rPr>
                <w:rFonts w:ascii="Arial" w:eastAsia="宋体" w:hAnsi="Arial" w:cs="Arial"/>
                <w:color w:val="0068B5"/>
                <w:sz w:val="18"/>
                <w:szCs w:val="18"/>
              </w:rPr>
              <w:t>79 </w:t>
            </w:r>
          </w:p>
        </w:tc>
        <w:tc>
          <w:tcPr>
            <w:tcW w:w="0" w:type="auto"/>
            <w:shd w:val="clear" w:color="auto" w:fill="auto"/>
            <w:tcMar>
              <w:top w:w="40" w:type="dxa"/>
              <w:left w:w="0" w:type="dxa"/>
              <w:bottom w:w="40" w:type="dxa"/>
              <w:right w:w="20" w:type="dxa"/>
            </w:tcMar>
            <w:vAlign w:val="bottom"/>
          </w:tcPr>
          <w:p w14:paraId="5A1B2FDD" w14:textId="77777777" w:rsidR="00960BB8" w:rsidRDefault="00960BB8">
            <w:pPr>
              <w:jc w:val="right"/>
              <w:rPr>
                <w:rFonts w:ascii="宋体"/>
              </w:rPr>
            </w:pPr>
          </w:p>
        </w:tc>
      </w:tr>
      <w:tr w:rsidR="00960BB8" w14:paraId="5A1B2FEC" w14:textId="77777777">
        <w:trPr>
          <w:hidden/>
        </w:trPr>
        <w:tc>
          <w:tcPr>
            <w:tcW w:w="0" w:type="auto"/>
            <w:gridSpan w:val="3"/>
            <w:shd w:val="clear" w:color="auto" w:fill="auto"/>
            <w:vAlign w:val="bottom"/>
          </w:tcPr>
          <w:p w14:paraId="5A1B2FDF" w14:textId="77777777" w:rsidR="00960BB8" w:rsidRDefault="00960BB8">
            <w:pPr>
              <w:rPr>
                <w:rFonts w:ascii="宋体"/>
                <w:vanish/>
              </w:rPr>
            </w:pPr>
          </w:p>
        </w:tc>
        <w:tc>
          <w:tcPr>
            <w:tcW w:w="0" w:type="auto"/>
            <w:gridSpan w:val="3"/>
            <w:shd w:val="clear" w:color="auto" w:fill="auto"/>
            <w:vAlign w:val="bottom"/>
          </w:tcPr>
          <w:p w14:paraId="5A1B2FE0" w14:textId="77777777" w:rsidR="00960BB8" w:rsidRDefault="00960BB8">
            <w:pPr>
              <w:rPr>
                <w:rFonts w:ascii="宋体"/>
                <w:vanish/>
              </w:rPr>
            </w:pPr>
          </w:p>
        </w:tc>
        <w:tc>
          <w:tcPr>
            <w:tcW w:w="0" w:type="auto"/>
            <w:gridSpan w:val="3"/>
            <w:shd w:val="clear" w:color="auto" w:fill="auto"/>
            <w:vAlign w:val="bottom"/>
          </w:tcPr>
          <w:p w14:paraId="5A1B2FE1" w14:textId="77777777" w:rsidR="00960BB8" w:rsidRDefault="00960BB8">
            <w:pPr>
              <w:rPr>
                <w:rFonts w:ascii="宋体"/>
                <w:vanish/>
              </w:rPr>
            </w:pPr>
          </w:p>
        </w:tc>
        <w:tc>
          <w:tcPr>
            <w:tcW w:w="0" w:type="auto"/>
            <w:gridSpan w:val="3"/>
            <w:shd w:val="clear" w:color="auto" w:fill="auto"/>
            <w:vAlign w:val="bottom"/>
          </w:tcPr>
          <w:p w14:paraId="5A1B2FE2" w14:textId="77777777" w:rsidR="00960BB8" w:rsidRDefault="00960BB8">
            <w:pPr>
              <w:rPr>
                <w:rFonts w:ascii="宋体"/>
                <w:vanish/>
              </w:rPr>
            </w:pPr>
          </w:p>
        </w:tc>
        <w:tc>
          <w:tcPr>
            <w:tcW w:w="0" w:type="auto"/>
            <w:gridSpan w:val="3"/>
            <w:shd w:val="clear" w:color="auto" w:fill="auto"/>
            <w:vAlign w:val="bottom"/>
          </w:tcPr>
          <w:p w14:paraId="5A1B2FE3" w14:textId="77777777" w:rsidR="00960BB8" w:rsidRDefault="00960BB8">
            <w:pPr>
              <w:rPr>
                <w:rFonts w:ascii="宋体"/>
                <w:vanish/>
              </w:rPr>
            </w:pPr>
          </w:p>
        </w:tc>
        <w:tc>
          <w:tcPr>
            <w:tcW w:w="0" w:type="auto"/>
            <w:gridSpan w:val="3"/>
            <w:shd w:val="clear" w:color="auto" w:fill="auto"/>
            <w:vAlign w:val="bottom"/>
          </w:tcPr>
          <w:p w14:paraId="5A1B2FE4" w14:textId="77777777" w:rsidR="00960BB8" w:rsidRDefault="00960BB8">
            <w:pPr>
              <w:rPr>
                <w:rFonts w:ascii="宋体"/>
                <w:vanish/>
              </w:rPr>
            </w:pPr>
          </w:p>
        </w:tc>
        <w:tc>
          <w:tcPr>
            <w:tcW w:w="0" w:type="auto"/>
            <w:gridSpan w:val="3"/>
            <w:shd w:val="clear" w:color="auto" w:fill="auto"/>
            <w:vAlign w:val="bottom"/>
          </w:tcPr>
          <w:p w14:paraId="5A1B2FE5" w14:textId="77777777" w:rsidR="00960BB8" w:rsidRDefault="00960BB8">
            <w:pPr>
              <w:rPr>
                <w:rFonts w:ascii="宋体"/>
                <w:vanish/>
              </w:rPr>
            </w:pPr>
          </w:p>
        </w:tc>
        <w:tc>
          <w:tcPr>
            <w:tcW w:w="0" w:type="auto"/>
            <w:gridSpan w:val="3"/>
            <w:shd w:val="clear" w:color="auto" w:fill="auto"/>
            <w:vAlign w:val="bottom"/>
          </w:tcPr>
          <w:p w14:paraId="5A1B2FE6" w14:textId="77777777" w:rsidR="00960BB8" w:rsidRDefault="00960BB8">
            <w:pPr>
              <w:rPr>
                <w:rFonts w:ascii="宋体"/>
                <w:vanish/>
              </w:rPr>
            </w:pPr>
          </w:p>
        </w:tc>
        <w:tc>
          <w:tcPr>
            <w:tcW w:w="0" w:type="auto"/>
            <w:gridSpan w:val="3"/>
            <w:shd w:val="clear" w:color="auto" w:fill="auto"/>
            <w:vAlign w:val="bottom"/>
          </w:tcPr>
          <w:p w14:paraId="5A1B2FE7" w14:textId="77777777" w:rsidR="00960BB8" w:rsidRDefault="00960BB8">
            <w:pPr>
              <w:rPr>
                <w:rFonts w:ascii="宋体"/>
                <w:vanish/>
              </w:rPr>
            </w:pPr>
          </w:p>
        </w:tc>
        <w:tc>
          <w:tcPr>
            <w:tcW w:w="0" w:type="auto"/>
            <w:gridSpan w:val="3"/>
            <w:shd w:val="clear" w:color="auto" w:fill="auto"/>
            <w:vAlign w:val="bottom"/>
          </w:tcPr>
          <w:p w14:paraId="5A1B2FE8" w14:textId="77777777" w:rsidR="00960BB8" w:rsidRDefault="00960BB8">
            <w:pPr>
              <w:rPr>
                <w:rFonts w:ascii="宋体"/>
                <w:vanish/>
              </w:rPr>
            </w:pPr>
          </w:p>
        </w:tc>
        <w:tc>
          <w:tcPr>
            <w:tcW w:w="0" w:type="auto"/>
            <w:gridSpan w:val="3"/>
            <w:shd w:val="clear" w:color="auto" w:fill="auto"/>
            <w:vAlign w:val="bottom"/>
          </w:tcPr>
          <w:p w14:paraId="5A1B2FE9" w14:textId="77777777" w:rsidR="00960BB8" w:rsidRDefault="00960BB8">
            <w:pPr>
              <w:rPr>
                <w:rFonts w:ascii="宋体"/>
                <w:vanish/>
              </w:rPr>
            </w:pPr>
          </w:p>
        </w:tc>
        <w:tc>
          <w:tcPr>
            <w:tcW w:w="0" w:type="auto"/>
            <w:gridSpan w:val="3"/>
            <w:shd w:val="clear" w:color="auto" w:fill="auto"/>
            <w:vAlign w:val="bottom"/>
          </w:tcPr>
          <w:p w14:paraId="5A1B2FEA" w14:textId="77777777" w:rsidR="00960BB8" w:rsidRDefault="00960BB8">
            <w:pPr>
              <w:rPr>
                <w:rFonts w:ascii="宋体"/>
                <w:vanish/>
              </w:rPr>
            </w:pPr>
          </w:p>
        </w:tc>
        <w:tc>
          <w:tcPr>
            <w:tcW w:w="0" w:type="auto"/>
            <w:gridSpan w:val="3"/>
            <w:shd w:val="clear" w:color="auto" w:fill="auto"/>
            <w:vAlign w:val="bottom"/>
          </w:tcPr>
          <w:p w14:paraId="5A1B2FEB" w14:textId="77777777" w:rsidR="00960BB8" w:rsidRDefault="00960BB8">
            <w:pPr>
              <w:rPr>
                <w:rFonts w:ascii="宋体"/>
                <w:vanish/>
              </w:rPr>
            </w:pPr>
          </w:p>
        </w:tc>
      </w:tr>
      <w:tr w:rsidR="00960BB8" w14:paraId="5A1B3006" w14:textId="77777777">
        <w:tc>
          <w:tcPr>
            <w:tcW w:w="0" w:type="auto"/>
            <w:gridSpan w:val="3"/>
            <w:shd w:val="clear" w:color="auto" w:fill="auto"/>
            <w:tcMar>
              <w:top w:w="40" w:type="dxa"/>
              <w:left w:w="20" w:type="dxa"/>
              <w:bottom w:w="40" w:type="dxa"/>
              <w:right w:w="20" w:type="dxa"/>
            </w:tcMar>
            <w:vAlign w:val="bottom"/>
          </w:tcPr>
          <w:p w14:paraId="5A1B2FED" w14:textId="77777777" w:rsidR="00960BB8" w:rsidRDefault="00C06650">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5A1B2FEE"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FEF"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FF0" w14:textId="77777777" w:rsidR="00960BB8" w:rsidRDefault="00C06650">
            <w:pPr>
              <w:jc w:val="right"/>
              <w:textAlignment w:val="bottom"/>
            </w:pPr>
            <w:r>
              <w:rPr>
                <w:rFonts w:ascii="Arial" w:eastAsia="宋体" w:hAnsi="Arial" w:cs="Arial"/>
                <w:b/>
                <w:bCs/>
                <w:color w:val="0068B5"/>
                <w:sz w:val="18"/>
                <w:szCs w:val="18"/>
              </w:rPr>
              <w:t>1,337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FF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F2"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FF3"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FF4" w14:textId="77777777" w:rsidR="00960BB8" w:rsidRDefault="00C06650">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FF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F6"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FF7"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FF8" w14:textId="77777777" w:rsidR="00960BB8" w:rsidRDefault="00C06650">
            <w:pPr>
              <w:jc w:val="right"/>
              <w:textAlignment w:val="bottom"/>
            </w:pPr>
            <w:r>
              <w:rPr>
                <w:rFonts w:ascii="Arial" w:eastAsia="宋体" w:hAnsi="Arial" w:cs="Arial"/>
                <w:b/>
                <w:bCs/>
                <w:color w:val="0068B5"/>
                <w:sz w:val="18"/>
                <w:szCs w:val="18"/>
              </w:rPr>
              <w:t>1,337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FF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FA"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FFB"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2FFC" w14:textId="77777777" w:rsidR="00960BB8" w:rsidRDefault="00C06650">
            <w:pPr>
              <w:jc w:val="right"/>
              <w:textAlignment w:val="bottom"/>
            </w:pPr>
            <w:r>
              <w:rPr>
                <w:rFonts w:ascii="Arial" w:eastAsia="宋体" w:hAnsi="Arial" w:cs="Arial"/>
                <w:b/>
                <w:bCs/>
                <w:color w:val="0068B5"/>
                <w:sz w:val="18"/>
                <w:szCs w:val="18"/>
              </w:rPr>
              <w:t>(546)</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2FF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2FFE"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2FFF"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000" w14:textId="77777777" w:rsidR="00960BB8" w:rsidRDefault="00C06650">
            <w:pPr>
              <w:jc w:val="right"/>
              <w:textAlignment w:val="bottom"/>
            </w:pPr>
            <w:r>
              <w:rPr>
                <w:rFonts w:ascii="Arial" w:eastAsia="宋体" w:hAnsi="Arial" w:cs="Arial"/>
                <w:b/>
                <w:bCs/>
                <w:color w:val="0068B5"/>
                <w:sz w:val="18"/>
                <w:szCs w:val="18"/>
              </w:rPr>
              <w:t>(712)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00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02"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003"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004" w14:textId="77777777" w:rsidR="00960BB8" w:rsidRDefault="00C06650">
            <w:pPr>
              <w:jc w:val="right"/>
              <w:textAlignment w:val="bottom"/>
            </w:pPr>
            <w:r>
              <w:rPr>
                <w:rFonts w:ascii="Arial" w:eastAsia="宋体" w:hAnsi="Arial" w:cs="Arial"/>
                <w:b/>
                <w:bCs/>
                <w:color w:val="0068B5"/>
                <w:sz w:val="18"/>
                <w:szCs w:val="18"/>
              </w:rPr>
              <w:t>79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005" w14:textId="77777777" w:rsidR="00960BB8" w:rsidRDefault="00960BB8">
            <w:pPr>
              <w:jc w:val="right"/>
              <w:rPr>
                <w:rFonts w:ascii="宋体"/>
              </w:rPr>
            </w:pPr>
          </w:p>
        </w:tc>
      </w:tr>
    </w:tbl>
    <w:p w14:paraId="5A1B3007" w14:textId="77777777" w:rsidR="00960BB8" w:rsidRDefault="00960BB8">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3014" w14:textId="77777777">
        <w:tc>
          <w:tcPr>
            <w:tcW w:w="50" w:type="pct"/>
            <w:shd w:val="clear" w:color="auto" w:fill="auto"/>
            <w:vAlign w:val="bottom"/>
          </w:tcPr>
          <w:p w14:paraId="5A1B3008" w14:textId="77777777" w:rsidR="00960BB8" w:rsidRDefault="00960BB8">
            <w:pPr>
              <w:rPr>
                <w:rFonts w:ascii="宋体"/>
              </w:rPr>
            </w:pPr>
          </w:p>
        </w:tc>
        <w:tc>
          <w:tcPr>
            <w:tcW w:w="276" w:type="pct"/>
            <w:shd w:val="clear" w:color="auto" w:fill="auto"/>
            <w:vAlign w:val="bottom"/>
          </w:tcPr>
          <w:p w14:paraId="5A1B3009" w14:textId="77777777" w:rsidR="00960BB8" w:rsidRDefault="00960BB8">
            <w:pPr>
              <w:rPr>
                <w:rFonts w:ascii="宋体"/>
              </w:rPr>
            </w:pPr>
          </w:p>
        </w:tc>
        <w:tc>
          <w:tcPr>
            <w:tcW w:w="5" w:type="pct"/>
            <w:shd w:val="clear" w:color="auto" w:fill="auto"/>
            <w:vAlign w:val="bottom"/>
          </w:tcPr>
          <w:p w14:paraId="5A1B300A" w14:textId="77777777" w:rsidR="00960BB8" w:rsidRDefault="00960BB8">
            <w:pPr>
              <w:rPr>
                <w:rFonts w:ascii="宋体"/>
              </w:rPr>
            </w:pPr>
          </w:p>
        </w:tc>
        <w:tc>
          <w:tcPr>
            <w:tcW w:w="50" w:type="pct"/>
            <w:shd w:val="clear" w:color="auto" w:fill="auto"/>
            <w:vAlign w:val="bottom"/>
          </w:tcPr>
          <w:p w14:paraId="5A1B300B" w14:textId="77777777" w:rsidR="00960BB8" w:rsidRDefault="00960BB8">
            <w:pPr>
              <w:rPr>
                <w:rFonts w:ascii="宋体"/>
              </w:rPr>
            </w:pPr>
          </w:p>
        </w:tc>
        <w:tc>
          <w:tcPr>
            <w:tcW w:w="940" w:type="pct"/>
            <w:shd w:val="clear" w:color="auto" w:fill="auto"/>
            <w:vAlign w:val="bottom"/>
          </w:tcPr>
          <w:p w14:paraId="5A1B300C" w14:textId="77777777" w:rsidR="00960BB8" w:rsidRDefault="00960BB8">
            <w:pPr>
              <w:rPr>
                <w:rFonts w:ascii="宋体"/>
              </w:rPr>
            </w:pPr>
          </w:p>
        </w:tc>
        <w:tc>
          <w:tcPr>
            <w:tcW w:w="5" w:type="pct"/>
            <w:shd w:val="clear" w:color="auto" w:fill="auto"/>
            <w:vAlign w:val="bottom"/>
          </w:tcPr>
          <w:p w14:paraId="5A1B300D" w14:textId="77777777" w:rsidR="00960BB8" w:rsidRDefault="00960BB8">
            <w:pPr>
              <w:rPr>
                <w:rFonts w:ascii="宋体"/>
              </w:rPr>
            </w:pPr>
          </w:p>
        </w:tc>
        <w:tc>
          <w:tcPr>
            <w:tcW w:w="50" w:type="pct"/>
            <w:shd w:val="clear" w:color="auto" w:fill="auto"/>
            <w:vAlign w:val="bottom"/>
          </w:tcPr>
          <w:p w14:paraId="5A1B300E" w14:textId="77777777" w:rsidR="00960BB8" w:rsidRDefault="00960BB8">
            <w:pPr>
              <w:rPr>
                <w:rFonts w:ascii="宋体"/>
              </w:rPr>
            </w:pPr>
          </w:p>
        </w:tc>
        <w:tc>
          <w:tcPr>
            <w:tcW w:w="1837" w:type="pct"/>
            <w:shd w:val="clear" w:color="auto" w:fill="auto"/>
            <w:vAlign w:val="bottom"/>
          </w:tcPr>
          <w:p w14:paraId="5A1B300F" w14:textId="77777777" w:rsidR="00960BB8" w:rsidRDefault="00960BB8">
            <w:pPr>
              <w:rPr>
                <w:rFonts w:ascii="宋体"/>
              </w:rPr>
            </w:pPr>
          </w:p>
        </w:tc>
        <w:tc>
          <w:tcPr>
            <w:tcW w:w="5" w:type="pct"/>
            <w:shd w:val="clear" w:color="auto" w:fill="auto"/>
            <w:vAlign w:val="bottom"/>
          </w:tcPr>
          <w:p w14:paraId="5A1B3010" w14:textId="77777777" w:rsidR="00960BB8" w:rsidRDefault="00960BB8">
            <w:pPr>
              <w:rPr>
                <w:rFonts w:ascii="宋体"/>
              </w:rPr>
            </w:pPr>
          </w:p>
        </w:tc>
        <w:tc>
          <w:tcPr>
            <w:tcW w:w="50" w:type="pct"/>
            <w:shd w:val="clear" w:color="auto" w:fill="auto"/>
            <w:vAlign w:val="bottom"/>
          </w:tcPr>
          <w:p w14:paraId="5A1B3011" w14:textId="77777777" w:rsidR="00960BB8" w:rsidRDefault="00960BB8">
            <w:pPr>
              <w:rPr>
                <w:rFonts w:ascii="宋体"/>
              </w:rPr>
            </w:pPr>
          </w:p>
        </w:tc>
        <w:tc>
          <w:tcPr>
            <w:tcW w:w="1724" w:type="pct"/>
            <w:shd w:val="clear" w:color="auto" w:fill="auto"/>
            <w:vAlign w:val="bottom"/>
          </w:tcPr>
          <w:p w14:paraId="5A1B3012" w14:textId="77777777" w:rsidR="00960BB8" w:rsidRDefault="00960BB8">
            <w:pPr>
              <w:rPr>
                <w:rFonts w:ascii="宋体"/>
              </w:rPr>
            </w:pPr>
          </w:p>
        </w:tc>
        <w:tc>
          <w:tcPr>
            <w:tcW w:w="5" w:type="pct"/>
            <w:shd w:val="clear" w:color="auto" w:fill="auto"/>
            <w:vAlign w:val="bottom"/>
          </w:tcPr>
          <w:p w14:paraId="5A1B3013" w14:textId="77777777" w:rsidR="00960BB8" w:rsidRDefault="00960BB8">
            <w:pPr>
              <w:rPr>
                <w:rFonts w:ascii="宋体"/>
              </w:rPr>
            </w:pPr>
          </w:p>
        </w:tc>
      </w:tr>
      <w:tr w:rsidR="00960BB8" w14:paraId="5A1B3019"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015"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BD" wp14:editId="5A1B44BE">
                  <wp:extent cx="304800" cy="304800"/>
                  <wp:effectExtent l="0" t="0" r="0" b="0"/>
                  <wp:docPr id="163" name="图片 29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9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016"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3017"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018" w14:textId="77777777" w:rsidR="00960BB8" w:rsidRDefault="00C06650">
            <w:pPr>
              <w:jc w:val="right"/>
              <w:textAlignment w:val="center"/>
            </w:pPr>
            <w:r>
              <w:rPr>
                <w:rFonts w:ascii="Arial" w:eastAsia="宋体" w:hAnsi="Arial" w:cs="Arial"/>
                <w:color w:val="262626"/>
                <w:sz w:val="16"/>
                <w:szCs w:val="16"/>
              </w:rPr>
              <w:t>105</w:t>
            </w:r>
          </w:p>
        </w:tc>
      </w:tr>
    </w:tbl>
    <w:p w14:paraId="5A1B301A" w14:textId="77777777" w:rsidR="00960BB8" w:rsidRDefault="00C06650">
      <w:r>
        <w:pict w14:anchorId="5A1B44BF">
          <v:rect id="_x0000_i1131" style="width:415.3pt;height:1.5pt" o:hralign="center" o:hrstd="t" o:hr="t" fillcolor="#a0a0a0" stroked="f"/>
        </w:pict>
      </w:r>
    </w:p>
    <w:p w14:paraId="5A1B301B" w14:textId="77777777" w:rsidR="00960BB8" w:rsidRDefault="00C06650">
      <w:pPr>
        <w:jc w:val="right"/>
      </w:pPr>
      <w:hyperlink r:id="rId154" w:anchor="i8aaa7b4dbd2e419ca0f5c30af85a11aa_16" w:history="1">
        <w:r>
          <w:rPr>
            <w:rStyle w:val="a5"/>
            <w:rFonts w:ascii="Arial" w:eastAsia="宋体" w:hAnsi="Arial" w:cs="Arial"/>
            <w:b/>
            <w:bCs/>
            <w:sz w:val="16"/>
            <w:szCs w:val="16"/>
          </w:rPr>
          <w:t>Table of Contents</w:t>
        </w:r>
      </w:hyperlink>
    </w:p>
    <w:p w14:paraId="5A1B301C" w14:textId="77777777" w:rsidR="00960BB8" w:rsidRDefault="00960BB8">
      <w:pPr>
        <w:jc w:val="right"/>
      </w:pP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960BB8" w14:paraId="5A1B3044" w14:textId="77777777">
        <w:tc>
          <w:tcPr>
            <w:tcW w:w="50" w:type="pct"/>
            <w:shd w:val="clear" w:color="auto" w:fill="auto"/>
            <w:vAlign w:val="bottom"/>
          </w:tcPr>
          <w:p w14:paraId="5A1B301D" w14:textId="77777777" w:rsidR="00960BB8" w:rsidRDefault="00960BB8">
            <w:pPr>
              <w:rPr>
                <w:rFonts w:ascii="宋体"/>
              </w:rPr>
            </w:pPr>
          </w:p>
        </w:tc>
        <w:tc>
          <w:tcPr>
            <w:tcW w:w="1451" w:type="pct"/>
            <w:shd w:val="clear" w:color="auto" w:fill="auto"/>
            <w:vAlign w:val="bottom"/>
          </w:tcPr>
          <w:p w14:paraId="5A1B301E" w14:textId="77777777" w:rsidR="00960BB8" w:rsidRDefault="00960BB8">
            <w:pPr>
              <w:rPr>
                <w:rFonts w:ascii="宋体"/>
              </w:rPr>
            </w:pPr>
          </w:p>
        </w:tc>
        <w:tc>
          <w:tcPr>
            <w:tcW w:w="5" w:type="pct"/>
            <w:shd w:val="clear" w:color="auto" w:fill="auto"/>
            <w:vAlign w:val="bottom"/>
          </w:tcPr>
          <w:p w14:paraId="5A1B301F" w14:textId="77777777" w:rsidR="00960BB8" w:rsidRDefault="00960BB8">
            <w:pPr>
              <w:rPr>
                <w:rFonts w:ascii="宋体"/>
              </w:rPr>
            </w:pPr>
          </w:p>
        </w:tc>
        <w:tc>
          <w:tcPr>
            <w:tcW w:w="5" w:type="pct"/>
            <w:shd w:val="clear" w:color="auto" w:fill="auto"/>
            <w:vAlign w:val="bottom"/>
          </w:tcPr>
          <w:p w14:paraId="5A1B3020" w14:textId="77777777" w:rsidR="00960BB8" w:rsidRDefault="00960BB8">
            <w:pPr>
              <w:rPr>
                <w:rFonts w:ascii="宋体"/>
              </w:rPr>
            </w:pPr>
          </w:p>
        </w:tc>
        <w:tc>
          <w:tcPr>
            <w:tcW w:w="24" w:type="pct"/>
            <w:shd w:val="clear" w:color="auto" w:fill="auto"/>
            <w:vAlign w:val="bottom"/>
          </w:tcPr>
          <w:p w14:paraId="5A1B3021" w14:textId="77777777" w:rsidR="00960BB8" w:rsidRDefault="00960BB8">
            <w:pPr>
              <w:rPr>
                <w:rFonts w:ascii="宋体"/>
              </w:rPr>
            </w:pPr>
          </w:p>
        </w:tc>
        <w:tc>
          <w:tcPr>
            <w:tcW w:w="5" w:type="pct"/>
            <w:shd w:val="clear" w:color="auto" w:fill="auto"/>
            <w:vAlign w:val="bottom"/>
          </w:tcPr>
          <w:p w14:paraId="5A1B3022" w14:textId="77777777" w:rsidR="00960BB8" w:rsidRDefault="00960BB8">
            <w:pPr>
              <w:rPr>
                <w:rFonts w:ascii="宋体"/>
              </w:rPr>
            </w:pPr>
          </w:p>
        </w:tc>
        <w:tc>
          <w:tcPr>
            <w:tcW w:w="50" w:type="pct"/>
            <w:shd w:val="clear" w:color="auto" w:fill="auto"/>
            <w:vAlign w:val="bottom"/>
          </w:tcPr>
          <w:p w14:paraId="5A1B3023" w14:textId="77777777" w:rsidR="00960BB8" w:rsidRDefault="00960BB8">
            <w:pPr>
              <w:rPr>
                <w:rFonts w:ascii="宋体"/>
              </w:rPr>
            </w:pPr>
          </w:p>
        </w:tc>
        <w:tc>
          <w:tcPr>
            <w:tcW w:w="492" w:type="pct"/>
            <w:shd w:val="clear" w:color="auto" w:fill="auto"/>
            <w:vAlign w:val="bottom"/>
          </w:tcPr>
          <w:p w14:paraId="5A1B3024" w14:textId="77777777" w:rsidR="00960BB8" w:rsidRDefault="00960BB8">
            <w:pPr>
              <w:rPr>
                <w:rFonts w:ascii="宋体"/>
              </w:rPr>
            </w:pPr>
          </w:p>
        </w:tc>
        <w:tc>
          <w:tcPr>
            <w:tcW w:w="5" w:type="pct"/>
            <w:shd w:val="clear" w:color="auto" w:fill="auto"/>
            <w:vAlign w:val="bottom"/>
          </w:tcPr>
          <w:p w14:paraId="5A1B3025" w14:textId="77777777" w:rsidR="00960BB8" w:rsidRDefault="00960BB8">
            <w:pPr>
              <w:rPr>
                <w:rFonts w:ascii="宋体"/>
              </w:rPr>
            </w:pPr>
          </w:p>
        </w:tc>
        <w:tc>
          <w:tcPr>
            <w:tcW w:w="5" w:type="pct"/>
            <w:shd w:val="clear" w:color="auto" w:fill="auto"/>
            <w:vAlign w:val="bottom"/>
          </w:tcPr>
          <w:p w14:paraId="5A1B3026" w14:textId="77777777" w:rsidR="00960BB8" w:rsidRDefault="00960BB8">
            <w:pPr>
              <w:rPr>
                <w:rFonts w:ascii="宋体"/>
              </w:rPr>
            </w:pPr>
          </w:p>
        </w:tc>
        <w:tc>
          <w:tcPr>
            <w:tcW w:w="24" w:type="pct"/>
            <w:shd w:val="clear" w:color="auto" w:fill="auto"/>
            <w:vAlign w:val="bottom"/>
          </w:tcPr>
          <w:p w14:paraId="5A1B3027" w14:textId="77777777" w:rsidR="00960BB8" w:rsidRDefault="00960BB8">
            <w:pPr>
              <w:rPr>
                <w:rFonts w:ascii="宋体"/>
              </w:rPr>
            </w:pPr>
          </w:p>
        </w:tc>
        <w:tc>
          <w:tcPr>
            <w:tcW w:w="5" w:type="pct"/>
            <w:shd w:val="clear" w:color="auto" w:fill="auto"/>
            <w:vAlign w:val="bottom"/>
          </w:tcPr>
          <w:p w14:paraId="5A1B3028" w14:textId="77777777" w:rsidR="00960BB8" w:rsidRDefault="00960BB8">
            <w:pPr>
              <w:rPr>
                <w:rFonts w:ascii="宋体"/>
              </w:rPr>
            </w:pPr>
          </w:p>
        </w:tc>
        <w:tc>
          <w:tcPr>
            <w:tcW w:w="50" w:type="pct"/>
            <w:shd w:val="clear" w:color="auto" w:fill="auto"/>
            <w:vAlign w:val="bottom"/>
          </w:tcPr>
          <w:p w14:paraId="5A1B3029" w14:textId="77777777" w:rsidR="00960BB8" w:rsidRDefault="00960BB8">
            <w:pPr>
              <w:rPr>
                <w:rFonts w:ascii="宋体"/>
              </w:rPr>
            </w:pPr>
          </w:p>
        </w:tc>
        <w:tc>
          <w:tcPr>
            <w:tcW w:w="492" w:type="pct"/>
            <w:shd w:val="clear" w:color="auto" w:fill="auto"/>
            <w:vAlign w:val="bottom"/>
          </w:tcPr>
          <w:p w14:paraId="5A1B302A" w14:textId="77777777" w:rsidR="00960BB8" w:rsidRDefault="00960BB8">
            <w:pPr>
              <w:rPr>
                <w:rFonts w:ascii="宋体"/>
              </w:rPr>
            </w:pPr>
          </w:p>
        </w:tc>
        <w:tc>
          <w:tcPr>
            <w:tcW w:w="5" w:type="pct"/>
            <w:shd w:val="clear" w:color="auto" w:fill="auto"/>
            <w:vAlign w:val="bottom"/>
          </w:tcPr>
          <w:p w14:paraId="5A1B302B" w14:textId="77777777" w:rsidR="00960BB8" w:rsidRDefault="00960BB8">
            <w:pPr>
              <w:rPr>
                <w:rFonts w:ascii="宋体"/>
              </w:rPr>
            </w:pPr>
          </w:p>
        </w:tc>
        <w:tc>
          <w:tcPr>
            <w:tcW w:w="5" w:type="pct"/>
            <w:shd w:val="clear" w:color="auto" w:fill="auto"/>
            <w:vAlign w:val="bottom"/>
          </w:tcPr>
          <w:p w14:paraId="5A1B302C" w14:textId="77777777" w:rsidR="00960BB8" w:rsidRDefault="00960BB8">
            <w:pPr>
              <w:rPr>
                <w:rFonts w:ascii="宋体"/>
              </w:rPr>
            </w:pPr>
          </w:p>
        </w:tc>
        <w:tc>
          <w:tcPr>
            <w:tcW w:w="24" w:type="pct"/>
            <w:shd w:val="clear" w:color="auto" w:fill="auto"/>
            <w:vAlign w:val="bottom"/>
          </w:tcPr>
          <w:p w14:paraId="5A1B302D" w14:textId="77777777" w:rsidR="00960BB8" w:rsidRDefault="00960BB8">
            <w:pPr>
              <w:rPr>
                <w:rFonts w:ascii="宋体"/>
              </w:rPr>
            </w:pPr>
          </w:p>
        </w:tc>
        <w:tc>
          <w:tcPr>
            <w:tcW w:w="5" w:type="pct"/>
            <w:shd w:val="clear" w:color="auto" w:fill="auto"/>
            <w:vAlign w:val="bottom"/>
          </w:tcPr>
          <w:p w14:paraId="5A1B302E" w14:textId="77777777" w:rsidR="00960BB8" w:rsidRDefault="00960BB8">
            <w:pPr>
              <w:rPr>
                <w:rFonts w:ascii="宋体"/>
              </w:rPr>
            </w:pPr>
          </w:p>
        </w:tc>
        <w:tc>
          <w:tcPr>
            <w:tcW w:w="50" w:type="pct"/>
            <w:shd w:val="clear" w:color="auto" w:fill="auto"/>
            <w:vAlign w:val="bottom"/>
          </w:tcPr>
          <w:p w14:paraId="5A1B302F" w14:textId="77777777" w:rsidR="00960BB8" w:rsidRDefault="00960BB8">
            <w:pPr>
              <w:rPr>
                <w:rFonts w:ascii="宋体"/>
              </w:rPr>
            </w:pPr>
          </w:p>
        </w:tc>
        <w:tc>
          <w:tcPr>
            <w:tcW w:w="492" w:type="pct"/>
            <w:shd w:val="clear" w:color="auto" w:fill="auto"/>
            <w:vAlign w:val="bottom"/>
          </w:tcPr>
          <w:p w14:paraId="5A1B3030" w14:textId="77777777" w:rsidR="00960BB8" w:rsidRDefault="00960BB8">
            <w:pPr>
              <w:rPr>
                <w:rFonts w:ascii="宋体"/>
              </w:rPr>
            </w:pPr>
          </w:p>
        </w:tc>
        <w:tc>
          <w:tcPr>
            <w:tcW w:w="5" w:type="pct"/>
            <w:shd w:val="clear" w:color="auto" w:fill="auto"/>
            <w:vAlign w:val="bottom"/>
          </w:tcPr>
          <w:p w14:paraId="5A1B3031" w14:textId="77777777" w:rsidR="00960BB8" w:rsidRDefault="00960BB8">
            <w:pPr>
              <w:rPr>
                <w:rFonts w:ascii="宋体"/>
              </w:rPr>
            </w:pPr>
          </w:p>
        </w:tc>
        <w:tc>
          <w:tcPr>
            <w:tcW w:w="5" w:type="pct"/>
            <w:shd w:val="clear" w:color="auto" w:fill="auto"/>
            <w:vAlign w:val="bottom"/>
          </w:tcPr>
          <w:p w14:paraId="5A1B3032" w14:textId="77777777" w:rsidR="00960BB8" w:rsidRDefault="00960BB8">
            <w:pPr>
              <w:rPr>
                <w:rFonts w:ascii="宋体"/>
              </w:rPr>
            </w:pPr>
          </w:p>
        </w:tc>
        <w:tc>
          <w:tcPr>
            <w:tcW w:w="24" w:type="pct"/>
            <w:shd w:val="clear" w:color="auto" w:fill="auto"/>
            <w:vAlign w:val="bottom"/>
          </w:tcPr>
          <w:p w14:paraId="5A1B3033" w14:textId="77777777" w:rsidR="00960BB8" w:rsidRDefault="00960BB8">
            <w:pPr>
              <w:rPr>
                <w:rFonts w:ascii="宋体"/>
              </w:rPr>
            </w:pPr>
          </w:p>
        </w:tc>
        <w:tc>
          <w:tcPr>
            <w:tcW w:w="5" w:type="pct"/>
            <w:shd w:val="clear" w:color="auto" w:fill="auto"/>
            <w:vAlign w:val="bottom"/>
          </w:tcPr>
          <w:p w14:paraId="5A1B3034" w14:textId="77777777" w:rsidR="00960BB8" w:rsidRDefault="00960BB8">
            <w:pPr>
              <w:rPr>
                <w:rFonts w:ascii="宋体"/>
              </w:rPr>
            </w:pPr>
          </w:p>
        </w:tc>
        <w:tc>
          <w:tcPr>
            <w:tcW w:w="50" w:type="pct"/>
            <w:shd w:val="clear" w:color="auto" w:fill="auto"/>
            <w:vAlign w:val="bottom"/>
          </w:tcPr>
          <w:p w14:paraId="5A1B3035" w14:textId="77777777" w:rsidR="00960BB8" w:rsidRDefault="00960BB8">
            <w:pPr>
              <w:rPr>
                <w:rFonts w:ascii="宋体"/>
              </w:rPr>
            </w:pPr>
          </w:p>
        </w:tc>
        <w:tc>
          <w:tcPr>
            <w:tcW w:w="492" w:type="pct"/>
            <w:shd w:val="clear" w:color="auto" w:fill="auto"/>
            <w:vAlign w:val="bottom"/>
          </w:tcPr>
          <w:p w14:paraId="5A1B3036" w14:textId="77777777" w:rsidR="00960BB8" w:rsidRDefault="00960BB8">
            <w:pPr>
              <w:rPr>
                <w:rFonts w:ascii="宋体"/>
              </w:rPr>
            </w:pPr>
          </w:p>
        </w:tc>
        <w:tc>
          <w:tcPr>
            <w:tcW w:w="5" w:type="pct"/>
            <w:shd w:val="clear" w:color="auto" w:fill="auto"/>
            <w:vAlign w:val="bottom"/>
          </w:tcPr>
          <w:p w14:paraId="5A1B3037" w14:textId="77777777" w:rsidR="00960BB8" w:rsidRDefault="00960BB8">
            <w:pPr>
              <w:rPr>
                <w:rFonts w:ascii="宋体"/>
              </w:rPr>
            </w:pPr>
          </w:p>
        </w:tc>
        <w:tc>
          <w:tcPr>
            <w:tcW w:w="5" w:type="pct"/>
            <w:shd w:val="clear" w:color="auto" w:fill="auto"/>
            <w:vAlign w:val="bottom"/>
          </w:tcPr>
          <w:p w14:paraId="5A1B3038" w14:textId="77777777" w:rsidR="00960BB8" w:rsidRDefault="00960BB8">
            <w:pPr>
              <w:rPr>
                <w:rFonts w:ascii="宋体"/>
              </w:rPr>
            </w:pPr>
          </w:p>
        </w:tc>
        <w:tc>
          <w:tcPr>
            <w:tcW w:w="24" w:type="pct"/>
            <w:shd w:val="clear" w:color="auto" w:fill="auto"/>
            <w:vAlign w:val="bottom"/>
          </w:tcPr>
          <w:p w14:paraId="5A1B3039" w14:textId="77777777" w:rsidR="00960BB8" w:rsidRDefault="00960BB8">
            <w:pPr>
              <w:rPr>
                <w:rFonts w:ascii="宋体"/>
              </w:rPr>
            </w:pPr>
          </w:p>
        </w:tc>
        <w:tc>
          <w:tcPr>
            <w:tcW w:w="5" w:type="pct"/>
            <w:shd w:val="clear" w:color="auto" w:fill="auto"/>
            <w:vAlign w:val="bottom"/>
          </w:tcPr>
          <w:p w14:paraId="5A1B303A" w14:textId="77777777" w:rsidR="00960BB8" w:rsidRDefault="00960BB8">
            <w:pPr>
              <w:rPr>
                <w:rFonts w:ascii="宋体"/>
              </w:rPr>
            </w:pPr>
          </w:p>
        </w:tc>
        <w:tc>
          <w:tcPr>
            <w:tcW w:w="50" w:type="pct"/>
            <w:shd w:val="clear" w:color="auto" w:fill="auto"/>
            <w:vAlign w:val="bottom"/>
          </w:tcPr>
          <w:p w14:paraId="5A1B303B" w14:textId="77777777" w:rsidR="00960BB8" w:rsidRDefault="00960BB8">
            <w:pPr>
              <w:rPr>
                <w:rFonts w:ascii="宋体"/>
              </w:rPr>
            </w:pPr>
          </w:p>
        </w:tc>
        <w:tc>
          <w:tcPr>
            <w:tcW w:w="492" w:type="pct"/>
            <w:shd w:val="clear" w:color="auto" w:fill="auto"/>
            <w:vAlign w:val="bottom"/>
          </w:tcPr>
          <w:p w14:paraId="5A1B303C" w14:textId="77777777" w:rsidR="00960BB8" w:rsidRDefault="00960BB8">
            <w:pPr>
              <w:rPr>
                <w:rFonts w:ascii="宋体"/>
              </w:rPr>
            </w:pPr>
          </w:p>
        </w:tc>
        <w:tc>
          <w:tcPr>
            <w:tcW w:w="5" w:type="pct"/>
            <w:shd w:val="clear" w:color="auto" w:fill="auto"/>
            <w:vAlign w:val="bottom"/>
          </w:tcPr>
          <w:p w14:paraId="5A1B303D" w14:textId="77777777" w:rsidR="00960BB8" w:rsidRDefault="00960BB8">
            <w:pPr>
              <w:rPr>
                <w:rFonts w:ascii="宋体"/>
              </w:rPr>
            </w:pPr>
          </w:p>
        </w:tc>
        <w:tc>
          <w:tcPr>
            <w:tcW w:w="5" w:type="pct"/>
            <w:shd w:val="clear" w:color="auto" w:fill="auto"/>
            <w:vAlign w:val="bottom"/>
          </w:tcPr>
          <w:p w14:paraId="5A1B303E" w14:textId="77777777" w:rsidR="00960BB8" w:rsidRDefault="00960BB8">
            <w:pPr>
              <w:rPr>
                <w:rFonts w:ascii="宋体"/>
              </w:rPr>
            </w:pPr>
          </w:p>
        </w:tc>
        <w:tc>
          <w:tcPr>
            <w:tcW w:w="24" w:type="pct"/>
            <w:shd w:val="clear" w:color="auto" w:fill="auto"/>
            <w:vAlign w:val="bottom"/>
          </w:tcPr>
          <w:p w14:paraId="5A1B303F" w14:textId="77777777" w:rsidR="00960BB8" w:rsidRDefault="00960BB8">
            <w:pPr>
              <w:rPr>
                <w:rFonts w:ascii="宋体"/>
              </w:rPr>
            </w:pPr>
          </w:p>
        </w:tc>
        <w:tc>
          <w:tcPr>
            <w:tcW w:w="5" w:type="pct"/>
            <w:shd w:val="clear" w:color="auto" w:fill="auto"/>
            <w:vAlign w:val="bottom"/>
          </w:tcPr>
          <w:p w14:paraId="5A1B3040" w14:textId="77777777" w:rsidR="00960BB8" w:rsidRDefault="00960BB8">
            <w:pPr>
              <w:rPr>
                <w:rFonts w:ascii="宋体"/>
              </w:rPr>
            </w:pPr>
          </w:p>
        </w:tc>
        <w:tc>
          <w:tcPr>
            <w:tcW w:w="50" w:type="pct"/>
            <w:shd w:val="clear" w:color="auto" w:fill="auto"/>
            <w:vAlign w:val="bottom"/>
          </w:tcPr>
          <w:p w14:paraId="5A1B3041" w14:textId="77777777" w:rsidR="00960BB8" w:rsidRDefault="00960BB8">
            <w:pPr>
              <w:rPr>
                <w:rFonts w:ascii="宋体"/>
              </w:rPr>
            </w:pPr>
          </w:p>
        </w:tc>
        <w:tc>
          <w:tcPr>
            <w:tcW w:w="493" w:type="pct"/>
            <w:shd w:val="clear" w:color="auto" w:fill="auto"/>
            <w:vAlign w:val="bottom"/>
          </w:tcPr>
          <w:p w14:paraId="5A1B3042" w14:textId="77777777" w:rsidR="00960BB8" w:rsidRDefault="00960BB8">
            <w:pPr>
              <w:rPr>
                <w:rFonts w:ascii="宋体"/>
              </w:rPr>
            </w:pPr>
          </w:p>
        </w:tc>
        <w:tc>
          <w:tcPr>
            <w:tcW w:w="5" w:type="pct"/>
            <w:shd w:val="clear" w:color="auto" w:fill="auto"/>
            <w:vAlign w:val="bottom"/>
          </w:tcPr>
          <w:p w14:paraId="5A1B3043" w14:textId="77777777" w:rsidR="00960BB8" w:rsidRDefault="00960BB8">
            <w:pPr>
              <w:rPr>
                <w:rFonts w:ascii="宋体"/>
              </w:rPr>
            </w:pPr>
          </w:p>
        </w:tc>
      </w:tr>
      <w:tr w:rsidR="00960BB8" w14:paraId="5A1B3048" w14:textId="77777777">
        <w:tc>
          <w:tcPr>
            <w:tcW w:w="0" w:type="auto"/>
            <w:gridSpan w:val="3"/>
            <w:shd w:val="clear" w:color="auto" w:fill="auto"/>
            <w:tcMar>
              <w:top w:w="0" w:type="dxa"/>
              <w:left w:w="20" w:type="dxa"/>
              <w:bottom w:w="0" w:type="dxa"/>
              <w:right w:w="20" w:type="dxa"/>
            </w:tcMar>
            <w:vAlign w:val="bottom"/>
          </w:tcPr>
          <w:p w14:paraId="5A1B304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46" w14:textId="77777777" w:rsidR="00960BB8" w:rsidRDefault="00960BB8">
            <w:pPr>
              <w:rPr>
                <w:rFonts w:ascii="宋体"/>
              </w:rPr>
            </w:pPr>
          </w:p>
        </w:tc>
        <w:tc>
          <w:tcPr>
            <w:tcW w:w="0" w:type="auto"/>
            <w:gridSpan w:val="33"/>
            <w:shd w:val="clear" w:color="auto" w:fill="auto"/>
            <w:tcMar>
              <w:top w:w="40" w:type="dxa"/>
              <w:left w:w="20" w:type="dxa"/>
              <w:bottom w:w="40" w:type="dxa"/>
              <w:right w:w="20" w:type="dxa"/>
            </w:tcMar>
            <w:vAlign w:val="bottom"/>
          </w:tcPr>
          <w:p w14:paraId="5A1B3047" w14:textId="77777777" w:rsidR="00960BB8" w:rsidRDefault="00C06650">
            <w:pPr>
              <w:jc w:val="center"/>
              <w:textAlignment w:val="bottom"/>
            </w:pPr>
            <w:r>
              <w:rPr>
                <w:rFonts w:ascii="Arial" w:eastAsia="宋体" w:hAnsi="Arial" w:cs="Arial"/>
                <w:b/>
                <w:bCs/>
                <w:color w:val="262626"/>
                <w:sz w:val="18"/>
                <w:szCs w:val="18"/>
              </w:rPr>
              <w:t>December 25, 2021</w:t>
            </w:r>
          </w:p>
        </w:tc>
      </w:tr>
      <w:tr w:rsidR="00960BB8" w14:paraId="5A1B3054" w14:textId="77777777">
        <w:tc>
          <w:tcPr>
            <w:tcW w:w="0" w:type="auto"/>
            <w:gridSpan w:val="3"/>
            <w:shd w:val="clear" w:color="auto" w:fill="auto"/>
            <w:tcMar>
              <w:top w:w="0" w:type="dxa"/>
              <w:left w:w="20" w:type="dxa"/>
              <w:bottom w:w="0" w:type="dxa"/>
              <w:right w:w="20" w:type="dxa"/>
            </w:tcMar>
            <w:vAlign w:val="bottom"/>
          </w:tcPr>
          <w:p w14:paraId="5A1B304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4A"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04B"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04C"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04D"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04E"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04F"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050" w14:textId="77777777" w:rsidR="00960BB8" w:rsidRDefault="00960BB8">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5A1B3051" w14:textId="77777777" w:rsidR="00960BB8" w:rsidRDefault="00C06650">
            <w:pPr>
              <w:jc w:val="center"/>
              <w:textAlignment w:val="bottom"/>
            </w:pPr>
            <w:r>
              <w:rPr>
                <w:rFonts w:ascii="Arial" w:eastAsia="宋体" w:hAnsi="Arial" w:cs="Arial"/>
                <w:b/>
                <w:bCs/>
                <w:color w:val="262626"/>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052"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053" w14:textId="77777777" w:rsidR="00960BB8" w:rsidRDefault="00960BB8">
            <w:pPr>
              <w:rPr>
                <w:rFonts w:ascii="宋体"/>
              </w:rPr>
            </w:pPr>
          </w:p>
        </w:tc>
      </w:tr>
      <w:tr w:rsidR="00960BB8" w14:paraId="5A1B3062" w14:textId="77777777">
        <w:tc>
          <w:tcPr>
            <w:tcW w:w="0" w:type="auto"/>
            <w:gridSpan w:val="3"/>
            <w:shd w:val="clear" w:color="auto" w:fill="auto"/>
            <w:tcMar>
              <w:top w:w="40" w:type="dxa"/>
              <w:left w:w="20" w:type="dxa"/>
              <w:bottom w:w="40" w:type="dxa"/>
              <w:right w:w="20" w:type="dxa"/>
            </w:tcMar>
            <w:vAlign w:val="bottom"/>
          </w:tcPr>
          <w:p w14:paraId="5A1B3055" w14:textId="77777777" w:rsidR="00960BB8" w:rsidRDefault="00C06650">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5A1B305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057" w14:textId="77777777" w:rsidR="00960BB8" w:rsidRDefault="00C06650">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5A1B305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059" w14:textId="77777777" w:rsidR="00960BB8" w:rsidRDefault="00C06650">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5A1B305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05B" w14:textId="77777777" w:rsidR="00960BB8" w:rsidRDefault="00C06650">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5A1B305C"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05D" w14:textId="77777777" w:rsidR="00960BB8" w:rsidRDefault="00C06650">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05E"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05F" w14:textId="77777777" w:rsidR="00960BB8" w:rsidRDefault="00C06650">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5A1B306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061" w14:textId="77777777" w:rsidR="00960BB8" w:rsidRDefault="00C06650">
            <w:pPr>
              <w:jc w:val="center"/>
              <w:textAlignment w:val="bottom"/>
            </w:pPr>
            <w:r>
              <w:rPr>
                <w:rFonts w:ascii="Arial" w:eastAsia="宋体" w:hAnsi="Arial" w:cs="Arial"/>
                <w:b/>
                <w:bCs/>
                <w:color w:val="262626"/>
                <w:sz w:val="18"/>
                <w:szCs w:val="18"/>
              </w:rPr>
              <w:t>Net Amount</w:t>
            </w:r>
          </w:p>
        </w:tc>
      </w:tr>
      <w:tr w:rsidR="00960BB8" w14:paraId="5A1B307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3063" w14:textId="77777777" w:rsidR="00960BB8" w:rsidRDefault="00C06650">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5A1B3064"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06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66"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06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68"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06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6A"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06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6C"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06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6E"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06F" w14:textId="77777777" w:rsidR="00960BB8" w:rsidRDefault="00960BB8">
            <w:pPr>
              <w:rPr>
                <w:rFonts w:ascii="宋体"/>
              </w:rPr>
            </w:pPr>
          </w:p>
        </w:tc>
      </w:tr>
      <w:tr w:rsidR="00960BB8" w14:paraId="5A1B308A" w14:textId="77777777">
        <w:tc>
          <w:tcPr>
            <w:tcW w:w="0" w:type="auto"/>
            <w:gridSpan w:val="3"/>
            <w:shd w:val="clear" w:color="auto" w:fill="auto"/>
            <w:tcMar>
              <w:top w:w="40" w:type="dxa"/>
              <w:left w:w="140" w:type="dxa"/>
              <w:bottom w:w="40" w:type="dxa"/>
              <w:right w:w="20" w:type="dxa"/>
            </w:tcMar>
            <w:vAlign w:val="center"/>
          </w:tcPr>
          <w:p w14:paraId="5A1B3071" w14:textId="77777777" w:rsidR="00960BB8" w:rsidRDefault="00C06650">
            <w:pPr>
              <w:textAlignment w:val="center"/>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5A1B3072"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073"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074" w14:textId="77777777" w:rsidR="00960BB8" w:rsidRDefault="00C06650">
            <w:pPr>
              <w:jc w:val="right"/>
              <w:textAlignment w:val="bottom"/>
            </w:pPr>
            <w:r>
              <w:rPr>
                <w:rFonts w:ascii="Arial" w:eastAsia="宋体" w:hAnsi="Arial" w:cs="Arial"/>
                <w:color w:val="262626"/>
                <w:sz w:val="18"/>
                <w:szCs w:val="18"/>
              </w:rPr>
              <w:t>1,427 </w:t>
            </w:r>
          </w:p>
        </w:tc>
        <w:tc>
          <w:tcPr>
            <w:tcW w:w="0" w:type="auto"/>
            <w:shd w:val="clear" w:color="auto" w:fill="auto"/>
            <w:tcMar>
              <w:top w:w="40" w:type="dxa"/>
              <w:left w:w="0" w:type="dxa"/>
              <w:bottom w:w="40" w:type="dxa"/>
              <w:right w:w="20" w:type="dxa"/>
            </w:tcMar>
            <w:vAlign w:val="bottom"/>
          </w:tcPr>
          <w:p w14:paraId="5A1B307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76"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077"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078"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07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7A"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07B"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07C" w14:textId="77777777" w:rsidR="00960BB8" w:rsidRDefault="00C06650">
            <w:pPr>
              <w:jc w:val="right"/>
              <w:textAlignment w:val="bottom"/>
            </w:pPr>
            <w:r>
              <w:rPr>
                <w:rFonts w:ascii="Arial" w:eastAsia="宋体" w:hAnsi="Arial" w:cs="Arial"/>
                <w:color w:val="262626"/>
                <w:sz w:val="18"/>
                <w:szCs w:val="18"/>
              </w:rPr>
              <w:t>1,427 </w:t>
            </w:r>
          </w:p>
        </w:tc>
        <w:tc>
          <w:tcPr>
            <w:tcW w:w="0" w:type="auto"/>
            <w:shd w:val="clear" w:color="auto" w:fill="auto"/>
            <w:tcMar>
              <w:top w:w="40" w:type="dxa"/>
              <w:left w:w="0" w:type="dxa"/>
              <w:bottom w:w="40" w:type="dxa"/>
              <w:right w:w="20" w:type="dxa"/>
            </w:tcMar>
            <w:vAlign w:val="bottom"/>
          </w:tcPr>
          <w:p w14:paraId="5A1B307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7E"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07F"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080" w14:textId="77777777" w:rsidR="00960BB8" w:rsidRDefault="00C06650">
            <w:pPr>
              <w:jc w:val="right"/>
              <w:textAlignment w:val="bottom"/>
            </w:pPr>
            <w:r>
              <w:rPr>
                <w:rFonts w:ascii="Arial" w:eastAsia="宋体" w:hAnsi="Arial" w:cs="Arial"/>
                <w:color w:val="262626"/>
                <w:sz w:val="18"/>
                <w:szCs w:val="18"/>
              </w:rPr>
              <w:t>(332)</w:t>
            </w:r>
          </w:p>
        </w:tc>
        <w:tc>
          <w:tcPr>
            <w:tcW w:w="0" w:type="auto"/>
            <w:shd w:val="clear" w:color="auto" w:fill="auto"/>
            <w:tcMar>
              <w:top w:w="40" w:type="dxa"/>
              <w:left w:w="0" w:type="dxa"/>
              <w:bottom w:w="40" w:type="dxa"/>
              <w:right w:w="20" w:type="dxa"/>
            </w:tcMar>
            <w:vAlign w:val="bottom"/>
          </w:tcPr>
          <w:p w14:paraId="5A1B308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82"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083"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084" w14:textId="77777777" w:rsidR="00960BB8" w:rsidRDefault="00C06650">
            <w:pPr>
              <w:jc w:val="right"/>
              <w:textAlignment w:val="bottom"/>
            </w:pPr>
            <w:r>
              <w:rPr>
                <w:rFonts w:ascii="Arial" w:eastAsia="宋体" w:hAnsi="Arial" w:cs="Arial"/>
                <w:color w:val="262626"/>
                <w:sz w:val="18"/>
                <w:szCs w:val="18"/>
              </w:rPr>
              <w:t>(986)</w:t>
            </w:r>
          </w:p>
        </w:tc>
        <w:tc>
          <w:tcPr>
            <w:tcW w:w="0" w:type="auto"/>
            <w:shd w:val="clear" w:color="auto" w:fill="auto"/>
            <w:tcMar>
              <w:top w:w="40" w:type="dxa"/>
              <w:left w:w="0" w:type="dxa"/>
              <w:bottom w:w="40" w:type="dxa"/>
              <w:right w:w="20" w:type="dxa"/>
            </w:tcMar>
            <w:vAlign w:val="bottom"/>
          </w:tcPr>
          <w:p w14:paraId="5A1B308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86"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087"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088" w14:textId="77777777" w:rsidR="00960BB8" w:rsidRDefault="00C06650">
            <w:pPr>
              <w:jc w:val="right"/>
              <w:textAlignment w:val="bottom"/>
            </w:pPr>
            <w:r>
              <w:rPr>
                <w:rFonts w:ascii="Arial" w:eastAsia="宋体" w:hAnsi="Arial" w:cs="Arial"/>
                <w:color w:val="262626"/>
                <w:sz w:val="18"/>
                <w:szCs w:val="18"/>
              </w:rPr>
              <w:t>109 </w:t>
            </w:r>
          </w:p>
        </w:tc>
        <w:tc>
          <w:tcPr>
            <w:tcW w:w="0" w:type="auto"/>
            <w:shd w:val="clear" w:color="auto" w:fill="auto"/>
            <w:tcMar>
              <w:top w:w="40" w:type="dxa"/>
              <w:left w:w="0" w:type="dxa"/>
              <w:bottom w:w="40" w:type="dxa"/>
              <w:right w:w="20" w:type="dxa"/>
            </w:tcMar>
            <w:vAlign w:val="bottom"/>
          </w:tcPr>
          <w:p w14:paraId="5A1B3089" w14:textId="77777777" w:rsidR="00960BB8" w:rsidRDefault="00960BB8">
            <w:pPr>
              <w:jc w:val="right"/>
              <w:rPr>
                <w:rFonts w:ascii="宋体"/>
              </w:rPr>
            </w:pPr>
          </w:p>
        </w:tc>
      </w:tr>
      <w:tr w:rsidR="00960BB8" w14:paraId="5A1B309E" w14:textId="77777777">
        <w:tc>
          <w:tcPr>
            <w:tcW w:w="0" w:type="auto"/>
            <w:gridSpan w:val="3"/>
            <w:shd w:val="clear" w:color="auto" w:fill="auto"/>
            <w:tcMar>
              <w:top w:w="40" w:type="dxa"/>
              <w:left w:w="140" w:type="dxa"/>
              <w:bottom w:w="40" w:type="dxa"/>
              <w:right w:w="20" w:type="dxa"/>
            </w:tcMar>
            <w:vAlign w:val="bottom"/>
          </w:tcPr>
          <w:p w14:paraId="5A1B308B" w14:textId="77777777" w:rsidR="00960BB8" w:rsidRDefault="00C06650">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5A1B308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8D" w14:textId="77777777" w:rsidR="00960BB8" w:rsidRDefault="00C06650">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5A1B308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8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90"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09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9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93" w14:textId="77777777" w:rsidR="00960BB8" w:rsidRDefault="00C06650">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5A1B309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9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96"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09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9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99" w14:textId="77777777" w:rsidR="00960BB8" w:rsidRDefault="00C06650">
            <w:pPr>
              <w:jc w:val="right"/>
              <w:textAlignment w:val="bottom"/>
            </w:pPr>
            <w:r>
              <w:rPr>
                <w:rFonts w:ascii="Arial" w:eastAsia="宋体" w:hAnsi="Arial" w:cs="Arial"/>
                <w:color w:val="262626"/>
                <w:sz w:val="18"/>
                <w:szCs w:val="18"/>
              </w:rPr>
              <w:t>(1,595)</w:t>
            </w:r>
          </w:p>
        </w:tc>
        <w:tc>
          <w:tcPr>
            <w:tcW w:w="0" w:type="auto"/>
            <w:shd w:val="clear" w:color="auto" w:fill="auto"/>
            <w:tcMar>
              <w:top w:w="40" w:type="dxa"/>
              <w:left w:w="0" w:type="dxa"/>
              <w:bottom w:w="40" w:type="dxa"/>
              <w:right w:w="20" w:type="dxa"/>
            </w:tcMar>
            <w:vAlign w:val="bottom"/>
          </w:tcPr>
          <w:p w14:paraId="5A1B309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9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9C"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09D" w14:textId="77777777" w:rsidR="00960BB8" w:rsidRDefault="00960BB8">
            <w:pPr>
              <w:jc w:val="right"/>
              <w:rPr>
                <w:rFonts w:ascii="宋体"/>
              </w:rPr>
            </w:pPr>
          </w:p>
        </w:tc>
      </w:tr>
      <w:tr w:rsidR="00960BB8" w14:paraId="5A1B30B2" w14:textId="77777777">
        <w:tc>
          <w:tcPr>
            <w:tcW w:w="0" w:type="auto"/>
            <w:gridSpan w:val="3"/>
            <w:shd w:val="clear" w:color="auto" w:fill="auto"/>
            <w:tcMar>
              <w:top w:w="40" w:type="dxa"/>
              <w:left w:w="20" w:type="dxa"/>
              <w:bottom w:w="40" w:type="dxa"/>
              <w:right w:w="20" w:type="dxa"/>
            </w:tcMar>
            <w:vAlign w:val="bottom"/>
          </w:tcPr>
          <w:p w14:paraId="5A1B309F" w14:textId="77777777" w:rsidR="00960BB8" w:rsidRDefault="00C06650">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5A1B30A0"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30A1" w14:textId="77777777" w:rsidR="00960BB8" w:rsidRDefault="00C06650">
            <w:pPr>
              <w:jc w:val="right"/>
              <w:textAlignment w:val="bottom"/>
            </w:pPr>
            <w:r>
              <w:rPr>
                <w:rFonts w:ascii="Arial" w:eastAsia="宋体" w:hAnsi="Arial" w:cs="Arial"/>
                <w:b/>
                <w:bCs/>
                <w:color w:val="262626"/>
                <w:sz w:val="18"/>
                <w:szCs w:val="18"/>
              </w:rPr>
              <w:t>3,022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0A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A3"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30A4" w14:textId="77777777" w:rsidR="00960BB8" w:rsidRDefault="00C06650">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0A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A6"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30A7" w14:textId="77777777" w:rsidR="00960BB8" w:rsidRDefault="00C06650">
            <w:pPr>
              <w:jc w:val="right"/>
              <w:textAlignment w:val="bottom"/>
            </w:pPr>
            <w:r>
              <w:rPr>
                <w:rFonts w:ascii="Arial" w:eastAsia="宋体" w:hAnsi="Arial" w:cs="Arial"/>
                <w:b/>
                <w:bCs/>
                <w:color w:val="262626"/>
                <w:sz w:val="18"/>
                <w:szCs w:val="18"/>
              </w:rPr>
              <w:t>3,022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0A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A9"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30AA" w14:textId="77777777" w:rsidR="00960BB8" w:rsidRDefault="00C06650">
            <w:pPr>
              <w:jc w:val="right"/>
              <w:textAlignment w:val="bottom"/>
            </w:pPr>
            <w:r>
              <w:rPr>
                <w:rFonts w:ascii="Arial" w:eastAsia="宋体" w:hAnsi="Arial" w:cs="Arial"/>
                <w:b/>
                <w:bCs/>
                <w:color w:val="262626"/>
                <w:sz w:val="18"/>
                <w:szCs w:val="18"/>
              </w:rPr>
              <w:t>(332)</w:t>
            </w:r>
          </w:p>
        </w:tc>
        <w:tc>
          <w:tcPr>
            <w:tcW w:w="0" w:type="auto"/>
            <w:tcBorders>
              <w:top w:val="single" w:sz="4" w:space="0" w:color="262626"/>
            </w:tcBorders>
            <w:shd w:val="clear" w:color="auto" w:fill="auto"/>
            <w:tcMar>
              <w:top w:w="40" w:type="dxa"/>
              <w:left w:w="0" w:type="dxa"/>
              <w:bottom w:w="40" w:type="dxa"/>
              <w:right w:w="20" w:type="dxa"/>
            </w:tcMar>
            <w:vAlign w:val="bottom"/>
          </w:tcPr>
          <w:p w14:paraId="5A1B30A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AC"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30AD" w14:textId="77777777" w:rsidR="00960BB8" w:rsidRDefault="00C06650">
            <w:pPr>
              <w:jc w:val="right"/>
              <w:textAlignment w:val="bottom"/>
            </w:pPr>
            <w:r>
              <w:rPr>
                <w:rFonts w:ascii="Arial" w:eastAsia="宋体" w:hAnsi="Arial" w:cs="Arial"/>
                <w:b/>
                <w:bCs/>
                <w:color w:val="262626"/>
                <w:sz w:val="18"/>
                <w:szCs w:val="18"/>
              </w:rPr>
              <w:t>(2,581)</w:t>
            </w:r>
          </w:p>
        </w:tc>
        <w:tc>
          <w:tcPr>
            <w:tcW w:w="0" w:type="auto"/>
            <w:tcBorders>
              <w:top w:val="single" w:sz="4" w:space="0" w:color="262626"/>
            </w:tcBorders>
            <w:shd w:val="clear" w:color="auto" w:fill="auto"/>
            <w:tcMar>
              <w:top w:w="40" w:type="dxa"/>
              <w:left w:w="0" w:type="dxa"/>
              <w:bottom w:w="40" w:type="dxa"/>
              <w:right w:w="20" w:type="dxa"/>
            </w:tcMar>
            <w:vAlign w:val="bottom"/>
          </w:tcPr>
          <w:p w14:paraId="5A1B30A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AF" w14:textId="77777777" w:rsidR="00960BB8" w:rsidRDefault="00960BB8">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5A1B30B0" w14:textId="77777777" w:rsidR="00960BB8" w:rsidRDefault="00C06650">
            <w:pPr>
              <w:jc w:val="right"/>
              <w:textAlignment w:val="bottom"/>
            </w:pPr>
            <w:r>
              <w:rPr>
                <w:rFonts w:ascii="Arial" w:eastAsia="宋体" w:hAnsi="Arial" w:cs="Arial"/>
                <w:b/>
                <w:bCs/>
                <w:color w:val="262626"/>
                <w:sz w:val="18"/>
                <w:szCs w:val="18"/>
              </w:rPr>
              <w:t>109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0B1" w14:textId="77777777" w:rsidR="00960BB8" w:rsidRDefault="00960BB8">
            <w:pPr>
              <w:jc w:val="right"/>
              <w:rPr>
                <w:rFonts w:ascii="宋体"/>
              </w:rPr>
            </w:pPr>
          </w:p>
        </w:tc>
      </w:tr>
      <w:tr w:rsidR="00960BB8" w14:paraId="5A1B30C0" w14:textId="77777777">
        <w:tc>
          <w:tcPr>
            <w:tcW w:w="0" w:type="auto"/>
            <w:gridSpan w:val="3"/>
            <w:shd w:val="clear" w:color="auto" w:fill="auto"/>
            <w:tcMar>
              <w:top w:w="40" w:type="dxa"/>
              <w:left w:w="20" w:type="dxa"/>
              <w:bottom w:w="40" w:type="dxa"/>
              <w:right w:w="20" w:type="dxa"/>
            </w:tcMar>
            <w:vAlign w:val="bottom"/>
          </w:tcPr>
          <w:p w14:paraId="5A1B30B3" w14:textId="77777777" w:rsidR="00960BB8" w:rsidRDefault="00C06650">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5A1B30B4"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30B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B6"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30B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B8"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30B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BA"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30B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BC"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30B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0BE"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30BF" w14:textId="77777777" w:rsidR="00960BB8" w:rsidRDefault="00960BB8">
            <w:pPr>
              <w:rPr>
                <w:rFonts w:ascii="宋体"/>
              </w:rPr>
            </w:pPr>
          </w:p>
        </w:tc>
      </w:tr>
      <w:tr w:rsidR="00960BB8" w14:paraId="5A1B30D4" w14:textId="77777777">
        <w:tc>
          <w:tcPr>
            <w:tcW w:w="0" w:type="auto"/>
            <w:gridSpan w:val="3"/>
            <w:shd w:val="clear" w:color="auto" w:fill="auto"/>
            <w:tcMar>
              <w:top w:w="40" w:type="dxa"/>
              <w:left w:w="140" w:type="dxa"/>
              <w:bottom w:w="40" w:type="dxa"/>
              <w:right w:w="20" w:type="dxa"/>
            </w:tcMar>
            <w:vAlign w:val="center"/>
          </w:tcPr>
          <w:p w14:paraId="5A1B30C1" w14:textId="77777777" w:rsidR="00960BB8" w:rsidRDefault="00C06650">
            <w:pPr>
              <w:textAlignment w:val="center"/>
            </w:pPr>
            <w:r>
              <w:rPr>
                <w:rFonts w:ascii="Arial" w:eastAsia="宋体" w:hAnsi="Arial" w:cs="Arial"/>
                <w:color w:val="262626"/>
                <w:sz w:val="18"/>
                <w:szCs w:val="18"/>
              </w:rPr>
              <w:t>Derivative liabilities subject to master netting arrangements</w:t>
            </w:r>
          </w:p>
        </w:tc>
        <w:tc>
          <w:tcPr>
            <w:tcW w:w="0" w:type="auto"/>
            <w:gridSpan w:val="3"/>
            <w:shd w:val="clear" w:color="auto" w:fill="auto"/>
            <w:tcMar>
              <w:top w:w="0" w:type="dxa"/>
              <w:left w:w="20" w:type="dxa"/>
              <w:bottom w:w="0" w:type="dxa"/>
              <w:right w:w="20" w:type="dxa"/>
            </w:tcMar>
            <w:vAlign w:val="bottom"/>
          </w:tcPr>
          <w:p w14:paraId="5A1B30C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C3" w14:textId="77777777" w:rsidR="00960BB8" w:rsidRDefault="00C06650">
            <w:pPr>
              <w:jc w:val="right"/>
              <w:textAlignment w:val="bottom"/>
            </w:pPr>
            <w:r>
              <w:rPr>
                <w:rFonts w:ascii="Arial" w:eastAsia="宋体" w:hAnsi="Arial" w:cs="Arial"/>
                <w:color w:val="262626"/>
                <w:sz w:val="18"/>
                <w:szCs w:val="18"/>
              </w:rPr>
              <w:t>392 </w:t>
            </w:r>
          </w:p>
        </w:tc>
        <w:tc>
          <w:tcPr>
            <w:tcW w:w="0" w:type="auto"/>
            <w:shd w:val="clear" w:color="auto" w:fill="auto"/>
            <w:tcMar>
              <w:top w:w="40" w:type="dxa"/>
              <w:left w:w="0" w:type="dxa"/>
              <w:bottom w:w="40" w:type="dxa"/>
              <w:right w:w="20" w:type="dxa"/>
            </w:tcMar>
            <w:vAlign w:val="bottom"/>
          </w:tcPr>
          <w:p w14:paraId="5A1B30C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C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C6"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0C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C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C9" w14:textId="77777777" w:rsidR="00960BB8" w:rsidRDefault="00C06650">
            <w:pPr>
              <w:jc w:val="right"/>
              <w:textAlignment w:val="bottom"/>
            </w:pPr>
            <w:r>
              <w:rPr>
                <w:rFonts w:ascii="Arial" w:eastAsia="宋体" w:hAnsi="Arial" w:cs="Arial"/>
                <w:color w:val="262626"/>
                <w:sz w:val="18"/>
                <w:szCs w:val="18"/>
              </w:rPr>
              <w:t>392 </w:t>
            </w:r>
          </w:p>
        </w:tc>
        <w:tc>
          <w:tcPr>
            <w:tcW w:w="0" w:type="auto"/>
            <w:shd w:val="clear" w:color="auto" w:fill="auto"/>
            <w:tcMar>
              <w:top w:w="40" w:type="dxa"/>
              <w:left w:w="0" w:type="dxa"/>
              <w:bottom w:w="40" w:type="dxa"/>
              <w:right w:w="20" w:type="dxa"/>
            </w:tcMar>
            <w:vAlign w:val="bottom"/>
          </w:tcPr>
          <w:p w14:paraId="5A1B30C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C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CC" w14:textId="77777777" w:rsidR="00960BB8" w:rsidRDefault="00C06650">
            <w:pPr>
              <w:jc w:val="right"/>
              <w:textAlignment w:val="bottom"/>
            </w:pPr>
            <w:r>
              <w:rPr>
                <w:rFonts w:ascii="Arial" w:eastAsia="宋体" w:hAnsi="Arial" w:cs="Arial"/>
                <w:color w:val="262626"/>
                <w:sz w:val="18"/>
                <w:szCs w:val="18"/>
              </w:rPr>
              <w:t>(332)</w:t>
            </w:r>
          </w:p>
        </w:tc>
        <w:tc>
          <w:tcPr>
            <w:tcW w:w="0" w:type="auto"/>
            <w:shd w:val="clear" w:color="auto" w:fill="auto"/>
            <w:tcMar>
              <w:top w:w="40" w:type="dxa"/>
              <w:left w:w="0" w:type="dxa"/>
              <w:bottom w:w="40" w:type="dxa"/>
              <w:right w:w="20" w:type="dxa"/>
            </w:tcMar>
            <w:vAlign w:val="bottom"/>
          </w:tcPr>
          <w:p w14:paraId="5A1B30C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C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CF" w14:textId="77777777" w:rsidR="00960BB8" w:rsidRDefault="00C06650">
            <w:pPr>
              <w:jc w:val="right"/>
              <w:textAlignment w:val="bottom"/>
            </w:pPr>
            <w:r>
              <w:rPr>
                <w:rFonts w:ascii="Arial" w:eastAsia="宋体" w:hAnsi="Arial" w:cs="Arial"/>
                <w:color w:val="262626"/>
                <w:sz w:val="18"/>
                <w:szCs w:val="18"/>
              </w:rPr>
              <w:t>(60)</w:t>
            </w:r>
          </w:p>
        </w:tc>
        <w:tc>
          <w:tcPr>
            <w:tcW w:w="0" w:type="auto"/>
            <w:shd w:val="clear" w:color="auto" w:fill="auto"/>
            <w:tcMar>
              <w:top w:w="40" w:type="dxa"/>
              <w:left w:w="0" w:type="dxa"/>
              <w:bottom w:w="40" w:type="dxa"/>
              <w:right w:w="20" w:type="dxa"/>
            </w:tcMar>
            <w:vAlign w:val="bottom"/>
          </w:tcPr>
          <w:p w14:paraId="5A1B30D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D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0D2"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0D3" w14:textId="77777777" w:rsidR="00960BB8" w:rsidRDefault="00960BB8">
            <w:pPr>
              <w:jc w:val="right"/>
              <w:rPr>
                <w:rFonts w:ascii="宋体"/>
              </w:rPr>
            </w:pPr>
          </w:p>
        </w:tc>
      </w:tr>
      <w:tr w:rsidR="00960BB8" w14:paraId="5A1B30E2" w14:textId="77777777">
        <w:trPr>
          <w:hidden/>
        </w:trPr>
        <w:tc>
          <w:tcPr>
            <w:tcW w:w="0" w:type="auto"/>
            <w:gridSpan w:val="3"/>
            <w:shd w:val="clear" w:color="auto" w:fill="auto"/>
            <w:vAlign w:val="bottom"/>
          </w:tcPr>
          <w:p w14:paraId="5A1B30D5" w14:textId="77777777" w:rsidR="00960BB8" w:rsidRDefault="00960BB8">
            <w:pPr>
              <w:rPr>
                <w:rFonts w:ascii="宋体"/>
                <w:vanish/>
              </w:rPr>
            </w:pPr>
          </w:p>
        </w:tc>
        <w:tc>
          <w:tcPr>
            <w:tcW w:w="0" w:type="auto"/>
            <w:gridSpan w:val="3"/>
            <w:shd w:val="clear" w:color="auto" w:fill="auto"/>
            <w:vAlign w:val="bottom"/>
          </w:tcPr>
          <w:p w14:paraId="5A1B30D6" w14:textId="77777777" w:rsidR="00960BB8" w:rsidRDefault="00960BB8">
            <w:pPr>
              <w:rPr>
                <w:rFonts w:ascii="宋体"/>
                <w:vanish/>
              </w:rPr>
            </w:pPr>
          </w:p>
        </w:tc>
        <w:tc>
          <w:tcPr>
            <w:tcW w:w="0" w:type="auto"/>
            <w:gridSpan w:val="3"/>
            <w:shd w:val="clear" w:color="auto" w:fill="auto"/>
            <w:vAlign w:val="bottom"/>
          </w:tcPr>
          <w:p w14:paraId="5A1B30D7" w14:textId="77777777" w:rsidR="00960BB8" w:rsidRDefault="00960BB8">
            <w:pPr>
              <w:rPr>
                <w:rFonts w:ascii="宋体"/>
                <w:vanish/>
              </w:rPr>
            </w:pPr>
          </w:p>
        </w:tc>
        <w:tc>
          <w:tcPr>
            <w:tcW w:w="0" w:type="auto"/>
            <w:gridSpan w:val="3"/>
            <w:shd w:val="clear" w:color="auto" w:fill="auto"/>
            <w:vAlign w:val="bottom"/>
          </w:tcPr>
          <w:p w14:paraId="5A1B30D8" w14:textId="77777777" w:rsidR="00960BB8" w:rsidRDefault="00960BB8">
            <w:pPr>
              <w:rPr>
                <w:rFonts w:ascii="宋体"/>
                <w:vanish/>
              </w:rPr>
            </w:pPr>
          </w:p>
        </w:tc>
        <w:tc>
          <w:tcPr>
            <w:tcW w:w="0" w:type="auto"/>
            <w:gridSpan w:val="3"/>
            <w:shd w:val="clear" w:color="auto" w:fill="auto"/>
            <w:vAlign w:val="bottom"/>
          </w:tcPr>
          <w:p w14:paraId="5A1B30D9" w14:textId="77777777" w:rsidR="00960BB8" w:rsidRDefault="00960BB8">
            <w:pPr>
              <w:rPr>
                <w:rFonts w:ascii="宋体"/>
                <w:vanish/>
              </w:rPr>
            </w:pPr>
          </w:p>
        </w:tc>
        <w:tc>
          <w:tcPr>
            <w:tcW w:w="0" w:type="auto"/>
            <w:gridSpan w:val="3"/>
            <w:shd w:val="clear" w:color="auto" w:fill="auto"/>
            <w:vAlign w:val="bottom"/>
          </w:tcPr>
          <w:p w14:paraId="5A1B30DA" w14:textId="77777777" w:rsidR="00960BB8" w:rsidRDefault="00960BB8">
            <w:pPr>
              <w:rPr>
                <w:rFonts w:ascii="宋体"/>
                <w:vanish/>
              </w:rPr>
            </w:pPr>
          </w:p>
        </w:tc>
        <w:tc>
          <w:tcPr>
            <w:tcW w:w="0" w:type="auto"/>
            <w:gridSpan w:val="3"/>
            <w:shd w:val="clear" w:color="auto" w:fill="auto"/>
            <w:vAlign w:val="bottom"/>
          </w:tcPr>
          <w:p w14:paraId="5A1B30DB" w14:textId="77777777" w:rsidR="00960BB8" w:rsidRDefault="00960BB8">
            <w:pPr>
              <w:rPr>
                <w:rFonts w:ascii="宋体"/>
                <w:vanish/>
              </w:rPr>
            </w:pPr>
          </w:p>
        </w:tc>
        <w:tc>
          <w:tcPr>
            <w:tcW w:w="0" w:type="auto"/>
            <w:gridSpan w:val="3"/>
            <w:shd w:val="clear" w:color="auto" w:fill="auto"/>
            <w:vAlign w:val="bottom"/>
          </w:tcPr>
          <w:p w14:paraId="5A1B30DC" w14:textId="77777777" w:rsidR="00960BB8" w:rsidRDefault="00960BB8">
            <w:pPr>
              <w:rPr>
                <w:rFonts w:ascii="宋体"/>
                <w:vanish/>
              </w:rPr>
            </w:pPr>
          </w:p>
        </w:tc>
        <w:tc>
          <w:tcPr>
            <w:tcW w:w="0" w:type="auto"/>
            <w:gridSpan w:val="3"/>
            <w:shd w:val="clear" w:color="auto" w:fill="auto"/>
            <w:vAlign w:val="bottom"/>
          </w:tcPr>
          <w:p w14:paraId="5A1B30DD" w14:textId="77777777" w:rsidR="00960BB8" w:rsidRDefault="00960BB8">
            <w:pPr>
              <w:rPr>
                <w:rFonts w:ascii="宋体"/>
                <w:vanish/>
              </w:rPr>
            </w:pPr>
          </w:p>
        </w:tc>
        <w:tc>
          <w:tcPr>
            <w:tcW w:w="0" w:type="auto"/>
            <w:gridSpan w:val="3"/>
            <w:shd w:val="clear" w:color="auto" w:fill="auto"/>
            <w:vAlign w:val="bottom"/>
          </w:tcPr>
          <w:p w14:paraId="5A1B30DE" w14:textId="77777777" w:rsidR="00960BB8" w:rsidRDefault="00960BB8">
            <w:pPr>
              <w:rPr>
                <w:rFonts w:ascii="宋体"/>
                <w:vanish/>
              </w:rPr>
            </w:pPr>
          </w:p>
        </w:tc>
        <w:tc>
          <w:tcPr>
            <w:tcW w:w="0" w:type="auto"/>
            <w:gridSpan w:val="3"/>
            <w:shd w:val="clear" w:color="auto" w:fill="auto"/>
            <w:vAlign w:val="bottom"/>
          </w:tcPr>
          <w:p w14:paraId="5A1B30DF" w14:textId="77777777" w:rsidR="00960BB8" w:rsidRDefault="00960BB8">
            <w:pPr>
              <w:rPr>
                <w:rFonts w:ascii="宋体"/>
                <w:vanish/>
              </w:rPr>
            </w:pPr>
          </w:p>
        </w:tc>
        <w:tc>
          <w:tcPr>
            <w:tcW w:w="0" w:type="auto"/>
            <w:gridSpan w:val="3"/>
            <w:shd w:val="clear" w:color="auto" w:fill="auto"/>
            <w:vAlign w:val="bottom"/>
          </w:tcPr>
          <w:p w14:paraId="5A1B30E0" w14:textId="77777777" w:rsidR="00960BB8" w:rsidRDefault="00960BB8">
            <w:pPr>
              <w:rPr>
                <w:rFonts w:ascii="宋体"/>
                <w:vanish/>
              </w:rPr>
            </w:pPr>
          </w:p>
        </w:tc>
        <w:tc>
          <w:tcPr>
            <w:tcW w:w="0" w:type="auto"/>
            <w:gridSpan w:val="3"/>
            <w:shd w:val="clear" w:color="auto" w:fill="auto"/>
            <w:vAlign w:val="bottom"/>
          </w:tcPr>
          <w:p w14:paraId="5A1B30E1" w14:textId="77777777" w:rsidR="00960BB8" w:rsidRDefault="00960BB8">
            <w:pPr>
              <w:rPr>
                <w:rFonts w:ascii="宋体"/>
                <w:vanish/>
              </w:rPr>
            </w:pPr>
          </w:p>
        </w:tc>
      </w:tr>
      <w:tr w:rsidR="00960BB8" w14:paraId="5A1B30FC" w14:textId="77777777">
        <w:tc>
          <w:tcPr>
            <w:tcW w:w="0" w:type="auto"/>
            <w:gridSpan w:val="3"/>
            <w:shd w:val="clear" w:color="auto" w:fill="auto"/>
            <w:tcMar>
              <w:top w:w="40" w:type="dxa"/>
              <w:left w:w="20" w:type="dxa"/>
              <w:bottom w:w="40" w:type="dxa"/>
              <w:right w:w="20" w:type="dxa"/>
            </w:tcMar>
            <w:vAlign w:val="bottom"/>
          </w:tcPr>
          <w:p w14:paraId="5A1B30E3" w14:textId="77777777" w:rsidR="00960BB8" w:rsidRDefault="00C06650">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5A1B30E4"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0E5"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0E6" w14:textId="77777777" w:rsidR="00960BB8" w:rsidRDefault="00C06650">
            <w:pPr>
              <w:jc w:val="right"/>
              <w:textAlignment w:val="bottom"/>
            </w:pPr>
            <w:r>
              <w:rPr>
                <w:rFonts w:ascii="Arial" w:eastAsia="宋体" w:hAnsi="Arial" w:cs="Arial"/>
                <w:b/>
                <w:bCs/>
                <w:color w:val="262626"/>
                <w:sz w:val="18"/>
                <w:szCs w:val="18"/>
              </w:rPr>
              <w:t>392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0E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E8"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0E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0EA" w14:textId="77777777" w:rsidR="00960BB8" w:rsidRDefault="00C06650">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0E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EC"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0ED"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0EE" w14:textId="77777777" w:rsidR="00960BB8" w:rsidRDefault="00C06650">
            <w:pPr>
              <w:jc w:val="right"/>
              <w:textAlignment w:val="bottom"/>
            </w:pPr>
            <w:r>
              <w:rPr>
                <w:rFonts w:ascii="Arial" w:eastAsia="宋体" w:hAnsi="Arial" w:cs="Arial"/>
                <w:b/>
                <w:bCs/>
                <w:color w:val="262626"/>
                <w:sz w:val="18"/>
                <w:szCs w:val="18"/>
              </w:rPr>
              <w:t>392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0E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F0"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0F1"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0F2" w14:textId="77777777" w:rsidR="00960BB8" w:rsidRDefault="00C06650">
            <w:pPr>
              <w:jc w:val="right"/>
              <w:textAlignment w:val="bottom"/>
            </w:pPr>
            <w:r>
              <w:rPr>
                <w:rFonts w:ascii="Arial" w:eastAsia="宋体" w:hAnsi="Arial" w:cs="Arial"/>
                <w:b/>
                <w:bCs/>
                <w:color w:val="262626"/>
                <w:sz w:val="18"/>
                <w:szCs w:val="18"/>
              </w:rPr>
              <w:t>(332)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0F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F4"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0F5"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0F6" w14:textId="77777777" w:rsidR="00960BB8" w:rsidRDefault="00C06650">
            <w:pPr>
              <w:jc w:val="right"/>
              <w:textAlignment w:val="bottom"/>
            </w:pPr>
            <w:r>
              <w:rPr>
                <w:rFonts w:ascii="Arial" w:eastAsia="宋体" w:hAnsi="Arial" w:cs="Arial"/>
                <w:b/>
                <w:bCs/>
                <w:color w:val="262626"/>
                <w:sz w:val="18"/>
                <w:szCs w:val="18"/>
              </w:rPr>
              <w:t>(60)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0F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0F8"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0F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0FA" w14:textId="77777777" w:rsidR="00960BB8" w:rsidRDefault="00C06650">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0FB" w14:textId="77777777" w:rsidR="00960BB8" w:rsidRDefault="00960BB8">
            <w:pPr>
              <w:jc w:val="right"/>
              <w:rPr>
                <w:rFonts w:ascii="宋体"/>
              </w:rPr>
            </w:pPr>
          </w:p>
        </w:tc>
      </w:tr>
    </w:tbl>
    <w:p w14:paraId="5A1B30FD" w14:textId="77777777" w:rsidR="00960BB8" w:rsidRDefault="00C06650">
      <w:pPr>
        <w:spacing w:before="120" w:after="180"/>
      </w:pPr>
      <w:r>
        <w:rPr>
          <w:rFonts w:ascii="Arial" w:eastAsia="宋体" w:hAnsi="Arial" w:cs="Arial"/>
          <w:color w:val="262626"/>
          <w:sz w:val="18"/>
          <w:szCs w:val="18"/>
        </w:rPr>
        <w:t xml:space="preserve">We obtain and secure available collateral from counterparties against obligations, including securities lending transactions and reverse repurchase </w:t>
      </w:r>
      <w:r>
        <w:rPr>
          <w:rFonts w:ascii="Arial" w:eastAsia="宋体" w:hAnsi="Arial" w:cs="Arial"/>
          <w:color w:val="262626"/>
          <w:sz w:val="18"/>
          <w:szCs w:val="18"/>
        </w:rPr>
        <w:t>agreements, when we deem it appropriate.</w:t>
      </w:r>
    </w:p>
    <w:p w14:paraId="5A1B30FE" w14:textId="77777777" w:rsidR="00960BB8" w:rsidRDefault="00C06650">
      <w:pPr>
        <w:spacing w:after="180"/>
      </w:pPr>
      <w:r>
        <w:rPr>
          <w:rFonts w:ascii="Arial" w:eastAsia="宋体" w:hAnsi="Arial" w:cs="Arial"/>
          <w:color w:val="0068B5"/>
        </w:rPr>
        <w:t>Derivatives in Cash Flow Hedging Relationships</w:t>
      </w:r>
    </w:p>
    <w:p w14:paraId="5A1B30FF" w14:textId="77777777" w:rsidR="00960BB8" w:rsidRDefault="00C06650">
      <w:pPr>
        <w:spacing w:after="180"/>
      </w:pPr>
      <w:r>
        <w:rPr>
          <w:rFonts w:ascii="Arial" w:eastAsia="宋体" w:hAnsi="Arial" w:cs="Arial"/>
          <w:color w:val="262626"/>
          <w:sz w:val="18"/>
          <w:szCs w:val="18"/>
        </w:rPr>
        <w:t xml:space="preserve">The before-tax net gains or losses attributed to the effective portion of cash flow hedges recognized in </w:t>
      </w:r>
      <w:r>
        <w:rPr>
          <w:rFonts w:ascii="Arial" w:eastAsia="宋体" w:hAnsi="Arial" w:cs="Arial"/>
          <w:i/>
          <w:iCs/>
          <w:color w:val="262626"/>
          <w:sz w:val="18"/>
          <w:szCs w:val="18"/>
        </w:rPr>
        <w:t xml:space="preserve">other comprehensive income (loss) </w:t>
      </w:r>
      <w:r>
        <w:rPr>
          <w:rFonts w:ascii="Arial" w:eastAsia="宋体" w:hAnsi="Arial" w:cs="Arial"/>
          <w:color w:val="262626"/>
          <w:sz w:val="18"/>
          <w:szCs w:val="18"/>
        </w:rPr>
        <w:t xml:space="preserve">were $910 million net losses </w:t>
      </w:r>
      <w:r>
        <w:rPr>
          <w:rFonts w:ascii="Arial" w:eastAsia="宋体" w:hAnsi="Arial" w:cs="Arial"/>
          <w:color w:val="262626"/>
          <w:sz w:val="18"/>
          <w:szCs w:val="18"/>
        </w:rPr>
        <w:t>in 2022 ($434 million net losses in 2021 and $806 million net gains in 2020). Substantially all of our cash flow hedges are foreign currency contracts for all periods presented.</w:t>
      </w:r>
    </w:p>
    <w:p w14:paraId="5A1B3100" w14:textId="77777777" w:rsidR="00960BB8" w:rsidRDefault="00C06650">
      <w:pPr>
        <w:spacing w:after="180"/>
      </w:pPr>
      <w:r>
        <w:rPr>
          <w:rFonts w:ascii="Arial" w:eastAsia="宋体" w:hAnsi="Arial" w:cs="Arial"/>
          <w:color w:val="262626"/>
          <w:sz w:val="18"/>
          <w:szCs w:val="18"/>
        </w:rPr>
        <w:t>Amounts excluded from effectiveness testing were insignificant during all peri</w:t>
      </w:r>
      <w:r>
        <w:rPr>
          <w:rFonts w:ascii="Arial" w:eastAsia="宋体" w:hAnsi="Arial" w:cs="Arial"/>
          <w:color w:val="262626"/>
          <w:sz w:val="18"/>
          <w:szCs w:val="18"/>
        </w:rPr>
        <w:t>ods presented.</w:t>
      </w:r>
    </w:p>
    <w:p w14:paraId="5A1B3101" w14:textId="77777777" w:rsidR="00960BB8" w:rsidRDefault="00C06650">
      <w:pPr>
        <w:spacing w:after="180"/>
      </w:pPr>
      <w:r>
        <w:rPr>
          <w:rFonts w:ascii="Arial" w:eastAsia="宋体" w:hAnsi="Arial" w:cs="Arial"/>
          <w:color w:val="262626"/>
          <w:sz w:val="18"/>
          <w:szCs w:val="18"/>
        </w:rPr>
        <w:t xml:space="preserve">For information on the unrealized holding gains (losses) on derivatives reclassified out of </w:t>
      </w:r>
      <w:r>
        <w:rPr>
          <w:rFonts w:ascii="Arial" w:eastAsia="宋体" w:hAnsi="Arial" w:cs="Arial"/>
          <w:i/>
          <w:iCs/>
          <w:color w:val="262626"/>
          <w:sz w:val="18"/>
          <w:szCs w:val="18"/>
        </w:rPr>
        <w:t>accumulated other comprehensive income (loss)</w:t>
      </w:r>
      <w:r>
        <w:rPr>
          <w:rFonts w:ascii="Arial" w:eastAsia="宋体" w:hAnsi="Arial" w:cs="Arial"/>
          <w:color w:val="262626"/>
          <w:sz w:val="18"/>
          <w:szCs w:val="18"/>
        </w:rPr>
        <w:t xml:space="preserve"> into the Consolidated Statements of Income, see "Note 15: Other Comprehensive Income (Loss)" within the</w:t>
      </w:r>
      <w:r>
        <w:rPr>
          <w:rFonts w:ascii="Arial" w:eastAsia="宋体" w:hAnsi="Arial" w:cs="Arial"/>
          <w:color w:val="262626"/>
          <w:sz w:val="18"/>
          <w:szCs w:val="18"/>
        </w:rPr>
        <w:t xml:space="preserve"> Notes to Consolidated Financial Statements. </w:t>
      </w:r>
    </w:p>
    <w:p w14:paraId="5A1B3102" w14:textId="77777777" w:rsidR="00960BB8" w:rsidRDefault="00C06650">
      <w:pPr>
        <w:spacing w:after="180"/>
      </w:pPr>
      <w:r>
        <w:rPr>
          <w:rFonts w:ascii="Arial" w:eastAsia="宋体" w:hAnsi="Arial" w:cs="Arial"/>
          <w:color w:val="0068B5"/>
        </w:rPr>
        <w:t>Derivatives in Fair Value Hedging Relationships</w:t>
      </w:r>
    </w:p>
    <w:p w14:paraId="5A1B3103" w14:textId="77777777" w:rsidR="00960BB8" w:rsidRDefault="00C06650">
      <w:pPr>
        <w:spacing w:after="120"/>
      </w:pPr>
      <w:r>
        <w:rPr>
          <w:rFonts w:ascii="Arial" w:eastAsia="宋体" w:hAnsi="Arial" w:cs="Arial"/>
          <w:color w:val="262626"/>
          <w:sz w:val="18"/>
          <w:szCs w:val="18"/>
        </w:rPr>
        <w:t xml:space="preserve">The effects of derivative instruments designated as fair value hedges, recognized in </w:t>
      </w:r>
      <w:r>
        <w:rPr>
          <w:rFonts w:ascii="Arial" w:eastAsia="宋体" w:hAnsi="Arial" w:cs="Arial"/>
          <w:i/>
          <w:iCs/>
          <w:color w:val="262626"/>
          <w:sz w:val="18"/>
          <w:szCs w:val="18"/>
        </w:rPr>
        <w:t>interest and other, net</w:t>
      </w:r>
      <w:r>
        <w:rPr>
          <w:rFonts w:ascii="Arial" w:eastAsia="宋体" w:hAnsi="Arial" w:cs="Arial"/>
          <w:color w:val="262626"/>
          <w:sz w:val="18"/>
          <w:szCs w:val="18"/>
        </w:rPr>
        <w:t xml:space="preserve">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993"/>
        <w:gridCol w:w="36"/>
        <w:gridCol w:w="36"/>
        <w:gridCol w:w="36"/>
        <w:gridCol w:w="36"/>
        <w:gridCol w:w="121"/>
        <w:gridCol w:w="805"/>
        <w:gridCol w:w="36"/>
        <w:gridCol w:w="36"/>
        <w:gridCol w:w="36"/>
        <w:gridCol w:w="36"/>
        <w:gridCol w:w="121"/>
        <w:gridCol w:w="807"/>
        <w:gridCol w:w="36"/>
        <w:gridCol w:w="36"/>
        <w:gridCol w:w="36"/>
        <w:gridCol w:w="36"/>
        <w:gridCol w:w="121"/>
        <w:gridCol w:w="863"/>
        <w:gridCol w:w="36"/>
      </w:tblGrid>
      <w:tr w:rsidR="00960BB8" w14:paraId="5A1B3119" w14:textId="77777777">
        <w:tc>
          <w:tcPr>
            <w:tcW w:w="50" w:type="pct"/>
            <w:shd w:val="clear" w:color="auto" w:fill="auto"/>
            <w:vAlign w:val="bottom"/>
          </w:tcPr>
          <w:p w14:paraId="5A1B3104" w14:textId="77777777" w:rsidR="00960BB8" w:rsidRDefault="00960BB8">
            <w:pPr>
              <w:rPr>
                <w:rFonts w:ascii="宋体"/>
              </w:rPr>
            </w:pPr>
          </w:p>
        </w:tc>
        <w:tc>
          <w:tcPr>
            <w:tcW w:w="3025" w:type="pct"/>
            <w:shd w:val="clear" w:color="auto" w:fill="auto"/>
            <w:vAlign w:val="bottom"/>
          </w:tcPr>
          <w:p w14:paraId="5A1B3105" w14:textId="77777777" w:rsidR="00960BB8" w:rsidRDefault="00960BB8">
            <w:pPr>
              <w:rPr>
                <w:rFonts w:ascii="宋体"/>
              </w:rPr>
            </w:pPr>
          </w:p>
        </w:tc>
        <w:tc>
          <w:tcPr>
            <w:tcW w:w="5" w:type="pct"/>
            <w:shd w:val="clear" w:color="auto" w:fill="auto"/>
            <w:vAlign w:val="bottom"/>
          </w:tcPr>
          <w:p w14:paraId="5A1B3106" w14:textId="77777777" w:rsidR="00960BB8" w:rsidRDefault="00960BB8">
            <w:pPr>
              <w:rPr>
                <w:rFonts w:ascii="宋体"/>
              </w:rPr>
            </w:pPr>
          </w:p>
        </w:tc>
        <w:tc>
          <w:tcPr>
            <w:tcW w:w="5" w:type="pct"/>
            <w:shd w:val="clear" w:color="auto" w:fill="auto"/>
            <w:vAlign w:val="bottom"/>
          </w:tcPr>
          <w:p w14:paraId="5A1B3107" w14:textId="77777777" w:rsidR="00960BB8" w:rsidRDefault="00960BB8">
            <w:pPr>
              <w:rPr>
                <w:rFonts w:ascii="宋体"/>
              </w:rPr>
            </w:pPr>
          </w:p>
        </w:tc>
        <w:tc>
          <w:tcPr>
            <w:tcW w:w="24" w:type="pct"/>
            <w:shd w:val="clear" w:color="auto" w:fill="auto"/>
            <w:vAlign w:val="bottom"/>
          </w:tcPr>
          <w:p w14:paraId="5A1B3108" w14:textId="77777777" w:rsidR="00960BB8" w:rsidRDefault="00960BB8">
            <w:pPr>
              <w:rPr>
                <w:rFonts w:ascii="宋体"/>
              </w:rPr>
            </w:pPr>
          </w:p>
        </w:tc>
        <w:tc>
          <w:tcPr>
            <w:tcW w:w="5" w:type="pct"/>
            <w:shd w:val="clear" w:color="auto" w:fill="auto"/>
            <w:vAlign w:val="bottom"/>
          </w:tcPr>
          <w:p w14:paraId="5A1B3109" w14:textId="77777777" w:rsidR="00960BB8" w:rsidRDefault="00960BB8">
            <w:pPr>
              <w:rPr>
                <w:rFonts w:ascii="宋体"/>
              </w:rPr>
            </w:pPr>
          </w:p>
        </w:tc>
        <w:tc>
          <w:tcPr>
            <w:tcW w:w="50" w:type="pct"/>
            <w:shd w:val="clear" w:color="auto" w:fill="auto"/>
            <w:vAlign w:val="bottom"/>
          </w:tcPr>
          <w:p w14:paraId="5A1B310A" w14:textId="77777777" w:rsidR="00960BB8" w:rsidRDefault="00960BB8">
            <w:pPr>
              <w:rPr>
                <w:rFonts w:ascii="宋体"/>
              </w:rPr>
            </w:pPr>
          </w:p>
        </w:tc>
        <w:tc>
          <w:tcPr>
            <w:tcW w:w="539" w:type="pct"/>
            <w:shd w:val="clear" w:color="auto" w:fill="auto"/>
            <w:vAlign w:val="bottom"/>
          </w:tcPr>
          <w:p w14:paraId="5A1B310B" w14:textId="77777777" w:rsidR="00960BB8" w:rsidRDefault="00960BB8">
            <w:pPr>
              <w:rPr>
                <w:rFonts w:ascii="宋体"/>
              </w:rPr>
            </w:pPr>
          </w:p>
        </w:tc>
        <w:tc>
          <w:tcPr>
            <w:tcW w:w="5" w:type="pct"/>
            <w:shd w:val="clear" w:color="auto" w:fill="auto"/>
            <w:vAlign w:val="bottom"/>
          </w:tcPr>
          <w:p w14:paraId="5A1B310C" w14:textId="77777777" w:rsidR="00960BB8" w:rsidRDefault="00960BB8">
            <w:pPr>
              <w:rPr>
                <w:rFonts w:ascii="宋体"/>
              </w:rPr>
            </w:pPr>
          </w:p>
        </w:tc>
        <w:tc>
          <w:tcPr>
            <w:tcW w:w="5" w:type="pct"/>
            <w:shd w:val="clear" w:color="auto" w:fill="auto"/>
            <w:vAlign w:val="bottom"/>
          </w:tcPr>
          <w:p w14:paraId="5A1B310D" w14:textId="77777777" w:rsidR="00960BB8" w:rsidRDefault="00960BB8">
            <w:pPr>
              <w:rPr>
                <w:rFonts w:ascii="宋体"/>
              </w:rPr>
            </w:pPr>
          </w:p>
        </w:tc>
        <w:tc>
          <w:tcPr>
            <w:tcW w:w="24" w:type="pct"/>
            <w:shd w:val="clear" w:color="auto" w:fill="auto"/>
            <w:vAlign w:val="bottom"/>
          </w:tcPr>
          <w:p w14:paraId="5A1B310E" w14:textId="77777777" w:rsidR="00960BB8" w:rsidRDefault="00960BB8">
            <w:pPr>
              <w:rPr>
                <w:rFonts w:ascii="宋体"/>
              </w:rPr>
            </w:pPr>
          </w:p>
        </w:tc>
        <w:tc>
          <w:tcPr>
            <w:tcW w:w="5" w:type="pct"/>
            <w:shd w:val="clear" w:color="auto" w:fill="auto"/>
            <w:vAlign w:val="bottom"/>
          </w:tcPr>
          <w:p w14:paraId="5A1B310F" w14:textId="77777777" w:rsidR="00960BB8" w:rsidRDefault="00960BB8">
            <w:pPr>
              <w:rPr>
                <w:rFonts w:ascii="宋体"/>
              </w:rPr>
            </w:pPr>
          </w:p>
        </w:tc>
        <w:tc>
          <w:tcPr>
            <w:tcW w:w="50" w:type="pct"/>
            <w:shd w:val="clear" w:color="auto" w:fill="auto"/>
            <w:vAlign w:val="bottom"/>
          </w:tcPr>
          <w:p w14:paraId="5A1B3110" w14:textId="77777777" w:rsidR="00960BB8" w:rsidRDefault="00960BB8">
            <w:pPr>
              <w:rPr>
                <w:rFonts w:ascii="宋体"/>
              </w:rPr>
            </w:pPr>
          </w:p>
        </w:tc>
        <w:tc>
          <w:tcPr>
            <w:tcW w:w="539" w:type="pct"/>
            <w:shd w:val="clear" w:color="auto" w:fill="auto"/>
            <w:vAlign w:val="bottom"/>
          </w:tcPr>
          <w:p w14:paraId="5A1B3111" w14:textId="77777777" w:rsidR="00960BB8" w:rsidRDefault="00960BB8">
            <w:pPr>
              <w:rPr>
                <w:rFonts w:ascii="宋体"/>
              </w:rPr>
            </w:pPr>
          </w:p>
        </w:tc>
        <w:tc>
          <w:tcPr>
            <w:tcW w:w="5" w:type="pct"/>
            <w:shd w:val="clear" w:color="auto" w:fill="auto"/>
            <w:vAlign w:val="bottom"/>
          </w:tcPr>
          <w:p w14:paraId="5A1B3112" w14:textId="77777777" w:rsidR="00960BB8" w:rsidRDefault="00960BB8">
            <w:pPr>
              <w:rPr>
                <w:rFonts w:ascii="宋体"/>
              </w:rPr>
            </w:pPr>
          </w:p>
        </w:tc>
        <w:tc>
          <w:tcPr>
            <w:tcW w:w="5" w:type="pct"/>
            <w:shd w:val="clear" w:color="auto" w:fill="auto"/>
            <w:vAlign w:val="bottom"/>
          </w:tcPr>
          <w:p w14:paraId="5A1B3113" w14:textId="77777777" w:rsidR="00960BB8" w:rsidRDefault="00960BB8">
            <w:pPr>
              <w:rPr>
                <w:rFonts w:ascii="宋体"/>
              </w:rPr>
            </w:pPr>
          </w:p>
        </w:tc>
        <w:tc>
          <w:tcPr>
            <w:tcW w:w="24" w:type="pct"/>
            <w:shd w:val="clear" w:color="auto" w:fill="auto"/>
            <w:vAlign w:val="bottom"/>
          </w:tcPr>
          <w:p w14:paraId="5A1B3114" w14:textId="77777777" w:rsidR="00960BB8" w:rsidRDefault="00960BB8">
            <w:pPr>
              <w:rPr>
                <w:rFonts w:ascii="宋体"/>
              </w:rPr>
            </w:pPr>
          </w:p>
        </w:tc>
        <w:tc>
          <w:tcPr>
            <w:tcW w:w="5" w:type="pct"/>
            <w:shd w:val="clear" w:color="auto" w:fill="auto"/>
            <w:vAlign w:val="bottom"/>
          </w:tcPr>
          <w:p w14:paraId="5A1B3115" w14:textId="77777777" w:rsidR="00960BB8" w:rsidRDefault="00960BB8">
            <w:pPr>
              <w:rPr>
                <w:rFonts w:ascii="宋体"/>
              </w:rPr>
            </w:pPr>
          </w:p>
        </w:tc>
        <w:tc>
          <w:tcPr>
            <w:tcW w:w="50" w:type="pct"/>
            <w:shd w:val="clear" w:color="auto" w:fill="auto"/>
            <w:vAlign w:val="bottom"/>
          </w:tcPr>
          <w:p w14:paraId="5A1B3116" w14:textId="77777777" w:rsidR="00960BB8" w:rsidRDefault="00960BB8">
            <w:pPr>
              <w:rPr>
                <w:rFonts w:ascii="宋体"/>
              </w:rPr>
            </w:pPr>
          </w:p>
        </w:tc>
        <w:tc>
          <w:tcPr>
            <w:tcW w:w="573" w:type="pct"/>
            <w:shd w:val="clear" w:color="auto" w:fill="auto"/>
            <w:vAlign w:val="bottom"/>
          </w:tcPr>
          <w:p w14:paraId="5A1B3117" w14:textId="77777777" w:rsidR="00960BB8" w:rsidRDefault="00960BB8">
            <w:pPr>
              <w:rPr>
                <w:rFonts w:ascii="宋体"/>
              </w:rPr>
            </w:pPr>
          </w:p>
        </w:tc>
        <w:tc>
          <w:tcPr>
            <w:tcW w:w="5" w:type="pct"/>
            <w:shd w:val="clear" w:color="auto" w:fill="auto"/>
            <w:vAlign w:val="bottom"/>
          </w:tcPr>
          <w:p w14:paraId="5A1B3118" w14:textId="77777777" w:rsidR="00960BB8" w:rsidRDefault="00960BB8">
            <w:pPr>
              <w:rPr>
                <w:rFonts w:ascii="宋体"/>
              </w:rPr>
            </w:pPr>
          </w:p>
        </w:tc>
      </w:tr>
      <w:tr w:rsidR="00960BB8" w14:paraId="5A1B311D" w14:textId="77777777">
        <w:tc>
          <w:tcPr>
            <w:tcW w:w="0" w:type="auto"/>
            <w:gridSpan w:val="3"/>
            <w:shd w:val="clear" w:color="auto" w:fill="auto"/>
            <w:tcMar>
              <w:top w:w="0" w:type="dxa"/>
              <w:left w:w="20" w:type="dxa"/>
              <w:bottom w:w="0" w:type="dxa"/>
              <w:right w:w="20" w:type="dxa"/>
            </w:tcMar>
            <w:vAlign w:val="bottom"/>
          </w:tcPr>
          <w:p w14:paraId="5A1B311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11B" w14:textId="77777777" w:rsidR="00960BB8" w:rsidRDefault="00960BB8">
            <w:pPr>
              <w:rPr>
                <w:rFonts w:ascii="宋体"/>
              </w:rPr>
            </w:pPr>
          </w:p>
        </w:tc>
        <w:tc>
          <w:tcPr>
            <w:tcW w:w="0" w:type="auto"/>
            <w:gridSpan w:val="15"/>
            <w:shd w:val="clear" w:color="auto" w:fill="auto"/>
            <w:tcMar>
              <w:top w:w="40" w:type="dxa"/>
              <w:left w:w="20" w:type="dxa"/>
              <w:bottom w:w="40" w:type="dxa"/>
              <w:right w:w="20" w:type="dxa"/>
            </w:tcMar>
            <w:vAlign w:val="bottom"/>
          </w:tcPr>
          <w:p w14:paraId="5A1B311C" w14:textId="77777777" w:rsidR="00960BB8" w:rsidRDefault="00C06650">
            <w:pPr>
              <w:jc w:val="center"/>
              <w:textAlignment w:val="bottom"/>
            </w:pPr>
            <w:r>
              <w:rPr>
                <w:rFonts w:ascii="Arial" w:eastAsia="宋体" w:hAnsi="Arial" w:cs="Arial"/>
                <w:b/>
                <w:bCs/>
                <w:color w:val="262626"/>
                <w:sz w:val="18"/>
                <w:szCs w:val="18"/>
              </w:rPr>
              <w:t xml:space="preserve">Gains </w:t>
            </w:r>
            <w:r>
              <w:rPr>
                <w:rFonts w:ascii="Arial" w:eastAsia="宋体" w:hAnsi="Arial" w:cs="Arial"/>
                <w:b/>
                <w:bCs/>
                <w:color w:val="262626"/>
                <w:sz w:val="18"/>
                <w:szCs w:val="18"/>
              </w:rPr>
              <w:t>(Losses) Recognized in Statement of Income on Derivatives</w:t>
            </w:r>
          </w:p>
        </w:tc>
      </w:tr>
      <w:tr w:rsidR="00960BB8" w14:paraId="5A1B3125" w14:textId="77777777">
        <w:tc>
          <w:tcPr>
            <w:tcW w:w="0" w:type="auto"/>
            <w:gridSpan w:val="3"/>
            <w:shd w:val="clear" w:color="auto" w:fill="auto"/>
            <w:tcMar>
              <w:top w:w="40" w:type="dxa"/>
              <w:left w:w="20" w:type="dxa"/>
              <w:bottom w:w="40" w:type="dxa"/>
              <w:right w:w="20" w:type="dxa"/>
            </w:tcMar>
            <w:vAlign w:val="bottom"/>
          </w:tcPr>
          <w:p w14:paraId="5A1B311E" w14:textId="77777777" w:rsidR="00960BB8" w:rsidRDefault="00C06650">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5A1B311F"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120"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121"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122"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123"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124"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3133" w14:textId="77777777">
        <w:tc>
          <w:tcPr>
            <w:tcW w:w="0" w:type="auto"/>
            <w:gridSpan w:val="3"/>
            <w:tcBorders>
              <w:top w:val="single" w:sz="8" w:space="0" w:color="0068B5"/>
            </w:tcBorders>
            <w:shd w:val="clear" w:color="auto" w:fill="auto"/>
            <w:tcMar>
              <w:top w:w="40" w:type="dxa"/>
              <w:left w:w="20" w:type="dxa"/>
              <w:bottom w:w="40" w:type="dxa"/>
              <w:right w:w="20" w:type="dxa"/>
            </w:tcMar>
          </w:tcPr>
          <w:p w14:paraId="5A1B3126" w14:textId="77777777" w:rsidR="00960BB8" w:rsidRDefault="00C06650">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5A1B3127"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128"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129" w14:textId="77777777" w:rsidR="00960BB8" w:rsidRDefault="00C06650">
            <w:pPr>
              <w:jc w:val="right"/>
              <w:textAlignment w:val="bottom"/>
            </w:pPr>
            <w:r>
              <w:rPr>
                <w:rFonts w:ascii="Arial" w:eastAsia="宋体" w:hAnsi="Arial" w:cs="Arial"/>
                <w:color w:val="0068B5"/>
                <w:sz w:val="18"/>
                <w:szCs w:val="18"/>
              </w:rPr>
              <w:t>(1,551)</w:t>
            </w:r>
          </w:p>
        </w:tc>
        <w:tc>
          <w:tcPr>
            <w:tcW w:w="0" w:type="auto"/>
            <w:tcBorders>
              <w:top w:val="single" w:sz="8" w:space="0" w:color="0068B5"/>
            </w:tcBorders>
            <w:shd w:val="clear" w:color="auto" w:fill="auto"/>
            <w:tcMar>
              <w:top w:w="40" w:type="dxa"/>
              <w:left w:w="0" w:type="dxa"/>
              <w:bottom w:w="40" w:type="dxa"/>
              <w:right w:w="20" w:type="dxa"/>
            </w:tcMar>
            <w:vAlign w:val="bottom"/>
          </w:tcPr>
          <w:p w14:paraId="5A1B312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2B"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12C"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12D" w14:textId="77777777" w:rsidR="00960BB8" w:rsidRDefault="00C06650">
            <w:pPr>
              <w:jc w:val="right"/>
              <w:textAlignment w:val="bottom"/>
            </w:pPr>
            <w:r>
              <w:rPr>
                <w:rFonts w:ascii="Arial" w:eastAsia="宋体" w:hAnsi="Arial" w:cs="Arial"/>
                <w:color w:val="262626"/>
                <w:sz w:val="18"/>
                <w:szCs w:val="18"/>
              </w:rPr>
              <w:t>(723)</w:t>
            </w:r>
          </w:p>
        </w:tc>
        <w:tc>
          <w:tcPr>
            <w:tcW w:w="0" w:type="auto"/>
            <w:tcBorders>
              <w:top w:val="single" w:sz="8" w:space="0" w:color="0068B5"/>
            </w:tcBorders>
            <w:shd w:val="clear" w:color="auto" w:fill="auto"/>
            <w:tcMar>
              <w:top w:w="40" w:type="dxa"/>
              <w:left w:w="0" w:type="dxa"/>
              <w:bottom w:w="40" w:type="dxa"/>
              <w:right w:w="20" w:type="dxa"/>
            </w:tcMar>
            <w:vAlign w:val="bottom"/>
          </w:tcPr>
          <w:p w14:paraId="5A1B312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2F"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130"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131" w14:textId="77777777" w:rsidR="00960BB8" w:rsidRDefault="00C06650">
            <w:pPr>
              <w:jc w:val="right"/>
              <w:textAlignment w:val="bottom"/>
            </w:pPr>
            <w:r>
              <w:rPr>
                <w:rFonts w:ascii="Arial" w:eastAsia="宋体" w:hAnsi="Arial" w:cs="Arial"/>
                <w:color w:val="262626"/>
                <w:sz w:val="18"/>
                <w:szCs w:val="18"/>
              </w:rPr>
              <w:t>817 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132" w14:textId="77777777" w:rsidR="00960BB8" w:rsidRDefault="00960BB8">
            <w:pPr>
              <w:jc w:val="right"/>
              <w:rPr>
                <w:rFonts w:ascii="宋体"/>
              </w:rPr>
            </w:pPr>
          </w:p>
        </w:tc>
      </w:tr>
      <w:tr w:rsidR="00960BB8" w14:paraId="5A1B313E" w14:textId="77777777">
        <w:tc>
          <w:tcPr>
            <w:tcW w:w="0" w:type="auto"/>
            <w:gridSpan w:val="3"/>
            <w:shd w:val="clear" w:color="auto" w:fill="auto"/>
            <w:tcMar>
              <w:top w:w="40" w:type="dxa"/>
              <w:left w:w="20" w:type="dxa"/>
              <w:bottom w:w="40" w:type="dxa"/>
              <w:right w:w="20" w:type="dxa"/>
            </w:tcMar>
          </w:tcPr>
          <w:p w14:paraId="5A1B3134" w14:textId="77777777" w:rsidR="00960BB8" w:rsidRDefault="00C06650">
            <w:pPr>
              <w:textAlignment w:val="top"/>
            </w:pPr>
            <w:r>
              <w:rPr>
                <w:rFonts w:ascii="Arial" w:eastAsia="宋体" w:hAnsi="Arial" w:cs="Arial"/>
                <w:color w:val="262626"/>
                <w:sz w:val="18"/>
                <w:szCs w:val="18"/>
              </w:rPr>
              <w:t>Hedged items</w:t>
            </w:r>
          </w:p>
        </w:tc>
        <w:tc>
          <w:tcPr>
            <w:tcW w:w="0" w:type="auto"/>
            <w:gridSpan w:val="3"/>
            <w:shd w:val="clear" w:color="auto" w:fill="auto"/>
            <w:tcMar>
              <w:top w:w="0" w:type="dxa"/>
              <w:left w:w="20" w:type="dxa"/>
              <w:bottom w:w="0" w:type="dxa"/>
              <w:right w:w="20" w:type="dxa"/>
            </w:tcMar>
            <w:vAlign w:val="bottom"/>
          </w:tcPr>
          <w:p w14:paraId="5A1B313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136" w14:textId="77777777" w:rsidR="00960BB8" w:rsidRDefault="00C06650">
            <w:pPr>
              <w:jc w:val="right"/>
              <w:textAlignment w:val="bottom"/>
            </w:pPr>
            <w:r>
              <w:rPr>
                <w:rFonts w:ascii="Arial" w:eastAsia="宋体" w:hAnsi="Arial" w:cs="Arial"/>
                <w:color w:val="0068B5"/>
                <w:sz w:val="18"/>
                <w:szCs w:val="18"/>
              </w:rPr>
              <w:t>1,551 </w:t>
            </w:r>
          </w:p>
        </w:tc>
        <w:tc>
          <w:tcPr>
            <w:tcW w:w="0" w:type="auto"/>
            <w:shd w:val="clear" w:color="auto" w:fill="auto"/>
            <w:tcMar>
              <w:top w:w="40" w:type="dxa"/>
              <w:left w:w="0" w:type="dxa"/>
              <w:bottom w:w="40" w:type="dxa"/>
              <w:right w:w="20" w:type="dxa"/>
            </w:tcMar>
            <w:vAlign w:val="bottom"/>
          </w:tcPr>
          <w:p w14:paraId="5A1B313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3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139" w14:textId="77777777" w:rsidR="00960BB8" w:rsidRDefault="00C06650">
            <w:pPr>
              <w:jc w:val="right"/>
              <w:textAlignment w:val="bottom"/>
            </w:pPr>
            <w:r>
              <w:rPr>
                <w:rFonts w:ascii="Arial" w:eastAsia="宋体" w:hAnsi="Arial" w:cs="Arial"/>
                <w:color w:val="262626"/>
                <w:sz w:val="18"/>
                <w:szCs w:val="18"/>
              </w:rPr>
              <w:t>723 </w:t>
            </w:r>
          </w:p>
        </w:tc>
        <w:tc>
          <w:tcPr>
            <w:tcW w:w="0" w:type="auto"/>
            <w:shd w:val="clear" w:color="auto" w:fill="auto"/>
            <w:tcMar>
              <w:top w:w="40" w:type="dxa"/>
              <w:left w:w="0" w:type="dxa"/>
              <w:bottom w:w="40" w:type="dxa"/>
              <w:right w:w="20" w:type="dxa"/>
            </w:tcMar>
            <w:vAlign w:val="bottom"/>
          </w:tcPr>
          <w:p w14:paraId="5A1B313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3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13C" w14:textId="77777777" w:rsidR="00960BB8" w:rsidRDefault="00C06650">
            <w:pPr>
              <w:jc w:val="right"/>
              <w:textAlignment w:val="bottom"/>
            </w:pPr>
            <w:r>
              <w:rPr>
                <w:rFonts w:ascii="Arial" w:eastAsia="宋体" w:hAnsi="Arial" w:cs="Arial"/>
                <w:color w:val="262626"/>
                <w:sz w:val="18"/>
                <w:szCs w:val="18"/>
              </w:rPr>
              <w:t>(817)</w:t>
            </w:r>
          </w:p>
        </w:tc>
        <w:tc>
          <w:tcPr>
            <w:tcW w:w="0" w:type="auto"/>
            <w:shd w:val="clear" w:color="auto" w:fill="auto"/>
            <w:tcMar>
              <w:top w:w="40" w:type="dxa"/>
              <w:left w:w="0" w:type="dxa"/>
              <w:bottom w:w="40" w:type="dxa"/>
              <w:right w:w="20" w:type="dxa"/>
            </w:tcMar>
            <w:vAlign w:val="bottom"/>
          </w:tcPr>
          <w:p w14:paraId="5A1B313D" w14:textId="77777777" w:rsidR="00960BB8" w:rsidRDefault="00960BB8">
            <w:pPr>
              <w:jc w:val="right"/>
              <w:rPr>
                <w:rFonts w:ascii="宋体"/>
              </w:rPr>
            </w:pPr>
          </w:p>
        </w:tc>
      </w:tr>
      <w:tr w:rsidR="00960BB8" w14:paraId="5A1B314C" w14:textId="77777777">
        <w:tc>
          <w:tcPr>
            <w:tcW w:w="0" w:type="auto"/>
            <w:gridSpan w:val="3"/>
            <w:shd w:val="clear" w:color="auto" w:fill="auto"/>
            <w:tcMar>
              <w:top w:w="40" w:type="dxa"/>
              <w:left w:w="20" w:type="dxa"/>
              <w:bottom w:w="40" w:type="dxa"/>
              <w:right w:w="20" w:type="dxa"/>
            </w:tcMar>
          </w:tcPr>
          <w:p w14:paraId="5A1B313F" w14:textId="77777777" w:rsidR="00960BB8" w:rsidRDefault="00C06650">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5A1B3140"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141"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142" w14:textId="77777777" w:rsidR="00960BB8" w:rsidRDefault="00C06650">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14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44"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145"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146" w14:textId="77777777" w:rsidR="00960BB8" w:rsidRDefault="00C06650">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14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48"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149"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14A" w14:textId="77777777" w:rsidR="00960BB8" w:rsidRDefault="00C06650">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14B" w14:textId="77777777" w:rsidR="00960BB8" w:rsidRDefault="00960BB8">
            <w:pPr>
              <w:jc w:val="right"/>
              <w:rPr>
                <w:rFonts w:ascii="宋体"/>
              </w:rPr>
            </w:pPr>
          </w:p>
        </w:tc>
      </w:tr>
    </w:tbl>
    <w:p w14:paraId="5A1B314D" w14:textId="77777777" w:rsidR="00960BB8" w:rsidRDefault="00C06650">
      <w:pPr>
        <w:spacing w:after="120"/>
      </w:pPr>
      <w:r>
        <w:rPr>
          <w:rFonts w:ascii="Arial" w:eastAsia="宋体" w:hAnsi="Arial" w:cs="Arial"/>
          <w:color w:val="262626"/>
          <w:sz w:val="18"/>
          <w:szCs w:val="18"/>
        </w:rPr>
        <w:t>The amounts recorded on the Consolidated Balance Sheets related to cumulative basis adjustments for fair value hedges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997"/>
        <w:gridCol w:w="36"/>
        <w:gridCol w:w="36"/>
        <w:gridCol w:w="36"/>
        <w:gridCol w:w="36"/>
        <w:gridCol w:w="121"/>
        <w:gridCol w:w="800"/>
        <w:gridCol w:w="36"/>
        <w:gridCol w:w="36"/>
        <w:gridCol w:w="36"/>
        <w:gridCol w:w="36"/>
        <w:gridCol w:w="121"/>
        <w:gridCol w:w="801"/>
        <w:gridCol w:w="36"/>
        <w:gridCol w:w="36"/>
        <w:gridCol w:w="36"/>
        <w:gridCol w:w="36"/>
        <w:gridCol w:w="122"/>
        <w:gridCol w:w="801"/>
        <w:gridCol w:w="37"/>
        <w:gridCol w:w="37"/>
        <w:gridCol w:w="37"/>
        <w:gridCol w:w="36"/>
        <w:gridCol w:w="121"/>
        <w:gridCol w:w="800"/>
        <w:gridCol w:w="36"/>
      </w:tblGrid>
      <w:tr w:rsidR="00960BB8" w14:paraId="5A1B3169" w14:textId="77777777">
        <w:tc>
          <w:tcPr>
            <w:tcW w:w="50" w:type="pct"/>
            <w:shd w:val="clear" w:color="auto" w:fill="auto"/>
            <w:vAlign w:val="bottom"/>
          </w:tcPr>
          <w:p w14:paraId="5A1B314E" w14:textId="77777777" w:rsidR="00960BB8" w:rsidRDefault="00960BB8">
            <w:pPr>
              <w:rPr>
                <w:rFonts w:ascii="宋体"/>
              </w:rPr>
            </w:pPr>
          </w:p>
        </w:tc>
        <w:tc>
          <w:tcPr>
            <w:tcW w:w="2431" w:type="pct"/>
            <w:shd w:val="clear" w:color="auto" w:fill="auto"/>
            <w:vAlign w:val="bottom"/>
          </w:tcPr>
          <w:p w14:paraId="5A1B314F" w14:textId="77777777" w:rsidR="00960BB8" w:rsidRDefault="00960BB8">
            <w:pPr>
              <w:rPr>
                <w:rFonts w:ascii="宋体"/>
              </w:rPr>
            </w:pPr>
          </w:p>
        </w:tc>
        <w:tc>
          <w:tcPr>
            <w:tcW w:w="5" w:type="pct"/>
            <w:shd w:val="clear" w:color="auto" w:fill="auto"/>
            <w:vAlign w:val="bottom"/>
          </w:tcPr>
          <w:p w14:paraId="5A1B3150" w14:textId="77777777" w:rsidR="00960BB8" w:rsidRDefault="00960BB8">
            <w:pPr>
              <w:rPr>
                <w:rFonts w:ascii="宋体"/>
              </w:rPr>
            </w:pPr>
          </w:p>
        </w:tc>
        <w:tc>
          <w:tcPr>
            <w:tcW w:w="5" w:type="pct"/>
            <w:shd w:val="clear" w:color="auto" w:fill="auto"/>
            <w:vAlign w:val="bottom"/>
          </w:tcPr>
          <w:p w14:paraId="5A1B3151" w14:textId="77777777" w:rsidR="00960BB8" w:rsidRDefault="00960BB8">
            <w:pPr>
              <w:rPr>
                <w:rFonts w:ascii="宋体"/>
              </w:rPr>
            </w:pPr>
          </w:p>
        </w:tc>
        <w:tc>
          <w:tcPr>
            <w:tcW w:w="24" w:type="pct"/>
            <w:shd w:val="clear" w:color="auto" w:fill="auto"/>
            <w:vAlign w:val="bottom"/>
          </w:tcPr>
          <w:p w14:paraId="5A1B3152" w14:textId="77777777" w:rsidR="00960BB8" w:rsidRDefault="00960BB8">
            <w:pPr>
              <w:rPr>
                <w:rFonts w:ascii="宋体"/>
              </w:rPr>
            </w:pPr>
          </w:p>
        </w:tc>
        <w:tc>
          <w:tcPr>
            <w:tcW w:w="5" w:type="pct"/>
            <w:shd w:val="clear" w:color="auto" w:fill="auto"/>
            <w:vAlign w:val="bottom"/>
          </w:tcPr>
          <w:p w14:paraId="5A1B3153" w14:textId="77777777" w:rsidR="00960BB8" w:rsidRDefault="00960BB8">
            <w:pPr>
              <w:rPr>
                <w:rFonts w:ascii="宋体"/>
              </w:rPr>
            </w:pPr>
          </w:p>
        </w:tc>
        <w:tc>
          <w:tcPr>
            <w:tcW w:w="50" w:type="pct"/>
            <w:shd w:val="clear" w:color="auto" w:fill="auto"/>
            <w:vAlign w:val="bottom"/>
          </w:tcPr>
          <w:p w14:paraId="5A1B3154" w14:textId="77777777" w:rsidR="00960BB8" w:rsidRDefault="00960BB8">
            <w:pPr>
              <w:rPr>
                <w:rFonts w:ascii="宋体"/>
              </w:rPr>
            </w:pPr>
          </w:p>
        </w:tc>
        <w:tc>
          <w:tcPr>
            <w:tcW w:w="539" w:type="pct"/>
            <w:shd w:val="clear" w:color="auto" w:fill="auto"/>
            <w:vAlign w:val="bottom"/>
          </w:tcPr>
          <w:p w14:paraId="5A1B3155" w14:textId="77777777" w:rsidR="00960BB8" w:rsidRDefault="00960BB8">
            <w:pPr>
              <w:rPr>
                <w:rFonts w:ascii="宋体"/>
              </w:rPr>
            </w:pPr>
          </w:p>
        </w:tc>
        <w:tc>
          <w:tcPr>
            <w:tcW w:w="5" w:type="pct"/>
            <w:shd w:val="clear" w:color="auto" w:fill="auto"/>
            <w:vAlign w:val="bottom"/>
          </w:tcPr>
          <w:p w14:paraId="5A1B3156" w14:textId="77777777" w:rsidR="00960BB8" w:rsidRDefault="00960BB8">
            <w:pPr>
              <w:rPr>
                <w:rFonts w:ascii="宋体"/>
              </w:rPr>
            </w:pPr>
          </w:p>
        </w:tc>
        <w:tc>
          <w:tcPr>
            <w:tcW w:w="5" w:type="pct"/>
            <w:shd w:val="clear" w:color="auto" w:fill="auto"/>
            <w:vAlign w:val="bottom"/>
          </w:tcPr>
          <w:p w14:paraId="5A1B3157" w14:textId="77777777" w:rsidR="00960BB8" w:rsidRDefault="00960BB8">
            <w:pPr>
              <w:rPr>
                <w:rFonts w:ascii="宋体"/>
              </w:rPr>
            </w:pPr>
          </w:p>
        </w:tc>
        <w:tc>
          <w:tcPr>
            <w:tcW w:w="24" w:type="pct"/>
            <w:shd w:val="clear" w:color="auto" w:fill="auto"/>
            <w:vAlign w:val="bottom"/>
          </w:tcPr>
          <w:p w14:paraId="5A1B3158" w14:textId="77777777" w:rsidR="00960BB8" w:rsidRDefault="00960BB8">
            <w:pPr>
              <w:rPr>
                <w:rFonts w:ascii="宋体"/>
              </w:rPr>
            </w:pPr>
          </w:p>
        </w:tc>
        <w:tc>
          <w:tcPr>
            <w:tcW w:w="5" w:type="pct"/>
            <w:shd w:val="clear" w:color="auto" w:fill="auto"/>
            <w:vAlign w:val="bottom"/>
          </w:tcPr>
          <w:p w14:paraId="5A1B3159" w14:textId="77777777" w:rsidR="00960BB8" w:rsidRDefault="00960BB8">
            <w:pPr>
              <w:rPr>
                <w:rFonts w:ascii="宋体"/>
              </w:rPr>
            </w:pPr>
          </w:p>
        </w:tc>
        <w:tc>
          <w:tcPr>
            <w:tcW w:w="50" w:type="pct"/>
            <w:shd w:val="clear" w:color="auto" w:fill="auto"/>
            <w:vAlign w:val="bottom"/>
          </w:tcPr>
          <w:p w14:paraId="5A1B315A" w14:textId="77777777" w:rsidR="00960BB8" w:rsidRDefault="00960BB8">
            <w:pPr>
              <w:rPr>
                <w:rFonts w:ascii="宋体"/>
              </w:rPr>
            </w:pPr>
          </w:p>
        </w:tc>
        <w:tc>
          <w:tcPr>
            <w:tcW w:w="539" w:type="pct"/>
            <w:shd w:val="clear" w:color="auto" w:fill="auto"/>
            <w:vAlign w:val="bottom"/>
          </w:tcPr>
          <w:p w14:paraId="5A1B315B" w14:textId="77777777" w:rsidR="00960BB8" w:rsidRDefault="00960BB8">
            <w:pPr>
              <w:rPr>
                <w:rFonts w:ascii="宋体"/>
              </w:rPr>
            </w:pPr>
          </w:p>
        </w:tc>
        <w:tc>
          <w:tcPr>
            <w:tcW w:w="5" w:type="pct"/>
            <w:shd w:val="clear" w:color="auto" w:fill="auto"/>
            <w:vAlign w:val="bottom"/>
          </w:tcPr>
          <w:p w14:paraId="5A1B315C" w14:textId="77777777" w:rsidR="00960BB8" w:rsidRDefault="00960BB8">
            <w:pPr>
              <w:rPr>
                <w:rFonts w:ascii="宋体"/>
              </w:rPr>
            </w:pPr>
          </w:p>
        </w:tc>
        <w:tc>
          <w:tcPr>
            <w:tcW w:w="5" w:type="pct"/>
            <w:shd w:val="clear" w:color="auto" w:fill="auto"/>
            <w:vAlign w:val="bottom"/>
          </w:tcPr>
          <w:p w14:paraId="5A1B315D" w14:textId="77777777" w:rsidR="00960BB8" w:rsidRDefault="00960BB8">
            <w:pPr>
              <w:rPr>
                <w:rFonts w:ascii="宋体"/>
              </w:rPr>
            </w:pPr>
          </w:p>
        </w:tc>
        <w:tc>
          <w:tcPr>
            <w:tcW w:w="24" w:type="pct"/>
            <w:shd w:val="clear" w:color="auto" w:fill="auto"/>
            <w:vAlign w:val="bottom"/>
          </w:tcPr>
          <w:p w14:paraId="5A1B315E" w14:textId="77777777" w:rsidR="00960BB8" w:rsidRDefault="00960BB8">
            <w:pPr>
              <w:rPr>
                <w:rFonts w:ascii="宋体"/>
              </w:rPr>
            </w:pPr>
          </w:p>
        </w:tc>
        <w:tc>
          <w:tcPr>
            <w:tcW w:w="5" w:type="pct"/>
            <w:shd w:val="clear" w:color="auto" w:fill="auto"/>
            <w:vAlign w:val="bottom"/>
          </w:tcPr>
          <w:p w14:paraId="5A1B315F" w14:textId="77777777" w:rsidR="00960BB8" w:rsidRDefault="00960BB8">
            <w:pPr>
              <w:rPr>
                <w:rFonts w:ascii="宋体"/>
              </w:rPr>
            </w:pPr>
          </w:p>
        </w:tc>
        <w:tc>
          <w:tcPr>
            <w:tcW w:w="50" w:type="pct"/>
            <w:shd w:val="clear" w:color="auto" w:fill="auto"/>
            <w:vAlign w:val="bottom"/>
          </w:tcPr>
          <w:p w14:paraId="5A1B3160" w14:textId="77777777" w:rsidR="00960BB8" w:rsidRDefault="00960BB8">
            <w:pPr>
              <w:rPr>
                <w:rFonts w:ascii="宋体"/>
              </w:rPr>
            </w:pPr>
          </w:p>
        </w:tc>
        <w:tc>
          <w:tcPr>
            <w:tcW w:w="539" w:type="pct"/>
            <w:shd w:val="clear" w:color="auto" w:fill="auto"/>
            <w:vAlign w:val="bottom"/>
          </w:tcPr>
          <w:p w14:paraId="5A1B3161" w14:textId="77777777" w:rsidR="00960BB8" w:rsidRDefault="00960BB8">
            <w:pPr>
              <w:rPr>
                <w:rFonts w:ascii="宋体"/>
              </w:rPr>
            </w:pPr>
          </w:p>
        </w:tc>
        <w:tc>
          <w:tcPr>
            <w:tcW w:w="5" w:type="pct"/>
            <w:shd w:val="clear" w:color="auto" w:fill="auto"/>
            <w:vAlign w:val="bottom"/>
          </w:tcPr>
          <w:p w14:paraId="5A1B3162" w14:textId="77777777" w:rsidR="00960BB8" w:rsidRDefault="00960BB8">
            <w:pPr>
              <w:rPr>
                <w:rFonts w:ascii="宋体"/>
              </w:rPr>
            </w:pPr>
          </w:p>
        </w:tc>
        <w:tc>
          <w:tcPr>
            <w:tcW w:w="5" w:type="pct"/>
            <w:shd w:val="clear" w:color="auto" w:fill="auto"/>
            <w:vAlign w:val="bottom"/>
          </w:tcPr>
          <w:p w14:paraId="5A1B3163" w14:textId="77777777" w:rsidR="00960BB8" w:rsidRDefault="00960BB8">
            <w:pPr>
              <w:rPr>
                <w:rFonts w:ascii="宋体"/>
              </w:rPr>
            </w:pPr>
          </w:p>
        </w:tc>
        <w:tc>
          <w:tcPr>
            <w:tcW w:w="24" w:type="pct"/>
            <w:shd w:val="clear" w:color="auto" w:fill="auto"/>
            <w:vAlign w:val="bottom"/>
          </w:tcPr>
          <w:p w14:paraId="5A1B3164" w14:textId="77777777" w:rsidR="00960BB8" w:rsidRDefault="00960BB8">
            <w:pPr>
              <w:rPr>
                <w:rFonts w:ascii="宋体"/>
              </w:rPr>
            </w:pPr>
          </w:p>
        </w:tc>
        <w:tc>
          <w:tcPr>
            <w:tcW w:w="5" w:type="pct"/>
            <w:shd w:val="clear" w:color="auto" w:fill="auto"/>
            <w:vAlign w:val="bottom"/>
          </w:tcPr>
          <w:p w14:paraId="5A1B3165" w14:textId="77777777" w:rsidR="00960BB8" w:rsidRDefault="00960BB8">
            <w:pPr>
              <w:rPr>
                <w:rFonts w:ascii="宋体"/>
              </w:rPr>
            </w:pPr>
          </w:p>
        </w:tc>
        <w:tc>
          <w:tcPr>
            <w:tcW w:w="50" w:type="pct"/>
            <w:shd w:val="clear" w:color="auto" w:fill="auto"/>
            <w:vAlign w:val="bottom"/>
          </w:tcPr>
          <w:p w14:paraId="5A1B3166" w14:textId="77777777" w:rsidR="00960BB8" w:rsidRDefault="00960BB8">
            <w:pPr>
              <w:rPr>
                <w:rFonts w:ascii="宋体"/>
              </w:rPr>
            </w:pPr>
          </w:p>
        </w:tc>
        <w:tc>
          <w:tcPr>
            <w:tcW w:w="539" w:type="pct"/>
            <w:shd w:val="clear" w:color="auto" w:fill="auto"/>
            <w:vAlign w:val="bottom"/>
          </w:tcPr>
          <w:p w14:paraId="5A1B3167" w14:textId="77777777" w:rsidR="00960BB8" w:rsidRDefault="00960BB8">
            <w:pPr>
              <w:rPr>
                <w:rFonts w:ascii="宋体"/>
              </w:rPr>
            </w:pPr>
          </w:p>
        </w:tc>
        <w:tc>
          <w:tcPr>
            <w:tcW w:w="5" w:type="pct"/>
            <w:shd w:val="clear" w:color="auto" w:fill="auto"/>
            <w:vAlign w:val="bottom"/>
          </w:tcPr>
          <w:p w14:paraId="5A1B3168" w14:textId="77777777" w:rsidR="00960BB8" w:rsidRDefault="00960BB8">
            <w:pPr>
              <w:rPr>
                <w:rFonts w:ascii="宋体"/>
              </w:rPr>
            </w:pPr>
          </w:p>
        </w:tc>
      </w:tr>
      <w:tr w:rsidR="00960BB8" w14:paraId="5A1B316F" w14:textId="77777777">
        <w:tc>
          <w:tcPr>
            <w:tcW w:w="0" w:type="auto"/>
            <w:gridSpan w:val="3"/>
            <w:shd w:val="clear" w:color="auto" w:fill="auto"/>
            <w:tcMar>
              <w:top w:w="40" w:type="dxa"/>
              <w:left w:w="20" w:type="dxa"/>
              <w:bottom w:w="40" w:type="dxa"/>
              <w:right w:w="20" w:type="dxa"/>
            </w:tcMar>
            <w:vAlign w:val="center"/>
          </w:tcPr>
          <w:p w14:paraId="5A1B316A" w14:textId="77777777" w:rsidR="00960BB8" w:rsidRDefault="00C06650">
            <w:pPr>
              <w:textAlignment w:val="center"/>
            </w:pPr>
            <w:r>
              <w:rPr>
                <w:rFonts w:ascii="Arial" w:eastAsia="宋体" w:hAnsi="Arial" w:cs="Arial"/>
                <w:b/>
                <w:bCs/>
                <w:color w:val="262626"/>
                <w:sz w:val="18"/>
                <w:szCs w:val="18"/>
              </w:rPr>
              <w:t>Line Item in the Consolidated Balance Sheets in Which the Hedged Item Is Included</w:t>
            </w:r>
          </w:p>
        </w:tc>
        <w:tc>
          <w:tcPr>
            <w:tcW w:w="0" w:type="auto"/>
            <w:gridSpan w:val="3"/>
            <w:shd w:val="clear" w:color="auto" w:fill="auto"/>
            <w:tcMar>
              <w:top w:w="0" w:type="dxa"/>
              <w:left w:w="20" w:type="dxa"/>
              <w:bottom w:w="0" w:type="dxa"/>
              <w:right w:w="20" w:type="dxa"/>
            </w:tcMar>
            <w:vAlign w:val="bottom"/>
          </w:tcPr>
          <w:p w14:paraId="5A1B316B"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vAlign w:val="bottom"/>
          </w:tcPr>
          <w:p w14:paraId="5A1B316C" w14:textId="77777777" w:rsidR="00960BB8" w:rsidRDefault="00C06650">
            <w:pPr>
              <w:jc w:val="center"/>
              <w:textAlignment w:val="bottom"/>
            </w:pPr>
            <w:r>
              <w:rPr>
                <w:rFonts w:ascii="Arial" w:eastAsia="宋体" w:hAnsi="Arial" w:cs="Arial"/>
                <w:b/>
                <w:bCs/>
                <w:color w:val="262626"/>
                <w:sz w:val="18"/>
                <w:szCs w:val="18"/>
              </w:rPr>
              <w:t>Carrying Amount of the Hedged Item Assets/(Liabilities)</w:t>
            </w:r>
          </w:p>
        </w:tc>
        <w:tc>
          <w:tcPr>
            <w:tcW w:w="0" w:type="auto"/>
            <w:gridSpan w:val="3"/>
            <w:shd w:val="clear" w:color="auto" w:fill="auto"/>
            <w:tcMar>
              <w:top w:w="0" w:type="dxa"/>
              <w:left w:w="20" w:type="dxa"/>
              <w:bottom w:w="0" w:type="dxa"/>
              <w:right w:w="20" w:type="dxa"/>
            </w:tcMar>
            <w:vAlign w:val="bottom"/>
          </w:tcPr>
          <w:p w14:paraId="5A1B316D"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vAlign w:val="bottom"/>
          </w:tcPr>
          <w:p w14:paraId="5A1B316E" w14:textId="77777777" w:rsidR="00960BB8" w:rsidRDefault="00C06650">
            <w:pPr>
              <w:jc w:val="center"/>
              <w:textAlignment w:val="bottom"/>
            </w:pPr>
            <w:r>
              <w:rPr>
                <w:rFonts w:ascii="Arial" w:eastAsia="宋体" w:hAnsi="Arial" w:cs="Arial"/>
                <w:b/>
                <w:bCs/>
                <w:color w:val="262626"/>
                <w:sz w:val="18"/>
                <w:szCs w:val="18"/>
              </w:rPr>
              <w:t xml:space="preserve">Cumulative Amount of Fair Value Hedging Adjustment </w:t>
            </w:r>
            <w:r>
              <w:rPr>
                <w:rFonts w:ascii="Arial" w:eastAsia="宋体" w:hAnsi="Arial" w:cs="Arial"/>
                <w:b/>
                <w:bCs/>
                <w:color w:val="262626"/>
                <w:sz w:val="18"/>
                <w:szCs w:val="18"/>
              </w:rPr>
              <w:t>Included in the Carrying Amount Assets/(Liabilities)</w:t>
            </w:r>
          </w:p>
        </w:tc>
      </w:tr>
      <w:tr w:rsidR="00960BB8" w14:paraId="5A1B3179" w14:textId="77777777">
        <w:tc>
          <w:tcPr>
            <w:tcW w:w="0" w:type="auto"/>
            <w:gridSpan w:val="3"/>
            <w:shd w:val="clear" w:color="auto" w:fill="auto"/>
            <w:tcMar>
              <w:top w:w="40" w:type="dxa"/>
              <w:left w:w="20" w:type="dxa"/>
              <w:bottom w:w="40" w:type="dxa"/>
              <w:right w:w="20" w:type="dxa"/>
            </w:tcMar>
            <w:vAlign w:val="bottom"/>
          </w:tcPr>
          <w:p w14:paraId="5A1B3170"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3171"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172"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173"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174"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3175"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176"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177"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178"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318B" w14:textId="77777777">
        <w:tc>
          <w:tcPr>
            <w:tcW w:w="0" w:type="auto"/>
            <w:gridSpan w:val="3"/>
            <w:tcBorders>
              <w:top w:val="single" w:sz="8" w:space="0" w:color="0068B5"/>
            </w:tcBorders>
            <w:shd w:val="clear" w:color="auto" w:fill="auto"/>
            <w:tcMar>
              <w:top w:w="40" w:type="dxa"/>
              <w:left w:w="20" w:type="dxa"/>
              <w:bottom w:w="40" w:type="dxa"/>
              <w:right w:w="20" w:type="dxa"/>
            </w:tcMar>
          </w:tcPr>
          <w:p w14:paraId="5A1B317A" w14:textId="77777777" w:rsidR="00960BB8" w:rsidRDefault="00C06650">
            <w:pPr>
              <w:textAlignment w:val="top"/>
            </w:pPr>
            <w:r>
              <w:rPr>
                <w:rFonts w:ascii="Arial" w:eastAsia="宋体" w:hAnsi="Arial" w:cs="Arial"/>
                <w:color w:val="262626"/>
                <w:sz w:val="18"/>
                <w:szCs w:val="18"/>
              </w:rPr>
              <w:t>Long-term debt</w:t>
            </w:r>
          </w:p>
        </w:tc>
        <w:tc>
          <w:tcPr>
            <w:tcW w:w="0" w:type="auto"/>
            <w:gridSpan w:val="3"/>
            <w:shd w:val="clear" w:color="auto" w:fill="auto"/>
            <w:tcMar>
              <w:top w:w="0" w:type="dxa"/>
              <w:left w:w="20" w:type="dxa"/>
              <w:bottom w:w="0" w:type="dxa"/>
              <w:right w:w="20" w:type="dxa"/>
            </w:tcMar>
            <w:vAlign w:val="bottom"/>
          </w:tcPr>
          <w:p w14:paraId="5A1B317B"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17C"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17D" w14:textId="77777777" w:rsidR="00960BB8" w:rsidRDefault="00C06650">
            <w:pPr>
              <w:jc w:val="right"/>
              <w:textAlignment w:val="bottom"/>
            </w:pPr>
            <w:r>
              <w:rPr>
                <w:rFonts w:ascii="Arial" w:eastAsia="宋体" w:hAnsi="Arial" w:cs="Arial"/>
                <w:color w:val="0068B5"/>
                <w:sz w:val="18"/>
                <w:szCs w:val="18"/>
              </w:rPr>
              <w:t>(11,221)</w:t>
            </w:r>
          </w:p>
        </w:tc>
        <w:tc>
          <w:tcPr>
            <w:tcW w:w="0" w:type="auto"/>
            <w:tcBorders>
              <w:top w:val="single" w:sz="8" w:space="0" w:color="0068B5"/>
            </w:tcBorders>
            <w:shd w:val="clear" w:color="auto" w:fill="auto"/>
            <w:tcMar>
              <w:top w:w="40" w:type="dxa"/>
              <w:left w:w="0" w:type="dxa"/>
              <w:bottom w:w="40" w:type="dxa"/>
              <w:right w:w="20" w:type="dxa"/>
            </w:tcMar>
            <w:vAlign w:val="bottom"/>
          </w:tcPr>
          <w:p w14:paraId="5A1B317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7F"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180"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181" w14:textId="77777777" w:rsidR="00960BB8" w:rsidRDefault="00C06650">
            <w:pPr>
              <w:jc w:val="right"/>
              <w:textAlignment w:val="bottom"/>
            </w:pPr>
            <w:r>
              <w:rPr>
                <w:rFonts w:ascii="Arial" w:eastAsia="宋体" w:hAnsi="Arial" w:cs="Arial"/>
                <w:color w:val="262626"/>
                <w:sz w:val="18"/>
                <w:szCs w:val="18"/>
              </w:rPr>
              <w:t>(12,772)</w:t>
            </w:r>
          </w:p>
        </w:tc>
        <w:tc>
          <w:tcPr>
            <w:tcW w:w="0" w:type="auto"/>
            <w:tcBorders>
              <w:top w:val="single" w:sz="8" w:space="0" w:color="0068B5"/>
            </w:tcBorders>
            <w:shd w:val="clear" w:color="auto" w:fill="auto"/>
            <w:tcMar>
              <w:top w:w="40" w:type="dxa"/>
              <w:left w:w="0" w:type="dxa"/>
              <w:bottom w:w="40" w:type="dxa"/>
              <w:right w:w="20" w:type="dxa"/>
            </w:tcMar>
            <w:vAlign w:val="bottom"/>
          </w:tcPr>
          <w:p w14:paraId="5A1B318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8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184"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185" w14:textId="77777777" w:rsidR="00960BB8" w:rsidRDefault="00C06650">
            <w:pPr>
              <w:jc w:val="right"/>
              <w:textAlignment w:val="bottom"/>
            </w:pPr>
            <w:r>
              <w:rPr>
                <w:rFonts w:ascii="Arial" w:eastAsia="宋体" w:hAnsi="Arial" w:cs="Arial"/>
                <w:color w:val="0068B5"/>
                <w:sz w:val="18"/>
                <w:szCs w:val="18"/>
              </w:rPr>
              <w:t>776 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18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87"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188"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189" w14:textId="77777777" w:rsidR="00960BB8" w:rsidRDefault="00C06650">
            <w:pPr>
              <w:jc w:val="right"/>
              <w:textAlignment w:val="bottom"/>
            </w:pPr>
            <w:r>
              <w:rPr>
                <w:rFonts w:ascii="Arial" w:eastAsia="宋体" w:hAnsi="Arial" w:cs="Arial"/>
                <w:color w:val="262626"/>
                <w:sz w:val="18"/>
                <w:szCs w:val="18"/>
              </w:rPr>
              <w:t>(775)</w:t>
            </w:r>
          </w:p>
        </w:tc>
        <w:tc>
          <w:tcPr>
            <w:tcW w:w="0" w:type="auto"/>
            <w:tcBorders>
              <w:top w:val="single" w:sz="8" w:space="0" w:color="0068B5"/>
            </w:tcBorders>
            <w:shd w:val="clear" w:color="auto" w:fill="auto"/>
            <w:tcMar>
              <w:top w:w="40" w:type="dxa"/>
              <w:left w:w="0" w:type="dxa"/>
              <w:bottom w:w="40" w:type="dxa"/>
              <w:right w:w="20" w:type="dxa"/>
            </w:tcMar>
            <w:vAlign w:val="bottom"/>
          </w:tcPr>
          <w:p w14:paraId="5A1B318A" w14:textId="77777777" w:rsidR="00960BB8" w:rsidRDefault="00960BB8">
            <w:pPr>
              <w:jc w:val="right"/>
              <w:rPr>
                <w:rFonts w:ascii="宋体"/>
              </w:rPr>
            </w:pPr>
          </w:p>
        </w:tc>
      </w:tr>
    </w:tbl>
    <w:p w14:paraId="5A1B318C" w14:textId="77777777" w:rsidR="00960BB8" w:rsidRDefault="00960BB8">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3199" w14:textId="77777777">
        <w:tc>
          <w:tcPr>
            <w:tcW w:w="50" w:type="pct"/>
            <w:shd w:val="clear" w:color="auto" w:fill="auto"/>
            <w:vAlign w:val="bottom"/>
          </w:tcPr>
          <w:p w14:paraId="5A1B318D" w14:textId="77777777" w:rsidR="00960BB8" w:rsidRDefault="00960BB8">
            <w:pPr>
              <w:rPr>
                <w:rFonts w:ascii="宋体"/>
              </w:rPr>
            </w:pPr>
          </w:p>
        </w:tc>
        <w:tc>
          <w:tcPr>
            <w:tcW w:w="276" w:type="pct"/>
            <w:shd w:val="clear" w:color="auto" w:fill="auto"/>
            <w:vAlign w:val="bottom"/>
          </w:tcPr>
          <w:p w14:paraId="5A1B318E" w14:textId="77777777" w:rsidR="00960BB8" w:rsidRDefault="00960BB8">
            <w:pPr>
              <w:rPr>
                <w:rFonts w:ascii="宋体"/>
              </w:rPr>
            </w:pPr>
          </w:p>
        </w:tc>
        <w:tc>
          <w:tcPr>
            <w:tcW w:w="5" w:type="pct"/>
            <w:shd w:val="clear" w:color="auto" w:fill="auto"/>
            <w:vAlign w:val="bottom"/>
          </w:tcPr>
          <w:p w14:paraId="5A1B318F" w14:textId="77777777" w:rsidR="00960BB8" w:rsidRDefault="00960BB8">
            <w:pPr>
              <w:rPr>
                <w:rFonts w:ascii="宋体"/>
              </w:rPr>
            </w:pPr>
          </w:p>
        </w:tc>
        <w:tc>
          <w:tcPr>
            <w:tcW w:w="50" w:type="pct"/>
            <w:shd w:val="clear" w:color="auto" w:fill="auto"/>
            <w:vAlign w:val="bottom"/>
          </w:tcPr>
          <w:p w14:paraId="5A1B3190" w14:textId="77777777" w:rsidR="00960BB8" w:rsidRDefault="00960BB8">
            <w:pPr>
              <w:rPr>
                <w:rFonts w:ascii="宋体"/>
              </w:rPr>
            </w:pPr>
          </w:p>
        </w:tc>
        <w:tc>
          <w:tcPr>
            <w:tcW w:w="940" w:type="pct"/>
            <w:shd w:val="clear" w:color="auto" w:fill="auto"/>
            <w:vAlign w:val="bottom"/>
          </w:tcPr>
          <w:p w14:paraId="5A1B3191" w14:textId="77777777" w:rsidR="00960BB8" w:rsidRDefault="00960BB8">
            <w:pPr>
              <w:rPr>
                <w:rFonts w:ascii="宋体"/>
              </w:rPr>
            </w:pPr>
          </w:p>
        </w:tc>
        <w:tc>
          <w:tcPr>
            <w:tcW w:w="5" w:type="pct"/>
            <w:shd w:val="clear" w:color="auto" w:fill="auto"/>
            <w:vAlign w:val="bottom"/>
          </w:tcPr>
          <w:p w14:paraId="5A1B3192" w14:textId="77777777" w:rsidR="00960BB8" w:rsidRDefault="00960BB8">
            <w:pPr>
              <w:rPr>
                <w:rFonts w:ascii="宋体"/>
              </w:rPr>
            </w:pPr>
          </w:p>
        </w:tc>
        <w:tc>
          <w:tcPr>
            <w:tcW w:w="50" w:type="pct"/>
            <w:shd w:val="clear" w:color="auto" w:fill="auto"/>
            <w:vAlign w:val="bottom"/>
          </w:tcPr>
          <w:p w14:paraId="5A1B3193" w14:textId="77777777" w:rsidR="00960BB8" w:rsidRDefault="00960BB8">
            <w:pPr>
              <w:rPr>
                <w:rFonts w:ascii="宋体"/>
              </w:rPr>
            </w:pPr>
          </w:p>
        </w:tc>
        <w:tc>
          <w:tcPr>
            <w:tcW w:w="1837" w:type="pct"/>
            <w:shd w:val="clear" w:color="auto" w:fill="auto"/>
            <w:vAlign w:val="bottom"/>
          </w:tcPr>
          <w:p w14:paraId="5A1B3194" w14:textId="77777777" w:rsidR="00960BB8" w:rsidRDefault="00960BB8">
            <w:pPr>
              <w:rPr>
                <w:rFonts w:ascii="宋体"/>
              </w:rPr>
            </w:pPr>
          </w:p>
        </w:tc>
        <w:tc>
          <w:tcPr>
            <w:tcW w:w="5" w:type="pct"/>
            <w:shd w:val="clear" w:color="auto" w:fill="auto"/>
            <w:vAlign w:val="bottom"/>
          </w:tcPr>
          <w:p w14:paraId="5A1B3195" w14:textId="77777777" w:rsidR="00960BB8" w:rsidRDefault="00960BB8">
            <w:pPr>
              <w:rPr>
                <w:rFonts w:ascii="宋体"/>
              </w:rPr>
            </w:pPr>
          </w:p>
        </w:tc>
        <w:tc>
          <w:tcPr>
            <w:tcW w:w="50" w:type="pct"/>
            <w:shd w:val="clear" w:color="auto" w:fill="auto"/>
            <w:vAlign w:val="bottom"/>
          </w:tcPr>
          <w:p w14:paraId="5A1B3196" w14:textId="77777777" w:rsidR="00960BB8" w:rsidRDefault="00960BB8">
            <w:pPr>
              <w:rPr>
                <w:rFonts w:ascii="宋体"/>
              </w:rPr>
            </w:pPr>
          </w:p>
        </w:tc>
        <w:tc>
          <w:tcPr>
            <w:tcW w:w="1724" w:type="pct"/>
            <w:shd w:val="clear" w:color="auto" w:fill="auto"/>
            <w:vAlign w:val="bottom"/>
          </w:tcPr>
          <w:p w14:paraId="5A1B3197" w14:textId="77777777" w:rsidR="00960BB8" w:rsidRDefault="00960BB8">
            <w:pPr>
              <w:rPr>
                <w:rFonts w:ascii="宋体"/>
              </w:rPr>
            </w:pPr>
          </w:p>
        </w:tc>
        <w:tc>
          <w:tcPr>
            <w:tcW w:w="5" w:type="pct"/>
            <w:shd w:val="clear" w:color="auto" w:fill="auto"/>
            <w:vAlign w:val="bottom"/>
          </w:tcPr>
          <w:p w14:paraId="5A1B3198" w14:textId="77777777" w:rsidR="00960BB8" w:rsidRDefault="00960BB8">
            <w:pPr>
              <w:rPr>
                <w:rFonts w:ascii="宋体"/>
              </w:rPr>
            </w:pPr>
          </w:p>
        </w:tc>
      </w:tr>
      <w:tr w:rsidR="00960BB8" w14:paraId="5A1B319E"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19A"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C0" wp14:editId="5A1B44C1">
                  <wp:extent cx="304800" cy="304800"/>
                  <wp:effectExtent l="0" t="0" r="0" b="0"/>
                  <wp:docPr id="160" name="图片 30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30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19B"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319C"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19D" w14:textId="77777777" w:rsidR="00960BB8" w:rsidRDefault="00C06650">
            <w:pPr>
              <w:jc w:val="right"/>
              <w:textAlignment w:val="center"/>
            </w:pPr>
            <w:r>
              <w:rPr>
                <w:rFonts w:ascii="Arial" w:eastAsia="宋体" w:hAnsi="Arial" w:cs="Arial"/>
                <w:color w:val="262626"/>
                <w:sz w:val="16"/>
                <w:szCs w:val="16"/>
              </w:rPr>
              <w:t>106</w:t>
            </w:r>
          </w:p>
        </w:tc>
      </w:tr>
    </w:tbl>
    <w:p w14:paraId="5A1B319F" w14:textId="77777777" w:rsidR="00960BB8" w:rsidRDefault="00C06650">
      <w:r>
        <w:pict w14:anchorId="5A1B44C2">
          <v:rect id="_x0000_i1132" style="width:415.3pt;height:1.5pt" o:hralign="center" o:hrstd="t" o:hr="t" fillcolor="#a0a0a0" stroked="f"/>
        </w:pict>
      </w:r>
    </w:p>
    <w:p w14:paraId="5A1B31A0" w14:textId="77777777" w:rsidR="00960BB8" w:rsidRDefault="00C06650">
      <w:pPr>
        <w:jc w:val="right"/>
      </w:pPr>
      <w:hyperlink r:id="rId155" w:anchor="i8aaa7b4dbd2e419ca0f5c30af85a11aa_16" w:history="1">
        <w:r>
          <w:rPr>
            <w:rStyle w:val="a5"/>
            <w:rFonts w:ascii="Arial" w:eastAsia="宋体" w:hAnsi="Arial" w:cs="Arial"/>
            <w:b/>
            <w:bCs/>
            <w:sz w:val="16"/>
            <w:szCs w:val="16"/>
          </w:rPr>
          <w:t>Table of Contents</w:t>
        </w:r>
      </w:hyperlink>
    </w:p>
    <w:p w14:paraId="5A1B31A1" w14:textId="77777777" w:rsidR="00960BB8" w:rsidRDefault="00960BB8">
      <w:pPr>
        <w:jc w:val="right"/>
      </w:pPr>
    </w:p>
    <w:p w14:paraId="5A1B31A2" w14:textId="77777777" w:rsidR="00960BB8" w:rsidRDefault="00C06650">
      <w:pPr>
        <w:spacing w:before="80" w:after="180"/>
      </w:pPr>
      <w:r>
        <w:rPr>
          <w:rFonts w:ascii="Arial" w:eastAsia="宋体" w:hAnsi="Arial" w:cs="Arial"/>
          <w:color w:val="0068B5"/>
        </w:rPr>
        <w:t>Derivatives Not Designated as Hedging Instruments</w:t>
      </w:r>
    </w:p>
    <w:p w14:paraId="5A1B31A3" w14:textId="77777777" w:rsidR="00960BB8" w:rsidRDefault="00C06650">
      <w:pPr>
        <w:spacing w:after="120"/>
      </w:pPr>
      <w:r>
        <w:rPr>
          <w:rFonts w:ascii="Arial" w:eastAsia="宋体" w:hAnsi="Arial" w:cs="Arial"/>
          <w:color w:val="262626"/>
          <w:sz w:val="18"/>
          <w:szCs w:val="18"/>
        </w:rPr>
        <w:t>The effects of derivative instrum</w:t>
      </w:r>
      <w:r>
        <w:rPr>
          <w:rFonts w:ascii="Arial" w:eastAsia="宋体" w:hAnsi="Arial" w:cs="Arial"/>
          <w:color w:val="262626"/>
          <w:sz w:val="18"/>
          <w:szCs w:val="18"/>
        </w:rPr>
        <w:t xml:space="preserve">ents not designated as hedging instruments on the Consolidated Statements of Income for each period were as follows: </w:t>
      </w:r>
    </w:p>
    <w:tbl>
      <w:tblPr>
        <w:tblW w:w="4993" w:type="pct"/>
        <w:tblCellMar>
          <w:top w:w="15" w:type="dxa"/>
          <w:left w:w="15" w:type="dxa"/>
          <w:bottom w:w="15" w:type="dxa"/>
          <w:right w:w="15" w:type="dxa"/>
        </w:tblCellMar>
        <w:tblLook w:val="04A0" w:firstRow="1" w:lastRow="0" w:firstColumn="1" w:lastColumn="0" w:noHBand="0" w:noVBand="1"/>
      </w:tblPr>
      <w:tblGrid>
        <w:gridCol w:w="40"/>
        <w:gridCol w:w="2155"/>
        <w:gridCol w:w="36"/>
        <w:gridCol w:w="36"/>
        <w:gridCol w:w="36"/>
        <w:gridCol w:w="36"/>
        <w:gridCol w:w="37"/>
        <w:gridCol w:w="2666"/>
        <w:gridCol w:w="36"/>
        <w:gridCol w:w="36"/>
        <w:gridCol w:w="36"/>
        <w:gridCol w:w="36"/>
        <w:gridCol w:w="121"/>
        <w:gridCol w:w="817"/>
        <w:gridCol w:w="36"/>
        <w:gridCol w:w="36"/>
        <w:gridCol w:w="36"/>
        <w:gridCol w:w="36"/>
        <w:gridCol w:w="121"/>
        <w:gridCol w:w="817"/>
        <w:gridCol w:w="36"/>
        <w:gridCol w:w="36"/>
        <w:gridCol w:w="36"/>
        <w:gridCol w:w="36"/>
        <w:gridCol w:w="121"/>
        <w:gridCol w:w="817"/>
        <w:gridCol w:w="36"/>
      </w:tblGrid>
      <w:tr w:rsidR="00960BB8" w14:paraId="5A1B31BF" w14:textId="77777777">
        <w:tc>
          <w:tcPr>
            <w:tcW w:w="50" w:type="pct"/>
            <w:shd w:val="clear" w:color="auto" w:fill="auto"/>
            <w:vAlign w:val="bottom"/>
          </w:tcPr>
          <w:p w14:paraId="5A1B31A4" w14:textId="77777777" w:rsidR="00960BB8" w:rsidRDefault="00960BB8">
            <w:pPr>
              <w:rPr>
                <w:rFonts w:ascii="宋体"/>
              </w:rPr>
            </w:pPr>
          </w:p>
        </w:tc>
        <w:tc>
          <w:tcPr>
            <w:tcW w:w="1319" w:type="pct"/>
            <w:shd w:val="clear" w:color="auto" w:fill="auto"/>
            <w:vAlign w:val="bottom"/>
          </w:tcPr>
          <w:p w14:paraId="5A1B31A5" w14:textId="77777777" w:rsidR="00960BB8" w:rsidRDefault="00960BB8">
            <w:pPr>
              <w:rPr>
                <w:rFonts w:ascii="宋体"/>
              </w:rPr>
            </w:pPr>
          </w:p>
        </w:tc>
        <w:tc>
          <w:tcPr>
            <w:tcW w:w="5" w:type="pct"/>
            <w:shd w:val="clear" w:color="auto" w:fill="auto"/>
            <w:vAlign w:val="bottom"/>
          </w:tcPr>
          <w:p w14:paraId="5A1B31A6" w14:textId="77777777" w:rsidR="00960BB8" w:rsidRDefault="00960BB8">
            <w:pPr>
              <w:rPr>
                <w:rFonts w:ascii="宋体"/>
              </w:rPr>
            </w:pPr>
          </w:p>
        </w:tc>
        <w:tc>
          <w:tcPr>
            <w:tcW w:w="5" w:type="pct"/>
            <w:shd w:val="clear" w:color="auto" w:fill="auto"/>
            <w:vAlign w:val="bottom"/>
          </w:tcPr>
          <w:p w14:paraId="5A1B31A7" w14:textId="77777777" w:rsidR="00960BB8" w:rsidRDefault="00960BB8">
            <w:pPr>
              <w:rPr>
                <w:rFonts w:ascii="宋体"/>
              </w:rPr>
            </w:pPr>
          </w:p>
        </w:tc>
        <w:tc>
          <w:tcPr>
            <w:tcW w:w="24" w:type="pct"/>
            <w:shd w:val="clear" w:color="auto" w:fill="auto"/>
            <w:vAlign w:val="bottom"/>
          </w:tcPr>
          <w:p w14:paraId="5A1B31A8" w14:textId="77777777" w:rsidR="00960BB8" w:rsidRDefault="00960BB8">
            <w:pPr>
              <w:rPr>
                <w:rFonts w:ascii="宋体"/>
              </w:rPr>
            </w:pPr>
          </w:p>
        </w:tc>
        <w:tc>
          <w:tcPr>
            <w:tcW w:w="5" w:type="pct"/>
            <w:shd w:val="clear" w:color="auto" w:fill="auto"/>
            <w:vAlign w:val="bottom"/>
          </w:tcPr>
          <w:p w14:paraId="5A1B31A9" w14:textId="77777777" w:rsidR="00960BB8" w:rsidRDefault="00960BB8">
            <w:pPr>
              <w:rPr>
                <w:rFonts w:ascii="宋体"/>
              </w:rPr>
            </w:pPr>
          </w:p>
        </w:tc>
        <w:tc>
          <w:tcPr>
            <w:tcW w:w="50" w:type="pct"/>
            <w:shd w:val="clear" w:color="auto" w:fill="auto"/>
            <w:vAlign w:val="bottom"/>
          </w:tcPr>
          <w:p w14:paraId="5A1B31AA" w14:textId="77777777" w:rsidR="00960BB8" w:rsidRDefault="00960BB8">
            <w:pPr>
              <w:rPr>
                <w:rFonts w:ascii="宋体"/>
              </w:rPr>
            </w:pPr>
          </w:p>
        </w:tc>
        <w:tc>
          <w:tcPr>
            <w:tcW w:w="1648" w:type="pct"/>
            <w:shd w:val="clear" w:color="auto" w:fill="auto"/>
            <w:vAlign w:val="bottom"/>
          </w:tcPr>
          <w:p w14:paraId="5A1B31AB" w14:textId="77777777" w:rsidR="00960BB8" w:rsidRDefault="00960BB8">
            <w:pPr>
              <w:rPr>
                <w:rFonts w:ascii="宋体"/>
              </w:rPr>
            </w:pPr>
          </w:p>
        </w:tc>
        <w:tc>
          <w:tcPr>
            <w:tcW w:w="5" w:type="pct"/>
            <w:shd w:val="clear" w:color="auto" w:fill="auto"/>
            <w:vAlign w:val="bottom"/>
          </w:tcPr>
          <w:p w14:paraId="5A1B31AC" w14:textId="77777777" w:rsidR="00960BB8" w:rsidRDefault="00960BB8">
            <w:pPr>
              <w:rPr>
                <w:rFonts w:ascii="宋体"/>
              </w:rPr>
            </w:pPr>
          </w:p>
        </w:tc>
        <w:tc>
          <w:tcPr>
            <w:tcW w:w="5" w:type="pct"/>
            <w:shd w:val="clear" w:color="auto" w:fill="auto"/>
            <w:vAlign w:val="bottom"/>
          </w:tcPr>
          <w:p w14:paraId="5A1B31AD" w14:textId="77777777" w:rsidR="00960BB8" w:rsidRDefault="00960BB8">
            <w:pPr>
              <w:rPr>
                <w:rFonts w:ascii="宋体"/>
              </w:rPr>
            </w:pPr>
          </w:p>
        </w:tc>
        <w:tc>
          <w:tcPr>
            <w:tcW w:w="24" w:type="pct"/>
            <w:shd w:val="clear" w:color="auto" w:fill="auto"/>
            <w:vAlign w:val="bottom"/>
          </w:tcPr>
          <w:p w14:paraId="5A1B31AE" w14:textId="77777777" w:rsidR="00960BB8" w:rsidRDefault="00960BB8">
            <w:pPr>
              <w:rPr>
                <w:rFonts w:ascii="宋体"/>
              </w:rPr>
            </w:pPr>
          </w:p>
        </w:tc>
        <w:tc>
          <w:tcPr>
            <w:tcW w:w="5" w:type="pct"/>
            <w:shd w:val="clear" w:color="auto" w:fill="auto"/>
            <w:vAlign w:val="bottom"/>
          </w:tcPr>
          <w:p w14:paraId="5A1B31AF" w14:textId="77777777" w:rsidR="00960BB8" w:rsidRDefault="00960BB8">
            <w:pPr>
              <w:rPr>
                <w:rFonts w:ascii="宋体"/>
              </w:rPr>
            </w:pPr>
          </w:p>
        </w:tc>
        <w:tc>
          <w:tcPr>
            <w:tcW w:w="50" w:type="pct"/>
            <w:shd w:val="clear" w:color="auto" w:fill="auto"/>
            <w:vAlign w:val="bottom"/>
          </w:tcPr>
          <w:p w14:paraId="5A1B31B0" w14:textId="77777777" w:rsidR="00960BB8" w:rsidRDefault="00960BB8">
            <w:pPr>
              <w:rPr>
                <w:rFonts w:ascii="宋体"/>
              </w:rPr>
            </w:pPr>
          </w:p>
        </w:tc>
        <w:tc>
          <w:tcPr>
            <w:tcW w:w="540" w:type="pct"/>
            <w:shd w:val="clear" w:color="auto" w:fill="auto"/>
            <w:vAlign w:val="bottom"/>
          </w:tcPr>
          <w:p w14:paraId="5A1B31B1" w14:textId="77777777" w:rsidR="00960BB8" w:rsidRDefault="00960BB8">
            <w:pPr>
              <w:rPr>
                <w:rFonts w:ascii="宋体"/>
              </w:rPr>
            </w:pPr>
          </w:p>
        </w:tc>
        <w:tc>
          <w:tcPr>
            <w:tcW w:w="5" w:type="pct"/>
            <w:shd w:val="clear" w:color="auto" w:fill="auto"/>
            <w:vAlign w:val="bottom"/>
          </w:tcPr>
          <w:p w14:paraId="5A1B31B2" w14:textId="77777777" w:rsidR="00960BB8" w:rsidRDefault="00960BB8">
            <w:pPr>
              <w:rPr>
                <w:rFonts w:ascii="宋体"/>
              </w:rPr>
            </w:pPr>
          </w:p>
        </w:tc>
        <w:tc>
          <w:tcPr>
            <w:tcW w:w="5" w:type="pct"/>
            <w:shd w:val="clear" w:color="auto" w:fill="auto"/>
            <w:vAlign w:val="bottom"/>
          </w:tcPr>
          <w:p w14:paraId="5A1B31B3" w14:textId="77777777" w:rsidR="00960BB8" w:rsidRDefault="00960BB8">
            <w:pPr>
              <w:rPr>
                <w:rFonts w:ascii="宋体"/>
              </w:rPr>
            </w:pPr>
          </w:p>
        </w:tc>
        <w:tc>
          <w:tcPr>
            <w:tcW w:w="24" w:type="pct"/>
            <w:shd w:val="clear" w:color="auto" w:fill="auto"/>
            <w:vAlign w:val="bottom"/>
          </w:tcPr>
          <w:p w14:paraId="5A1B31B4" w14:textId="77777777" w:rsidR="00960BB8" w:rsidRDefault="00960BB8">
            <w:pPr>
              <w:rPr>
                <w:rFonts w:ascii="宋体"/>
              </w:rPr>
            </w:pPr>
          </w:p>
        </w:tc>
        <w:tc>
          <w:tcPr>
            <w:tcW w:w="5" w:type="pct"/>
            <w:shd w:val="clear" w:color="auto" w:fill="auto"/>
            <w:vAlign w:val="bottom"/>
          </w:tcPr>
          <w:p w14:paraId="5A1B31B5" w14:textId="77777777" w:rsidR="00960BB8" w:rsidRDefault="00960BB8">
            <w:pPr>
              <w:rPr>
                <w:rFonts w:ascii="宋体"/>
              </w:rPr>
            </w:pPr>
          </w:p>
        </w:tc>
        <w:tc>
          <w:tcPr>
            <w:tcW w:w="50" w:type="pct"/>
            <w:shd w:val="clear" w:color="auto" w:fill="auto"/>
            <w:vAlign w:val="bottom"/>
          </w:tcPr>
          <w:p w14:paraId="5A1B31B6" w14:textId="77777777" w:rsidR="00960BB8" w:rsidRDefault="00960BB8">
            <w:pPr>
              <w:rPr>
                <w:rFonts w:ascii="宋体"/>
              </w:rPr>
            </w:pPr>
          </w:p>
        </w:tc>
        <w:tc>
          <w:tcPr>
            <w:tcW w:w="540" w:type="pct"/>
            <w:shd w:val="clear" w:color="auto" w:fill="auto"/>
            <w:vAlign w:val="bottom"/>
          </w:tcPr>
          <w:p w14:paraId="5A1B31B7" w14:textId="77777777" w:rsidR="00960BB8" w:rsidRDefault="00960BB8">
            <w:pPr>
              <w:rPr>
                <w:rFonts w:ascii="宋体"/>
              </w:rPr>
            </w:pPr>
          </w:p>
        </w:tc>
        <w:tc>
          <w:tcPr>
            <w:tcW w:w="5" w:type="pct"/>
            <w:shd w:val="clear" w:color="auto" w:fill="auto"/>
            <w:vAlign w:val="bottom"/>
          </w:tcPr>
          <w:p w14:paraId="5A1B31B8" w14:textId="77777777" w:rsidR="00960BB8" w:rsidRDefault="00960BB8">
            <w:pPr>
              <w:rPr>
                <w:rFonts w:ascii="宋体"/>
              </w:rPr>
            </w:pPr>
          </w:p>
        </w:tc>
        <w:tc>
          <w:tcPr>
            <w:tcW w:w="5" w:type="pct"/>
            <w:shd w:val="clear" w:color="auto" w:fill="auto"/>
            <w:vAlign w:val="bottom"/>
          </w:tcPr>
          <w:p w14:paraId="5A1B31B9" w14:textId="77777777" w:rsidR="00960BB8" w:rsidRDefault="00960BB8">
            <w:pPr>
              <w:rPr>
                <w:rFonts w:ascii="宋体"/>
              </w:rPr>
            </w:pPr>
          </w:p>
        </w:tc>
        <w:tc>
          <w:tcPr>
            <w:tcW w:w="24" w:type="pct"/>
            <w:shd w:val="clear" w:color="auto" w:fill="auto"/>
            <w:vAlign w:val="bottom"/>
          </w:tcPr>
          <w:p w14:paraId="5A1B31BA" w14:textId="77777777" w:rsidR="00960BB8" w:rsidRDefault="00960BB8">
            <w:pPr>
              <w:rPr>
                <w:rFonts w:ascii="宋体"/>
              </w:rPr>
            </w:pPr>
          </w:p>
        </w:tc>
        <w:tc>
          <w:tcPr>
            <w:tcW w:w="5" w:type="pct"/>
            <w:shd w:val="clear" w:color="auto" w:fill="auto"/>
            <w:vAlign w:val="bottom"/>
          </w:tcPr>
          <w:p w14:paraId="5A1B31BB" w14:textId="77777777" w:rsidR="00960BB8" w:rsidRDefault="00960BB8">
            <w:pPr>
              <w:rPr>
                <w:rFonts w:ascii="宋体"/>
              </w:rPr>
            </w:pPr>
          </w:p>
        </w:tc>
        <w:tc>
          <w:tcPr>
            <w:tcW w:w="50" w:type="pct"/>
            <w:shd w:val="clear" w:color="auto" w:fill="auto"/>
            <w:vAlign w:val="bottom"/>
          </w:tcPr>
          <w:p w14:paraId="5A1B31BC" w14:textId="77777777" w:rsidR="00960BB8" w:rsidRDefault="00960BB8">
            <w:pPr>
              <w:rPr>
                <w:rFonts w:ascii="宋体"/>
              </w:rPr>
            </w:pPr>
          </w:p>
        </w:tc>
        <w:tc>
          <w:tcPr>
            <w:tcW w:w="540" w:type="pct"/>
            <w:shd w:val="clear" w:color="auto" w:fill="auto"/>
            <w:vAlign w:val="bottom"/>
          </w:tcPr>
          <w:p w14:paraId="5A1B31BD" w14:textId="77777777" w:rsidR="00960BB8" w:rsidRDefault="00960BB8">
            <w:pPr>
              <w:rPr>
                <w:rFonts w:ascii="宋体"/>
              </w:rPr>
            </w:pPr>
          </w:p>
        </w:tc>
        <w:tc>
          <w:tcPr>
            <w:tcW w:w="5" w:type="pct"/>
            <w:shd w:val="clear" w:color="auto" w:fill="auto"/>
            <w:vAlign w:val="bottom"/>
          </w:tcPr>
          <w:p w14:paraId="5A1B31BE" w14:textId="77777777" w:rsidR="00960BB8" w:rsidRDefault="00960BB8">
            <w:pPr>
              <w:rPr>
                <w:rFonts w:ascii="宋体"/>
              </w:rPr>
            </w:pPr>
          </w:p>
        </w:tc>
      </w:tr>
      <w:tr w:rsidR="00960BB8" w14:paraId="5A1B31C9" w14:textId="77777777">
        <w:tc>
          <w:tcPr>
            <w:tcW w:w="0" w:type="auto"/>
            <w:gridSpan w:val="3"/>
            <w:shd w:val="clear" w:color="auto" w:fill="auto"/>
            <w:tcMar>
              <w:top w:w="40" w:type="dxa"/>
              <w:left w:w="20" w:type="dxa"/>
              <w:bottom w:w="40" w:type="dxa"/>
              <w:right w:w="20" w:type="dxa"/>
            </w:tcMar>
            <w:vAlign w:val="bottom"/>
          </w:tcPr>
          <w:p w14:paraId="5A1B31C0" w14:textId="77777777" w:rsidR="00960BB8" w:rsidRDefault="00C06650">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5A1B31C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1C2" w14:textId="77777777" w:rsidR="00960BB8" w:rsidRDefault="00C06650">
            <w:pPr>
              <w:jc w:val="center"/>
              <w:textAlignment w:val="bottom"/>
            </w:pPr>
            <w:r>
              <w:rPr>
                <w:rFonts w:ascii="Arial" w:eastAsia="宋体" w:hAnsi="Arial" w:cs="Arial"/>
                <w:b/>
                <w:bCs/>
                <w:color w:val="262626"/>
                <w:sz w:val="18"/>
                <w:szCs w:val="18"/>
              </w:rPr>
              <w:t>Location of Gains (Losses)</w:t>
            </w:r>
            <w:r>
              <w:rPr>
                <w:rFonts w:ascii="Arial" w:eastAsia="宋体" w:hAnsi="Arial" w:cs="Arial"/>
                <w:b/>
                <w:bCs/>
                <w:color w:val="262626"/>
                <w:sz w:val="18"/>
                <w:szCs w:val="18"/>
              </w:rPr>
              <w:br/>
              <w:t>Recognized in Income on Derivatives</w:t>
            </w:r>
          </w:p>
        </w:tc>
        <w:tc>
          <w:tcPr>
            <w:tcW w:w="0" w:type="auto"/>
            <w:gridSpan w:val="3"/>
            <w:shd w:val="clear" w:color="auto" w:fill="auto"/>
            <w:tcMar>
              <w:top w:w="0" w:type="dxa"/>
              <w:left w:w="20" w:type="dxa"/>
              <w:bottom w:w="0" w:type="dxa"/>
              <w:right w:w="20" w:type="dxa"/>
            </w:tcMar>
            <w:vAlign w:val="bottom"/>
          </w:tcPr>
          <w:p w14:paraId="5A1B31C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1C4"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31C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1C6"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31C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1C8"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31D9" w14:textId="77777777">
        <w:tc>
          <w:tcPr>
            <w:tcW w:w="0" w:type="auto"/>
            <w:gridSpan w:val="3"/>
            <w:tcBorders>
              <w:top w:val="single" w:sz="8" w:space="0" w:color="0068B5"/>
            </w:tcBorders>
            <w:shd w:val="clear" w:color="auto" w:fill="auto"/>
            <w:tcMar>
              <w:top w:w="40" w:type="dxa"/>
              <w:left w:w="20" w:type="dxa"/>
              <w:bottom w:w="40" w:type="dxa"/>
              <w:right w:w="20" w:type="dxa"/>
            </w:tcMar>
          </w:tcPr>
          <w:p w14:paraId="5A1B31CA" w14:textId="77777777" w:rsidR="00960BB8" w:rsidRDefault="00C06650">
            <w:pPr>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5A1B31CB"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31CC" w14:textId="77777777" w:rsidR="00960BB8" w:rsidRDefault="00C06650">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5A1B31C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1CE"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1CF" w14:textId="77777777" w:rsidR="00960BB8" w:rsidRDefault="00C06650">
            <w:pPr>
              <w:jc w:val="right"/>
              <w:textAlignment w:val="bottom"/>
            </w:pPr>
            <w:r>
              <w:rPr>
                <w:rFonts w:ascii="Arial" w:eastAsia="宋体" w:hAnsi="Arial" w:cs="Arial"/>
                <w:color w:val="0068B5"/>
                <w:sz w:val="18"/>
                <w:szCs w:val="18"/>
              </w:rPr>
              <w:t>1,492 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1D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D1"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1D2"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1D3" w14:textId="77777777" w:rsidR="00960BB8" w:rsidRDefault="00C06650">
            <w:pPr>
              <w:jc w:val="right"/>
              <w:textAlignment w:val="bottom"/>
            </w:pPr>
            <w:r>
              <w:rPr>
                <w:rFonts w:ascii="Arial" w:eastAsia="宋体" w:hAnsi="Arial" w:cs="Arial"/>
                <w:color w:val="262626"/>
                <w:sz w:val="18"/>
                <w:szCs w:val="18"/>
              </w:rPr>
              <w:t>677 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1D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D5"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1D6"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1D7" w14:textId="77777777" w:rsidR="00960BB8" w:rsidRDefault="00C06650">
            <w:pPr>
              <w:jc w:val="right"/>
              <w:textAlignment w:val="bottom"/>
            </w:pPr>
            <w:r>
              <w:rPr>
                <w:rFonts w:ascii="Arial" w:eastAsia="宋体" w:hAnsi="Arial" w:cs="Arial"/>
                <w:color w:val="262626"/>
                <w:sz w:val="18"/>
                <w:szCs w:val="18"/>
              </w:rPr>
              <w:t>(572)</w:t>
            </w:r>
          </w:p>
        </w:tc>
        <w:tc>
          <w:tcPr>
            <w:tcW w:w="0" w:type="auto"/>
            <w:tcBorders>
              <w:top w:val="single" w:sz="8" w:space="0" w:color="0068B5"/>
            </w:tcBorders>
            <w:shd w:val="clear" w:color="auto" w:fill="auto"/>
            <w:tcMar>
              <w:top w:w="40" w:type="dxa"/>
              <w:left w:w="0" w:type="dxa"/>
              <w:bottom w:w="40" w:type="dxa"/>
              <w:right w:w="20" w:type="dxa"/>
            </w:tcMar>
            <w:vAlign w:val="bottom"/>
          </w:tcPr>
          <w:p w14:paraId="5A1B31D8" w14:textId="77777777" w:rsidR="00960BB8" w:rsidRDefault="00960BB8">
            <w:pPr>
              <w:jc w:val="right"/>
              <w:rPr>
                <w:rFonts w:ascii="宋体"/>
              </w:rPr>
            </w:pPr>
          </w:p>
        </w:tc>
      </w:tr>
      <w:tr w:rsidR="00960BB8" w14:paraId="5A1B31E6" w14:textId="77777777">
        <w:tc>
          <w:tcPr>
            <w:tcW w:w="0" w:type="auto"/>
            <w:gridSpan w:val="3"/>
            <w:shd w:val="clear" w:color="auto" w:fill="auto"/>
            <w:tcMar>
              <w:top w:w="40" w:type="dxa"/>
              <w:left w:w="20" w:type="dxa"/>
              <w:bottom w:w="40" w:type="dxa"/>
              <w:right w:w="20" w:type="dxa"/>
            </w:tcMar>
          </w:tcPr>
          <w:p w14:paraId="5A1B31DA" w14:textId="77777777" w:rsidR="00960BB8" w:rsidRDefault="00C06650">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5A1B31D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1DC" w14:textId="77777777" w:rsidR="00960BB8" w:rsidRDefault="00C06650">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5A1B31D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1DE" w14:textId="77777777" w:rsidR="00960BB8" w:rsidRDefault="00C06650">
            <w:pPr>
              <w:jc w:val="right"/>
              <w:textAlignment w:val="bottom"/>
            </w:pPr>
            <w:r>
              <w:rPr>
                <w:rFonts w:ascii="Arial" w:eastAsia="宋体" w:hAnsi="Arial" w:cs="Arial"/>
                <w:color w:val="0068B5"/>
                <w:sz w:val="18"/>
                <w:szCs w:val="18"/>
              </w:rPr>
              <w:t>309 </w:t>
            </w:r>
          </w:p>
        </w:tc>
        <w:tc>
          <w:tcPr>
            <w:tcW w:w="0" w:type="auto"/>
            <w:shd w:val="clear" w:color="auto" w:fill="auto"/>
            <w:tcMar>
              <w:top w:w="40" w:type="dxa"/>
              <w:left w:w="0" w:type="dxa"/>
              <w:bottom w:w="40" w:type="dxa"/>
              <w:right w:w="20" w:type="dxa"/>
            </w:tcMar>
            <w:vAlign w:val="bottom"/>
          </w:tcPr>
          <w:p w14:paraId="5A1B31D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E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1E1" w14:textId="77777777" w:rsidR="00960BB8" w:rsidRDefault="00C06650">
            <w:pPr>
              <w:jc w:val="right"/>
              <w:textAlignment w:val="bottom"/>
            </w:pPr>
            <w:r>
              <w:rPr>
                <w:rFonts w:ascii="Arial" w:eastAsia="宋体" w:hAnsi="Arial" w:cs="Arial"/>
                <w:color w:val="262626"/>
                <w:sz w:val="18"/>
                <w:szCs w:val="18"/>
              </w:rPr>
              <w:t>31 </w:t>
            </w:r>
          </w:p>
        </w:tc>
        <w:tc>
          <w:tcPr>
            <w:tcW w:w="0" w:type="auto"/>
            <w:shd w:val="clear" w:color="auto" w:fill="auto"/>
            <w:tcMar>
              <w:top w:w="40" w:type="dxa"/>
              <w:left w:w="0" w:type="dxa"/>
              <w:bottom w:w="40" w:type="dxa"/>
              <w:right w:w="20" w:type="dxa"/>
            </w:tcMar>
            <w:vAlign w:val="bottom"/>
          </w:tcPr>
          <w:p w14:paraId="5A1B31E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E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1E4" w14:textId="77777777" w:rsidR="00960BB8" w:rsidRDefault="00C06650">
            <w:pPr>
              <w:jc w:val="right"/>
              <w:textAlignment w:val="bottom"/>
            </w:pPr>
            <w:r>
              <w:rPr>
                <w:rFonts w:ascii="Arial" w:eastAsia="宋体" w:hAnsi="Arial" w:cs="Arial"/>
                <w:color w:val="262626"/>
                <w:sz w:val="18"/>
                <w:szCs w:val="18"/>
              </w:rPr>
              <w:t>(90)</w:t>
            </w:r>
          </w:p>
        </w:tc>
        <w:tc>
          <w:tcPr>
            <w:tcW w:w="0" w:type="auto"/>
            <w:shd w:val="clear" w:color="auto" w:fill="auto"/>
            <w:tcMar>
              <w:top w:w="40" w:type="dxa"/>
              <w:left w:w="0" w:type="dxa"/>
              <w:bottom w:w="40" w:type="dxa"/>
              <w:right w:w="20" w:type="dxa"/>
            </w:tcMar>
            <w:vAlign w:val="bottom"/>
          </w:tcPr>
          <w:p w14:paraId="5A1B31E5" w14:textId="77777777" w:rsidR="00960BB8" w:rsidRDefault="00960BB8">
            <w:pPr>
              <w:jc w:val="right"/>
              <w:rPr>
                <w:rFonts w:ascii="宋体"/>
              </w:rPr>
            </w:pPr>
          </w:p>
        </w:tc>
      </w:tr>
      <w:tr w:rsidR="00960BB8" w14:paraId="5A1B31F3" w14:textId="77777777">
        <w:tc>
          <w:tcPr>
            <w:tcW w:w="0" w:type="auto"/>
            <w:gridSpan w:val="3"/>
            <w:shd w:val="clear" w:color="auto" w:fill="auto"/>
            <w:tcMar>
              <w:top w:w="40" w:type="dxa"/>
              <w:left w:w="20" w:type="dxa"/>
              <w:bottom w:w="40" w:type="dxa"/>
              <w:right w:w="20" w:type="dxa"/>
            </w:tcMar>
          </w:tcPr>
          <w:p w14:paraId="5A1B31E7" w14:textId="77777777" w:rsidR="00960BB8" w:rsidRDefault="00C06650">
            <w:pPr>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5A1B31E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1E9" w14:textId="77777777" w:rsidR="00960BB8" w:rsidRDefault="00C06650">
            <w:pPr>
              <w:textAlignment w:val="bottom"/>
            </w:pPr>
            <w:r>
              <w:rPr>
                <w:rFonts w:ascii="Arial" w:eastAsia="宋体" w:hAnsi="Arial" w:cs="Arial"/>
                <w:color w:val="262626"/>
                <w:sz w:val="18"/>
                <w:szCs w:val="18"/>
              </w:rPr>
              <w:t>Various</w:t>
            </w:r>
          </w:p>
        </w:tc>
        <w:tc>
          <w:tcPr>
            <w:tcW w:w="0" w:type="auto"/>
            <w:gridSpan w:val="3"/>
            <w:shd w:val="clear" w:color="auto" w:fill="auto"/>
            <w:tcMar>
              <w:top w:w="0" w:type="dxa"/>
              <w:left w:w="20" w:type="dxa"/>
              <w:bottom w:w="0" w:type="dxa"/>
              <w:right w:w="20" w:type="dxa"/>
            </w:tcMar>
            <w:vAlign w:val="bottom"/>
          </w:tcPr>
          <w:p w14:paraId="5A1B31E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1EB" w14:textId="77777777" w:rsidR="00960BB8" w:rsidRDefault="00C06650">
            <w:pPr>
              <w:jc w:val="right"/>
              <w:textAlignment w:val="bottom"/>
            </w:pPr>
            <w:r>
              <w:rPr>
                <w:rFonts w:ascii="Arial" w:eastAsia="宋体" w:hAnsi="Arial" w:cs="Arial"/>
                <w:color w:val="0068B5"/>
                <w:sz w:val="18"/>
                <w:szCs w:val="18"/>
              </w:rPr>
              <w:t>(502)</w:t>
            </w:r>
          </w:p>
        </w:tc>
        <w:tc>
          <w:tcPr>
            <w:tcW w:w="0" w:type="auto"/>
            <w:shd w:val="clear" w:color="auto" w:fill="auto"/>
            <w:tcMar>
              <w:top w:w="40" w:type="dxa"/>
              <w:left w:w="0" w:type="dxa"/>
              <w:bottom w:w="40" w:type="dxa"/>
              <w:right w:w="20" w:type="dxa"/>
            </w:tcMar>
            <w:vAlign w:val="bottom"/>
          </w:tcPr>
          <w:p w14:paraId="5A1B31E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E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1EE" w14:textId="77777777" w:rsidR="00960BB8" w:rsidRDefault="00C06650">
            <w:pPr>
              <w:jc w:val="right"/>
              <w:textAlignment w:val="bottom"/>
            </w:pPr>
            <w:r>
              <w:rPr>
                <w:rFonts w:ascii="Arial" w:eastAsia="宋体" w:hAnsi="Arial" w:cs="Arial"/>
                <w:color w:val="262626"/>
                <w:sz w:val="18"/>
                <w:szCs w:val="18"/>
              </w:rPr>
              <w:t>360 </w:t>
            </w:r>
          </w:p>
        </w:tc>
        <w:tc>
          <w:tcPr>
            <w:tcW w:w="0" w:type="auto"/>
            <w:shd w:val="clear" w:color="auto" w:fill="auto"/>
            <w:tcMar>
              <w:top w:w="40" w:type="dxa"/>
              <w:left w:w="0" w:type="dxa"/>
              <w:bottom w:w="40" w:type="dxa"/>
              <w:right w:w="20" w:type="dxa"/>
            </w:tcMar>
            <w:vAlign w:val="bottom"/>
          </w:tcPr>
          <w:p w14:paraId="5A1B31E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F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1F1" w14:textId="77777777" w:rsidR="00960BB8" w:rsidRDefault="00C06650">
            <w:pPr>
              <w:jc w:val="right"/>
              <w:textAlignment w:val="bottom"/>
            </w:pPr>
            <w:r>
              <w:rPr>
                <w:rFonts w:ascii="Arial" w:eastAsia="宋体" w:hAnsi="Arial" w:cs="Arial"/>
                <w:color w:val="262626"/>
                <w:sz w:val="18"/>
                <w:szCs w:val="18"/>
              </w:rPr>
              <w:t>284 </w:t>
            </w:r>
          </w:p>
        </w:tc>
        <w:tc>
          <w:tcPr>
            <w:tcW w:w="0" w:type="auto"/>
            <w:shd w:val="clear" w:color="auto" w:fill="auto"/>
            <w:tcMar>
              <w:top w:w="40" w:type="dxa"/>
              <w:left w:w="0" w:type="dxa"/>
              <w:bottom w:w="40" w:type="dxa"/>
              <w:right w:w="20" w:type="dxa"/>
            </w:tcMar>
            <w:vAlign w:val="bottom"/>
          </w:tcPr>
          <w:p w14:paraId="5A1B31F2" w14:textId="77777777" w:rsidR="00960BB8" w:rsidRDefault="00960BB8">
            <w:pPr>
              <w:jc w:val="right"/>
              <w:rPr>
                <w:rFonts w:ascii="宋体"/>
              </w:rPr>
            </w:pPr>
          </w:p>
        </w:tc>
      </w:tr>
      <w:tr w:rsidR="00960BB8" w14:paraId="5A1B3201" w14:textId="77777777">
        <w:tc>
          <w:tcPr>
            <w:tcW w:w="0" w:type="auto"/>
            <w:gridSpan w:val="9"/>
            <w:shd w:val="clear" w:color="auto" w:fill="auto"/>
            <w:tcMar>
              <w:top w:w="40" w:type="dxa"/>
              <w:left w:w="20" w:type="dxa"/>
              <w:bottom w:w="40" w:type="dxa"/>
              <w:right w:w="20" w:type="dxa"/>
            </w:tcMar>
          </w:tcPr>
          <w:p w14:paraId="5A1B31F4" w14:textId="77777777" w:rsidR="00960BB8" w:rsidRDefault="00C06650">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5A1B31F5"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1F6"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1F7" w14:textId="77777777" w:rsidR="00960BB8" w:rsidRDefault="00C06650">
            <w:pPr>
              <w:jc w:val="right"/>
              <w:textAlignment w:val="bottom"/>
            </w:pPr>
            <w:r>
              <w:rPr>
                <w:rFonts w:ascii="Arial" w:eastAsia="宋体" w:hAnsi="Arial" w:cs="Arial"/>
                <w:b/>
                <w:bCs/>
                <w:color w:val="0068B5"/>
                <w:sz w:val="18"/>
                <w:szCs w:val="18"/>
              </w:rPr>
              <w:t>1,299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1F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F9"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1FA"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1FB" w14:textId="77777777" w:rsidR="00960BB8" w:rsidRDefault="00C06650">
            <w:pPr>
              <w:jc w:val="right"/>
              <w:textAlignment w:val="bottom"/>
            </w:pPr>
            <w:r>
              <w:rPr>
                <w:rFonts w:ascii="Arial" w:eastAsia="宋体" w:hAnsi="Arial" w:cs="Arial"/>
                <w:b/>
                <w:bCs/>
                <w:color w:val="262626"/>
                <w:sz w:val="18"/>
                <w:szCs w:val="18"/>
              </w:rPr>
              <w:t>1,068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1F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1FD"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1FE"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1FF" w14:textId="77777777" w:rsidR="00960BB8" w:rsidRDefault="00C06650">
            <w:pPr>
              <w:jc w:val="right"/>
              <w:textAlignment w:val="bottom"/>
            </w:pPr>
            <w:r>
              <w:rPr>
                <w:rFonts w:ascii="Arial" w:eastAsia="宋体" w:hAnsi="Arial" w:cs="Arial"/>
                <w:b/>
                <w:bCs/>
                <w:color w:val="262626"/>
                <w:sz w:val="18"/>
                <w:szCs w:val="18"/>
              </w:rPr>
              <w:t>(378)</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200" w14:textId="77777777" w:rsidR="00960BB8" w:rsidRDefault="00960BB8">
            <w:pPr>
              <w:jc w:val="right"/>
              <w:rPr>
                <w:rFonts w:ascii="宋体"/>
              </w:rPr>
            </w:pPr>
          </w:p>
        </w:tc>
      </w:tr>
    </w:tbl>
    <w:p w14:paraId="5A1B3202"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960BB8" w14:paraId="5A1B3209" w14:textId="77777777">
        <w:tc>
          <w:tcPr>
            <w:tcW w:w="50" w:type="pct"/>
            <w:shd w:val="clear" w:color="auto" w:fill="auto"/>
            <w:vAlign w:val="bottom"/>
          </w:tcPr>
          <w:p w14:paraId="5A1B3203" w14:textId="77777777" w:rsidR="00960BB8" w:rsidRDefault="00960BB8">
            <w:pPr>
              <w:rPr>
                <w:rFonts w:ascii="宋体"/>
              </w:rPr>
            </w:pPr>
          </w:p>
        </w:tc>
        <w:tc>
          <w:tcPr>
            <w:tcW w:w="539" w:type="pct"/>
            <w:shd w:val="clear" w:color="auto" w:fill="auto"/>
            <w:vAlign w:val="bottom"/>
          </w:tcPr>
          <w:p w14:paraId="5A1B3204" w14:textId="77777777" w:rsidR="00960BB8" w:rsidRDefault="00960BB8">
            <w:pPr>
              <w:rPr>
                <w:rFonts w:ascii="宋体"/>
              </w:rPr>
            </w:pPr>
          </w:p>
        </w:tc>
        <w:tc>
          <w:tcPr>
            <w:tcW w:w="5" w:type="pct"/>
            <w:shd w:val="clear" w:color="auto" w:fill="auto"/>
            <w:vAlign w:val="bottom"/>
          </w:tcPr>
          <w:p w14:paraId="5A1B3205" w14:textId="77777777" w:rsidR="00960BB8" w:rsidRDefault="00960BB8">
            <w:pPr>
              <w:rPr>
                <w:rFonts w:ascii="宋体"/>
              </w:rPr>
            </w:pPr>
          </w:p>
        </w:tc>
        <w:tc>
          <w:tcPr>
            <w:tcW w:w="50" w:type="pct"/>
            <w:shd w:val="clear" w:color="auto" w:fill="auto"/>
            <w:vAlign w:val="bottom"/>
          </w:tcPr>
          <w:p w14:paraId="5A1B3206" w14:textId="77777777" w:rsidR="00960BB8" w:rsidRDefault="00960BB8">
            <w:pPr>
              <w:rPr>
                <w:rFonts w:ascii="宋体"/>
              </w:rPr>
            </w:pPr>
          </w:p>
        </w:tc>
        <w:tc>
          <w:tcPr>
            <w:tcW w:w="4350" w:type="pct"/>
            <w:shd w:val="clear" w:color="auto" w:fill="auto"/>
            <w:vAlign w:val="bottom"/>
          </w:tcPr>
          <w:p w14:paraId="5A1B3207" w14:textId="77777777" w:rsidR="00960BB8" w:rsidRDefault="00960BB8">
            <w:pPr>
              <w:rPr>
                <w:rFonts w:ascii="宋体"/>
              </w:rPr>
            </w:pPr>
          </w:p>
        </w:tc>
        <w:tc>
          <w:tcPr>
            <w:tcW w:w="5" w:type="pct"/>
            <w:shd w:val="clear" w:color="auto" w:fill="auto"/>
            <w:vAlign w:val="bottom"/>
          </w:tcPr>
          <w:p w14:paraId="5A1B3208" w14:textId="77777777" w:rsidR="00960BB8" w:rsidRDefault="00960BB8">
            <w:pPr>
              <w:rPr>
                <w:rFonts w:ascii="宋体"/>
              </w:rPr>
            </w:pPr>
          </w:p>
        </w:tc>
      </w:tr>
      <w:tr w:rsidR="00960BB8" w14:paraId="5A1B320C"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320A" w14:textId="77777777" w:rsidR="00960BB8" w:rsidRDefault="00C06650">
            <w:pPr>
              <w:textAlignment w:val="bottom"/>
            </w:pPr>
            <w:r>
              <w:rPr>
                <w:rFonts w:ascii="Arial" w:eastAsia="宋体" w:hAnsi="Arial" w:cs="Arial"/>
                <w:color w:val="FFFFFF"/>
                <w:sz w:val="28"/>
                <w:szCs w:val="28"/>
              </w:rPr>
              <w:t xml:space="preserve">Note 17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320B" w14:textId="77777777" w:rsidR="00960BB8" w:rsidRDefault="00C06650">
            <w:pPr>
              <w:textAlignment w:val="bottom"/>
            </w:pPr>
            <w:r>
              <w:rPr>
                <w:rFonts w:ascii="Arial" w:eastAsia="宋体" w:hAnsi="Arial" w:cs="Arial"/>
                <w:color w:val="0068B5"/>
                <w:sz w:val="28"/>
                <w:szCs w:val="28"/>
              </w:rPr>
              <w:t>Retirement Benefit Plans</w:t>
            </w:r>
          </w:p>
        </w:tc>
      </w:tr>
    </w:tbl>
    <w:p w14:paraId="5A1B320D" w14:textId="77777777" w:rsidR="00960BB8" w:rsidRDefault="00C06650">
      <w:pPr>
        <w:spacing w:after="180"/>
      </w:pPr>
      <w:r>
        <w:rPr>
          <w:rFonts w:ascii="Arial" w:eastAsia="宋体" w:hAnsi="Arial" w:cs="Arial"/>
          <w:color w:val="0068B5"/>
        </w:rPr>
        <w:t>Defined Contribution Plans</w:t>
      </w:r>
    </w:p>
    <w:p w14:paraId="5A1B320E" w14:textId="77777777" w:rsidR="00960BB8" w:rsidRDefault="00C06650">
      <w:pPr>
        <w:spacing w:after="180"/>
      </w:pPr>
      <w:r>
        <w:rPr>
          <w:rFonts w:ascii="Arial" w:eastAsia="宋体" w:hAnsi="Arial" w:cs="Arial"/>
          <w:color w:val="262626"/>
          <w:sz w:val="18"/>
          <w:szCs w:val="18"/>
        </w:rPr>
        <w:t>We provide tax-qualified defined contribution plans for the benefit of eligible employees, former employees, and retirees in the US and certain other countries. The plans are designed to provide employees with an accumulation of funds for retirement on a t</w:t>
      </w:r>
      <w:r>
        <w:rPr>
          <w:rFonts w:ascii="Arial" w:eastAsia="宋体" w:hAnsi="Arial" w:cs="Arial"/>
          <w:color w:val="262626"/>
          <w:sz w:val="18"/>
          <w:szCs w:val="18"/>
        </w:rPr>
        <w:t xml:space="preserve">ax-deferred basis. For the benefit of eligible US employees, we also provide an unfunded non-tax-qualified supplemental deferred compensation plan for certain highly compensated employees. </w:t>
      </w:r>
    </w:p>
    <w:p w14:paraId="5A1B320F" w14:textId="77777777" w:rsidR="00960BB8" w:rsidRDefault="00C06650">
      <w:pPr>
        <w:spacing w:after="180"/>
      </w:pPr>
      <w:r>
        <w:rPr>
          <w:rFonts w:ascii="Arial" w:eastAsia="宋体" w:hAnsi="Arial" w:cs="Arial"/>
          <w:color w:val="262626"/>
          <w:sz w:val="18"/>
          <w:szCs w:val="18"/>
        </w:rPr>
        <w:t>We expensed $489 million in 2022, $444 million in 2021 and $398 mi</w:t>
      </w:r>
      <w:r>
        <w:rPr>
          <w:rFonts w:ascii="Arial" w:eastAsia="宋体" w:hAnsi="Arial" w:cs="Arial"/>
          <w:color w:val="262626"/>
          <w:sz w:val="18"/>
          <w:szCs w:val="18"/>
        </w:rPr>
        <w:t>llion in 2020 for matching contributions based on the amount of employee contributions under the US qualified defined contribution and non-qualified deferred compensation plans.</w:t>
      </w:r>
    </w:p>
    <w:p w14:paraId="5A1B3210" w14:textId="77777777" w:rsidR="00960BB8" w:rsidRDefault="00C06650">
      <w:pPr>
        <w:spacing w:after="180"/>
      </w:pPr>
      <w:r>
        <w:rPr>
          <w:rFonts w:ascii="Arial" w:eastAsia="宋体" w:hAnsi="Arial" w:cs="Arial"/>
          <w:color w:val="0068B5"/>
        </w:rPr>
        <w:t>US Retiree Medical Plan</w:t>
      </w:r>
    </w:p>
    <w:p w14:paraId="5A1B3211" w14:textId="77777777" w:rsidR="00960BB8" w:rsidRDefault="00C06650">
      <w:pPr>
        <w:spacing w:after="180"/>
      </w:pPr>
      <w:r>
        <w:rPr>
          <w:rFonts w:ascii="Arial" w:eastAsia="宋体" w:hAnsi="Arial" w:cs="Arial"/>
          <w:color w:val="262626"/>
          <w:sz w:val="18"/>
          <w:szCs w:val="18"/>
        </w:rPr>
        <w:t xml:space="preserve">Upon retirement, we provide certain benefits to </w:t>
      </w:r>
      <w:r>
        <w:rPr>
          <w:rFonts w:ascii="Arial" w:eastAsia="宋体" w:hAnsi="Arial" w:cs="Arial"/>
          <w:color w:val="262626"/>
          <w:sz w:val="18"/>
          <w:szCs w:val="18"/>
        </w:rPr>
        <w:t>eligible US employees who were hired prior to 2014 under the US Retiree Medical Plan. The benefits can be used to pay all or a portion of the cost to purchase eligible coverage in a medical plan.</w:t>
      </w:r>
    </w:p>
    <w:p w14:paraId="5A1B3212" w14:textId="77777777" w:rsidR="00960BB8" w:rsidRDefault="00C06650">
      <w:pPr>
        <w:spacing w:after="180"/>
      </w:pPr>
      <w:r>
        <w:rPr>
          <w:rFonts w:ascii="Arial" w:eastAsia="宋体" w:hAnsi="Arial" w:cs="Arial"/>
          <w:color w:val="262626"/>
          <w:sz w:val="18"/>
          <w:szCs w:val="18"/>
        </w:rPr>
        <w:t>As of December 31, 2022 and December 25, 2021, the projected</w:t>
      </w:r>
      <w:r>
        <w:rPr>
          <w:rFonts w:ascii="Arial" w:eastAsia="宋体" w:hAnsi="Arial" w:cs="Arial"/>
          <w:color w:val="262626"/>
          <w:sz w:val="18"/>
          <w:szCs w:val="18"/>
        </w:rPr>
        <w:t xml:space="preserve"> benefit obligation was $527 million and $682 million, which used the discount rates of 5.6% and 2.8%. The December 31, 2022 and December 25, 2021 corresponding fair value of plan assets was $501 million and $669 million.</w:t>
      </w:r>
    </w:p>
    <w:p w14:paraId="5A1B3213" w14:textId="77777777" w:rsidR="00960BB8" w:rsidRDefault="00C06650">
      <w:pPr>
        <w:spacing w:after="180"/>
      </w:pPr>
      <w:r>
        <w:rPr>
          <w:rFonts w:ascii="Arial" w:eastAsia="宋体" w:hAnsi="Arial" w:cs="Arial"/>
          <w:color w:val="262626"/>
          <w:sz w:val="18"/>
          <w:szCs w:val="18"/>
        </w:rPr>
        <w:t>The investment strategy for US Ret</w:t>
      </w:r>
      <w:r>
        <w:rPr>
          <w:rFonts w:ascii="Arial" w:eastAsia="宋体" w:hAnsi="Arial" w:cs="Arial"/>
          <w:color w:val="262626"/>
          <w:sz w:val="18"/>
          <w:szCs w:val="18"/>
        </w:rPr>
        <w:t>iree Medical Plan assets is to invest primarily in liquid assets, due to the level of expected future benefit payments. The assets are invested in tax-aware global equity and fixed-income long credit portfolios. Both portfolios are actively managed by exte</w:t>
      </w:r>
      <w:r>
        <w:rPr>
          <w:rFonts w:ascii="Arial" w:eastAsia="宋体" w:hAnsi="Arial" w:cs="Arial"/>
          <w:color w:val="262626"/>
          <w:sz w:val="18"/>
          <w:szCs w:val="18"/>
        </w:rPr>
        <w:t>rnal managers. The tax-aware global equity portfolio is composed of a diversified mix of equities in developed countries. The tax-aware fixed-income long credit portfolio is composed of domestic securities. The allocation to each asset class will fluctuate</w:t>
      </w:r>
      <w:r>
        <w:rPr>
          <w:rFonts w:ascii="Arial" w:eastAsia="宋体" w:hAnsi="Arial" w:cs="Arial"/>
          <w:color w:val="262626"/>
          <w:sz w:val="18"/>
          <w:szCs w:val="18"/>
        </w:rPr>
        <w:t xml:space="preserve"> with market conditions, such as volatility and liquidity concerns, and will typically be rebalanced when outside the target ranges, which are 55% equity and 45% fixed-income investments. As of December 31, 2022, the majority of the US Retiree Medical Plan</w:t>
      </w:r>
      <w:r>
        <w:rPr>
          <w:rFonts w:ascii="Arial" w:eastAsia="宋体" w:hAnsi="Arial" w:cs="Arial"/>
          <w:color w:val="262626"/>
          <w:sz w:val="18"/>
          <w:szCs w:val="18"/>
        </w:rPr>
        <w:t xml:space="preserve"> assets were invested in exchange-traded equity securities and were measured at fair value using Level 1 inputs. The remaining US Retiree Medical Plan assets were invested in fixed-income investments and were measured at fair value using Level 2 inputs.</w:t>
      </w:r>
    </w:p>
    <w:p w14:paraId="5A1B3214" w14:textId="77777777" w:rsidR="00960BB8" w:rsidRDefault="00C06650">
      <w:pPr>
        <w:spacing w:after="180"/>
      </w:pPr>
      <w:r>
        <w:rPr>
          <w:rFonts w:ascii="Arial" w:eastAsia="宋体" w:hAnsi="Arial" w:cs="Arial"/>
          <w:color w:val="262626"/>
          <w:sz w:val="18"/>
          <w:szCs w:val="18"/>
        </w:rPr>
        <w:t>As</w:t>
      </w:r>
      <w:r>
        <w:rPr>
          <w:rFonts w:ascii="Arial" w:eastAsia="宋体" w:hAnsi="Arial" w:cs="Arial"/>
          <w:color w:val="262626"/>
          <w:sz w:val="18"/>
          <w:szCs w:val="18"/>
        </w:rPr>
        <w:t xml:space="preserve"> of December 31, 2022, the estimated benefit payments for this plan over the next 10 years are as follows: </w:t>
      </w:r>
    </w:p>
    <w:tbl>
      <w:tblPr>
        <w:tblW w:w="4986" w:type="pct"/>
        <w:tblCellMar>
          <w:top w:w="15" w:type="dxa"/>
          <w:left w:w="15" w:type="dxa"/>
          <w:bottom w:w="15" w:type="dxa"/>
          <w:right w:w="15" w:type="dxa"/>
        </w:tblCellMar>
        <w:tblLook w:val="04A0" w:firstRow="1" w:lastRow="0" w:firstColumn="1" w:lastColumn="0" w:noHBand="0" w:noVBand="1"/>
      </w:tblPr>
      <w:tblGrid>
        <w:gridCol w:w="41"/>
        <w:gridCol w:w="2332"/>
        <w:gridCol w:w="36"/>
        <w:gridCol w:w="36"/>
        <w:gridCol w:w="36"/>
        <w:gridCol w:w="36"/>
        <w:gridCol w:w="122"/>
        <w:gridCol w:w="698"/>
        <w:gridCol w:w="36"/>
        <w:gridCol w:w="36"/>
        <w:gridCol w:w="36"/>
        <w:gridCol w:w="36"/>
        <w:gridCol w:w="122"/>
        <w:gridCol w:w="698"/>
        <w:gridCol w:w="36"/>
        <w:gridCol w:w="36"/>
        <w:gridCol w:w="36"/>
        <w:gridCol w:w="36"/>
        <w:gridCol w:w="122"/>
        <w:gridCol w:w="700"/>
        <w:gridCol w:w="36"/>
        <w:gridCol w:w="36"/>
        <w:gridCol w:w="36"/>
        <w:gridCol w:w="36"/>
        <w:gridCol w:w="122"/>
        <w:gridCol w:w="701"/>
        <w:gridCol w:w="36"/>
        <w:gridCol w:w="36"/>
        <w:gridCol w:w="36"/>
        <w:gridCol w:w="36"/>
        <w:gridCol w:w="122"/>
        <w:gridCol w:w="701"/>
        <w:gridCol w:w="36"/>
        <w:gridCol w:w="36"/>
        <w:gridCol w:w="36"/>
        <w:gridCol w:w="36"/>
        <w:gridCol w:w="122"/>
        <w:gridCol w:w="810"/>
        <w:gridCol w:w="36"/>
      </w:tblGrid>
      <w:tr w:rsidR="00960BB8" w14:paraId="5A1B323C" w14:textId="77777777">
        <w:tc>
          <w:tcPr>
            <w:tcW w:w="50" w:type="pct"/>
            <w:shd w:val="clear" w:color="auto" w:fill="auto"/>
            <w:vAlign w:val="bottom"/>
          </w:tcPr>
          <w:p w14:paraId="5A1B3215" w14:textId="77777777" w:rsidR="00960BB8" w:rsidRDefault="00960BB8">
            <w:pPr>
              <w:rPr>
                <w:rFonts w:ascii="宋体"/>
              </w:rPr>
            </w:pPr>
          </w:p>
        </w:tc>
        <w:tc>
          <w:tcPr>
            <w:tcW w:w="1451" w:type="pct"/>
            <w:shd w:val="clear" w:color="auto" w:fill="auto"/>
            <w:vAlign w:val="bottom"/>
          </w:tcPr>
          <w:p w14:paraId="5A1B3216" w14:textId="77777777" w:rsidR="00960BB8" w:rsidRDefault="00960BB8">
            <w:pPr>
              <w:rPr>
                <w:rFonts w:ascii="宋体"/>
              </w:rPr>
            </w:pPr>
          </w:p>
        </w:tc>
        <w:tc>
          <w:tcPr>
            <w:tcW w:w="5" w:type="pct"/>
            <w:shd w:val="clear" w:color="auto" w:fill="auto"/>
            <w:vAlign w:val="bottom"/>
          </w:tcPr>
          <w:p w14:paraId="5A1B3217" w14:textId="77777777" w:rsidR="00960BB8" w:rsidRDefault="00960BB8">
            <w:pPr>
              <w:rPr>
                <w:rFonts w:ascii="宋体"/>
              </w:rPr>
            </w:pPr>
          </w:p>
        </w:tc>
        <w:tc>
          <w:tcPr>
            <w:tcW w:w="5" w:type="pct"/>
            <w:shd w:val="clear" w:color="auto" w:fill="auto"/>
            <w:vAlign w:val="bottom"/>
          </w:tcPr>
          <w:p w14:paraId="5A1B3218" w14:textId="77777777" w:rsidR="00960BB8" w:rsidRDefault="00960BB8">
            <w:pPr>
              <w:rPr>
                <w:rFonts w:ascii="宋体"/>
              </w:rPr>
            </w:pPr>
          </w:p>
        </w:tc>
        <w:tc>
          <w:tcPr>
            <w:tcW w:w="24" w:type="pct"/>
            <w:shd w:val="clear" w:color="auto" w:fill="auto"/>
            <w:vAlign w:val="bottom"/>
          </w:tcPr>
          <w:p w14:paraId="5A1B3219" w14:textId="77777777" w:rsidR="00960BB8" w:rsidRDefault="00960BB8">
            <w:pPr>
              <w:rPr>
                <w:rFonts w:ascii="宋体"/>
              </w:rPr>
            </w:pPr>
          </w:p>
        </w:tc>
        <w:tc>
          <w:tcPr>
            <w:tcW w:w="5" w:type="pct"/>
            <w:shd w:val="clear" w:color="auto" w:fill="auto"/>
            <w:vAlign w:val="bottom"/>
          </w:tcPr>
          <w:p w14:paraId="5A1B321A" w14:textId="77777777" w:rsidR="00960BB8" w:rsidRDefault="00960BB8">
            <w:pPr>
              <w:rPr>
                <w:rFonts w:ascii="宋体"/>
              </w:rPr>
            </w:pPr>
          </w:p>
        </w:tc>
        <w:tc>
          <w:tcPr>
            <w:tcW w:w="50" w:type="pct"/>
            <w:shd w:val="clear" w:color="auto" w:fill="auto"/>
            <w:vAlign w:val="bottom"/>
          </w:tcPr>
          <w:p w14:paraId="5A1B321B" w14:textId="77777777" w:rsidR="00960BB8" w:rsidRDefault="00960BB8">
            <w:pPr>
              <w:rPr>
                <w:rFonts w:ascii="宋体"/>
              </w:rPr>
            </w:pPr>
          </w:p>
        </w:tc>
        <w:tc>
          <w:tcPr>
            <w:tcW w:w="492" w:type="pct"/>
            <w:shd w:val="clear" w:color="auto" w:fill="auto"/>
            <w:vAlign w:val="bottom"/>
          </w:tcPr>
          <w:p w14:paraId="5A1B321C" w14:textId="77777777" w:rsidR="00960BB8" w:rsidRDefault="00960BB8">
            <w:pPr>
              <w:rPr>
                <w:rFonts w:ascii="宋体"/>
              </w:rPr>
            </w:pPr>
          </w:p>
        </w:tc>
        <w:tc>
          <w:tcPr>
            <w:tcW w:w="5" w:type="pct"/>
            <w:shd w:val="clear" w:color="auto" w:fill="auto"/>
            <w:vAlign w:val="bottom"/>
          </w:tcPr>
          <w:p w14:paraId="5A1B321D" w14:textId="77777777" w:rsidR="00960BB8" w:rsidRDefault="00960BB8">
            <w:pPr>
              <w:rPr>
                <w:rFonts w:ascii="宋体"/>
              </w:rPr>
            </w:pPr>
          </w:p>
        </w:tc>
        <w:tc>
          <w:tcPr>
            <w:tcW w:w="5" w:type="pct"/>
            <w:shd w:val="clear" w:color="auto" w:fill="auto"/>
            <w:vAlign w:val="bottom"/>
          </w:tcPr>
          <w:p w14:paraId="5A1B321E" w14:textId="77777777" w:rsidR="00960BB8" w:rsidRDefault="00960BB8">
            <w:pPr>
              <w:rPr>
                <w:rFonts w:ascii="宋体"/>
              </w:rPr>
            </w:pPr>
          </w:p>
        </w:tc>
        <w:tc>
          <w:tcPr>
            <w:tcW w:w="24" w:type="pct"/>
            <w:shd w:val="clear" w:color="auto" w:fill="auto"/>
            <w:vAlign w:val="bottom"/>
          </w:tcPr>
          <w:p w14:paraId="5A1B321F" w14:textId="77777777" w:rsidR="00960BB8" w:rsidRDefault="00960BB8">
            <w:pPr>
              <w:rPr>
                <w:rFonts w:ascii="宋体"/>
              </w:rPr>
            </w:pPr>
          </w:p>
        </w:tc>
        <w:tc>
          <w:tcPr>
            <w:tcW w:w="5" w:type="pct"/>
            <w:shd w:val="clear" w:color="auto" w:fill="auto"/>
            <w:vAlign w:val="bottom"/>
          </w:tcPr>
          <w:p w14:paraId="5A1B3220" w14:textId="77777777" w:rsidR="00960BB8" w:rsidRDefault="00960BB8">
            <w:pPr>
              <w:rPr>
                <w:rFonts w:ascii="宋体"/>
              </w:rPr>
            </w:pPr>
          </w:p>
        </w:tc>
        <w:tc>
          <w:tcPr>
            <w:tcW w:w="50" w:type="pct"/>
            <w:shd w:val="clear" w:color="auto" w:fill="auto"/>
            <w:vAlign w:val="bottom"/>
          </w:tcPr>
          <w:p w14:paraId="5A1B3221" w14:textId="77777777" w:rsidR="00960BB8" w:rsidRDefault="00960BB8">
            <w:pPr>
              <w:rPr>
                <w:rFonts w:ascii="宋体"/>
              </w:rPr>
            </w:pPr>
          </w:p>
        </w:tc>
        <w:tc>
          <w:tcPr>
            <w:tcW w:w="492" w:type="pct"/>
            <w:shd w:val="clear" w:color="auto" w:fill="auto"/>
            <w:vAlign w:val="bottom"/>
          </w:tcPr>
          <w:p w14:paraId="5A1B3222" w14:textId="77777777" w:rsidR="00960BB8" w:rsidRDefault="00960BB8">
            <w:pPr>
              <w:rPr>
                <w:rFonts w:ascii="宋体"/>
              </w:rPr>
            </w:pPr>
          </w:p>
        </w:tc>
        <w:tc>
          <w:tcPr>
            <w:tcW w:w="5" w:type="pct"/>
            <w:shd w:val="clear" w:color="auto" w:fill="auto"/>
            <w:vAlign w:val="bottom"/>
          </w:tcPr>
          <w:p w14:paraId="5A1B3223" w14:textId="77777777" w:rsidR="00960BB8" w:rsidRDefault="00960BB8">
            <w:pPr>
              <w:rPr>
                <w:rFonts w:ascii="宋体"/>
              </w:rPr>
            </w:pPr>
          </w:p>
        </w:tc>
        <w:tc>
          <w:tcPr>
            <w:tcW w:w="5" w:type="pct"/>
            <w:shd w:val="clear" w:color="auto" w:fill="auto"/>
            <w:vAlign w:val="bottom"/>
          </w:tcPr>
          <w:p w14:paraId="5A1B3224" w14:textId="77777777" w:rsidR="00960BB8" w:rsidRDefault="00960BB8">
            <w:pPr>
              <w:rPr>
                <w:rFonts w:ascii="宋体"/>
              </w:rPr>
            </w:pPr>
          </w:p>
        </w:tc>
        <w:tc>
          <w:tcPr>
            <w:tcW w:w="24" w:type="pct"/>
            <w:shd w:val="clear" w:color="auto" w:fill="auto"/>
            <w:vAlign w:val="bottom"/>
          </w:tcPr>
          <w:p w14:paraId="5A1B3225" w14:textId="77777777" w:rsidR="00960BB8" w:rsidRDefault="00960BB8">
            <w:pPr>
              <w:rPr>
                <w:rFonts w:ascii="宋体"/>
              </w:rPr>
            </w:pPr>
          </w:p>
        </w:tc>
        <w:tc>
          <w:tcPr>
            <w:tcW w:w="5" w:type="pct"/>
            <w:shd w:val="clear" w:color="auto" w:fill="auto"/>
            <w:vAlign w:val="bottom"/>
          </w:tcPr>
          <w:p w14:paraId="5A1B3226" w14:textId="77777777" w:rsidR="00960BB8" w:rsidRDefault="00960BB8">
            <w:pPr>
              <w:rPr>
                <w:rFonts w:ascii="宋体"/>
              </w:rPr>
            </w:pPr>
          </w:p>
        </w:tc>
        <w:tc>
          <w:tcPr>
            <w:tcW w:w="50" w:type="pct"/>
            <w:shd w:val="clear" w:color="auto" w:fill="auto"/>
            <w:vAlign w:val="bottom"/>
          </w:tcPr>
          <w:p w14:paraId="5A1B3227" w14:textId="77777777" w:rsidR="00960BB8" w:rsidRDefault="00960BB8">
            <w:pPr>
              <w:rPr>
                <w:rFonts w:ascii="宋体"/>
              </w:rPr>
            </w:pPr>
          </w:p>
        </w:tc>
        <w:tc>
          <w:tcPr>
            <w:tcW w:w="492" w:type="pct"/>
            <w:shd w:val="clear" w:color="auto" w:fill="auto"/>
            <w:vAlign w:val="bottom"/>
          </w:tcPr>
          <w:p w14:paraId="5A1B3228" w14:textId="77777777" w:rsidR="00960BB8" w:rsidRDefault="00960BB8">
            <w:pPr>
              <w:rPr>
                <w:rFonts w:ascii="宋体"/>
              </w:rPr>
            </w:pPr>
          </w:p>
        </w:tc>
        <w:tc>
          <w:tcPr>
            <w:tcW w:w="5" w:type="pct"/>
            <w:shd w:val="clear" w:color="auto" w:fill="auto"/>
            <w:vAlign w:val="bottom"/>
          </w:tcPr>
          <w:p w14:paraId="5A1B3229" w14:textId="77777777" w:rsidR="00960BB8" w:rsidRDefault="00960BB8">
            <w:pPr>
              <w:rPr>
                <w:rFonts w:ascii="宋体"/>
              </w:rPr>
            </w:pPr>
          </w:p>
        </w:tc>
        <w:tc>
          <w:tcPr>
            <w:tcW w:w="5" w:type="pct"/>
            <w:shd w:val="clear" w:color="auto" w:fill="auto"/>
            <w:vAlign w:val="bottom"/>
          </w:tcPr>
          <w:p w14:paraId="5A1B322A" w14:textId="77777777" w:rsidR="00960BB8" w:rsidRDefault="00960BB8">
            <w:pPr>
              <w:rPr>
                <w:rFonts w:ascii="宋体"/>
              </w:rPr>
            </w:pPr>
          </w:p>
        </w:tc>
        <w:tc>
          <w:tcPr>
            <w:tcW w:w="24" w:type="pct"/>
            <w:shd w:val="clear" w:color="auto" w:fill="auto"/>
            <w:vAlign w:val="bottom"/>
          </w:tcPr>
          <w:p w14:paraId="5A1B322B" w14:textId="77777777" w:rsidR="00960BB8" w:rsidRDefault="00960BB8">
            <w:pPr>
              <w:rPr>
                <w:rFonts w:ascii="宋体"/>
              </w:rPr>
            </w:pPr>
          </w:p>
        </w:tc>
        <w:tc>
          <w:tcPr>
            <w:tcW w:w="5" w:type="pct"/>
            <w:shd w:val="clear" w:color="auto" w:fill="auto"/>
            <w:vAlign w:val="bottom"/>
          </w:tcPr>
          <w:p w14:paraId="5A1B322C" w14:textId="77777777" w:rsidR="00960BB8" w:rsidRDefault="00960BB8">
            <w:pPr>
              <w:rPr>
                <w:rFonts w:ascii="宋体"/>
              </w:rPr>
            </w:pPr>
          </w:p>
        </w:tc>
        <w:tc>
          <w:tcPr>
            <w:tcW w:w="50" w:type="pct"/>
            <w:shd w:val="clear" w:color="auto" w:fill="auto"/>
            <w:vAlign w:val="bottom"/>
          </w:tcPr>
          <w:p w14:paraId="5A1B322D" w14:textId="77777777" w:rsidR="00960BB8" w:rsidRDefault="00960BB8">
            <w:pPr>
              <w:rPr>
                <w:rFonts w:ascii="宋体"/>
              </w:rPr>
            </w:pPr>
          </w:p>
        </w:tc>
        <w:tc>
          <w:tcPr>
            <w:tcW w:w="492" w:type="pct"/>
            <w:shd w:val="clear" w:color="auto" w:fill="auto"/>
            <w:vAlign w:val="bottom"/>
          </w:tcPr>
          <w:p w14:paraId="5A1B322E" w14:textId="77777777" w:rsidR="00960BB8" w:rsidRDefault="00960BB8">
            <w:pPr>
              <w:rPr>
                <w:rFonts w:ascii="宋体"/>
              </w:rPr>
            </w:pPr>
          </w:p>
        </w:tc>
        <w:tc>
          <w:tcPr>
            <w:tcW w:w="5" w:type="pct"/>
            <w:shd w:val="clear" w:color="auto" w:fill="auto"/>
            <w:vAlign w:val="bottom"/>
          </w:tcPr>
          <w:p w14:paraId="5A1B322F" w14:textId="77777777" w:rsidR="00960BB8" w:rsidRDefault="00960BB8">
            <w:pPr>
              <w:rPr>
                <w:rFonts w:ascii="宋体"/>
              </w:rPr>
            </w:pPr>
          </w:p>
        </w:tc>
        <w:tc>
          <w:tcPr>
            <w:tcW w:w="5" w:type="pct"/>
            <w:shd w:val="clear" w:color="auto" w:fill="auto"/>
            <w:vAlign w:val="bottom"/>
          </w:tcPr>
          <w:p w14:paraId="5A1B3230" w14:textId="77777777" w:rsidR="00960BB8" w:rsidRDefault="00960BB8">
            <w:pPr>
              <w:rPr>
                <w:rFonts w:ascii="宋体"/>
              </w:rPr>
            </w:pPr>
          </w:p>
        </w:tc>
        <w:tc>
          <w:tcPr>
            <w:tcW w:w="24" w:type="pct"/>
            <w:shd w:val="clear" w:color="auto" w:fill="auto"/>
            <w:vAlign w:val="bottom"/>
          </w:tcPr>
          <w:p w14:paraId="5A1B3231" w14:textId="77777777" w:rsidR="00960BB8" w:rsidRDefault="00960BB8">
            <w:pPr>
              <w:rPr>
                <w:rFonts w:ascii="宋体"/>
              </w:rPr>
            </w:pPr>
          </w:p>
        </w:tc>
        <w:tc>
          <w:tcPr>
            <w:tcW w:w="5" w:type="pct"/>
            <w:shd w:val="clear" w:color="auto" w:fill="auto"/>
            <w:vAlign w:val="bottom"/>
          </w:tcPr>
          <w:p w14:paraId="5A1B3232" w14:textId="77777777" w:rsidR="00960BB8" w:rsidRDefault="00960BB8">
            <w:pPr>
              <w:rPr>
                <w:rFonts w:ascii="宋体"/>
              </w:rPr>
            </w:pPr>
          </w:p>
        </w:tc>
        <w:tc>
          <w:tcPr>
            <w:tcW w:w="50" w:type="pct"/>
            <w:shd w:val="clear" w:color="auto" w:fill="auto"/>
            <w:vAlign w:val="bottom"/>
          </w:tcPr>
          <w:p w14:paraId="5A1B3233" w14:textId="77777777" w:rsidR="00960BB8" w:rsidRDefault="00960BB8">
            <w:pPr>
              <w:rPr>
                <w:rFonts w:ascii="宋体"/>
              </w:rPr>
            </w:pPr>
          </w:p>
        </w:tc>
        <w:tc>
          <w:tcPr>
            <w:tcW w:w="492" w:type="pct"/>
            <w:shd w:val="clear" w:color="auto" w:fill="auto"/>
            <w:vAlign w:val="bottom"/>
          </w:tcPr>
          <w:p w14:paraId="5A1B3234" w14:textId="77777777" w:rsidR="00960BB8" w:rsidRDefault="00960BB8">
            <w:pPr>
              <w:rPr>
                <w:rFonts w:ascii="宋体"/>
              </w:rPr>
            </w:pPr>
          </w:p>
        </w:tc>
        <w:tc>
          <w:tcPr>
            <w:tcW w:w="5" w:type="pct"/>
            <w:shd w:val="clear" w:color="auto" w:fill="auto"/>
            <w:vAlign w:val="bottom"/>
          </w:tcPr>
          <w:p w14:paraId="5A1B3235" w14:textId="77777777" w:rsidR="00960BB8" w:rsidRDefault="00960BB8">
            <w:pPr>
              <w:rPr>
                <w:rFonts w:ascii="宋体"/>
              </w:rPr>
            </w:pPr>
          </w:p>
        </w:tc>
        <w:tc>
          <w:tcPr>
            <w:tcW w:w="5" w:type="pct"/>
            <w:shd w:val="clear" w:color="auto" w:fill="auto"/>
            <w:vAlign w:val="bottom"/>
          </w:tcPr>
          <w:p w14:paraId="5A1B3236" w14:textId="77777777" w:rsidR="00960BB8" w:rsidRDefault="00960BB8">
            <w:pPr>
              <w:rPr>
                <w:rFonts w:ascii="宋体"/>
              </w:rPr>
            </w:pPr>
          </w:p>
        </w:tc>
        <w:tc>
          <w:tcPr>
            <w:tcW w:w="24" w:type="pct"/>
            <w:shd w:val="clear" w:color="auto" w:fill="auto"/>
            <w:vAlign w:val="bottom"/>
          </w:tcPr>
          <w:p w14:paraId="5A1B3237" w14:textId="77777777" w:rsidR="00960BB8" w:rsidRDefault="00960BB8">
            <w:pPr>
              <w:rPr>
                <w:rFonts w:ascii="宋体"/>
              </w:rPr>
            </w:pPr>
          </w:p>
        </w:tc>
        <w:tc>
          <w:tcPr>
            <w:tcW w:w="5" w:type="pct"/>
            <w:shd w:val="clear" w:color="auto" w:fill="auto"/>
            <w:vAlign w:val="bottom"/>
          </w:tcPr>
          <w:p w14:paraId="5A1B3238" w14:textId="77777777" w:rsidR="00960BB8" w:rsidRDefault="00960BB8">
            <w:pPr>
              <w:rPr>
                <w:rFonts w:ascii="宋体"/>
              </w:rPr>
            </w:pPr>
          </w:p>
        </w:tc>
        <w:tc>
          <w:tcPr>
            <w:tcW w:w="50" w:type="pct"/>
            <w:shd w:val="clear" w:color="auto" w:fill="auto"/>
            <w:vAlign w:val="bottom"/>
          </w:tcPr>
          <w:p w14:paraId="5A1B3239" w14:textId="77777777" w:rsidR="00960BB8" w:rsidRDefault="00960BB8">
            <w:pPr>
              <w:rPr>
                <w:rFonts w:ascii="宋体"/>
              </w:rPr>
            </w:pPr>
          </w:p>
        </w:tc>
        <w:tc>
          <w:tcPr>
            <w:tcW w:w="493" w:type="pct"/>
            <w:shd w:val="clear" w:color="auto" w:fill="auto"/>
            <w:vAlign w:val="bottom"/>
          </w:tcPr>
          <w:p w14:paraId="5A1B323A" w14:textId="77777777" w:rsidR="00960BB8" w:rsidRDefault="00960BB8">
            <w:pPr>
              <w:rPr>
                <w:rFonts w:ascii="宋体"/>
              </w:rPr>
            </w:pPr>
          </w:p>
        </w:tc>
        <w:tc>
          <w:tcPr>
            <w:tcW w:w="5" w:type="pct"/>
            <w:shd w:val="clear" w:color="auto" w:fill="auto"/>
            <w:vAlign w:val="bottom"/>
          </w:tcPr>
          <w:p w14:paraId="5A1B323B" w14:textId="77777777" w:rsidR="00960BB8" w:rsidRDefault="00960BB8">
            <w:pPr>
              <w:rPr>
                <w:rFonts w:ascii="宋体"/>
              </w:rPr>
            </w:pPr>
          </w:p>
        </w:tc>
      </w:tr>
      <w:tr w:rsidR="00960BB8" w14:paraId="5A1B324A" w14:textId="77777777">
        <w:tc>
          <w:tcPr>
            <w:tcW w:w="0" w:type="auto"/>
            <w:gridSpan w:val="3"/>
            <w:shd w:val="clear" w:color="auto" w:fill="auto"/>
            <w:tcMar>
              <w:top w:w="40" w:type="dxa"/>
              <w:left w:w="20" w:type="dxa"/>
              <w:bottom w:w="40" w:type="dxa"/>
              <w:right w:w="20" w:type="dxa"/>
            </w:tcMar>
            <w:vAlign w:val="bottom"/>
          </w:tcPr>
          <w:p w14:paraId="5A1B323D"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323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23F" w14:textId="77777777" w:rsidR="00960BB8" w:rsidRDefault="00C06650">
            <w:pPr>
              <w:jc w:val="right"/>
              <w:textAlignment w:val="bottom"/>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vAlign w:val="bottom"/>
          </w:tcPr>
          <w:p w14:paraId="5A1B324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241" w14:textId="77777777" w:rsidR="00960BB8" w:rsidRDefault="00C06650">
            <w:pPr>
              <w:jc w:val="right"/>
              <w:textAlignment w:val="bottom"/>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vAlign w:val="bottom"/>
          </w:tcPr>
          <w:p w14:paraId="5A1B324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243" w14:textId="77777777" w:rsidR="00960BB8" w:rsidRDefault="00C06650">
            <w:pPr>
              <w:jc w:val="right"/>
              <w:textAlignment w:val="bottom"/>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vAlign w:val="bottom"/>
          </w:tcPr>
          <w:p w14:paraId="5A1B324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245" w14:textId="77777777" w:rsidR="00960BB8" w:rsidRDefault="00C06650">
            <w:pPr>
              <w:jc w:val="right"/>
              <w:textAlignment w:val="bottom"/>
            </w:pPr>
            <w:r>
              <w:rPr>
                <w:rFonts w:ascii="Arial" w:eastAsia="宋体" w:hAnsi="Arial" w:cs="Arial"/>
                <w:b/>
                <w:bCs/>
                <w:color w:val="262626"/>
                <w:sz w:val="18"/>
                <w:szCs w:val="18"/>
              </w:rPr>
              <w:t>2026</w:t>
            </w:r>
          </w:p>
        </w:tc>
        <w:tc>
          <w:tcPr>
            <w:tcW w:w="0" w:type="auto"/>
            <w:gridSpan w:val="3"/>
            <w:shd w:val="clear" w:color="auto" w:fill="auto"/>
            <w:tcMar>
              <w:top w:w="0" w:type="dxa"/>
              <w:left w:w="20" w:type="dxa"/>
              <w:bottom w:w="0" w:type="dxa"/>
              <w:right w:w="20" w:type="dxa"/>
            </w:tcMar>
            <w:vAlign w:val="bottom"/>
          </w:tcPr>
          <w:p w14:paraId="5A1B324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247" w14:textId="77777777" w:rsidR="00960BB8" w:rsidRDefault="00C06650">
            <w:pPr>
              <w:jc w:val="right"/>
              <w:textAlignment w:val="bottom"/>
            </w:pPr>
            <w:r>
              <w:rPr>
                <w:rFonts w:ascii="Arial" w:eastAsia="宋体" w:hAnsi="Arial" w:cs="Arial"/>
                <w:b/>
                <w:bCs/>
                <w:color w:val="262626"/>
                <w:sz w:val="18"/>
                <w:szCs w:val="18"/>
              </w:rPr>
              <w:t>2027</w:t>
            </w:r>
          </w:p>
        </w:tc>
        <w:tc>
          <w:tcPr>
            <w:tcW w:w="0" w:type="auto"/>
            <w:gridSpan w:val="3"/>
            <w:shd w:val="clear" w:color="auto" w:fill="auto"/>
            <w:tcMar>
              <w:top w:w="0" w:type="dxa"/>
              <w:left w:w="20" w:type="dxa"/>
              <w:bottom w:w="0" w:type="dxa"/>
              <w:right w:w="20" w:type="dxa"/>
            </w:tcMar>
            <w:vAlign w:val="bottom"/>
          </w:tcPr>
          <w:p w14:paraId="5A1B324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249" w14:textId="77777777" w:rsidR="00960BB8" w:rsidRDefault="00C06650">
            <w:pPr>
              <w:jc w:val="right"/>
              <w:textAlignment w:val="bottom"/>
            </w:pPr>
            <w:r>
              <w:rPr>
                <w:rFonts w:ascii="Arial" w:eastAsia="宋体" w:hAnsi="Arial" w:cs="Arial"/>
                <w:b/>
                <w:bCs/>
                <w:color w:val="262626"/>
                <w:sz w:val="18"/>
                <w:szCs w:val="18"/>
              </w:rPr>
              <w:t>2028-2032</w:t>
            </w:r>
          </w:p>
        </w:tc>
      </w:tr>
      <w:tr w:rsidR="00960BB8" w14:paraId="5A1B326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324B" w14:textId="77777777" w:rsidR="00960BB8" w:rsidRDefault="00C06650">
            <w:pPr>
              <w:textAlignment w:val="bottom"/>
            </w:pPr>
            <w:r>
              <w:rPr>
                <w:rFonts w:ascii="Arial" w:eastAsia="宋体" w:hAnsi="Arial" w:cs="Arial"/>
                <w:color w:val="262626"/>
                <w:sz w:val="18"/>
                <w:szCs w:val="18"/>
              </w:rPr>
              <w:t>Postretirement medical benefits</w:t>
            </w:r>
          </w:p>
        </w:tc>
        <w:tc>
          <w:tcPr>
            <w:tcW w:w="0" w:type="auto"/>
            <w:gridSpan w:val="3"/>
            <w:shd w:val="clear" w:color="auto" w:fill="auto"/>
            <w:tcMar>
              <w:top w:w="0" w:type="dxa"/>
              <w:left w:w="20" w:type="dxa"/>
              <w:bottom w:w="0" w:type="dxa"/>
              <w:right w:w="20" w:type="dxa"/>
            </w:tcMar>
            <w:vAlign w:val="bottom"/>
          </w:tcPr>
          <w:p w14:paraId="5A1B324C"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24D"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24E" w14:textId="77777777" w:rsidR="00960BB8" w:rsidRDefault="00C06650">
            <w:pPr>
              <w:jc w:val="right"/>
              <w:textAlignment w:val="bottom"/>
            </w:pPr>
            <w:r>
              <w:rPr>
                <w:rFonts w:ascii="Arial" w:eastAsia="宋体" w:hAnsi="Arial" w:cs="Arial"/>
                <w:color w:val="0068B5"/>
                <w:sz w:val="18"/>
                <w:szCs w:val="18"/>
              </w:rPr>
              <w:t>40 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24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50"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251"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252" w14:textId="77777777" w:rsidR="00960BB8" w:rsidRDefault="00C06650">
            <w:pPr>
              <w:jc w:val="right"/>
              <w:textAlignment w:val="bottom"/>
            </w:pPr>
            <w:r>
              <w:rPr>
                <w:rFonts w:ascii="Arial" w:eastAsia="宋体" w:hAnsi="Arial" w:cs="Arial"/>
                <w:color w:val="0068B5"/>
                <w:sz w:val="18"/>
                <w:szCs w:val="18"/>
              </w:rPr>
              <w:t>41 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25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54"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255"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256" w14:textId="77777777" w:rsidR="00960BB8" w:rsidRDefault="00C06650">
            <w:pPr>
              <w:jc w:val="right"/>
              <w:textAlignment w:val="bottom"/>
            </w:pPr>
            <w:r>
              <w:rPr>
                <w:rFonts w:ascii="Arial" w:eastAsia="宋体" w:hAnsi="Arial" w:cs="Arial"/>
                <w:color w:val="0068B5"/>
                <w:sz w:val="18"/>
                <w:szCs w:val="18"/>
              </w:rPr>
              <w:t>41 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25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58"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259"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25A" w14:textId="77777777" w:rsidR="00960BB8" w:rsidRDefault="00C06650">
            <w:pPr>
              <w:jc w:val="right"/>
              <w:textAlignment w:val="bottom"/>
            </w:pPr>
            <w:r>
              <w:rPr>
                <w:rFonts w:ascii="Arial" w:eastAsia="宋体" w:hAnsi="Arial" w:cs="Arial"/>
                <w:color w:val="0068B5"/>
                <w:sz w:val="18"/>
                <w:szCs w:val="18"/>
              </w:rPr>
              <w:t>43 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25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5C"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25D"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25E" w14:textId="77777777" w:rsidR="00960BB8" w:rsidRDefault="00C06650">
            <w:pPr>
              <w:jc w:val="right"/>
              <w:textAlignment w:val="bottom"/>
            </w:pPr>
            <w:r>
              <w:rPr>
                <w:rFonts w:ascii="Arial" w:eastAsia="宋体" w:hAnsi="Arial" w:cs="Arial"/>
                <w:color w:val="0068B5"/>
                <w:sz w:val="18"/>
                <w:szCs w:val="18"/>
              </w:rPr>
              <w:t>44 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25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60"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261"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262" w14:textId="77777777" w:rsidR="00960BB8" w:rsidRDefault="00C06650">
            <w:pPr>
              <w:jc w:val="right"/>
              <w:textAlignment w:val="bottom"/>
            </w:pPr>
            <w:r>
              <w:rPr>
                <w:rFonts w:ascii="Arial" w:eastAsia="宋体" w:hAnsi="Arial" w:cs="Arial"/>
                <w:color w:val="0068B5"/>
                <w:sz w:val="18"/>
                <w:szCs w:val="18"/>
              </w:rPr>
              <w:t>222 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263" w14:textId="77777777" w:rsidR="00960BB8" w:rsidRDefault="00960BB8">
            <w:pPr>
              <w:jc w:val="right"/>
              <w:rPr>
                <w:rFonts w:ascii="宋体"/>
              </w:rPr>
            </w:pPr>
          </w:p>
        </w:tc>
      </w:tr>
    </w:tbl>
    <w:p w14:paraId="5A1B3265" w14:textId="77777777" w:rsidR="00960BB8" w:rsidRDefault="00C06650">
      <w:pPr>
        <w:spacing w:before="120" w:after="180"/>
      </w:pPr>
      <w:r>
        <w:rPr>
          <w:rFonts w:ascii="Arial" w:eastAsia="宋体" w:hAnsi="Arial" w:cs="Arial"/>
          <w:color w:val="0068B5"/>
        </w:rPr>
        <w:t>Pension Benefit Plans</w:t>
      </w:r>
    </w:p>
    <w:p w14:paraId="5A1B3266" w14:textId="77777777" w:rsidR="00960BB8" w:rsidRDefault="00C06650">
      <w:pPr>
        <w:spacing w:after="180"/>
      </w:pPr>
      <w:r>
        <w:rPr>
          <w:rFonts w:ascii="Arial" w:eastAsia="宋体" w:hAnsi="Arial" w:cs="Arial"/>
          <w:color w:val="262626"/>
          <w:sz w:val="18"/>
          <w:szCs w:val="18"/>
        </w:rPr>
        <w:t>We provide defined-benefit pension plans in certain countries, most significantly the US, Ireland, Israel, and Germany. The</w:t>
      </w:r>
      <w:r>
        <w:rPr>
          <w:rFonts w:ascii="Arial" w:eastAsia="宋体" w:hAnsi="Arial" w:cs="Arial"/>
          <w:color w:val="000000"/>
          <w:sz w:val="18"/>
          <w:szCs w:val="18"/>
        </w:rPr>
        <w:t xml:space="preserve"> majority</w:t>
      </w:r>
      <w:r>
        <w:rPr>
          <w:rFonts w:ascii="Arial" w:eastAsia="宋体" w:hAnsi="Arial" w:cs="Arial"/>
          <w:color w:val="262626"/>
          <w:sz w:val="18"/>
          <w:szCs w:val="18"/>
        </w:rPr>
        <w:t xml:space="preserve"> of the plans' benefits have been frozen. </w:t>
      </w:r>
    </w:p>
    <w:p w14:paraId="5A1B3267" w14:textId="77777777" w:rsidR="00960BB8" w:rsidRDefault="00C06650">
      <w:pPr>
        <w:spacing w:after="180"/>
      </w:pPr>
      <w:r>
        <w:rPr>
          <w:rFonts w:ascii="Arial" w:eastAsia="宋体" w:hAnsi="Arial" w:cs="Arial"/>
          <w:color w:val="0068B5"/>
        </w:rPr>
        <w:t>Benefit Obligation and Plan Assets for Pension Benefit Plans</w:t>
      </w:r>
    </w:p>
    <w:p w14:paraId="5A1B3268" w14:textId="77777777" w:rsidR="00960BB8" w:rsidRDefault="00C06650">
      <w:pPr>
        <w:spacing w:after="180"/>
      </w:pPr>
      <w:r>
        <w:rPr>
          <w:rFonts w:ascii="Arial" w:eastAsia="宋体" w:hAnsi="Arial" w:cs="Arial"/>
          <w:color w:val="262626"/>
          <w:sz w:val="18"/>
          <w:szCs w:val="18"/>
        </w:rPr>
        <w:t>The vested benefit obligation for a defined-benefit pension plan is the actuarial present value of the vested benefits to which the employee is currently entitled based on the employee's expected</w:t>
      </w:r>
      <w:r>
        <w:rPr>
          <w:rFonts w:ascii="Arial" w:eastAsia="宋体" w:hAnsi="Arial" w:cs="Arial"/>
          <w:color w:val="262626"/>
          <w:sz w:val="18"/>
          <w:szCs w:val="18"/>
        </w:rPr>
        <w:t xml:space="preserve"> date of separation or retirement.</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3275" w14:textId="77777777">
        <w:tc>
          <w:tcPr>
            <w:tcW w:w="50" w:type="pct"/>
            <w:shd w:val="clear" w:color="auto" w:fill="auto"/>
            <w:vAlign w:val="bottom"/>
          </w:tcPr>
          <w:p w14:paraId="5A1B3269" w14:textId="77777777" w:rsidR="00960BB8" w:rsidRDefault="00960BB8">
            <w:pPr>
              <w:rPr>
                <w:rFonts w:ascii="宋体"/>
              </w:rPr>
            </w:pPr>
          </w:p>
        </w:tc>
        <w:tc>
          <w:tcPr>
            <w:tcW w:w="276" w:type="pct"/>
            <w:shd w:val="clear" w:color="auto" w:fill="auto"/>
            <w:vAlign w:val="bottom"/>
          </w:tcPr>
          <w:p w14:paraId="5A1B326A" w14:textId="77777777" w:rsidR="00960BB8" w:rsidRDefault="00960BB8">
            <w:pPr>
              <w:rPr>
                <w:rFonts w:ascii="宋体"/>
              </w:rPr>
            </w:pPr>
          </w:p>
        </w:tc>
        <w:tc>
          <w:tcPr>
            <w:tcW w:w="5" w:type="pct"/>
            <w:shd w:val="clear" w:color="auto" w:fill="auto"/>
            <w:vAlign w:val="bottom"/>
          </w:tcPr>
          <w:p w14:paraId="5A1B326B" w14:textId="77777777" w:rsidR="00960BB8" w:rsidRDefault="00960BB8">
            <w:pPr>
              <w:rPr>
                <w:rFonts w:ascii="宋体"/>
              </w:rPr>
            </w:pPr>
          </w:p>
        </w:tc>
        <w:tc>
          <w:tcPr>
            <w:tcW w:w="50" w:type="pct"/>
            <w:shd w:val="clear" w:color="auto" w:fill="auto"/>
            <w:vAlign w:val="bottom"/>
          </w:tcPr>
          <w:p w14:paraId="5A1B326C" w14:textId="77777777" w:rsidR="00960BB8" w:rsidRDefault="00960BB8">
            <w:pPr>
              <w:rPr>
                <w:rFonts w:ascii="宋体"/>
              </w:rPr>
            </w:pPr>
          </w:p>
        </w:tc>
        <w:tc>
          <w:tcPr>
            <w:tcW w:w="940" w:type="pct"/>
            <w:shd w:val="clear" w:color="auto" w:fill="auto"/>
            <w:vAlign w:val="bottom"/>
          </w:tcPr>
          <w:p w14:paraId="5A1B326D" w14:textId="77777777" w:rsidR="00960BB8" w:rsidRDefault="00960BB8">
            <w:pPr>
              <w:rPr>
                <w:rFonts w:ascii="宋体"/>
              </w:rPr>
            </w:pPr>
          </w:p>
        </w:tc>
        <w:tc>
          <w:tcPr>
            <w:tcW w:w="5" w:type="pct"/>
            <w:shd w:val="clear" w:color="auto" w:fill="auto"/>
            <w:vAlign w:val="bottom"/>
          </w:tcPr>
          <w:p w14:paraId="5A1B326E" w14:textId="77777777" w:rsidR="00960BB8" w:rsidRDefault="00960BB8">
            <w:pPr>
              <w:rPr>
                <w:rFonts w:ascii="宋体"/>
              </w:rPr>
            </w:pPr>
          </w:p>
        </w:tc>
        <w:tc>
          <w:tcPr>
            <w:tcW w:w="50" w:type="pct"/>
            <w:shd w:val="clear" w:color="auto" w:fill="auto"/>
            <w:vAlign w:val="bottom"/>
          </w:tcPr>
          <w:p w14:paraId="5A1B326F" w14:textId="77777777" w:rsidR="00960BB8" w:rsidRDefault="00960BB8">
            <w:pPr>
              <w:rPr>
                <w:rFonts w:ascii="宋体"/>
              </w:rPr>
            </w:pPr>
          </w:p>
        </w:tc>
        <w:tc>
          <w:tcPr>
            <w:tcW w:w="1837" w:type="pct"/>
            <w:shd w:val="clear" w:color="auto" w:fill="auto"/>
            <w:vAlign w:val="bottom"/>
          </w:tcPr>
          <w:p w14:paraId="5A1B3270" w14:textId="77777777" w:rsidR="00960BB8" w:rsidRDefault="00960BB8">
            <w:pPr>
              <w:rPr>
                <w:rFonts w:ascii="宋体"/>
              </w:rPr>
            </w:pPr>
          </w:p>
        </w:tc>
        <w:tc>
          <w:tcPr>
            <w:tcW w:w="5" w:type="pct"/>
            <w:shd w:val="clear" w:color="auto" w:fill="auto"/>
            <w:vAlign w:val="bottom"/>
          </w:tcPr>
          <w:p w14:paraId="5A1B3271" w14:textId="77777777" w:rsidR="00960BB8" w:rsidRDefault="00960BB8">
            <w:pPr>
              <w:rPr>
                <w:rFonts w:ascii="宋体"/>
              </w:rPr>
            </w:pPr>
          </w:p>
        </w:tc>
        <w:tc>
          <w:tcPr>
            <w:tcW w:w="50" w:type="pct"/>
            <w:shd w:val="clear" w:color="auto" w:fill="auto"/>
            <w:vAlign w:val="bottom"/>
          </w:tcPr>
          <w:p w14:paraId="5A1B3272" w14:textId="77777777" w:rsidR="00960BB8" w:rsidRDefault="00960BB8">
            <w:pPr>
              <w:rPr>
                <w:rFonts w:ascii="宋体"/>
              </w:rPr>
            </w:pPr>
          </w:p>
        </w:tc>
        <w:tc>
          <w:tcPr>
            <w:tcW w:w="1724" w:type="pct"/>
            <w:shd w:val="clear" w:color="auto" w:fill="auto"/>
            <w:vAlign w:val="bottom"/>
          </w:tcPr>
          <w:p w14:paraId="5A1B3273" w14:textId="77777777" w:rsidR="00960BB8" w:rsidRDefault="00960BB8">
            <w:pPr>
              <w:rPr>
                <w:rFonts w:ascii="宋体"/>
              </w:rPr>
            </w:pPr>
          </w:p>
        </w:tc>
        <w:tc>
          <w:tcPr>
            <w:tcW w:w="5" w:type="pct"/>
            <w:shd w:val="clear" w:color="auto" w:fill="auto"/>
            <w:vAlign w:val="bottom"/>
          </w:tcPr>
          <w:p w14:paraId="5A1B3274" w14:textId="77777777" w:rsidR="00960BB8" w:rsidRDefault="00960BB8">
            <w:pPr>
              <w:rPr>
                <w:rFonts w:ascii="宋体"/>
              </w:rPr>
            </w:pPr>
          </w:p>
        </w:tc>
      </w:tr>
      <w:tr w:rsidR="00960BB8" w14:paraId="5A1B327A"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276"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C3" wp14:editId="5A1B44C4">
                  <wp:extent cx="304800" cy="304800"/>
                  <wp:effectExtent l="0" t="0" r="0" b="0"/>
                  <wp:docPr id="169" name="图片 30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303"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277"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3278"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279" w14:textId="77777777" w:rsidR="00960BB8" w:rsidRDefault="00C06650">
            <w:pPr>
              <w:jc w:val="right"/>
              <w:textAlignment w:val="center"/>
            </w:pPr>
            <w:r>
              <w:rPr>
                <w:rFonts w:ascii="Arial" w:eastAsia="宋体" w:hAnsi="Arial" w:cs="Arial"/>
                <w:color w:val="262626"/>
                <w:sz w:val="16"/>
                <w:szCs w:val="16"/>
              </w:rPr>
              <w:t>107</w:t>
            </w:r>
          </w:p>
        </w:tc>
      </w:tr>
    </w:tbl>
    <w:p w14:paraId="5A1B327B" w14:textId="77777777" w:rsidR="00960BB8" w:rsidRDefault="00C06650">
      <w:r>
        <w:pict w14:anchorId="5A1B44C5">
          <v:rect id="_x0000_i1133" style="width:415.3pt;height:1.5pt" o:hralign="center" o:hrstd="t" o:hr="t" fillcolor="#a0a0a0" stroked="f"/>
        </w:pict>
      </w:r>
    </w:p>
    <w:p w14:paraId="5A1B327C" w14:textId="77777777" w:rsidR="00960BB8" w:rsidRDefault="00C06650">
      <w:pPr>
        <w:jc w:val="right"/>
      </w:pPr>
      <w:hyperlink r:id="rId156" w:anchor="i8aaa7b4dbd2e419ca0f5c30af85a11aa_16" w:history="1">
        <w:r>
          <w:rPr>
            <w:rStyle w:val="a5"/>
            <w:rFonts w:ascii="Arial" w:eastAsia="宋体" w:hAnsi="Arial" w:cs="Arial"/>
            <w:b/>
            <w:bCs/>
            <w:sz w:val="16"/>
            <w:szCs w:val="16"/>
          </w:rPr>
          <w:t>Table of Contents</w:t>
        </w:r>
      </w:hyperlink>
    </w:p>
    <w:p w14:paraId="5A1B327D"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41"/>
        <w:gridCol w:w="6100"/>
        <w:gridCol w:w="40"/>
        <w:gridCol w:w="36"/>
        <w:gridCol w:w="36"/>
        <w:gridCol w:w="36"/>
        <w:gridCol w:w="121"/>
        <w:gridCol w:w="812"/>
        <w:gridCol w:w="36"/>
        <w:gridCol w:w="36"/>
        <w:gridCol w:w="36"/>
        <w:gridCol w:w="36"/>
        <w:gridCol w:w="121"/>
        <w:gridCol w:w="813"/>
        <w:gridCol w:w="36"/>
      </w:tblGrid>
      <w:tr w:rsidR="00960BB8" w14:paraId="5A1B328D" w14:textId="77777777">
        <w:tc>
          <w:tcPr>
            <w:tcW w:w="50" w:type="pct"/>
            <w:shd w:val="clear" w:color="auto" w:fill="auto"/>
            <w:vAlign w:val="bottom"/>
          </w:tcPr>
          <w:p w14:paraId="5A1B327E" w14:textId="77777777" w:rsidR="00960BB8" w:rsidRDefault="00960BB8">
            <w:pPr>
              <w:rPr>
                <w:rFonts w:ascii="宋体"/>
              </w:rPr>
            </w:pPr>
          </w:p>
        </w:tc>
        <w:tc>
          <w:tcPr>
            <w:tcW w:w="3688" w:type="pct"/>
            <w:shd w:val="clear" w:color="auto" w:fill="auto"/>
            <w:vAlign w:val="bottom"/>
          </w:tcPr>
          <w:p w14:paraId="5A1B327F" w14:textId="77777777" w:rsidR="00960BB8" w:rsidRDefault="00960BB8">
            <w:pPr>
              <w:rPr>
                <w:rFonts w:ascii="宋体"/>
              </w:rPr>
            </w:pPr>
          </w:p>
        </w:tc>
        <w:tc>
          <w:tcPr>
            <w:tcW w:w="5" w:type="pct"/>
            <w:shd w:val="clear" w:color="auto" w:fill="auto"/>
            <w:vAlign w:val="bottom"/>
          </w:tcPr>
          <w:p w14:paraId="5A1B3280" w14:textId="77777777" w:rsidR="00960BB8" w:rsidRDefault="00960BB8">
            <w:pPr>
              <w:rPr>
                <w:rFonts w:ascii="宋体"/>
              </w:rPr>
            </w:pPr>
          </w:p>
        </w:tc>
        <w:tc>
          <w:tcPr>
            <w:tcW w:w="5" w:type="pct"/>
            <w:shd w:val="clear" w:color="auto" w:fill="auto"/>
            <w:vAlign w:val="bottom"/>
          </w:tcPr>
          <w:p w14:paraId="5A1B3281" w14:textId="77777777" w:rsidR="00960BB8" w:rsidRDefault="00960BB8">
            <w:pPr>
              <w:rPr>
                <w:rFonts w:ascii="宋体"/>
              </w:rPr>
            </w:pPr>
          </w:p>
        </w:tc>
        <w:tc>
          <w:tcPr>
            <w:tcW w:w="24" w:type="pct"/>
            <w:shd w:val="clear" w:color="auto" w:fill="auto"/>
            <w:vAlign w:val="bottom"/>
          </w:tcPr>
          <w:p w14:paraId="5A1B3282" w14:textId="77777777" w:rsidR="00960BB8" w:rsidRDefault="00960BB8">
            <w:pPr>
              <w:rPr>
                <w:rFonts w:ascii="宋体"/>
              </w:rPr>
            </w:pPr>
          </w:p>
        </w:tc>
        <w:tc>
          <w:tcPr>
            <w:tcW w:w="5" w:type="pct"/>
            <w:shd w:val="clear" w:color="auto" w:fill="auto"/>
            <w:vAlign w:val="bottom"/>
          </w:tcPr>
          <w:p w14:paraId="5A1B3283" w14:textId="77777777" w:rsidR="00960BB8" w:rsidRDefault="00960BB8">
            <w:pPr>
              <w:rPr>
                <w:rFonts w:ascii="宋体"/>
              </w:rPr>
            </w:pPr>
          </w:p>
        </w:tc>
        <w:tc>
          <w:tcPr>
            <w:tcW w:w="50" w:type="pct"/>
            <w:shd w:val="clear" w:color="auto" w:fill="auto"/>
            <w:vAlign w:val="bottom"/>
          </w:tcPr>
          <w:p w14:paraId="5A1B3284" w14:textId="77777777" w:rsidR="00960BB8" w:rsidRDefault="00960BB8">
            <w:pPr>
              <w:rPr>
                <w:rFonts w:ascii="宋体"/>
              </w:rPr>
            </w:pPr>
          </w:p>
        </w:tc>
        <w:tc>
          <w:tcPr>
            <w:tcW w:w="539" w:type="pct"/>
            <w:shd w:val="clear" w:color="auto" w:fill="auto"/>
            <w:vAlign w:val="bottom"/>
          </w:tcPr>
          <w:p w14:paraId="5A1B3285" w14:textId="77777777" w:rsidR="00960BB8" w:rsidRDefault="00960BB8">
            <w:pPr>
              <w:rPr>
                <w:rFonts w:ascii="宋体"/>
              </w:rPr>
            </w:pPr>
          </w:p>
        </w:tc>
        <w:tc>
          <w:tcPr>
            <w:tcW w:w="5" w:type="pct"/>
            <w:shd w:val="clear" w:color="auto" w:fill="auto"/>
            <w:vAlign w:val="bottom"/>
          </w:tcPr>
          <w:p w14:paraId="5A1B3286" w14:textId="77777777" w:rsidR="00960BB8" w:rsidRDefault="00960BB8">
            <w:pPr>
              <w:rPr>
                <w:rFonts w:ascii="宋体"/>
              </w:rPr>
            </w:pPr>
          </w:p>
        </w:tc>
        <w:tc>
          <w:tcPr>
            <w:tcW w:w="5" w:type="pct"/>
            <w:shd w:val="clear" w:color="auto" w:fill="auto"/>
            <w:vAlign w:val="bottom"/>
          </w:tcPr>
          <w:p w14:paraId="5A1B3287" w14:textId="77777777" w:rsidR="00960BB8" w:rsidRDefault="00960BB8">
            <w:pPr>
              <w:rPr>
                <w:rFonts w:ascii="宋体"/>
              </w:rPr>
            </w:pPr>
          </w:p>
        </w:tc>
        <w:tc>
          <w:tcPr>
            <w:tcW w:w="24" w:type="pct"/>
            <w:shd w:val="clear" w:color="auto" w:fill="auto"/>
            <w:vAlign w:val="bottom"/>
          </w:tcPr>
          <w:p w14:paraId="5A1B3288" w14:textId="77777777" w:rsidR="00960BB8" w:rsidRDefault="00960BB8">
            <w:pPr>
              <w:rPr>
                <w:rFonts w:ascii="宋体"/>
              </w:rPr>
            </w:pPr>
          </w:p>
        </w:tc>
        <w:tc>
          <w:tcPr>
            <w:tcW w:w="5" w:type="pct"/>
            <w:shd w:val="clear" w:color="auto" w:fill="auto"/>
            <w:vAlign w:val="bottom"/>
          </w:tcPr>
          <w:p w14:paraId="5A1B3289" w14:textId="77777777" w:rsidR="00960BB8" w:rsidRDefault="00960BB8">
            <w:pPr>
              <w:rPr>
                <w:rFonts w:ascii="宋体"/>
              </w:rPr>
            </w:pPr>
          </w:p>
        </w:tc>
        <w:tc>
          <w:tcPr>
            <w:tcW w:w="50" w:type="pct"/>
            <w:shd w:val="clear" w:color="auto" w:fill="auto"/>
            <w:vAlign w:val="bottom"/>
          </w:tcPr>
          <w:p w14:paraId="5A1B328A" w14:textId="77777777" w:rsidR="00960BB8" w:rsidRDefault="00960BB8">
            <w:pPr>
              <w:rPr>
                <w:rFonts w:ascii="宋体"/>
              </w:rPr>
            </w:pPr>
          </w:p>
        </w:tc>
        <w:tc>
          <w:tcPr>
            <w:tcW w:w="539" w:type="pct"/>
            <w:shd w:val="clear" w:color="auto" w:fill="auto"/>
            <w:vAlign w:val="bottom"/>
          </w:tcPr>
          <w:p w14:paraId="5A1B328B" w14:textId="77777777" w:rsidR="00960BB8" w:rsidRDefault="00960BB8">
            <w:pPr>
              <w:rPr>
                <w:rFonts w:ascii="宋体"/>
              </w:rPr>
            </w:pPr>
          </w:p>
        </w:tc>
        <w:tc>
          <w:tcPr>
            <w:tcW w:w="5" w:type="pct"/>
            <w:shd w:val="clear" w:color="auto" w:fill="auto"/>
            <w:vAlign w:val="bottom"/>
          </w:tcPr>
          <w:p w14:paraId="5A1B328C" w14:textId="77777777" w:rsidR="00960BB8" w:rsidRDefault="00960BB8">
            <w:pPr>
              <w:rPr>
                <w:rFonts w:ascii="宋体"/>
              </w:rPr>
            </w:pPr>
          </w:p>
        </w:tc>
      </w:tr>
      <w:tr w:rsidR="00960BB8" w14:paraId="5A1B3293" w14:textId="77777777">
        <w:tc>
          <w:tcPr>
            <w:tcW w:w="0" w:type="auto"/>
            <w:gridSpan w:val="3"/>
            <w:shd w:val="clear" w:color="auto" w:fill="auto"/>
            <w:tcMar>
              <w:top w:w="40" w:type="dxa"/>
              <w:left w:w="20" w:type="dxa"/>
              <w:bottom w:w="40" w:type="dxa"/>
              <w:right w:w="20" w:type="dxa"/>
            </w:tcMar>
            <w:vAlign w:val="bottom"/>
          </w:tcPr>
          <w:p w14:paraId="5A1B328E" w14:textId="77777777" w:rsidR="00960BB8" w:rsidRDefault="00C06650">
            <w:pPr>
              <w:textAlignment w:val="bottom"/>
            </w:pPr>
            <w:r>
              <w:rPr>
                <w:rFonts w:ascii="Arial" w:eastAsia="宋体" w:hAnsi="Arial" w:cs="Arial"/>
                <w:b/>
                <w:bCs/>
                <w:color w:val="262626"/>
                <w:sz w:val="18"/>
                <w:szCs w:val="18"/>
              </w:rPr>
              <w:t> </w:t>
            </w:r>
            <w:r>
              <w:rPr>
                <w:rFonts w:ascii="Arial" w:eastAsia="宋体" w:hAnsi="Arial" w:cs="Arial"/>
                <w:b/>
                <w:bCs/>
                <w:color w:val="262626"/>
                <w:sz w:val="18"/>
                <w:szCs w:val="18"/>
              </w:rPr>
              <w:br/>
              <w:t>(In Millions)</w:t>
            </w:r>
          </w:p>
        </w:tc>
        <w:tc>
          <w:tcPr>
            <w:tcW w:w="0" w:type="auto"/>
            <w:gridSpan w:val="3"/>
            <w:shd w:val="clear" w:color="auto" w:fill="auto"/>
            <w:tcMar>
              <w:top w:w="0" w:type="dxa"/>
              <w:left w:w="20" w:type="dxa"/>
              <w:bottom w:w="0" w:type="dxa"/>
              <w:right w:w="20" w:type="dxa"/>
            </w:tcMar>
            <w:vAlign w:val="bottom"/>
          </w:tcPr>
          <w:p w14:paraId="5A1B328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290"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329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292"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329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3294" w14:textId="77777777" w:rsidR="00960BB8" w:rsidRDefault="00C06650">
            <w:pPr>
              <w:textAlignment w:val="bottom"/>
            </w:pPr>
            <w:r>
              <w:rPr>
                <w:rFonts w:ascii="Arial" w:eastAsia="宋体" w:hAnsi="Arial" w:cs="Arial"/>
                <w:b/>
                <w:bCs/>
                <w:color w:val="262626"/>
                <w:sz w:val="18"/>
                <w:szCs w:val="18"/>
              </w:rPr>
              <w:t>Changes in projected benefit obligation:</w:t>
            </w:r>
          </w:p>
        </w:tc>
        <w:tc>
          <w:tcPr>
            <w:tcW w:w="0" w:type="auto"/>
            <w:gridSpan w:val="3"/>
            <w:shd w:val="clear" w:color="auto" w:fill="auto"/>
            <w:tcMar>
              <w:top w:w="0" w:type="dxa"/>
              <w:left w:w="20" w:type="dxa"/>
              <w:bottom w:w="0" w:type="dxa"/>
              <w:right w:w="20" w:type="dxa"/>
            </w:tcMar>
            <w:vAlign w:val="bottom"/>
          </w:tcPr>
          <w:p w14:paraId="5A1B3295"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29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297"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298" w14:textId="77777777" w:rsidR="00960BB8" w:rsidRDefault="00960BB8">
            <w:pPr>
              <w:rPr>
                <w:rFonts w:ascii="宋体"/>
              </w:rPr>
            </w:pPr>
          </w:p>
        </w:tc>
      </w:tr>
      <w:tr w:rsidR="00960BB8" w14:paraId="5A1B32A3" w14:textId="77777777">
        <w:tc>
          <w:tcPr>
            <w:tcW w:w="0" w:type="auto"/>
            <w:gridSpan w:val="3"/>
            <w:shd w:val="clear" w:color="auto" w:fill="auto"/>
            <w:tcMar>
              <w:top w:w="40" w:type="dxa"/>
              <w:left w:w="155" w:type="dxa"/>
              <w:bottom w:w="40" w:type="dxa"/>
              <w:right w:w="20" w:type="dxa"/>
            </w:tcMar>
            <w:vAlign w:val="bottom"/>
          </w:tcPr>
          <w:p w14:paraId="5A1B329A" w14:textId="77777777" w:rsidR="00960BB8" w:rsidRDefault="00C06650">
            <w:pPr>
              <w:textAlignment w:val="bottom"/>
            </w:pPr>
            <w:r>
              <w:rPr>
                <w:rFonts w:ascii="Arial" w:eastAsia="宋体" w:hAnsi="Arial" w:cs="Arial"/>
                <w:b/>
                <w:bCs/>
                <w:color w:val="262626"/>
                <w:sz w:val="18"/>
                <w:szCs w:val="18"/>
              </w:rPr>
              <w:t>Beginning projected benefit obligation</w:t>
            </w:r>
          </w:p>
        </w:tc>
        <w:tc>
          <w:tcPr>
            <w:tcW w:w="0" w:type="auto"/>
            <w:gridSpan w:val="3"/>
            <w:shd w:val="clear" w:color="auto" w:fill="auto"/>
            <w:tcMar>
              <w:top w:w="0" w:type="dxa"/>
              <w:left w:w="20" w:type="dxa"/>
              <w:bottom w:w="0" w:type="dxa"/>
              <w:right w:w="20" w:type="dxa"/>
            </w:tcMar>
            <w:vAlign w:val="bottom"/>
          </w:tcPr>
          <w:p w14:paraId="5A1B329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29C" w14:textId="77777777" w:rsidR="00960BB8" w:rsidRDefault="00C06650">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A1B329D" w14:textId="77777777" w:rsidR="00960BB8" w:rsidRDefault="00C06650">
            <w:pPr>
              <w:jc w:val="right"/>
              <w:textAlignment w:val="bottom"/>
            </w:pPr>
            <w:r>
              <w:rPr>
                <w:rFonts w:ascii="Arial" w:eastAsia="宋体" w:hAnsi="Arial" w:cs="Arial"/>
                <w:b/>
                <w:bCs/>
                <w:color w:val="0068B5"/>
                <w:sz w:val="18"/>
                <w:szCs w:val="18"/>
              </w:rPr>
              <w:t>4,456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329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9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2A0" w14:textId="77777777" w:rsidR="00960BB8" w:rsidRDefault="00C06650">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A1B32A1" w14:textId="77777777" w:rsidR="00960BB8" w:rsidRDefault="00C06650">
            <w:pPr>
              <w:jc w:val="right"/>
              <w:textAlignment w:val="bottom"/>
            </w:pPr>
            <w:r>
              <w:rPr>
                <w:rFonts w:ascii="Arial" w:eastAsia="宋体" w:hAnsi="Arial" w:cs="Arial"/>
                <w:b/>
                <w:bCs/>
                <w:color w:val="262626"/>
                <w:sz w:val="18"/>
                <w:szCs w:val="18"/>
              </w:rPr>
              <w:t>4,929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2A2" w14:textId="77777777" w:rsidR="00960BB8" w:rsidRDefault="00960BB8">
            <w:pPr>
              <w:jc w:val="right"/>
              <w:rPr>
                <w:rFonts w:ascii="宋体"/>
              </w:rPr>
            </w:pPr>
          </w:p>
        </w:tc>
      </w:tr>
      <w:tr w:rsidR="00960BB8" w14:paraId="5A1B32AB" w14:textId="77777777">
        <w:tc>
          <w:tcPr>
            <w:tcW w:w="0" w:type="auto"/>
            <w:gridSpan w:val="3"/>
            <w:shd w:val="clear" w:color="auto" w:fill="auto"/>
            <w:tcMar>
              <w:top w:w="40" w:type="dxa"/>
              <w:left w:w="155" w:type="dxa"/>
              <w:bottom w:w="40" w:type="dxa"/>
              <w:right w:w="20" w:type="dxa"/>
            </w:tcMar>
            <w:vAlign w:val="bottom"/>
          </w:tcPr>
          <w:p w14:paraId="5A1B32A4" w14:textId="77777777" w:rsidR="00960BB8" w:rsidRDefault="00C06650">
            <w:pPr>
              <w:textAlignment w:val="bottom"/>
            </w:pPr>
            <w:r>
              <w:rPr>
                <w:rFonts w:ascii="Arial" w:eastAsia="宋体" w:hAnsi="Arial" w:cs="Arial"/>
                <w:color w:val="262626"/>
                <w:sz w:val="18"/>
                <w:szCs w:val="18"/>
              </w:rPr>
              <w:t>Service cost</w:t>
            </w:r>
          </w:p>
        </w:tc>
        <w:tc>
          <w:tcPr>
            <w:tcW w:w="0" w:type="auto"/>
            <w:gridSpan w:val="3"/>
            <w:shd w:val="clear" w:color="auto" w:fill="auto"/>
            <w:tcMar>
              <w:top w:w="0" w:type="dxa"/>
              <w:left w:w="20" w:type="dxa"/>
              <w:bottom w:w="0" w:type="dxa"/>
              <w:right w:w="20" w:type="dxa"/>
            </w:tcMar>
            <w:vAlign w:val="bottom"/>
          </w:tcPr>
          <w:p w14:paraId="5A1B32A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A6" w14:textId="77777777" w:rsidR="00960BB8" w:rsidRDefault="00C06650">
            <w:pPr>
              <w:jc w:val="right"/>
              <w:textAlignment w:val="bottom"/>
            </w:pPr>
            <w:r>
              <w:rPr>
                <w:rFonts w:ascii="Arial" w:eastAsia="宋体" w:hAnsi="Arial" w:cs="Arial"/>
                <w:color w:val="0068B5"/>
                <w:sz w:val="18"/>
                <w:szCs w:val="18"/>
              </w:rPr>
              <w:t>58 </w:t>
            </w:r>
          </w:p>
        </w:tc>
        <w:tc>
          <w:tcPr>
            <w:tcW w:w="0" w:type="auto"/>
            <w:shd w:val="clear" w:color="auto" w:fill="auto"/>
            <w:tcMar>
              <w:top w:w="40" w:type="dxa"/>
              <w:left w:w="0" w:type="dxa"/>
              <w:bottom w:w="40" w:type="dxa"/>
              <w:right w:w="20" w:type="dxa"/>
            </w:tcMar>
            <w:vAlign w:val="bottom"/>
          </w:tcPr>
          <w:p w14:paraId="5A1B32A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A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A9" w14:textId="77777777" w:rsidR="00960BB8" w:rsidRDefault="00C06650">
            <w:pPr>
              <w:jc w:val="right"/>
              <w:textAlignment w:val="bottom"/>
            </w:pPr>
            <w:r>
              <w:rPr>
                <w:rFonts w:ascii="Arial" w:eastAsia="宋体" w:hAnsi="Arial" w:cs="Arial"/>
                <w:color w:val="262626"/>
                <w:sz w:val="18"/>
                <w:szCs w:val="18"/>
              </w:rPr>
              <w:t>54 </w:t>
            </w:r>
          </w:p>
        </w:tc>
        <w:tc>
          <w:tcPr>
            <w:tcW w:w="0" w:type="auto"/>
            <w:shd w:val="clear" w:color="auto" w:fill="auto"/>
            <w:tcMar>
              <w:top w:w="40" w:type="dxa"/>
              <w:left w:w="0" w:type="dxa"/>
              <w:bottom w:w="40" w:type="dxa"/>
              <w:right w:w="20" w:type="dxa"/>
            </w:tcMar>
            <w:vAlign w:val="bottom"/>
          </w:tcPr>
          <w:p w14:paraId="5A1B32AA" w14:textId="77777777" w:rsidR="00960BB8" w:rsidRDefault="00960BB8">
            <w:pPr>
              <w:jc w:val="right"/>
              <w:rPr>
                <w:rFonts w:ascii="宋体"/>
              </w:rPr>
            </w:pPr>
          </w:p>
        </w:tc>
      </w:tr>
      <w:tr w:rsidR="00960BB8" w14:paraId="5A1B32B3" w14:textId="77777777">
        <w:tc>
          <w:tcPr>
            <w:tcW w:w="0" w:type="auto"/>
            <w:gridSpan w:val="3"/>
            <w:shd w:val="clear" w:color="auto" w:fill="auto"/>
            <w:tcMar>
              <w:top w:w="40" w:type="dxa"/>
              <w:left w:w="155" w:type="dxa"/>
              <w:bottom w:w="40" w:type="dxa"/>
              <w:right w:w="20" w:type="dxa"/>
            </w:tcMar>
            <w:vAlign w:val="bottom"/>
          </w:tcPr>
          <w:p w14:paraId="5A1B32AC" w14:textId="77777777" w:rsidR="00960BB8" w:rsidRDefault="00C06650">
            <w:pPr>
              <w:textAlignment w:val="bottom"/>
            </w:pPr>
            <w:r>
              <w:rPr>
                <w:rFonts w:ascii="Arial" w:eastAsia="宋体" w:hAnsi="Arial" w:cs="Arial"/>
                <w:color w:val="262626"/>
                <w:sz w:val="18"/>
                <w:szCs w:val="18"/>
              </w:rPr>
              <w:t>Interest cost</w:t>
            </w:r>
          </w:p>
        </w:tc>
        <w:tc>
          <w:tcPr>
            <w:tcW w:w="0" w:type="auto"/>
            <w:gridSpan w:val="3"/>
            <w:shd w:val="clear" w:color="auto" w:fill="auto"/>
            <w:tcMar>
              <w:top w:w="0" w:type="dxa"/>
              <w:left w:w="20" w:type="dxa"/>
              <w:bottom w:w="0" w:type="dxa"/>
              <w:right w:w="20" w:type="dxa"/>
            </w:tcMar>
            <w:vAlign w:val="bottom"/>
          </w:tcPr>
          <w:p w14:paraId="5A1B32A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AE" w14:textId="77777777" w:rsidR="00960BB8" w:rsidRDefault="00C06650">
            <w:pPr>
              <w:jc w:val="right"/>
              <w:textAlignment w:val="bottom"/>
            </w:pPr>
            <w:r>
              <w:rPr>
                <w:rFonts w:ascii="Arial" w:eastAsia="宋体" w:hAnsi="Arial" w:cs="Arial"/>
                <w:color w:val="0068B5"/>
                <w:sz w:val="18"/>
                <w:szCs w:val="18"/>
              </w:rPr>
              <w:t>91 </w:t>
            </w:r>
          </w:p>
        </w:tc>
        <w:tc>
          <w:tcPr>
            <w:tcW w:w="0" w:type="auto"/>
            <w:shd w:val="clear" w:color="auto" w:fill="auto"/>
            <w:tcMar>
              <w:top w:w="40" w:type="dxa"/>
              <w:left w:w="0" w:type="dxa"/>
              <w:bottom w:w="40" w:type="dxa"/>
              <w:right w:w="20" w:type="dxa"/>
            </w:tcMar>
            <w:vAlign w:val="bottom"/>
          </w:tcPr>
          <w:p w14:paraId="5A1B32A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B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B1" w14:textId="77777777" w:rsidR="00960BB8" w:rsidRDefault="00C06650">
            <w:pPr>
              <w:jc w:val="right"/>
              <w:textAlignment w:val="bottom"/>
            </w:pPr>
            <w:r>
              <w:rPr>
                <w:rFonts w:ascii="Arial" w:eastAsia="宋体" w:hAnsi="Arial" w:cs="Arial"/>
                <w:color w:val="262626"/>
                <w:sz w:val="18"/>
                <w:szCs w:val="18"/>
              </w:rPr>
              <w:t>91 </w:t>
            </w:r>
          </w:p>
        </w:tc>
        <w:tc>
          <w:tcPr>
            <w:tcW w:w="0" w:type="auto"/>
            <w:shd w:val="clear" w:color="auto" w:fill="auto"/>
            <w:tcMar>
              <w:top w:w="40" w:type="dxa"/>
              <w:left w:w="0" w:type="dxa"/>
              <w:bottom w:w="40" w:type="dxa"/>
              <w:right w:w="20" w:type="dxa"/>
            </w:tcMar>
            <w:vAlign w:val="bottom"/>
          </w:tcPr>
          <w:p w14:paraId="5A1B32B2" w14:textId="77777777" w:rsidR="00960BB8" w:rsidRDefault="00960BB8">
            <w:pPr>
              <w:jc w:val="right"/>
              <w:rPr>
                <w:rFonts w:ascii="宋体"/>
              </w:rPr>
            </w:pPr>
          </w:p>
        </w:tc>
      </w:tr>
      <w:tr w:rsidR="00960BB8" w14:paraId="5A1B32BB" w14:textId="77777777">
        <w:tc>
          <w:tcPr>
            <w:tcW w:w="0" w:type="auto"/>
            <w:gridSpan w:val="3"/>
            <w:shd w:val="clear" w:color="auto" w:fill="auto"/>
            <w:tcMar>
              <w:top w:w="40" w:type="dxa"/>
              <w:left w:w="155" w:type="dxa"/>
              <w:bottom w:w="40" w:type="dxa"/>
              <w:right w:w="20" w:type="dxa"/>
            </w:tcMar>
            <w:vAlign w:val="bottom"/>
          </w:tcPr>
          <w:p w14:paraId="5A1B32B4" w14:textId="77777777" w:rsidR="00960BB8" w:rsidRDefault="00C06650">
            <w:pPr>
              <w:textAlignment w:val="bottom"/>
            </w:pPr>
            <w:r>
              <w:rPr>
                <w:rFonts w:ascii="Arial" w:eastAsia="宋体" w:hAnsi="Arial" w:cs="Arial"/>
                <w:color w:val="262626"/>
                <w:sz w:val="18"/>
                <w:szCs w:val="18"/>
              </w:rPr>
              <w:t>Actuarial (gain) loss</w:t>
            </w:r>
          </w:p>
        </w:tc>
        <w:tc>
          <w:tcPr>
            <w:tcW w:w="0" w:type="auto"/>
            <w:gridSpan w:val="3"/>
            <w:shd w:val="clear" w:color="auto" w:fill="auto"/>
            <w:tcMar>
              <w:top w:w="0" w:type="dxa"/>
              <w:left w:w="20" w:type="dxa"/>
              <w:bottom w:w="0" w:type="dxa"/>
              <w:right w:w="20" w:type="dxa"/>
            </w:tcMar>
            <w:vAlign w:val="bottom"/>
          </w:tcPr>
          <w:p w14:paraId="5A1B32B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B6" w14:textId="77777777" w:rsidR="00960BB8" w:rsidRDefault="00C06650">
            <w:pPr>
              <w:jc w:val="right"/>
              <w:textAlignment w:val="bottom"/>
            </w:pPr>
            <w:r>
              <w:rPr>
                <w:rFonts w:ascii="Arial" w:eastAsia="宋体" w:hAnsi="Arial" w:cs="Arial"/>
                <w:color w:val="0068B5"/>
                <w:sz w:val="18"/>
                <w:szCs w:val="18"/>
              </w:rPr>
              <w:t>(1,500)</w:t>
            </w:r>
          </w:p>
        </w:tc>
        <w:tc>
          <w:tcPr>
            <w:tcW w:w="0" w:type="auto"/>
            <w:shd w:val="clear" w:color="auto" w:fill="auto"/>
            <w:tcMar>
              <w:top w:w="40" w:type="dxa"/>
              <w:left w:w="0" w:type="dxa"/>
              <w:bottom w:w="40" w:type="dxa"/>
              <w:right w:w="20" w:type="dxa"/>
            </w:tcMar>
            <w:vAlign w:val="bottom"/>
          </w:tcPr>
          <w:p w14:paraId="5A1B32B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B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B9" w14:textId="77777777" w:rsidR="00960BB8" w:rsidRDefault="00C06650">
            <w:pPr>
              <w:jc w:val="right"/>
              <w:textAlignment w:val="bottom"/>
            </w:pPr>
            <w:r>
              <w:rPr>
                <w:rFonts w:ascii="Arial" w:eastAsia="宋体" w:hAnsi="Arial" w:cs="Arial"/>
                <w:color w:val="262626"/>
                <w:sz w:val="18"/>
                <w:szCs w:val="18"/>
              </w:rPr>
              <w:t>(284)</w:t>
            </w:r>
          </w:p>
        </w:tc>
        <w:tc>
          <w:tcPr>
            <w:tcW w:w="0" w:type="auto"/>
            <w:shd w:val="clear" w:color="auto" w:fill="auto"/>
            <w:tcMar>
              <w:top w:w="40" w:type="dxa"/>
              <w:left w:w="0" w:type="dxa"/>
              <w:bottom w:w="40" w:type="dxa"/>
              <w:right w:w="20" w:type="dxa"/>
            </w:tcMar>
            <w:vAlign w:val="bottom"/>
          </w:tcPr>
          <w:p w14:paraId="5A1B32BA" w14:textId="77777777" w:rsidR="00960BB8" w:rsidRDefault="00960BB8">
            <w:pPr>
              <w:jc w:val="right"/>
              <w:rPr>
                <w:rFonts w:ascii="宋体"/>
              </w:rPr>
            </w:pPr>
          </w:p>
        </w:tc>
      </w:tr>
      <w:tr w:rsidR="00960BB8" w14:paraId="5A1B32C3" w14:textId="77777777">
        <w:tc>
          <w:tcPr>
            <w:tcW w:w="0" w:type="auto"/>
            <w:gridSpan w:val="3"/>
            <w:shd w:val="clear" w:color="auto" w:fill="auto"/>
            <w:tcMar>
              <w:top w:w="40" w:type="dxa"/>
              <w:left w:w="155" w:type="dxa"/>
              <w:bottom w:w="40" w:type="dxa"/>
              <w:right w:w="20" w:type="dxa"/>
            </w:tcMar>
            <w:vAlign w:val="bottom"/>
          </w:tcPr>
          <w:p w14:paraId="5A1B32BC" w14:textId="77777777" w:rsidR="00960BB8" w:rsidRDefault="00C06650">
            <w:pPr>
              <w:textAlignment w:val="bottom"/>
            </w:pPr>
            <w:r>
              <w:rPr>
                <w:rFonts w:ascii="Arial" w:eastAsia="宋体" w:hAnsi="Arial" w:cs="Arial"/>
                <w:color w:val="262626"/>
                <w:sz w:val="18"/>
                <w:szCs w:val="18"/>
              </w:rPr>
              <w:t>Currency exchange rate changes</w:t>
            </w:r>
          </w:p>
        </w:tc>
        <w:tc>
          <w:tcPr>
            <w:tcW w:w="0" w:type="auto"/>
            <w:gridSpan w:val="3"/>
            <w:shd w:val="clear" w:color="auto" w:fill="auto"/>
            <w:tcMar>
              <w:top w:w="0" w:type="dxa"/>
              <w:left w:w="20" w:type="dxa"/>
              <w:bottom w:w="0" w:type="dxa"/>
              <w:right w:w="20" w:type="dxa"/>
            </w:tcMar>
            <w:vAlign w:val="bottom"/>
          </w:tcPr>
          <w:p w14:paraId="5A1B32B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BE" w14:textId="77777777" w:rsidR="00960BB8" w:rsidRDefault="00C06650">
            <w:pPr>
              <w:jc w:val="right"/>
              <w:textAlignment w:val="bottom"/>
            </w:pPr>
            <w:r>
              <w:rPr>
                <w:rFonts w:ascii="Arial" w:eastAsia="宋体" w:hAnsi="Arial" w:cs="Arial"/>
                <w:color w:val="0068B5"/>
                <w:sz w:val="18"/>
                <w:szCs w:val="18"/>
              </w:rPr>
              <w:t>(233)</w:t>
            </w:r>
          </w:p>
        </w:tc>
        <w:tc>
          <w:tcPr>
            <w:tcW w:w="0" w:type="auto"/>
            <w:shd w:val="clear" w:color="auto" w:fill="auto"/>
            <w:tcMar>
              <w:top w:w="40" w:type="dxa"/>
              <w:left w:w="0" w:type="dxa"/>
              <w:bottom w:w="40" w:type="dxa"/>
              <w:right w:w="20" w:type="dxa"/>
            </w:tcMar>
            <w:vAlign w:val="bottom"/>
          </w:tcPr>
          <w:p w14:paraId="5A1B32B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C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C1" w14:textId="77777777" w:rsidR="00960BB8" w:rsidRDefault="00C06650">
            <w:pPr>
              <w:jc w:val="right"/>
              <w:textAlignment w:val="bottom"/>
            </w:pPr>
            <w:r>
              <w:rPr>
                <w:rFonts w:ascii="Arial" w:eastAsia="宋体" w:hAnsi="Arial" w:cs="Arial"/>
                <w:color w:val="262626"/>
                <w:sz w:val="18"/>
                <w:szCs w:val="18"/>
              </w:rPr>
              <w:t>(150)</w:t>
            </w:r>
          </w:p>
        </w:tc>
        <w:tc>
          <w:tcPr>
            <w:tcW w:w="0" w:type="auto"/>
            <w:shd w:val="clear" w:color="auto" w:fill="auto"/>
            <w:tcMar>
              <w:top w:w="40" w:type="dxa"/>
              <w:left w:w="0" w:type="dxa"/>
              <w:bottom w:w="40" w:type="dxa"/>
              <w:right w:w="20" w:type="dxa"/>
            </w:tcMar>
            <w:vAlign w:val="bottom"/>
          </w:tcPr>
          <w:p w14:paraId="5A1B32C2" w14:textId="77777777" w:rsidR="00960BB8" w:rsidRDefault="00960BB8">
            <w:pPr>
              <w:jc w:val="right"/>
              <w:rPr>
                <w:rFonts w:ascii="宋体"/>
              </w:rPr>
            </w:pPr>
          </w:p>
        </w:tc>
      </w:tr>
      <w:tr w:rsidR="00960BB8" w14:paraId="5A1B32C9" w14:textId="77777777">
        <w:trPr>
          <w:hidden/>
        </w:trPr>
        <w:tc>
          <w:tcPr>
            <w:tcW w:w="0" w:type="auto"/>
            <w:gridSpan w:val="3"/>
            <w:shd w:val="clear" w:color="auto" w:fill="auto"/>
            <w:vAlign w:val="bottom"/>
          </w:tcPr>
          <w:p w14:paraId="5A1B32C4" w14:textId="77777777" w:rsidR="00960BB8" w:rsidRDefault="00960BB8">
            <w:pPr>
              <w:rPr>
                <w:rFonts w:ascii="宋体"/>
                <w:vanish/>
              </w:rPr>
            </w:pPr>
          </w:p>
        </w:tc>
        <w:tc>
          <w:tcPr>
            <w:tcW w:w="0" w:type="auto"/>
            <w:gridSpan w:val="3"/>
            <w:shd w:val="clear" w:color="auto" w:fill="auto"/>
            <w:vAlign w:val="bottom"/>
          </w:tcPr>
          <w:p w14:paraId="5A1B32C5" w14:textId="77777777" w:rsidR="00960BB8" w:rsidRDefault="00960BB8">
            <w:pPr>
              <w:rPr>
                <w:rFonts w:ascii="宋体"/>
                <w:vanish/>
              </w:rPr>
            </w:pPr>
          </w:p>
        </w:tc>
        <w:tc>
          <w:tcPr>
            <w:tcW w:w="0" w:type="auto"/>
            <w:gridSpan w:val="3"/>
            <w:shd w:val="clear" w:color="auto" w:fill="auto"/>
            <w:vAlign w:val="bottom"/>
          </w:tcPr>
          <w:p w14:paraId="5A1B32C6" w14:textId="77777777" w:rsidR="00960BB8" w:rsidRDefault="00960BB8">
            <w:pPr>
              <w:rPr>
                <w:rFonts w:ascii="宋体"/>
                <w:vanish/>
              </w:rPr>
            </w:pPr>
          </w:p>
        </w:tc>
        <w:tc>
          <w:tcPr>
            <w:tcW w:w="0" w:type="auto"/>
            <w:gridSpan w:val="3"/>
            <w:shd w:val="clear" w:color="auto" w:fill="auto"/>
            <w:vAlign w:val="bottom"/>
          </w:tcPr>
          <w:p w14:paraId="5A1B32C7" w14:textId="77777777" w:rsidR="00960BB8" w:rsidRDefault="00960BB8">
            <w:pPr>
              <w:rPr>
                <w:rFonts w:ascii="宋体"/>
                <w:vanish/>
              </w:rPr>
            </w:pPr>
          </w:p>
        </w:tc>
        <w:tc>
          <w:tcPr>
            <w:tcW w:w="0" w:type="auto"/>
            <w:gridSpan w:val="3"/>
            <w:shd w:val="clear" w:color="auto" w:fill="auto"/>
            <w:vAlign w:val="bottom"/>
          </w:tcPr>
          <w:p w14:paraId="5A1B32C8" w14:textId="77777777" w:rsidR="00960BB8" w:rsidRDefault="00960BB8">
            <w:pPr>
              <w:rPr>
                <w:rFonts w:ascii="宋体"/>
                <w:vanish/>
              </w:rPr>
            </w:pPr>
          </w:p>
        </w:tc>
      </w:tr>
      <w:tr w:rsidR="00960BB8" w14:paraId="5A1B32D1" w14:textId="77777777">
        <w:tc>
          <w:tcPr>
            <w:tcW w:w="0" w:type="auto"/>
            <w:gridSpan w:val="3"/>
            <w:shd w:val="clear" w:color="auto" w:fill="auto"/>
            <w:tcMar>
              <w:top w:w="40" w:type="dxa"/>
              <w:left w:w="155" w:type="dxa"/>
              <w:bottom w:w="40" w:type="dxa"/>
              <w:right w:w="20" w:type="dxa"/>
            </w:tcMar>
            <w:vAlign w:val="bottom"/>
          </w:tcPr>
          <w:p w14:paraId="5A1B32CA" w14:textId="77777777" w:rsidR="00960BB8" w:rsidRDefault="00C06650">
            <w:pPr>
              <w:textAlignment w:val="bottom"/>
            </w:pPr>
            <w:r>
              <w:rPr>
                <w:rFonts w:ascii="Arial" w:eastAsia="宋体" w:hAnsi="Arial" w:cs="Arial"/>
                <w:color w:val="262626"/>
                <w:sz w:val="18"/>
                <w:szCs w:val="18"/>
              </w:rPr>
              <w:t>Plan settlements</w:t>
            </w:r>
          </w:p>
        </w:tc>
        <w:tc>
          <w:tcPr>
            <w:tcW w:w="0" w:type="auto"/>
            <w:gridSpan w:val="3"/>
            <w:shd w:val="clear" w:color="auto" w:fill="auto"/>
            <w:tcMar>
              <w:top w:w="0" w:type="dxa"/>
              <w:left w:w="20" w:type="dxa"/>
              <w:bottom w:w="0" w:type="dxa"/>
              <w:right w:w="20" w:type="dxa"/>
            </w:tcMar>
            <w:vAlign w:val="bottom"/>
          </w:tcPr>
          <w:p w14:paraId="5A1B32C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CC" w14:textId="77777777" w:rsidR="00960BB8" w:rsidRDefault="00C06650">
            <w:pPr>
              <w:jc w:val="right"/>
              <w:textAlignment w:val="bottom"/>
            </w:pPr>
            <w:r>
              <w:rPr>
                <w:rFonts w:ascii="Arial" w:eastAsia="宋体" w:hAnsi="Arial" w:cs="Arial"/>
                <w:color w:val="0068B5"/>
                <w:sz w:val="18"/>
                <w:szCs w:val="18"/>
              </w:rPr>
              <w:t>(96)</w:t>
            </w:r>
          </w:p>
        </w:tc>
        <w:tc>
          <w:tcPr>
            <w:tcW w:w="0" w:type="auto"/>
            <w:shd w:val="clear" w:color="auto" w:fill="auto"/>
            <w:tcMar>
              <w:top w:w="40" w:type="dxa"/>
              <w:left w:w="0" w:type="dxa"/>
              <w:bottom w:w="40" w:type="dxa"/>
              <w:right w:w="20" w:type="dxa"/>
            </w:tcMar>
            <w:vAlign w:val="bottom"/>
          </w:tcPr>
          <w:p w14:paraId="5A1B32C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C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CF" w14:textId="77777777" w:rsidR="00960BB8" w:rsidRDefault="00C06650">
            <w:pPr>
              <w:jc w:val="right"/>
              <w:textAlignment w:val="bottom"/>
            </w:pPr>
            <w:r>
              <w:rPr>
                <w:rFonts w:ascii="Arial" w:eastAsia="宋体" w:hAnsi="Arial" w:cs="Arial"/>
                <w:color w:val="262626"/>
                <w:sz w:val="18"/>
                <w:szCs w:val="18"/>
              </w:rPr>
              <w:t>(126)</w:t>
            </w:r>
          </w:p>
        </w:tc>
        <w:tc>
          <w:tcPr>
            <w:tcW w:w="0" w:type="auto"/>
            <w:shd w:val="clear" w:color="auto" w:fill="auto"/>
            <w:tcMar>
              <w:top w:w="40" w:type="dxa"/>
              <w:left w:w="0" w:type="dxa"/>
              <w:bottom w:w="40" w:type="dxa"/>
              <w:right w:w="20" w:type="dxa"/>
            </w:tcMar>
            <w:vAlign w:val="bottom"/>
          </w:tcPr>
          <w:p w14:paraId="5A1B32D0" w14:textId="77777777" w:rsidR="00960BB8" w:rsidRDefault="00960BB8">
            <w:pPr>
              <w:jc w:val="right"/>
              <w:rPr>
                <w:rFonts w:ascii="宋体"/>
              </w:rPr>
            </w:pPr>
          </w:p>
        </w:tc>
      </w:tr>
      <w:tr w:rsidR="00960BB8" w14:paraId="5A1B32D9" w14:textId="77777777">
        <w:tc>
          <w:tcPr>
            <w:tcW w:w="0" w:type="auto"/>
            <w:gridSpan w:val="3"/>
            <w:shd w:val="clear" w:color="auto" w:fill="auto"/>
            <w:tcMar>
              <w:top w:w="40" w:type="dxa"/>
              <w:left w:w="155" w:type="dxa"/>
              <w:bottom w:w="40" w:type="dxa"/>
              <w:right w:w="20" w:type="dxa"/>
            </w:tcMar>
            <w:vAlign w:val="bottom"/>
          </w:tcPr>
          <w:p w14:paraId="5A1B32D2" w14:textId="77777777" w:rsidR="00960BB8" w:rsidRDefault="00C06650">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5A1B32D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D4" w14:textId="77777777" w:rsidR="00960BB8" w:rsidRDefault="00C06650">
            <w:pPr>
              <w:jc w:val="right"/>
              <w:textAlignment w:val="bottom"/>
            </w:pPr>
            <w:r>
              <w:rPr>
                <w:rFonts w:ascii="Arial" w:eastAsia="宋体" w:hAnsi="Arial" w:cs="Arial"/>
                <w:color w:val="0068B5"/>
                <w:sz w:val="18"/>
                <w:szCs w:val="18"/>
              </w:rPr>
              <w:t>(71)</w:t>
            </w:r>
          </w:p>
        </w:tc>
        <w:tc>
          <w:tcPr>
            <w:tcW w:w="0" w:type="auto"/>
            <w:shd w:val="clear" w:color="auto" w:fill="auto"/>
            <w:tcMar>
              <w:top w:w="40" w:type="dxa"/>
              <w:left w:w="0" w:type="dxa"/>
              <w:bottom w:w="40" w:type="dxa"/>
              <w:right w:w="20" w:type="dxa"/>
            </w:tcMar>
            <w:vAlign w:val="bottom"/>
          </w:tcPr>
          <w:p w14:paraId="5A1B32D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D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D7" w14:textId="77777777" w:rsidR="00960BB8" w:rsidRDefault="00C06650">
            <w:pPr>
              <w:jc w:val="right"/>
              <w:textAlignment w:val="bottom"/>
            </w:pPr>
            <w:r>
              <w:rPr>
                <w:rFonts w:ascii="Arial" w:eastAsia="宋体" w:hAnsi="Arial" w:cs="Arial"/>
                <w:color w:val="262626"/>
                <w:sz w:val="18"/>
                <w:szCs w:val="18"/>
              </w:rPr>
              <w:t>(58)</w:t>
            </w:r>
          </w:p>
        </w:tc>
        <w:tc>
          <w:tcPr>
            <w:tcW w:w="0" w:type="auto"/>
            <w:shd w:val="clear" w:color="auto" w:fill="auto"/>
            <w:tcMar>
              <w:top w:w="40" w:type="dxa"/>
              <w:left w:w="0" w:type="dxa"/>
              <w:bottom w:w="40" w:type="dxa"/>
              <w:right w:w="20" w:type="dxa"/>
            </w:tcMar>
            <w:vAlign w:val="bottom"/>
          </w:tcPr>
          <w:p w14:paraId="5A1B32D8" w14:textId="77777777" w:rsidR="00960BB8" w:rsidRDefault="00960BB8">
            <w:pPr>
              <w:jc w:val="right"/>
              <w:rPr>
                <w:rFonts w:ascii="宋体"/>
              </w:rPr>
            </w:pPr>
          </w:p>
        </w:tc>
      </w:tr>
      <w:tr w:rsidR="00960BB8" w14:paraId="5A1B32E1" w14:textId="77777777">
        <w:tc>
          <w:tcPr>
            <w:tcW w:w="0" w:type="auto"/>
            <w:gridSpan w:val="3"/>
            <w:shd w:val="clear" w:color="auto" w:fill="auto"/>
            <w:tcMar>
              <w:top w:w="40" w:type="dxa"/>
              <w:left w:w="20" w:type="dxa"/>
              <w:bottom w:w="40" w:type="dxa"/>
              <w:right w:w="20" w:type="dxa"/>
            </w:tcMar>
            <w:vAlign w:val="bottom"/>
          </w:tcPr>
          <w:p w14:paraId="5A1B32DA" w14:textId="77777777" w:rsidR="00960BB8" w:rsidRDefault="00C06650">
            <w:pPr>
              <w:textAlignment w:val="bottom"/>
            </w:pPr>
            <w:r>
              <w:rPr>
                <w:rFonts w:ascii="Arial" w:eastAsia="宋体" w:hAnsi="Arial" w:cs="Arial"/>
                <w:b/>
                <w:bCs/>
                <w:color w:val="262626"/>
                <w:sz w:val="18"/>
                <w:szCs w:val="18"/>
              </w:rPr>
              <w:t>Ending projected benefit obligation</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5A1B32DB"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32DC" w14:textId="77777777" w:rsidR="00960BB8" w:rsidRDefault="00C06650">
            <w:pPr>
              <w:jc w:val="right"/>
              <w:textAlignment w:val="bottom"/>
            </w:pPr>
            <w:r>
              <w:rPr>
                <w:rFonts w:ascii="Arial" w:eastAsia="宋体" w:hAnsi="Arial" w:cs="Arial"/>
                <w:b/>
                <w:bCs/>
                <w:color w:val="0068B5"/>
                <w:sz w:val="18"/>
                <w:szCs w:val="18"/>
              </w:rPr>
              <w:t>2,705</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32D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DE"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32DF" w14:textId="77777777" w:rsidR="00960BB8" w:rsidRDefault="00C06650">
            <w:pPr>
              <w:jc w:val="right"/>
              <w:textAlignment w:val="bottom"/>
            </w:pPr>
            <w:r>
              <w:rPr>
                <w:rFonts w:ascii="Arial" w:eastAsia="宋体" w:hAnsi="Arial" w:cs="Arial"/>
                <w:b/>
                <w:bCs/>
                <w:color w:val="262626"/>
                <w:sz w:val="18"/>
                <w:szCs w:val="18"/>
              </w:rPr>
              <w:t>4,456</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32E0" w14:textId="77777777" w:rsidR="00960BB8" w:rsidRDefault="00960BB8">
            <w:pPr>
              <w:jc w:val="right"/>
              <w:rPr>
                <w:rFonts w:ascii="宋体"/>
              </w:rPr>
            </w:pPr>
          </w:p>
        </w:tc>
      </w:tr>
      <w:tr w:rsidR="00960BB8" w14:paraId="5A1B32E7" w14:textId="77777777">
        <w:trPr>
          <w:hidden/>
        </w:trPr>
        <w:tc>
          <w:tcPr>
            <w:tcW w:w="0" w:type="auto"/>
            <w:gridSpan w:val="3"/>
            <w:shd w:val="clear" w:color="auto" w:fill="auto"/>
            <w:vAlign w:val="bottom"/>
          </w:tcPr>
          <w:p w14:paraId="5A1B32E2" w14:textId="77777777" w:rsidR="00960BB8" w:rsidRDefault="00960BB8">
            <w:pPr>
              <w:rPr>
                <w:rFonts w:ascii="宋体"/>
                <w:vanish/>
              </w:rPr>
            </w:pPr>
          </w:p>
        </w:tc>
        <w:tc>
          <w:tcPr>
            <w:tcW w:w="0" w:type="auto"/>
            <w:gridSpan w:val="3"/>
            <w:shd w:val="clear" w:color="auto" w:fill="auto"/>
            <w:vAlign w:val="bottom"/>
          </w:tcPr>
          <w:p w14:paraId="5A1B32E3" w14:textId="77777777" w:rsidR="00960BB8" w:rsidRDefault="00960BB8">
            <w:pPr>
              <w:rPr>
                <w:rFonts w:ascii="宋体"/>
                <w:vanish/>
              </w:rPr>
            </w:pPr>
          </w:p>
        </w:tc>
        <w:tc>
          <w:tcPr>
            <w:tcW w:w="0" w:type="auto"/>
            <w:gridSpan w:val="3"/>
            <w:shd w:val="clear" w:color="auto" w:fill="auto"/>
            <w:vAlign w:val="bottom"/>
          </w:tcPr>
          <w:p w14:paraId="5A1B32E4" w14:textId="77777777" w:rsidR="00960BB8" w:rsidRDefault="00960BB8">
            <w:pPr>
              <w:rPr>
                <w:rFonts w:ascii="宋体"/>
                <w:vanish/>
              </w:rPr>
            </w:pPr>
          </w:p>
        </w:tc>
        <w:tc>
          <w:tcPr>
            <w:tcW w:w="0" w:type="auto"/>
            <w:gridSpan w:val="3"/>
            <w:shd w:val="clear" w:color="auto" w:fill="auto"/>
            <w:vAlign w:val="bottom"/>
          </w:tcPr>
          <w:p w14:paraId="5A1B32E5" w14:textId="77777777" w:rsidR="00960BB8" w:rsidRDefault="00960BB8">
            <w:pPr>
              <w:rPr>
                <w:rFonts w:ascii="宋体"/>
                <w:vanish/>
              </w:rPr>
            </w:pPr>
          </w:p>
        </w:tc>
        <w:tc>
          <w:tcPr>
            <w:tcW w:w="0" w:type="auto"/>
            <w:gridSpan w:val="3"/>
            <w:shd w:val="clear" w:color="auto" w:fill="auto"/>
            <w:vAlign w:val="bottom"/>
          </w:tcPr>
          <w:p w14:paraId="5A1B32E6" w14:textId="77777777" w:rsidR="00960BB8" w:rsidRDefault="00960BB8">
            <w:pPr>
              <w:rPr>
                <w:rFonts w:ascii="宋体"/>
                <w:vanish/>
              </w:rPr>
            </w:pPr>
          </w:p>
        </w:tc>
      </w:tr>
      <w:tr w:rsidR="00960BB8" w14:paraId="5A1B32ED" w14:textId="77777777">
        <w:tc>
          <w:tcPr>
            <w:tcW w:w="0" w:type="auto"/>
            <w:gridSpan w:val="3"/>
            <w:shd w:val="clear" w:color="auto" w:fill="auto"/>
            <w:tcMar>
              <w:top w:w="40" w:type="dxa"/>
              <w:left w:w="20" w:type="dxa"/>
              <w:bottom w:w="40" w:type="dxa"/>
              <w:right w:w="20" w:type="dxa"/>
            </w:tcMar>
            <w:vAlign w:val="bottom"/>
          </w:tcPr>
          <w:p w14:paraId="5A1B32E8" w14:textId="77777777" w:rsidR="00960BB8" w:rsidRDefault="00C06650">
            <w:pPr>
              <w:textAlignment w:val="bottom"/>
            </w:pPr>
            <w:r>
              <w:rPr>
                <w:rFonts w:ascii="Arial" w:eastAsia="宋体" w:hAnsi="Arial" w:cs="Arial"/>
                <w:b/>
                <w:bCs/>
                <w:color w:val="262626"/>
                <w:sz w:val="18"/>
                <w:szCs w:val="18"/>
              </w:rPr>
              <w:t>Changes in fair value of plan assets:</w:t>
            </w:r>
          </w:p>
        </w:tc>
        <w:tc>
          <w:tcPr>
            <w:tcW w:w="0" w:type="auto"/>
            <w:gridSpan w:val="3"/>
            <w:shd w:val="clear" w:color="auto" w:fill="auto"/>
            <w:tcMar>
              <w:top w:w="0" w:type="dxa"/>
              <w:left w:w="20" w:type="dxa"/>
              <w:bottom w:w="0" w:type="dxa"/>
              <w:right w:w="20" w:type="dxa"/>
            </w:tcMar>
            <w:vAlign w:val="bottom"/>
          </w:tcPr>
          <w:p w14:paraId="5A1B32E9"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32E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2EB"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32EC" w14:textId="77777777" w:rsidR="00960BB8" w:rsidRDefault="00960BB8">
            <w:pPr>
              <w:rPr>
                <w:rFonts w:ascii="宋体"/>
              </w:rPr>
            </w:pPr>
          </w:p>
        </w:tc>
      </w:tr>
      <w:tr w:rsidR="00960BB8" w14:paraId="5A1B32F5" w14:textId="77777777">
        <w:tc>
          <w:tcPr>
            <w:tcW w:w="0" w:type="auto"/>
            <w:gridSpan w:val="3"/>
            <w:shd w:val="clear" w:color="auto" w:fill="auto"/>
            <w:tcMar>
              <w:top w:w="40" w:type="dxa"/>
              <w:left w:w="155" w:type="dxa"/>
              <w:bottom w:w="40" w:type="dxa"/>
              <w:right w:w="20" w:type="dxa"/>
            </w:tcMar>
            <w:vAlign w:val="bottom"/>
          </w:tcPr>
          <w:p w14:paraId="5A1B32EE" w14:textId="77777777" w:rsidR="00960BB8" w:rsidRDefault="00C06650">
            <w:pPr>
              <w:textAlignment w:val="bottom"/>
            </w:pPr>
            <w:r>
              <w:rPr>
                <w:rFonts w:ascii="Arial" w:eastAsia="宋体" w:hAnsi="Arial" w:cs="Arial"/>
                <w:b/>
                <w:bCs/>
                <w:color w:val="262626"/>
                <w:sz w:val="18"/>
                <w:szCs w:val="18"/>
              </w:rPr>
              <w:t>Beginning fair value of plan assets</w:t>
            </w:r>
          </w:p>
        </w:tc>
        <w:tc>
          <w:tcPr>
            <w:tcW w:w="0" w:type="auto"/>
            <w:gridSpan w:val="3"/>
            <w:shd w:val="clear" w:color="auto" w:fill="auto"/>
            <w:tcMar>
              <w:top w:w="0" w:type="dxa"/>
              <w:left w:w="20" w:type="dxa"/>
              <w:bottom w:w="0" w:type="dxa"/>
              <w:right w:w="20" w:type="dxa"/>
            </w:tcMar>
            <w:vAlign w:val="bottom"/>
          </w:tcPr>
          <w:p w14:paraId="5A1B32E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F0" w14:textId="77777777" w:rsidR="00960BB8" w:rsidRDefault="00C06650">
            <w:pPr>
              <w:jc w:val="right"/>
              <w:textAlignment w:val="bottom"/>
            </w:pPr>
            <w:r>
              <w:rPr>
                <w:rFonts w:ascii="Arial" w:eastAsia="宋体" w:hAnsi="Arial" w:cs="Arial"/>
                <w:b/>
                <w:bCs/>
                <w:color w:val="0068B5"/>
                <w:sz w:val="18"/>
                <w:szCs w:val="18"/>
              </w:rPr>
              <w:t>2,817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32F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F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F3" w14:textId="77777777" w:rsidR="00960BB8" w:rsidRDefault="00C06650">
            <w:pPr>
              <w:jc w:val="right"/>
              <w:textAlignment w:val="bottom"/>
            </w:pPr>
            <w:r>
              <w:rPr>
                <w:rFonts w:ascii="Arial" w:eastAsia="宋体" w:hAnsi="Arial" w:cs="Arial"/>
                <w:b/>
                <w:bCs/>
                <w:color w:val="262626"/>
                <w:sz w:val="18"/>
                <w:szCs w:val="18"/>
              </w:rPr>
              <w:t>2,878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2F4" w14:textId="77777777" w:rsidR="00960BB8" w:rsidRDefault="00960BB8">
            <w:pPr>
              <w:jc w:val="right"/>
              <w:rPr>
                <w:rFonts w:ascii="宋体"/>
              </w:rPr>
            </w:pPr>
          </w:p>
        </w:tc>
      </w:tr>
      <w:tr w:rsidR="00960BB8" w14:paraId="5A1B32FD" w14:textId="77777777">
        <w:tc>
          <w:tcPr>
            <w:tcW w:w="0" w:type="auto"/>
            <w:gridSpan w:val="3"/>
            <w:shd w:val="clear" w:color="auto" w:fill="auto"/>
            <w:tcMar>
              <w:top w:w="40" w:type="dxa"/>
              <w:left w:w="155" w:type="dxa"/>
              <w:bottom w:w="40" w:type="dxa"/>
              <w:right w:w="20" w:type="dxa"/>
            </w:tcMar>
            <w:vAlign w:val="bottom"/>
          </w:tcPr>
          <w:p w14:paraId="5A1B32F6" w14:textId="77777777" w:rsidR="00960BB8" w:rsidRDefault="00C06650">
            <w:pPr>
              <w:textAlignment w:val="bottom"/>
            </w:pPr>
            <w:r>
              <w:rPr>
                <w:rFonts w:ascii="Arial" w:eastAsia="宋体" w:hAnsi="Arial" w:cs="Arial"/>
                <w:color w:val="262626"/>
                <w:sz w:val="18"/>
                <w:szCs w:val="18"/>
              </w:rPr>
              <w:t>Actual return on plan assets</w:t>
            </w:r>
          </w:p>
        </w:tc>
        <w:tc>
          <w:tcPr>
            <w:tcW w:w="0" w:type="auto"/>
            <w:gridSpan w:val="3"/>
            <w:shd w:val="clear" w:color="auto" w:fill="auto"/>
            <w:tcMar>
              <w:top w:w="0" w:type="dxa"/>
              <w:left w:w="20" w:type="dxa"/>
              <w:bottom w:w="0" w:type="dxa"/>
              <w:right w:w="20" w:type="dxa"/>
            </w:tcMar>
            <w:vAlign w:val="bottom"/>
          </w:tcPr>
          <w:p w14:paraId="5A1B32F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F8" w14:textId="77777777" w:rsidR="00960BB8" w:rsidRDefault="00C06650">
            <w:pPr>
              <w:jc w:val="right"/>
              <w:textAlignment w:val="bottom"/>
            </w:pPr>
            <w:r>
              <w:rPr>
                <w:rFonts w:ascii="Arial" w:eastAsia="宋体" w:hAnsi="Arial" w:cs="Arial"/>
                <w:color w:val="0068B5"/>
                <w:sz w:val="18"/>
                <w:szCs w:val="18"/>
              </w:rPr>
              <w:t>(478)</w:t>
            </w:r>
          </w:p>
        </w:tc>
        <w:tc>
          <w:tcPr>
            <w:tcW w:w="0" w:type="auto"/>
            <w:shd w:val="clear" w:color="auto" w:fill="auto"/>
            <w:tcMar>
              <w:top w:w="40" w:type="dxa"/>
              <w:left w:w="0" w:type="dxa"/>
              <w:bottom w:w="40" w:type="dxa"/>
              <w:right w:w="20" w:type="dxa"/>
            </w:tcMar>
            <w:vAlign w:val="bottom"/>
          </w:tcPr>
          <w:p w14:paraId="5A1B32F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2F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2FB" w14:textId="77777777" w:rsidR="00960BB8" w:rsidRDefault="00C06650">
            <w:pPr>
              <w:jc w:val="right"/>
              <w:textAlignment w:val="bottom"/>
            </w:pPr>
            <w:r>
              <w:rPr>
                <w:rFonts w:ascii="Arial" w:eastAsia="宋体" w:hAnsi="Arial" w:cs="Arial"/>
                <w:color w:val="262626"/>
                <w:sz w:val="18"/>
                <w:szCs w:val="18"/>
              </w:rPr>
              <w:t>145 </w:t>
            </w:r>
          </w:p>
        </w:tc>
        <w:tc>
          <w:tcPr>
            <w:tcW w:w="0" w:type="auto"/>
            <w:shd w:val="clear" w:color="auto" w:fill="auto"/>
            <w:tcMar>
              <w:top w:w="40" w:type="dxa"/>
              <w:left w:w="0" w:type="dxa"/>
              <w:bottom w:w="40" w:type="dxa"/>
              <w:right w:w="20" w:type="dxa"/>
            </w:tcMar>
            <w:vAlign w:val="bottom"/>
          </w:tcPr>
          <w:p w14:paraId="5A1B32FC" w14:textId="77777777" w:rsidR="00960BB8" w:rsidRDefault="00960BB8">
            <w:pPr>
              <w:jc w:val="right"/>
              <w:rPr>
                <w:rFonts w:ascii="宋体"/>
              </w:rPr>
            </w:pPr>
          </w:p>
        </w:tc>
      </w:tr>
      <w:tr w:rsidR="00960BB8" w14:paraId="5A1B3305" w14:textId="77777777">
        <w:tc>
          <w:tcPr>
            <w:tcW w:w="0" w:type="auto"/>
            <w:gridSpan w:val="3"/>
            <w:shd w:val="clear" w:color="auto" w:fill="auto"/>
            <w:tcMar>
              <w:top w:w="40" w:type="dxa"/>
              <w:left w:w="155" w:type="dxa"/>
              <w:bottom w:w="40" w:type="dxa"/>
              <w:right w:w="20" w:type="dxa"/>
            </w:tcMar>
            <w:vAlign w:val="bottom"/>
          </w:tcPr>
          <w:p w14:paraId="5A1B32FE" w14:textId="77777777" w:rsidR="00960BB8" w:rsidRDefault="00C06650">
            <w:pPr>
              <w:textAlignment w:val="bottom"/>
            </w:pPr>
            <w:r>
              <w:rPr>
                <w:rFonts w:ascii="Arial" w:eastAsia="宋体" w:hAnsi="Arial" w:cs="Arial"/>
                <w:color w:val="262626"/>
                <w:sz w:val="18"/>
                <w:szCs w:val="18"/>
              </w:rPr>
              <w:t>Currency exchange rate changes</w:t>
            </w:r>
          </w:p>
        </w:tc>
        <w:tc>
          <w:tcPr>
            <w:tcW w:w="0" w:type="auto"/>
            <w:gridSpan w:val="3"/>
            <w:shd w:val="clear" w:color="auto" w:fill="auto"/>
            <w:tcMar>
              <w:top w:w="0" w:type="dxa"/>
              <w:left w:w="20" w:type="dxa"/>
              <w:bottom w:w="0" w:type="dxa"/>
              <w:right w:w="20" w:type="dxa"/>
            </w:tcMar>
            <w:vAlign w:val="bottom"/>
          </w:tcPr>
          <w:p w14:paraId="5A1B32F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300" w14:textId="77777777" w:rsidR="00960BB8" w:rsidRDefault="00C06650">
            <w:pPr>
              <w:jc w:val="right"/>
              <w:textAlignment w:val="bottom"/>
            </w:pPr>
            <w:r>
              <w:rPr>
                <w:rFonts w:ascii="Arial" w:eastAsia="宋体" w:hAnsi="Arial" w:cs="Arial"/>
                <w:color w:val="0068B5"/>
                <w:sz w:val="18"/>
                <w:szCs w:val="18"/>
              </w:rPr>
              <w:t>(102)</w:t>
            </w:r>
          </w:p>
        </w:tc>
        <w:tc>
          <w:tcPr>
            <w:tcW w:w="0" w:type="auto"/>
            <w:shd w:val="clear" w:color="auto" w:fill="auto"/>
            <w:tcMar>
              <w:top w:w="40" w:type="dxa"/>
              <w:left w:w="0" w:type="dxa"/>
              <w:bottom w:w="40" w:type="dxa"/>
              <w:right w:w="20" w:type="dxa"/>
            </w:tcMar>
            <w:vAlign w:val="bottom"/>
          </w:tcPr>
          <w:p w14:paraId="5A1B330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30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303" w14:textId="77777777" w:rsidR="00960BB8" w:rsidRDefault="00C06650">
            <w:pPr>
              <w:jc w:val="right"/>
              <w:textAlignment w:val="bottom"/>
            </w:pPr>
            <w:r>
              <w:rPr>
                <w:rFonts w:ascii="Arial" w:eastAsia="宋体" w:hAnsi="Arial" w:cs="Arial"/>
                <w:color w:val="262626"/>
                <w:sz w:val="18"/>
                <w:szCs w:val="18"/>
              </w:rPr>
              <w:t>(63)</w:t>
            </w:r>
          </w:p>
        </w:tc>
        <w:tc>
          <w:tcPr>
            <w:tcW w:w="0" w:type="auto"/>
            <w:shd w:val="clear" w:color="auto" w:fill="auto"/>
            <w:tcMar>
              <w:top w:w="40" w:type="dxa"/>
              <w:left w:w="0" w:type="dxa"/>
              <w:bottom w:w="40" w:type="dxa"/>
              <w:right w:w="20" w:type="dxa"/>
            </w:tcMar>
            <w:vAlign w:val="bottom"/>
          </w:tcPr>
          <w:p w14:paraId="5A1B3304" w14:textId="77777777" w:rsidR="00960BB8" w:rsidRDefault="00960BB8">
            <w:pPr>
              <w:jc w:val="right"/>
              <w:rPr>
                <w:rFonts w:ascii="宋体"/>
              </w:rPr>
            </w:pPr>
          </w:p>
        </w:tc>
      </w:tr>
      <w:tr w:rsidR="00960BB8" w14:paraId="5A1B330B" w14:textId="77777777">
        <w:trPr>
          <w:hidden/>
        </w:trPr>
        <w:tc>
          <w:tcPr>
            <w:tcW w:w="0" w:type="auto"/>
            <w:gridSpan w:val="3"/>
            <w:shd w:val="clear" w:color="auto" w:fill="auto"/>
            <w:vAlign w:val="bottom"/>
          </w:tcPr>
          <w:p w14:paraId="5A1B3306" w14:textId="77777777" w:rsidR="00960BB8" w:rsidRDefault="00960BB8">
            <w:pPr>
              <w:rPr>
                <w:rFonts w:ascii="宋体"/>
                <w:vanish/>
              </w:rPr>
            </w:pPr>
          </w:p>
        </w:tc>
        <w:tc>
          <w:tcPr>
            <w:tcW w:w="0" w:type="auto"/>
            <w:gridSpan w:val="3"/>
            <w:shd w:val="clear" w:color="auto" w:fill="auto"/>
            <w:vAlign w:val="bottom"/>
          </w:tcPr>
          <w:p w14:paraId="5A1B3307" w14:textId="77777777" w:rsidR="00960BB8" w:rsidRDefault="00960BB8">
            <w:pPr>
              <w:rPr>
                <w:rFonts w:ascii="宋体"/>
                <w:vanish/>
              </w:rPr>
            </w:pPr>
          </w:p>
        </w:tc>
        <w:tc>
          <w:tcPr>
            <w:tcW w:w="0" w:type="auto"/>
            <w:gridSpan w:val="3"/>
            <w:shd w:val="clear" w:color="auto" w:fill="auto"/>
            <w:vAlign w:val="bottom"/>
          </w:tcPr>
          <w:p w14:paraId="5A1B3308" w14:textId="77777777" w:rsidR="00960BB8" w:rsidRDefault="00960BB8">
            <w:pPr>
              <w:rPr>
                <w:rFonts w:ascii="宋体"/>
                <w:vanish/>
              </w:rPr>
            </w:pPr>
          </w:p>
        </w:tc>
        <w:tc>
          <w:tcPr>
            <w:tcW w:w="0" w:type="auto"/>
            <w:gridSpan w:val="3"/>
            <w:shd w:val="clear" w:color="auto" w:fill="auto"/>
            <w:vAlign w:val="bottom"/>
          </w:tcPr>
          <w:p w14:paraId="5A1B3309" w14:textId="77777777" w:rsidR="00960BB8" w:rsidRDefault="00960BB8">
            <w:pPr>
              <w:rPr>
                <w:rFonts w:ascii="宋体"/>
                <w:vanish/>
              </w:rPr>
            </w:pPr>
          </w:p>
        </w:tc>
        <w:tc>
          <w:tcPr>
            <w:tcW w:w="0" w:type="auto"/>
            <w:gridSpan w:val="3"/>
            <w:shd w:val="clear" w:color="auto" w:fill="auto"/>
            <w:vAlign w:val="bottom"/>
          </w:tcPr>
          <w:p w14:paraId="5A1B330A" w14:textId="77777777" w:rsidR="00960BB8" w:rsidRDefault="00960BB8">
            <w:pPr>
              <w:rPr>
                <w:rFonts w:ascii="宋体"/>
                <w:vanish/>
              </w:rPr>
            </w:pPr>
          </w:p>
        </w:tc>
      </w:tr>
      <w:tr w:rsidR="00960BB8" w14:paraId="5A1B3313" w14:textId="77777777">
        <w:tc>
          <w:tcPr>
            <w:tcW w:w="0" w:type="auto"/>
            <w:gridSpan w:val="3"/>
            <w:shd w:val="clear" w:color="auto" w:fill="auto"/>
            <w:tcMar>
              <w:top w:w="40" w:type="dxa"/>
              <w:left w:w="155" w:type="dxa"/>
              <w:bottom w:w="40" w:type="dxa"/>
              <w:right w:w="20" w:type="dxa"/>
            </w:tcMar>
            <w:vAlign w:val="bottom"/>
          </w:tcPr>
          <w:p w14:paraId="5A1B330C" w14:textId="77777777" w:rsidR="00960BB8" w:rsidRDefault="00C06650">
            <w:pPr>
              <w:textAlignment w:val="bottom"/>
            </w:pPr>
            <w:r>
              <w:rPr>
                <w:rFonts w:ascii="Arial" w:eastAsia="宋体" w:hAnsi="Arial" w:cs="Arial"/>
                <w:color w:val="262626"/>
                <w:sz w:val="18"/>
                <w:szCs w:val="18"/>
              </w:rPr>
              <w:t>Plan settlements</w:t>
            </w:r>
          </w:p>
        </w:tc>
        <w:tc>
          <w:tcPr>
            <w:tcW w:w="0" w:type="auto"/>
            <w:gridSpan w:val="3"/>
            <w:shd w:val="clear" w:color="auto" w:fill="auto"/>
            <w:tcMar>
              <w:top w:w="0" w:type="dxa"/>
              <w:left w:w="20" w:type="dxa"/>
              <w:bottom w:w="0" w:type="dxa"/>
              <w:right w:w="20" w:type="dxa"/>
            </w:tcMar>
            <w:vAlign w:val="bottom"/>
          </w:tcPr>
          <w:p w14:paraId="5A1B330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30E" w14:textId="77777777" w:rsidR="00960BB8" w:rsidRDefault="00C06650">
            <w:pPr>
              <w:jc w:val="right"/>
              <w:textAlignment w:val="bottom"/>
            </w:pPr>
            <w:r>
              <w:rPr>
                <w:rFonts w:ascii="Arial" w:eastAsia="宋体" w:hAnsi="Arial" w:cs="Arial"/>
                <w:color w:val="0068B5"/>
                <w:sz w:val="18"/>
                <w:szCs w:val="18"/>
              </w:rPr>
              <w:t>(96)</w:t>
            </w:r>
          </w:p>
        </w:tc>
        <w:tc>
          <w:tcPr>
            <w:tcW w:w="0" w:type="auto"/>
            <w:shd w:val="clear" w:color="auto" w:fill="auto"/>
            <w:tcMar>
              <w:top w:w="40" w:type="dxa"/>
              <w:left w:w="0" w:type="dxa"/>
              <w:bottom w:w="40" w:type="dxa"/>
              <w:right w:w="20" w:type="dxa"/>
            </w:tcMar>
            <w:vAlign w:val="bottom"/>
          </w:tcPr>
          <w:p w14:paraId="5A1B330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31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311" w14:textId="77777777" w:rsidR="00960BB8" w:rsidRDefault="00C06650">
            <w:pPr>
              <w:jc w:val="right"/>
              <w:textAlignment w:val="bottom"/>
            </w:pPr>
            <w:r>
              <w:rPr>
                <w:rFonts w:ascii="Arial" w:eastAsia="宋体" w:hAnsi="Arial" w:cs="Arial"/>
                <w:color w:val="262626"/>
                <w:sz w:val="18"/>
                <w:szCs w:val="18"/>
              </w:rPr>
              <w:t>(126)</w:t>
            </w:r>
          </w:p>
        </w:tc>
        <w:tc>
          <w:tcPr>
            <w:tcW w:w="0" w:type="auto"/>
            <w:shd w:val="clear" w:color="auto" w:fill="auto"/>
            <w:tcMar>
              <w:top w:w="40" w:type="dxa"/>
              <w:left w:w="0" w:type="dxa"/>
              <w:bottom w:w="40" w:type="dxa"/>
              <w:right w:w="20" w:type="dxa"/>
            </w:tcMar>
            <w:vAlign w:val="bottom"/>
          </w:tcPr>
          <w:p w14:paraId="5A1B3312" w14:textId="77777777" w:rsidR="00960BB8" w:rsidRDefault="00960BB8">
            <w:pPr>
              <w:jc w:val="right"/>
              <w:rPr>
                <w:rFonts w:ascii="宋体"/>
              </w:rPr>
            </w:pPr>
          </w:p>
        </w:tc>
      </w:tr>
      <w:tr w:rsidR="00960BB8" w14:paraId="5A1B331B" w14:textId="77777777">
        <w:tc>
          <w:tcPr>
            <w:tcW w:w="0" w:type="auto"/>
            <w:gridSpan w:val="3"/>
            <w:shd w:val="clear" w:color="auto" w:fill="auto"/>
            <w:tcMar>
              <w:top w:w="40" w:type="dxa"/>
              <w:left w:w="155" w:type="dxa"/>
              <w:bottom w:w="40" w:type="dxa"/>
              <w:right w:w="20" w:type="dxa"/>
            </w:tcMar>
            <w:vAlign w:val="bottom"/>
          </w:tcPr>
          <w:p w14:paraId="5A1B3314" w14:textId="77777777" w:rsidR="00960BB8" w:rsidRDefault="00C06650">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5A1B331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316" w14:textId="77777777" w:rsidR="00960BB8" w:rsidRDefault="00C06650">
            <w:pPr>
              <w:jc w:val="right"/>
              <w:textAlignment w:val="bottom"/>
            </w:pPr>
            <w:r>
              <w:rPr>
                <w:rFonts w:ascii="Arial" w:eastAsia="宋体" w:hAnsi="Arial" w:cs="Arial"/>
                <w:color w:val="0068B5"/>
                <w:sz w:val="18"/>
                <w:szCs w:val="18"/>
              </w:rPr>
              <w:t>(11)</w:t>
            </w:r>
          </w:p>
        </w:tc>
        <w:tc>
          <w:tcPr>
            <w:tcW w:w="0" w:type="auto"/>
            <w:shd w:val="clear" w:color="auto" w:fill="auto"/>
            <w:tcMar>
              <w:top w:w="40" w:type="dxa"/>
              <w:left w:w="0" w:type="dxa"/>
              <w:bottom w:w="40" w:type="dxa"/>
              <w:right w:w="20" w:type="dxa"/>
            </w:tcMar>
            <w:vAlign w:val="bottom"/>
          </w:tcPr>
          <w:p w14:paraId="5A1B331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31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319" w14:textId="77777777" w:rsidR="00960BB8" w:rsidRDefault="00C06650">
            <w:pPr>
              <w:jc w:val="right"/>
              <w:textAlignment w:val="bottom"/>
            </w:pPr>
            <w:r>
              <w:rPr>
                <w:rFonts w:ascii="Arial" w:eastAsia="宋体" w:hAnsi="Arial" w:cs="Arial"/>
                <w:color w:val="262626"/>
                <w:sz w:val="18"/>
                <w:szCs w:val="18"/>
              </w:rPr>
              <w:t>(17)</w:t>
            </w:r>
          </w:p>
        </w:tc>
        <w:tc>
          <w:tcPr>
            <w:tcW w:w="0" w:type="auto"/>
            <w:shd w:val="clear" w:color="auto" w:fill="auto"/>
            <w:tcMar>
              <w:top w:w="40" w:type="dxa"/>
              <w:left w:w="0" w:type="dxa"/>
              <w:bottom w:w="40" w:type="dxa"/>
              <w:right w:w="20" w:type="dxa"/>
            </w:tcMar>
            <w:vAlign w:val="bottom"/>
          </w:tcPr>
          <w:p w14:paraId="5A1B331A" w14:textId="77777777" w:rsidR="00960BB8" w:rsidRDefault="00960BB8">
            <w:pPr>
              <w:jc w:val="right"/>
              <w:rPr>
                <w:rFonts w:ascii="宋体"/>
              </w:rPr>
            </w:pPr>
          </w:p>
        </w:tc>
      </w:tr>
      <w:tr w:rsidR="00960BB8" w14:paraId="5A1B3323" w14:textId="77777777">
        <w:tc>
          <w:tcPr>
            <w:tcW w:w="0" w:type="auto"/>
            <w:gridSpan w:val="3"/>
            <w:shd w:val="clear" w:color="auto" w:fill="auto"/>
            <w:tcMar>
              <w:top w:w="40" w:type="dxa"/>
              <w:left w:w="20" w:type="dxa"/>
              <w:bottom w:w="40" w:type="dxa"/>
              <w:right w:w="20" w:type="dxa"/>
            </w:tcMar>
            <w:vAlign w:val="bottom"/>
          </w:tcPr>
          <w:p w14:paraId="5A1B331C" w14:textId="77777777" w:rsidR="00960BB8" w:rsidRDefault="00C06650">
            <w:pPr>
              <w:textAlignment w:val="bottom"/>
            </w:pPr>
            <w:r>
              <w:rPr>
                <w:rFonts w:ascii="Arial" w:eastAsia="宋体" w:hAnsi="Arial" w:cs="Arial"/>
                <w:b/>
                <w:bCs/>
                <w:color w:val="262626"/>
                <w:sz w:val="18"/>
                <w:szCs w:val="18"/>
              </w:rPr>
              <w:t>Ending fair value of plan assets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5A1B331D"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331E" w14:textId="77777777" w:rsidR="00960BB8" w:rsidRDefault="00C06650">
            <w:pPr>
              <w:jc w:val="right"/>
              <w:textAlignment w:val="bottom"/>
            </w:pPr>
            <w:r>
              <w:rPr>
                <w:rFonts w:ascii="Arial" w:eastAsia="宋体" w:hAnsi="Arial" w:cs="Arial"/>
                <w:b/>
                <w:bCs/>
                <w:color w:val="0068B5"/>
                <w:sz w:val="18"/>
                <w:szCs w:val="18"/>
              </w:rPr>
              <w:t>2,130</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331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320"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3321" w14:textId="77777777" w:rsidR="00960BB8" w:rsidRDefault="00C06650">
            <w:pPr>
              <w:jc w:val="right"/>
              <w:textAlignment w:val="bottom"/>
            </w:pPr>
            <w:r>
              <w:rPr>
                <w:rFonts w:ascii="Arial" w:eastAsia="宋体" w:hAnsi="Arial" w:cs="Arial"/>
                <w:b/>
                <w:bCs/>
                <w:color w:val="262626"/>
                <w:sz w:val="18"/>
                <w:szCs w:val="18"/>
              </w:rPr>
              <w:t>2,817</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3322" w14:textId="77777777" w:rsidR="00960BB8" w:rsidRDefault="00960BB8">
            <w:pPr>
              <w:jc w:val="right"/>
              <w:rPr>
                <w:rFonts w:ascii="宋体"/>
              </w:rPr>
            </w:pPr>
          </w:p>
        </w:tc>
      </w:tr>
      <w:tr w:rsidR="00960BB8" w14:paraId="5A1B3329" w14:textId="77777777">
        <w:trPr>
          <w:hidden/>
        </w:trPr>
        <w:tc>
          <w:tcPr>
            <w:tcW w:w="0" w:type="auto"/>
            <w:gridSpan w:val="3"/>
            <w:shd w:val="clear" w:color="auto" w:fill="auto"/>
            <w:vAlign w:val="bottom"/>
          </w:tcPr>
          <w:p w14:paraId="5A1B3324" w14:textId="77777777" w:rsidR="00960BB8" w:rsidRDefault="00960BB8">
            <w:pPr>
              <w:rPr>
                <w:rFonts w:ascii="宋体"/>
                <w:vanish/>
              </w:rPr>
            </w:pPr>
          </w:p>
        </w:tc>
        <w:tc>
          <w:tcPr>
            <w:tcW w:w="0" w:type="auto"/>
            <w:gridSpan w:val="3"/>
            <w:shd w:val="clear" w:color="auto" w:fill="auto"/>
            <w:vAlign w:val="bottom"/>
          </w:tcPr>
          <w:p w14:paraId="5A1B3325" w14:textId="77777777" w:rsidR="00960BB8" w:rsidRDefault="00960BB8">
            <w:pPr>
              <w:rPr>
                <w:rFonts w:ascii="宋体"/>
                <w:vanish/>
              </w:rPr>
            </w:pPr>
          </w:p>
        </w:tc>
        <w:tc>
          <w:tcPr>
            <w:tcW w:w="0" w:type="auto"/>
            <w:gridSpan w:val="3"/>
            <w:shd w:val="clear" w:color="auto" w:fill="auto"/>
            <w:vAlign w:val="bottom"/>
          </w:tcPr>
          <w:p w14:paraId="5A1B3326" w14:textId="77777777" w:rsidR="00960BB8" w:rsidRDefault="00960BB8">
            <w:pPr>
              <w:rPr>
                <w:rFonts w:ascii="宋体"/>
                <w:vanish/>
              </w:rPr>
            </w:pPr>
          </w:p>
        </w:tc>
        <w:tc>
          <w:tcPr>
            <w:tcW w:w="0" w:type="auto"/>
            <w:gridSpan w:val="3"/>
            <w:shd w:val="clear" w:color="auto" w:fill="auto"/>
            <w:vAlign w:val="bottom"/>
          </w:tcPr>
          <w:p w14:paraId="5A1B3327" w14:textId="77777777" w:rsidR="00960BB8" w:rsidRDefault="00960BB8">
            <w:pPr>
              <w:rPr>
                <w:rFonts w:ascii="宋体"/>
                <w:vanish/>
              </w:rPr>
            </w:pPr>
          </w:p>
        </w:tc>
        <w:tc>
          <w:tcPr>
            <w:tcW w:w="0" w:type="auto"/>
            <w:gridSpan w:val="3"/>
            <w:shd w:val="clear" w:color="auto" w:fill="auto"/>
            <w:vAlign w:val="bottom"/>
          </w:tcPr>
          <w:p w14:paraId="5A1B3328" w14:textId="77777777" w:rsidR="00960BB8" w:rsidRDefault="00960BB8">
            <w:pPr>
              <w:rPr>
                <w:rFonts w:ascii="宋体"/>
                <w:vanish/>
              </w:rPr>
            </w:pPr>
          </w:p>
        </w:tc>
      </w:tr>
      <w:tr w:rsidR="00960BB8" w14:paraId="5A1B3333" w14:textId="77777777">
        <w:tc>
          <w:tcPr>
            <w:tcW w:w="0" w:type="auto"/>
            <w:gridSpan w:val="3"/>
            <w:shd w:val="clear" w:color="auto" w:fill="auto"/>
            <w:tcMar>
              <w:top w:w="40" w:type="dxa"/>
              <w:left w:w="20" w:type="dxa"/>
              <w:bottom w:w="40" w:type="dxa"/>
              <w:right w:w="20" w:type="dxa"/>
            </w:tcMar>
            <w:vAlign w:val="bottom"/>
          </w:tcPr>
          <w:p w14:paraId="5A1B332A" w14:textId="77777777" w:rsidR="00960BB8" w:rsidRDefault="00C06650">
            <w:pPr>
              <w:textAlignment w:val="bottom"/>
            </w:pPr>
            <w:r>
              <w:rPr>
                <w:rFonts w:ascii="Arial" w:eastAsia="宋体" w:hAnsi="Arial" w:cs="Arial"/>
                <w:b/>
                <w:bCs/>
                <w:color w:val="262626"/>
                <w:sz w:val="18"/>
                <w:szCs w:val="18"/>
              </w:rPr>
              <w:t>Net unfunded status</w:t>
            </w:r>
          </w:p>
        </w:tc>
        <w:tc>
          <w:tcPr>
            <w:tcW w:w="0" w:type="auto"/>
            <w:gridSpan w:val="3"/>
            <w:shd w:val="clear" w:color="auto" w:fill="auto"/>
            <w:tcMar>
              <w:top w:w="0" w:type="dxa"/>
              <w:left w:w="20" w:type="dxa"/>
              <w:bottom w:w="0" w:type="dxa"/>
              <w:right w:w="20" w:type="dxa"/>
            </w:tcMar>
            <w:vAlign w:val="bottom"/>
          </w:tcPr>
          <w:p w14:paraId="5A1B332B"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332C"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332D" w14:textId="77777777" w:rsidR="00960BB8" w:rsidRDefault="00C06650">
            <w:pPr>
              <w:jc w:val="right"/>
              <w:textAlignment w:val="bottom"/>
            </w:pPr>
            <w:r>
              <w:rPr>
                <w:rFonts w:ascii="Arial" w:eastAsia="宋体" w:hAnsi="Arial" w:cs="Arial"/>
                <w:b/>
                <w:bCs/>
                <w:color w:val="0068B5"/>
                <w:sz w:val="18"/>
                <w:szCs w:val="18"/>
              </w:rPr>
              <w:t>575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32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32F"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3330"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3331" w14:textId="77777777" w:rsidR="00960BB8" w:rsidRDefault="00C06650">
            <w:pPr>
              <w:jc w:val="right"/>
              <w:textAlignment w:val="bottom"/>
            </w:pPr>
            <w:r>
              <w:rPr>
                <w:rFonts w:ascii="Arial" w:eastAsia="宋体" w:hAnsi="Arial" w:cs="Arial"/>
                <w:b/>
                <w:bCs/>
                <w:color w:val="262626"/>
                <w:sz w:val="18"/>
                <w:szCs w:val="18"/>
              </w:rPr>
              <w:t>1,639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332" w14:textId="77777777" w:rsidR="00960BB8" w:rsidRDefault="00960BB8">
            <w:pPr>
              <w:jc w:val="right"/>
              <w:rPr>
                <w:rFonts w:ascii="宋体"/>
              </w:rPr>
            </w:pPr>
          </w:p>
        </w:tc>
      </w:tr>
      <w:tr w:rsidR="00960BB8" w14:paraId="5A1B3339" w14:textId="77777777">
        <w:trPr>
          <w:hidden/>
        </w:trPr>
        <w:tc>
          <w:tcPr>
            <w:tcW w:w="0" w:type="auto"/>
            <w:gridSpan w:val="3"/>
            <w:shd w:val="clear" w:color="auto" w:fill="auto"/>
            <w:vAlign w:val="bottom"/>
          </w:tcPr>
          <w:p w14:paraId="5A1B3334" w14:textId="77777777" w:rsidR="00960BB8" w:rsidRDefault="00960BB8">
            <w:pPr>
              <w:rPr>
                <w:rFonts w:ascii="宋体"/>
                <w:vanish/>
              </w:rPr>
            </w:pPr>
          </w:p>
        </w:tc>
        <w:tc>
          <w:tcPr>
            <w:tcW w:w="0" w:type="auto"/>
            <w:gridSpan w:val="3"/>
            <w:shd w:val="clear" w:color="auto" w:fill="auto"/>
            <w:vAlign w:val="bottom"/>
          </w:tcPr>
          <w:p w14:paraId="5A1B3335" w14:textId="77777777" w:rsidR="00960BB8" w:rsidRDefault="00960BB8">
            <w:pPr>
              <w:rPr>
                <w:rFonts w:ascii="宋体"/>
                <w:vanish/>
              </w:rPr>
            </w:pPr>
          </w:p>
        </w:tc>
        <w:tc>
          <w:tcPr>
            <w:tcW w:w="0" w:type="auto"/>
            <w:gridSpan w:val="3"/>
            <w:shd w:val="clear" w:color="auto" w:fill="auto"/>
            <w:vAlign w:val="bottom"/>
          </w:tcPr>
          <w:p w14:paraId="5A1B3336" w14:textId="77777777" w:rsidR="00960BB8" w:rsidRDefault="00960BB8">
            <w:pPr>
              <w:rPr>
                <w:rFonts w:ascii="宋体"/>
                <w:vanish/>
              </w:rPr>
            </w:pPr>
          </w:p>
        </w:tc>
        <w:tc>
          <w:tcPr>
            <w:tcW w:w="0" w:type="auto"/>
            <w:gridSpan w:val="3"/>
            <w:shd w:val="clear" w:color="auto" w:fill="auto"/>
            <w:vAlign w:val="bottom"/>
          </w:tcPr>
          <w:p w14:paraId="5A1B3337" w14:textId="77777777" w:rsidR="00960BB8" w:rsidRDefault="00960BB8">
            <w:pPr>
              <w:rPr>
                <w:rFonts w:ascii="宋体"/>
                <w:vanish/>
              </w:rPr>
            </w:pPr>
          </w:p>
        </w:tc>
        <w:tc>
          <w:tcPr>
            <w:tcW w:w="0" w:type="auto"/>
            <w:gridSpan w:val="3"/>
            <w:shd w:val="clear" w:color="auto" w:fill="auto"/>
            <w:vAlign w:val="bottom"/>
          </w:tcPr>
          <w:p w14:paraId="5A1B3338" w14:textId="77777777" w:rsidR="00960BB8" w:rsidRDefault="00960BB8">
            <w:pPr>
              <w:rPr>
                <w:rFonts w:ascii="宋体"/>
                <w:vanish/>
              </w:rPr>
            </w:pPr>
          </w:p>
        </w:tc>
      </w:tr>
      <w:tr w:rsidR="00960BB8" w14:paraId="5A1B333F" w14:textId="77777777">
        <w:tc>
          <w:tcPr>
            <w:tcW w:w="0" w:type="auto"/>
            <w:gridSpan w:val="3"/>
            <w:shd w:val="clear" w:color="auto" w:fill="auto"/>
            <w:tcMar>
              <w:top w:w="40" w:type="dxa"/>
              <w:left w:w="20" w:type="dxa"/>
              <w:bottom w:w="40" w:type="dxa"/>
              <w:right w:w="20" w:type="dxa"/>
            </w:tcMar>
            <w:vAlign w:val="bottom"/>
          </w:tcPr>
          <w:p w14:paraId="5A1B333A" w14:textId="77777777" w:rsidR="00960BB8" w:rsidRDefault="00C06650">
            <w:pPr>
              <w:textAlignment w:val="bottom"/>
            </w:pPr>
            <w:r>
              <w:rPr>
                <w:rFonts w:ascii="Arial" w:eastAsia="宋体" w:hAnsi="Arial" w:cs="Arial"/>
                <w:b/>
                <w:bCs/>
                <w:color w:val="262626"/>
                <w:sz w:val="18"/>
                <w:szCs w:val="18"/>
              </w:rPr>
              <w:t>Amounts recognized in the Consolidated Balance Sheets</w:t>
            </w:r>
          </w:p>
        </w:tc>
        <w:tc>
          <w:tcPr>
            <w:tcW w:w="0" w:type="auto"/>
            <w:gridSpan w:val="3"/>
            <w:shd w:val="clear" w:color="auto" w:fill="auto"/>
            <w:tcMar>
              <w:top w:w="0" w:type="dxa"/>
              <w:left w:w="20" w:type="dxa"/>
              <w:bottom w:w="0" w:type="dxa"/>
              <w:right w:w="20" w:type="dxa"/>
            </w:tcMar>
            <w:vAlign w:val="bottom"/>
          </w:tcPr>
          <w:p w14:paraId="5A1B333B"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333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33D" w14:textId="77777777" w:rsidR="00960BB8" w:rsidRDefault="00960BB8">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5A1B333E" w14:textId="77777777" w:rsidR="00960BB8" w:rsidRDefault="00960BB8">
            <w:pPr>
              <w:rPr>
                <w:rFonts w:ascii="宋体"/>
              </w:rPr>
            </w:pPr>
          </w:p>
        </w:tc>
      </w:tr>
      <w:tr w:rsidR="00960BB8" w14:paraId="5A1B3349" w14:textId="77777777">
        <w:tc>
          <w:tcPr>
            <w:tcW w:w="0" w:type="auto"/>
            <w:gridSpan w:val="3"/>
            <w:shd w:val="clear" w:color="auto" w:fill="auto"/>
            <w:tcMar>
              <w:top w:w="40" w:type="dxa"/>
              <w:left w:w="20" w:type="dxa"/>
              <w:bottom w:w="40" w:type="dxa"/>
              <w:right w:w="20" w:type="dxa"/>
            </w:tcMar>
            <w:vAlign w:val="bottom"/>
          </w:tcPr>
          <w:p w14:paraId="5A1B3340" w14:textId="77777777" w:rsidR="00960BB8" w:rsidRDefault="00C06650">
            <w:pPr>
              <w:textAlignment w:val="bottom"/>
            </w:pPr>
            <w:r>
              <w:rPr>
                <w:rFonts w:ascii="Arial" w:eastAsia="宋体" w:hAnsi="Arial" w:cs="Arial"/>
                <w:color w:val="262626"/>
                <w:sz w:val="18"/>
                <w:szCs w:val="18"/>
              </w:rPr>
              <w:t xml:space="preserve">Other </w:t>
            </w:r>
            <w:r>
              <w:rPr>
                <w:rFonts w:ascii="Arial" w:eastAsia="宋体" w:hAnsi="Arial" w:cs="Arial"/>
                <w:color w:val="262626"/>
                <w:sz w:val="18"/>
                <w:szCs w:val="18"/>
              </w:rPr>
              <w:t>long-term assets</w:t>
            </w:r>
          </w:p>
        </w:tc>
        <w:tc>
          <w:tcPr>
            <w:tcW w:w="0" w:type="auto"/>
            <w:gridSpan w:val="3"/>
            <w:shd w:val="clear" w:color="auto" w:fill="auto"/>
            <w:tcMar>
              <w:top w:w="0" w:type="dxa"/>
              <w:left w:w="20" w:type="dxa"/>
              <w:bottom w:w="0" w:type="dxa"/>
              <w:right w:w="20" w:type="dxa"/>
            </w:tcMar>
            <w:vAlign w:val="bottom"/>
          </w:tcPr>
          <w:p w14:paraId="5A1B3341"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342"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343" w14:textId="77777777" w:rsidR="00960BB8" w:rsidRDefault="00C06650">
            <w:pPr>
              <w:jc w:val="right"/>
              <w:textAlignment w:val="bottom"/>
            </w:pPr>
            <w:r>
              <w:rPr>
                <w:rFonts w:ascii="Arial" w:eastAsia="宋体" w:hAnsi="Arial" w:cs="Arial"/>
                <w:color w:val="0068B5"/>
                <w:sz w:val="18"/>
                <w:szCs w:val="18"/>
              </w:rPr>
              <w:t>74 </w:t>
            </w:r>
          </w:p>
        </w:tc>
        <w:tc>
          <w:tcPr>
            <w:tcW w:w="0" w:type="auto"/>
            <w:shd w:val="clear" w:color="auto" w:fill="auto"/>
            <w:tcMar>
              <w:top w:w="40" w:type="dxa"/>
              <w:left w:w="0" w:type="dxa"/>
              <w:bottom w:w="40" w:type="dxa"/>
              <w:right w:w="20" w:type="dxa"/>
            </w:tcMar>
            <w:vAlign w:val="bottom"/>
          </w:tcPr>
          <w:p w14:paraId="5A1B334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345"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346"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347"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348" w14:textId="77777777" w:rsidR="00960BB8" w:rsidRDefault="00960BB8">
            <w:pPr>
              <w:jc w:val="right"/>
              <w:rPr>
                <w:rFonts w:ascii="宋体"/>
              </w:rPr>
            </w:pPr>
          </w:p>
        </w:tc>
      </w:tr>
      <w:tr w:rsidR="00960BB8" w14:paraId="5A1B3353" w14:textId="77777777">
        <w:tc>
          <w:tcPr>
            <w:tcW w:w="0" w:type="auto"/>
            <w:gridSpan w:val="3"/>
            <w:shd w:val="clear" w:color="auto" w:fill="auto"/>
            <w:tcMar>
              <w:top w:w="40" w:type="dxa"/>
              <w:left w:w="20" w:type="dxa"/>
              <w:bottom w:w="40" w:type="dxa"/>
              <w:right w:w="20" w:type="dxa"/>
            </w:tcMar>
            <w:vAlign w:val="bottom"/>
          </w:tcPr>
          <w:p w14:paraId="5A1B334A" w14:textId="77777777" w:rsidR="00960BB8" w:rsidRDefault="00C06650">
            <w:pPr>
              <w:textAlignment w:val="bottom"/>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5A1B334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34C"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34D" w14:textId="77777777" w:rsidR="00960BB8" w:rsidRDefault="00C06650">
            <w:pPr>
              <w:jc w:val="right"/>
              <w:textAlignment w:val="bottom"/>
            </w:pPr>
            <w:r>
              <w:rPr>
                <w:rFonts w:ascii="Arial" w:eastAsia="宋体" w:hAnsi="Arial" w:cs="Arial"/>
                <w:color w:val="0068B5"/>
                <w:sz w:val="18"/>
                <w:szCs w:val="18"/>
              </w:rPr>
              <w:t>649 </w:t>
            </w:r>
          </w:p>
        </w:tc>
        <w:tc>
          <w:tcPr>
            <w:tcW w:w="0" w:type="auto"/>
            <w:shd w:val="clear" w:color="auto" w:fill="auto"/>
            <w:tcMar>
              <w:top w:w="40" w:type="dxa"/>
              <w:left w:w="0" w:type="dxa"/>
              <w:bottom w:w="40" w:type="dxa"/>
              <w:right w:w="20" w:type="dxa"/>
            </w:tcMar>
            <w:vAlign w:val="bottom"/>
          </w:tcPr>
          <w:p w14:paraId="5A1B334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34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350"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351" w14:textId="77777777" w:rsidR="00960BB8" w:rsidRDefault="00C06650">
            <w:pPr>
              <w:jc w:val="right"/>
              <w:textAlignment w:val="bottom"/>
            </w:pPr>
            <w:r>
              <w:rPr>
                <w:rFonts w:ascii="Arial" w:eastAsia="宋体" w:hAnsi="Arial" w:cs="Arial"/>
                <w:color w:val="262626"/>
                <w:sz w:val="18"/>
                <w:szCs w:val="18"/>
              </w:rPr>
              <w:t>1,639 </w:t>
            </w:r>
          </w:p>
        </w:tc>
        <w:tc>
          <w:tcPr>
            <w:tcW w:w="0" w:type="auto"/>
            <w:shd w:val="clear" w:color="auto" w:fill="auto"/>
            <w:tcMar>
              <w:top w:w="40" w:type="dxa"/>
              <w:left w:w="0" w:type="dxa"/>
              <w:bottom w:w="40" w:type="dxa"/>
              <w:right w:w="20" w:type="dxa"/>
            </w:tcMar>
            <w:vAlign w:val="bottom"/>
          </w:tcPr>
          <w:p w14:paraId="5A1B3352" w14:textId="77777777" w:rsidR="00960BB8" w:rsidRDefault="00960BB8">
            <w:pPr>
              <w:jc w:val="right"/>
              <w:rPr>
                <w:rFonts w:ascii="宋体"/>
              </w:rPr>
            </w:pPr>
          </w:p>
        </w:tc>
      </w:tr>
      <w:tr w:rsidR="00960BB8" w14:paraId="5A1B335D" w14:textId="77777777">
        <w:tc>
          <w:tcPr>
            <w:tcW w:w="0" w:type="auto"/>
            <w:gridSpan w:val="3"/>
            <w:shd w:val="clear" w:color="auto" w:fill="auto"/>
            <w:tcMar>
              <w:top w:w="40" w:type="dxa"/>
              <w:left w:w="20" w:type="dxa"/>
              <w:bottom w:w="40" w:type="dxa"/>
              <w:right w:w="20" w:type="dxa"/>
            </w:tcMar>
            <w:vAlign w:val="bottom"/>
          </w:tcPr>
          <w:p w14:paraId="5A1B3354" w14:textId="77777777" w:rsidR="00960BB8" w:rsidRDefault="00C06650">
            <w:pPr>
              <w:textAlignment w:val="bottom"/>
            </w:pPr>
            <w:r>
              <w:rPr>
                <w:rFonts w:ascii="Arial" w:eastAsia="宋体" w:hAnsi="Arial" w:cs="Arial"/>
                <w:color w:val="262626"/>
                <w:sz w:val="18"/>
                <w:szCs w:val="18"/>
              </w:rPr>
              <w:t>Accumulated other comprehensive loss (income), before tax</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5A1B3355"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356"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357" w14:textId="77777777" w:rsidR="00960BB8" w:rsidRDefault="00C06650">
            <w:pPr>
              <w:jc w:val="right"/>
              <w:textAlignment w:val="bottom"/>
            </w:pPr>
            <w:r>
              <w:rPr>
                <w:rFonts w:ascii="Arial" w:eastAsia="宋体" w:hAnsi="Arial" w:cs="Arial"/>
                <w:color w:val="0068B5"/>
                <w:sz w:val="18"/>
                <w:szCs w:val="18"/>
              </w:rPr>
              <w:t>406 </w:t>
            </w:r>
          </w:p>
        </w:tc>
        <w:tc>
          <w:tcPr>
            <w:tcW w:w="0" w:type="auto"/>
            <w:shd w:val="clear" w:color="auto" w:fill="auto"/>
            <w:tcMar>
              <w:top w:w="40" w:type="dxa"/>
              <w:left w:w="0" w:type="dxa"/>
              <w:bottom w:w="40" w:type="dxa"/>
              <w:right w:w="20" w:type="dxa"/>
            </w:tcMar>
            <w:vAlign w:val="bottom"/>
          </w:tcPr>
          <w:p w14:paraId="5A1B335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359"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35A"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35B" w14:textId="77777777" w:rsidR="00960BB8" w:rsidRDefault="00C06650">
            <w:pPr>
              <w:jc w:val="right"/>
              <w:textAlignment w:val="bottom"/>
            </w:pPr>
            <w:r>
              <w:rPr>
                <w:rFonts w:ascii="Arial" w:eastAsia="宋体" w:hAnsi="Arial" w:cs="Arial"/>
                <w:color w:val="262626"/>
                <w:sz w:val="18"/>
                <w:szCs w:val="18"/>
              </w:rPr>
              <w:t>1,445 </w:t>
            </w:r>
          </w:p>
        </w:tc>
        <w:tc>
          <w:tcPr>
            <w:tcW w:w="0" w:type="auto"/>
            <w:shd w:val="clear" w:color="auto" w:fill="auto"/>
            <w:tcMar>
              <w:top w:w="40" w:type="dxa"/>
              <w:left w:w="0" w:type="dxa"/>
              <w:bottom w:w="40" w:type="dxa"/>
              <w:right w:w="20" w:type="dxa"/>
            </w:tcMar>
            <w:vAlign w:val="bottom"/>
          </w:tcPr>
          <w:p w14:paraId="5A1B335C" w14:textId="77777777" w:rsidR="00960BB8" w:rsidRDefault="00960BB8">
            <w:pPr>
              <w:jc w:val="right"/>
              <w:rPr>
                <w:rFonts w:ascii="宋体"/>
              </w:rPr>
            </w:pPr>
          </w:p>
        </w:tc>
      </w:tr>
      <w:tr w:rsidR="00960BB8" w14:paraId="5A1B3363" w14:textId="77777777">
        <w:trPr>
          <w:hidden/>
        </w:trPr>
        <w:tc>
          <w:tcPr>
            <w:tcW w:w="0" w:type="auto"/>
            <w:gridSpan w:val="3"/>
            <w:shd w:val="clear" w:color="auto" w:fill="auto"/>
            <w:vAlign w:val="bottom"/>
          </w:tcPr>
          <w:p w14:paraId="5A1B335E" w14:textId="77777777" w:rsidR="00960BB8" w:rsidRDefault="00960BB8">
            <w:pPr>
              <w:rPr>
                <w:rFonts w:ascii="宋体"/>
                <w:vanish/>
              </w:rPr>
            </w:pPr>
          </w:p>
        </w:tc>
        <w:tc>
          <w:tcPr>
            <w:tcW w:w="0" w:type="auto"/>
            <w:gridSpan w:val="3"/>
            <w:shd w:val="clear" w:color="auto" w:fill="auto"/>
            <w:vAlign w:val="bottom"/>
          </w:tcPr>
          <w:p w14:paraId="5A1B335F" w14:textId="77777777" w:rsidR="00960BB8" w:rsidRDefault="00960BB8">
            <w:pPr>
              <w:rPr>
                <w:rFonts w:ascii="宋体"/>
                <w:vanish/>
              </w:rPr>
            </w:pPr>
          </w:p>
        </w:tc>
        <w:tc>
          <w:tcPr>
            <w:tcW w:w="0" w:type="auto"/>
            <w:gridSpan w:val="3"/>
            <w:shd w:val="clear" w:color="auto" w:fill="auto"/>
            <w:vAlign w:val="bottom"/>
          </w:tcPr>
          <w:p w14:paraId="5A1B3360" w14:textId="77777777" w:rsidR="00960BB8" w:rsidRDefault="00960BB8">
            <w:pPr>
              <w:rPr>
                <w:rFonts w:ascii="宋体"/>
                <w:vanish/>
              </w:rPr>
            </w:pPr>
          </w:p>
        </w:tc>
        <w:tc>
          <w:tcPr>
            <w:tcW w:w="0" w:type="auto"/>
            <w:gridSpan w:val="3"/>
            <w:shd w:val="clear" w:color="auto" w:fill="auto"/>
            <w:vAlign w:val="bottom"/>
          </w:tcPr>
          <w:p w14:paraId="5A1B3361" w14:textId="77777777" w:rsidR="00960BB8" w:rsidRDefault="00960BB8">
            <w:pPr>
              <w:rPr>
                <w:rFonts w:ascii="宋体"/>
                <w:vanish/>
              </w:rPr>
            </w:pPr>
          </w:p>
        </w:tc>
        <w:tc>
          <w:tcPr>
            <w:tcW w:w="0" w:type="auto"/>
            <w:gridSpan w:val="3"/>
            <w:shd w:val="clear" w:color="auto" w:fill="auto"/>
            <w:vAlign w:val="bottom"/>
          </w:tcPr>
          <w:p w14:paraId="5A1B3362" w14:textId="77777777" w:rsidR="00960BB8" w:rsidRDefault="00960BB8">
            <w:pPr>
              <w:rPr>
                <w:rFonts w:ascii="宋体"/>
                <w:vanish/>
              </w:rPr>
            </w:pPr>
          </w:p>
        </w:tc>
      </w:tr>
      <w:tr w:rsidR="00960BB8" w14:paraId="5A1B336D" w14:textId="77777777">
        <w:tc>
          <w:tcPr>
            <w:tcW w:w="0" w:type="auto"/>
            <w:gridSpan w:val="3"/>
            <w:shd w:val="clear" w:color="auto" w:fill="auto"/>
            <w:tcMar>
              <w:top w:w="40" w:type="dxa"/>
              <w:left w:w="20" w:type="dxa"/>
              <w:bottom w:w="40" w:type="dxa"/>
              <w:right w:w="20" w:type="dxa"/>
            </w:tcMar>
            <w:vAlign w:val="bottom"/>
          </w:tcPr>
          <w:p w14:paraId="5A1B3364" w14:textId="77777777" w:rsidR="00960BB8" w:rsidRDefault="00C06650">
            <w:pPr>
              <w:textAlignment w:val="bottom"/>
            </w:pPr>
            <w:r>
              <w:rPr>
                <w:rFonts w:ascii="Arial" w:eastAsia="宋体" w:hAnsi="Arial" w:cs="Arial"/>
                <w:b/>
                <w:bCs/>
                <w:color w:val="262626"/>
                <w:sz w:val="18"/>
                <w:szCs w:val="18"/>
              </w:rPr>
              <w:t>Accumulated benefit obligation</w:t>
            </w:r>
          </w:p>
        </w:tc>
        <w:tc>
          <w:tcPr>
            <w:tcW w:w="0" w:type="auto"/>
            <w:gridSpan w:val="3"/>
            <w:shd w:val="clear" w:color="auto" w:fill="auto"/>
            <w:tcMar>
              <w:top w:w="0" w:type="dxa"/>
              <w:left w:w="20" w:type="dxa"/>
              <w:bottom w:w="0" w:type="dxa"/>
              <w:right w:w="20" w:type="dxa"/>
            </w:tcMar>
            <w:vAlign w:val="bottom"/>
          </w:tcPr>
          <w:p w14:paraId="5A1B3365" w14:textId="77777777" w:rsidR="00960BB8" w:rsidRDefault="00960BB8">
            <w:pPr>
              <w:rPr>
                <w:rFonts w:ascii="宋体"/>
              </w:rPr>
            </w:pPr>
          </w:p>
        </w:tc>
        <w:tc>
          <w:tcPr>
            <w:tcW w:w="0" w:type="auto"/>
            <w:shd w:val="clear" w:color="auto" w:fill="FFFFFF"/>
            <w:tcMar>
              <w:top w:w="40" w:type="dxa"/>
              <w:left w:w="20" w:type="dxa"/>
              <w:bottom w:w="40" w:type="dxa"/>
              <w:right w:w="0" w:type="dxa"/>
            </w:tcMar>
            <w:vAlign w:val="bottom"/>
          </w:tcPr>
          <w:p w14:paraId="5A1B3366" w14:textId="77777777" w:rsidR="00960BB8" w:rsidRDefault="00C06650">
            <w:pPr>
              <w:textAlignment w:val="bottom"/>
            </w:pPr>
            <w:r>
              <w:rPr>
                <w:rFonts w:ascii="Arial" w:eastAsia="宋体" w:hAnsi="Arial" w:cs="Arial"/>
                <w:color w:val="026DCE"/>
                <w:sz w:val="18"/>
                <w:szCs w:val="18"/>
              </w:rPr>
              <w:t>$</w:t>
            </w:r>
          </w:p>
        </w:tc>
        <w:tc>
          <w:tcPr>
            <w:tcW w:w="0" w:type="auto"/>
            <w:shd w:val="clear" w:color="auto" w:fill="FFFFFF"/>
            <w:tcMar>
              <w:top w:w="40" w:type="dxa"/>
              <w:left w:w="0" w:type="dxa"/>
              <w:bottom w:w="40" w:type="dxa"/>
              <w:right w:w="0" w:type="dxa"/>
            </w:tcMar>
            <w:vAlign w:val="bottom"/>
          </w:tcPr>
          <w:p w14:paraId="5A1B3367" w14:textId="77777777" w:rsidR="00960BB8" w:rsidRDefault="00C06650">
            <w:pPr>
              <w:jc w:val="right"/>
              <w:textAlignment w:val="bottom"/>
            </w:pPr>
            <w:r>
              <w:rPr>
                <w:rFonts w:ascii="Arial" w:eastAsia="宋体" w:hAnsi="Arial" w:cs="Arial"/>
                <w:color w:val="026DCE"/>
                <w:sz w:val="18"/>
                <w:szCs w:val="18"/>
              </w:rPr>
              <w:t>2,507 </w:t>
            </w:r>
          </w:p>
        </w:tc>
        <w:tc>
          <w:tcPr>
            <w:tcW w:w="0" w:type="auto"/>
            <w:shd w:val="clear" w:color="auto" w:fill="FFFFFF"/>
            <w:tcMar>
              <w:top w:w="40" w:type="dxa"/>
              <w:left w:w="0" w:type="dxa"/>
              <w:bottom w:w="40" w:type="dxa"/>
              <w:right w:w="20" w:type="dxa"/>
            </w:tcMar>
            <w:vAlign w:val="bottom"/>
          </w:tcPr>
          <w:p w14:paraId="5A1B336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369"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36A"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36B" w14:textId="77777777" w:rsidR="00960BB8" w:rsidRDefault="00C06650">
            <w:pPr>
              <w:jc w:val="right"/>
              <w:textAlignment w:val="bottom"/>
            </w:pPr>
            <w:r>
              <w:rPr>
                <w:rFonts w:ascii="Arial" w:eastAsia="宋体" w:hAnsi="Arial" w:cs="Arial"/>
                <w:color w:val="262626"/>
                <w:sz w:val="18"/>
                <w:szCs w:val="18"/>
              </w:rPr>
              <w:t>4,086 </w:t>
            </w:r>
          </w:p>
        </w:tc>
        <w:tc>
          <w:tcPr>
            <w:tcW w:w="0" w:type="auto"/>
            <w:shd w:val="clear" w:color="auto" w:fill="auto"/>
            <w:tcMar>
              <w:top w:w="40" w:type="dxa"/>
              <w:left w:w="0" w:type="dxa"/>
              <w:bottom w:w="40" w:type="dxa"/>
              <w:right w:w="20" w:type="dxa"/>
            </w:tcMar>
            <w:vAlign w:val="bottom"/>
          </w:tcPr>
          <w:p w14:paraId="5A1B336C" w14:textId="77777777" w:rsidR="00960BB8" w:rsidRDefault="00960BB8">
            <w:pPr>
              <w:jc w:val="right"/>
              <w:rPr>
                <w:rFonts w:ascii="宋体"/>
              </w:rPr>
            </w:pPr>
          </w:p>
        </w:tc>
      </w:tr>
    </w:tbl>
    <w:p w14:paraId="5A1B336E" w14:textId="77777777" w:rsidR="00960BB8" w:rsidRDefault="00C06650">
      <w:pPr>
        <w:spacing w:before="20"/>
        <w:ind w:hanging="180"/>
      </w:pPr>
      <w:r>
        <w:rPr>
          <w:rFonts w:ascii="Arial" w:eastAsia="宋体" w:hAnsi="Arial" w:cs="Arial"/>
          <w:i/>
          <w:iCs/>
          <w:color w:val="262626"/>
          <w:sz w:val="10"/>
          <w:szCs w:val="10"/>
        </w:rPr>
        <w:t>1</w:t>
      </w:r>
      <w:r>
        <w:rPr>
          <w:rFonts w:ascii="Arial" w:eastAsia="宋体" w:hAnsi="Arial" w:cs="Arial"/>
          <w:color w:val="262626"/>
          <w:sz w:val="10"/>
          <w:szCs w:val="10"/>
        </w:rPr>
        <w:t>    </w:t>
      </w:r>
      <w:r>
        <w:rPr>
          <w:rFonts w:ascii="Arial" w:eastAsia="宋体" w:hAnsi="Arial" w:cs="Arial"/>
          <w:i/>
          <w:iCs/>
          <w:color w:val="262626"/>
          <w:sz w:val="16"/>
          <w:szCs w:val="16"/>
        </w:rPr>
        <w:t xml:space="preserve">The projected benefit </w:t>
      </w:r>
      <w:r>
        <w:rPr>
          <w:rFonts w:ascii="Arial" w:eastAsia="宋体" w:hAnsi="Arial" w:cs="Arial"/>
          <w:i/>
          <w:iCs/>
          <w:color w:val="262626"/>
          <w:sz w:val="16"/>
          <w:szCs w:val="16"/>
        </w:rPr>
        <w:t>obligation was approximately 30% in the US and 70% outside of the US as of December 31, 2022 and December 25, 2021.</w:t>
      </w:r>
    </w:p>
    <w:p w14:paraId="5A1B336F" w14:textId="77777777" w:rsidR="00960BB8" w:rsidRDefault="00C06650">
      <w:pPr>
        <w:spacing w:before="20"/>
        <w:ind w:hanging="180"/>
      </w:pPr>
      <w:r>
        <w:rPr>
          <w:rFonts w:ascii="Arial" w:eastAsia="宋体" w:hAnsi="Arial" w:cs="Arial"/>
          <w:i/>
          <w:iCs/>
          <w:color w:val="262626"/>
          <w:sz w:val="10"/>
          <w:szCs w:val="10"/>
        </w:rPr>
        <w:t>2</w:t>
      </w:r>
      <w:r>
        <w:rPr>
          <w:rFonts w:ascii="Arial" w:eastAsia="宋体" w:hAnsi="Arial" w:cs="Arial"/>
          <w:color w:val="262626"/>
          <w:sz w:val="10"/>
          <w:szCs w:val="10"/>
        </w:rPr>
        <w:t>    </w:t>
      </w:r>
      <w:r>
        <w:rPr>
          <w:rFonts w:ascii="Arial" w:eastAsia="宋体" w:hAnsi="Arial" w:cs="Arial"/>
          <w:i/>
          <w:iCs/>
          <w:color w:val="262626"/>
          <w:sz w:val="16"/>
          <w:szCs w:val="16"/>
        </w:rPr>
        <w:t>The fair value of plan assets was approximately 40% in the US and 60% outside of the US as of December 31, 2022 and approximately 50% i</w:t>
      </w:r>
      <w:r>
        <w:rPr>
          <w:rFonts w:ascii="Arial" w:eastAsia="宋体" w:hAnsi="Arial" w:cs="Arial"/>
          <w:i/>
          <w:iCs/>
          <w:color w:val="262626"/>
          <w:sz w:val="16"/>
          <w:szCs w:val="16"/>
        </w:rPr>
        <w:t>n the US and 50% outside of the US as of December 25, 2021.</w:t>
      </w:r>
    </w:p>
    <w:p w14:paraId="5A1B3370" w14:textId="77777777" w:rsidR="00960BB8" w:rsidRDefault="00C06650">
      <w:pPr>
        <w:ind w:hanging="180"/>
      </w:pPr>
      <w:r>
        <w:rPr>
          <w:rFonts w:ascii="Arial" w:eastAsia="宋体" w:hAnsi="Arial" w:cs="Arial"/>
          <w:i/>
          <w:iCs/>
          <w:color w:val="262626"/>
          <w:sz w:val="10"/>
          <w:szCs w:val="10"/>
        </w:rPr>
        <w:t>3</w:t>
      </w:r>
      <w:r>
        <w:rPr>
          <w:rFonts w:ascii="Arial" w:eastAsia="宋体" w:hAnsi="Arial" w:cs="Arial"/>
          <w:color w:val="262626"/>
          <w:sz w:val="10"/>
          <w:szCs w:val="10"/>
        </w:rPr>
        <w:t>    </w:t>
      </w:r>
      <w:r>
        <w:rPr>
          <w:rFonts w:ascii="Arial" w:eastAsia="宋体" w:hAnsi="Arial" w:cs="Arial"/>
          <w:i/>
          <w:iCs/>
          <w:color w:val="262626"/>
          <w:sz w:val="16"/>
          <w:szCs w:val="16"/>
        </w:rPr>
        <w:t xml:space="preserve">The accumulated other comprehensive loss (income), before tax, was approximately 90% in the US and 10% outside of the US as of December 31, 2022 and approximately 30% in the US and 70% outside of the US as of December 25, 2021. </w:t>
      </w:r>
    </w:p>
    <w:p w14:paraId="5A1B3371" w14:textId="77777777" w:rsidR="00960BB8" w:rsidRDefault="00960BB8">
      <w:pPr>
        <w:spacing w:after="180"/>
        <w:ind w:hanging="180"/>
      </w:pPr>
    </w:p>
    <w:p w14:paraId="5A1B3372" w14:textId="77777777" w:rsidR="00960BB8" w:rsidRDefault="00C06650">
      <w:pPr>
        <w:spacing w:after="180"/>
      </w:pPr>
      <w:r>
        <w:rPr>
          <w:rFonts w:ascii="Arial" w:eastAsia="宋体" w:hAnsi="Arial" w:cs="Arial"/>
          <w:color w:val="262626"/>
          <w:sz w:val="18"/>
          <w:szCs w:val="18"/>
        </w:rPr>
        <w:t>Changes in actuarial gains</w:t>
      </w:r>
      <w:r>
        <w:rPr>
          <w:rFonts w:ascii="Arial" w:eastAsia="宋体" w:hAnsi="Arial" w:cs="Arial"/>
          <w:color w:val="262626"/>
          <w:sz w:val="18"/>
          <w:szCs w:val="18"/>
        </w:rPr>
        <w:t xml:space="preserve"> and losses in the projected benefit obligation are generally driven by discount rate movement. We use the corridor approach to amortize actuarial gains and losses. Under this approach, net actuarial gains or losses in excess of 10% of the larger of the pr</w:t>
      </w:r>
      <w:r>
        <w:rPr>
          <w:rFonts w:ascii="Arial" w:eastAsia="宋体" w:hAnsi="Arial" w:cs="Arial"/>
          <w:color w:val="262626"/>
          <w:sz w:val="18"/>
          <w:szCs w:val="18"/>
        </w:rPr>
        <w:t>ojected benefit obligation or the fair value of plan assets are amortized on a straight-line basis.</w:t>
      </w:r>
    </w:p>
    <w:p w14:paraId="5A1B3373" w14:textId="77777777" w:rsidR="00960BB8" w:rsidRDefault="00C06650">
      <w:pPr>
        <w:spacing w:after="180"/>
      </w:pPr>
      <w:r>
        <w:rPr>
          <w:rFonts w:ascii="Arial" w:eastAsia="宋体" w:hAnsi="Arial" w:cs="Arial"/>
          <w:color w:val="262626"/>
          <w:sz w:val="18"/>
          <w:szCs w:val="18"/>
        </w:rPr>
        <w:t>As of December 31, 2022, the accumulated benefit obligations were $0.9 billion and $1.6 billion for the US plan and non-US plans, respectively. In 2022, the</w:t>
      </w:r>
      <w:r>
        <w:rPr>
          <w:rFonts w:ascii="Arial" w:eastAsia="宋体" w:hAnsi="Arial" w:cs="Arial"/>
          <w:color w:val="262626"/>
          <w:sz w:val="18"/>
          <w:szCs w:val="18"/>
        </w:rPr>
        <w:t xml:space="preserve"> US and Ireland plans were in the net asset position and the other non-US plans had projected benefit obligations in excess of plan assets. In 2022, the US, Ireland and Israel plans had assets in excess of accumulated benefit obligations, whereas the remai</w:t>
      </w:r>
      <w:r>
        <w:rPr>
          <w:rFonts w:ascii="Arial" w:eastAsia="宋体" w:hAnsi="Arial" w:cs="Arial"/>
          <w:color w:val="262626"/>
          <w:sz w:val="18"/>
          <w:szCs w:val="18"/>
        </w:rPr>
        <w:t>ning non-US plans had accumulated benefit obligations in excess of plan assets. As of December 25, 2021, the accumulated benefit obligations were $1.4 billion and $2.6 billion for the US plan and non-US plans, respectively, and all plans had accumulated be</w:t>
      </w:r>
      <w:r>
        <w:rPr>
          <w:rFonts w:ascii="Arial" w:eastAsia="宋体" w:hAnsi="Arial" w:cs="Arial"/>
          <w:color w:val="262626"/>
          <w:sz w:val="18"/>
          <w:szCs w:val="18"/>
        </w:rPr>
        <w:t xml:space="preserve">nefit obligations and projected benefit obligations in excess of plan assets. </w:t>
      </w:r>
    </w:p>
    <w:tbl>
      <w:tblPr>
        <w:tblW w:w="4959" w:type="pct"/>
        <w:tblCellMar>
          <w:top w:w="15" w:type="dxa"/>
          <w:left w:w="15" w:type="dxa"/>
          <w:bottom w:w="15" w:type="dxa"/>
          <w:right w:w="15" w:type="dxa"/>
        </w:tblCellMar>
        <w:tblLook w:val="04A0" w:firstRow="1" w:lastRow="0" w:firstColumn="1" w:lastColumn="0" w:noHBand="0" w:noVBand="1"/>
      </w:tblPr>
      <w:tblGrid>
        <w:gridCol w:w="39"/>
        <w:gridCol w:w="6096"/>
        <w:gridCol w:w="36"/>
        <w:gridCol w:w="36"/>
        <w:gridCol w:w="36"/>
        <w:gridCol w:w="36"/>
        <w:gridCol w:w="121"/>
        <w:gridCol w:w="818"/>
        <w:gridCol w:w="36"/>
        <w:gridCol w:w="121"/>
        <w:gridCol w:w="857"/>
        <w:gridCol w:w="36"/>
      </w:tblGrid>
      <w:tr w:rsidR="00960BB8" w14:paraId="5A1B3380" w14:textId="77777777">
        <w:tc>
          <w:tcPr>
            <w:tcW w:w="50" w:type="pct"/>
            <w:shd w:val="clear" w:color="auto" w:fill="auto"/>
            <w:vAlign w:val="bottom"/>
          </w:tcPr>
          <w:p w14:paraId="5A1B3374" w14:textId="77777777" w:rsidR="00960BB8" w:rsidRDefault="00960BB8">
            <w:pPr>
              <w:rPr>
                <w:rFonts w:ascii="宋体"/>
              </w:rPr>
            </w:pPr>
          </w:p>
        </w:tc>
        <w:tc>
          <w:tcPr>
            <w:tcW w:w="3712" w:type="pct"/>
            <w:shd w:val="clear" w:color="auto" w:fill="auto"/>
            <w:vAlign w:val="bottom"/>
          </w:tcPr>
          <w:p w14:paraId="5A1B3375" w14:textId="77777777" w:rsidR="00960BB8" w:rsidRDefault="00960BB8">
            <w:pPr>
              <w:rPr>
                <w:rFonts w:ascii="宋体"/>
              </w:rPr>
            </w:pPr>
          </w:p>
        </w:tc>
        <w:tc>
          <w:tcPr>
            <w:tcW w:w="5" w:type="pct"/>
            <w:shd w:val="clear" w:color="auto" w:fill="auto"/>
            <w:vAlign w:val="bottom"/>
          </w:tcPr>
          <w:p w14:paraId="5A1B3376" w14:textId="77777777" w:rsidR="00960BB8" w:rsidRDefault="00960BB8">
            <w:pPr>
              <w:rPr>
                <w:rFonts w:ascii="宋体"/>
              </w:rPr>
            </w:pPr>
          </w:p>
        </w:tc>
        <w:tc>
          <w:tcPr>
            <w:tcW w:w="5" w:type="pct"/>
            <w:shd w:val="clear" w:color="auto" w:fill="auto"/>
            <w:vAlign w:val="bottom"/>
          </w:tcPr>
          <w:p w14:paraId="5A1B3377" w14:textId="77777777" w:rsidR="00960BB8" w:rsidRDefault="00960BB8">
            <w:pPr>
              <w:rPr>
                <w:rFonts w:ascii="宋体"/>
              </w:rPr>
            </w:pPr>
          </w:p>
        </w:tc>
        <w:tc>
          <w:tcPr>
            <w:tcW w:w="24" w:type="pct"/>
            <w:shd w:val="clear" w:color="auto" w:fill="auto"/>
            <w:vAlign w:val="bottom"/>
          </w:tcPr>
          <w:p w14:paraId="5A1B3378" w14:textId="77777777" w:rsidR="00960BB8" w:rsidRDefault="00960BB8">
            <w:pPr>
              <w:rPr>
                <w:rFonts w:ascii="宋体"/>
              </w:rPr>
            </w:pPr>
          </w:p>
        </w:tc>
        <w:tc>
          <w:tcPr>
            <w:tcW w:w="5" w:type="pct"/>
            <w:shd w:val="clear" w:color="auto" w:fill="auto"/>
            <w:vAlign w:val="bottom"/>
          </w:tcPr>
          <w:p w14:paraId="5A1B3379" w14:textId="77777777" w:rsidR="00960BB8" w:rsidRDefault="00960BB8">
            <w:pPr>
              <w:rPr>
                <w:rFonts w:ascii="宋体"/>
              </w:rPr>
            </w:pPr>
          </w:p>
        </w:tc>
        <w:tc>
          <w:tcPr>
            <w:tcW w:w="50" w:type="pct"/>
            <w:shd w:val="clear" w:color="auto" w:fill="auto"/>
            <w:vAlign w:val="bottom"/>
          </w:tcPr>
          <w:p w14:paraId="5A1B337A" w14:textId="77777777" w:rsidR="00960BB8" w:rsidRDefault="00960BB8">
            <w:pPr>
              <w:rPr>
                <w:rFonts w:ascii="宋体"/>
              </w:rPr>
            </w:pPr>
          </w:p>
        </w:tc>
        <w:tc>
          <w:tcPr>
            <w:tcW w:w="544" w:type="pct"/>
            <w:shd w:val="clear" w:color="auto" w:fill="auto"/>
            <w:vAlign w:val="bottom"/>
          </w:tcPr>
          <w:p w14:paraId="5A1B337B" w14:textId="77777777" w:rsidR="00960BB8" w:rsidRDefault="00960BB8">
            <w:pPr>
              <w:rPr>
                <w:rFonts w:ascii="宋体"/>
              </w:rPr>
            </w:pPr>
          </w:p>
        </w:tc>
        <w:tc>
          <w:tcPr>
            <w:tcW w:w="5" w:type="pct"/>
            <w:shd w:val="clear" w:color="auto" w:fill="auto"/>
            <w:vAlign w:val="bottom"/>
          </w:tcPr>
          <w:p w14:paraId="5A1B337C" w14:textId="77777777" w:rsidR="00960BB8" w:rsidRDefault="00960BB8">
            <w:pPr>
              <w:rPr>
                <w:rFonts w:ascii="宋体"/>
              </w:rPr>
            </w:pPr>
          </w:p>
        </w:tc>
        <w:tc>
          <w:tcPr>
            <w:tcW w:w="50" w:type="pct"/>
            <w:shd w:val="clear" w:color="auto" w:fill="auto"/>
            <w:vAlign w:val="bottom"/>
          </w:tcPr>
          <w:p w14:paraId="5A1B337D" w14:textId="77777777" w:rsidR="00960BB8" w:rsidRDefault="00960BB8">
            <w:pPr>
              <w:rPr>
                <w:rFonts w:ascii="宋体"/>
              </w:rPr>
            </w:pPr>
          </w:p>
        </w:tc>
        <w:tc>
          <w:tcPr>
            <w:tcW w:w="544" w:type="pct"/>
            <w:shd w:val="clear" w:color="auto" w:fill="auto"/>
            <w:vAlign w:val="bottom"/>
          </w:tcPr>
          <w:p w14:paraId="5A1B337E" w14:textId="77777777" w:rsidR="00960BB8" w:rsidRDefault="00960BB8">
            <w:pPr>
              <w:rPr>
                <w:rFonts w:ascii="宋体"/>
              </w:rPr>
            </w:pPr>
          </w:p>
        </w:tc>
        <w:tc>
          <w:tcPr>
            <w:tcW w:w="5" w:type="pct"/>
            <w:shd w:val="clear" w:color="auto" w:fill="auto"/>
            <w:vAlign w:val="bottom"/>
          </w:tcPr>
          <w:p w14:paraId="5A1B337F" w14:textId="77777777" w:rsidR="00960BB8" w:rsidRDefault="00960BB8">
            <w:pPr>
              <w:rPr>
                <w:rFonts w:ascii="宋体"/>
              </w:rPr>
            </w:pPr>
          </w:p>
        </w:tc>
      </w:tr>
      <w:tr w:rsidR="00960BB8" w14:paraId="5A1B3385" w14:textId="77777777">
        <w:tc>
          <w:tcPr>
            <w:tcW w:w="0" w:type="auto"/>
            <w:gridSpan w:val="3"/>
            <w:shd w:val="clear" w:color="auto" w:fill="auto"/>
            <w:tcMar>
              <w:top w:w="0" w:type="dxa"/>
              <w:left w:w="20" w:type="dxa"/>
              <w:bottom w:w="0" w:type="dxa"/>
              <w:right w:w="20" w:type="dxa"/>
            </w:tcMar>
            <w:vAlign w:val="bottom"/>
          </w:tcPr>
          <w:p w14:paraId="5A1B338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38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383"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40" w:type="dxa"/>
              <w:left w:w="20" w:type="dxa"/>
              <w:bottom w:w="40" w:type="dxa"/>
              <w:right w:w="20" w:type="dxa"/>
            </w:tcMar>
            <w:vAlign w:val="bottom"/>
          </w:tcPr>
          <w:p w14:paraId="5A1B3384"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338A" w14:textId="77777777">
        <w:tc>
          <w:tcPr>
            <w:tcW w:w="0" w:type="auto"/>
            <w:gridSpan w:val="3"/>
            <w:tcBorders>
              <w:top w:val="single" w:sz="8" w:space="0" w:color="0068B5"/>
            </w:tcBorders>
            <w:shd w:val="clear" w:color="auto" w:fill="auto"/>
            <w:tcMar>
              <w:top w:w="40" w:type="dxa"/>
              <w:left w:w="155" w:type="dxa"/>
              <w:bottom w:w="40" w:type="dxa"/>
              <w:right w:w="20" w:type="dxa"/>
            </w:tcMar>
            <w:vAlign w:val="bottom"/>
          </w:tcPr>
          <w:p w14:paraId="5A1B3386" w14:textId="77777777" w:rsidR="00960BB8" w:rsidRDefault="00C06650">
            <w:pPr>
              <w:textAlignment w:val="bottom"/>
            </w:pPr>
            <w:r>
              <w:rPr>
                <w:rFonts w:ascii="Arial" w:eastAsia="宋体" w:hAnsi="Arial" w:cs="Arial"/>
                <w:b/>
                <w:bCs/>
                <w:color w:val="262626"/>
                <w:sz w:val="18"/>
                <w:szCs w:val="18"/>
              </w:rPr>
              <w:t>Plan with accumulated benefit obligation in excess of plan assets</w:t>
            </w:r>
          </w:p>
        </w:tc>
        <w:tc>
          <w:tcPr>
            <w:tcW w:w="0" w:type="auto"/>
            <w:gridSpan w:val="3"/>
            <w:shd w:val="clear" w:color="auto" w:fill="auto"/>
            <w:tcMar>
              <w:top w:w="0" w:type="dxa"/>
              <w:left w:w="20" w:type="dxa"/>
              <w:bottom w:w="0" w:type="dxa"/>
              <w:right w:w="20" w:type="dxa"/>
            </w:tcMar>
            <w:vAlign w:val="bottom"/>
          </w:tcPr>
          <w:p w14:paraId="5A1B3387"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388"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389" w14:textId="77777777" w:rsidR="00960BB8" w:rsidRDefault="00960BB8">
            <w:pPr>
              <w:rPr>
                <w:rFonts w:ascii="宋体"/>
              </w:rPr>
            </w:pPr>
          </w:p>
        </w:tc>
      </w:tr>
      <w:tr w:rsidR="00960BB8" w14:paraId="5A1B3393" w14:textId="77777777">
        <w:tc>
          <w:tcPr>
            <w:tcW w:w="0" w:type="auto"/>
            <w:gridSpan w:val="3"/>
            <w:shd w:val="clear" w:color="auto" w:fill="auto"/>
            <w:tcMar>
              <w:top w:w="40" w:type="dxa"/>
              <w:left w:w="155" w:type="dxa"/>
              <w:bottom w:w="40" w:type="dxa"/>
              <w:right w:w="20" w:type="dxa"/>
            </w:tcMar>
            <w:vAlign w:val="bottom"/>
          </w:tcPr>
          <w:p w14:paraId="5A1B338B" w14:textId="77777777" w:rsidR="00960BB8" w:rsidRDefault="00C06650">
            <w:pPr>
              <w:textAlignment w:val="bottom"/>
            </w:pPr>
            <w:r>
              <w:rPr>
                <w:rFonts w:ascii="Arial" w:eastAsia="宋体" w:hAnsi="Arial" w:cs="Arial"/>
                <w:color w:val="262626"/>
                <w:sz w:val="18"/>
                <w:szCs w:val="18"/>
              </w:rPr>
              <w:t>Accumulated benefit obligation</w:t>
            </w:r>
          </w:p>
        </w:tc>
        <w:tc>
          <w:tcPr>
            <w:tcW w:w="0" w:type="auto"/>
            <w:gridSpan w:val="3"/>
            <w:shd w:val="clear" w:color="auto" w:fill="auto"/>
            <w:tcMar>
              <w:top w:w="0" w:type="dxa"/>
              <w:left w:w="20" w:type="dxa"/>
              <w:bottom w:w="0" w:type="dxa"/>
              <w:right w:w="20" w:type="dxa"/>
            </w:tcMar>
            <w:vAlign w:val="bottom"/>
          </w:tcPr>
          <w:p w14:paraId="5A1B338C"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38D"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38E" w14:textId="77777777" w:rsidR="00960BB8" w:rsidRDefault="00C06650">
            <w:pPr>
              <w:jc w:val="right"/>
              <w:textAlignment w:val="bottom"/>
            </w:pPr>
            <w:r>
              <w:rPr>
                <w:rFonts w:ascii="Arial" w:eastAsia="宋体" w:hAnsi="Arial" w:cs="Arial"/>
                <w:color w:val="0068B5"/>
                <w:sz w:val="18"/>
                <w:szCs w:val="18"/>
              </w:rPr>
              <w:t>559 </w:t>
            </w:r>
          </w:p>
        </w:tc>
        <w:tc>
          <w:tcPr>
            <w:tcW w:w="0" w:type="auto"/>
            <w:shd w:val="clear" w:color="auto" w:fill="auto"/>
            <w:tcMar>
              <w:top w:w="40" w:type="dxa"/>
              <w:left w:w="0" w:type="dxa"/>
              <w:bottom w:w="40" w:type="dxa"/>
              <w:right w:w="20" w:type="dxa"/>
            </w:tcMar>
            <w:vAlign w:val="bottom"/>
          </w:tcPr>
          <w:p w14:paraId="5A1B338F" w14:textId="77777777" w:rsidR="00960BB8" w:rsidRDefault="00960BB8">
            <w:pPr>
              <w:jc w:val="right"/>
              <w:rPr>
                <w:rFonts w:ascii="宋体"/>
              </w:rPr>
            </w:pPr>
          </w:p>
        </w:tc>
        <w:tc>
          <w:tcPr>
            <w:tcW w:w="0" w:type="auto"/>
            <w:shd w:val="clear" w:color="auto" w:fill="auto"/>
            <w:tcMar>
              <w:top w:w="40" w:type="dxa"/>
              <w:left w:w="20" w:type="dxa"/>
              <w:bottom w:w="40" w:type="dxa"/>
              <w:right w:w="0" w:type="dxa"/>
            </w:tcMar>
            <w:vAlign w:val="bottom"/>
          </w:tcPr>
          <w:p w14:paraId="5A1B3390"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391" w14:textId="77777777" w:rsidR="00960BB8" w:rsidRDefault="00C06650">
            <w:pPr>
              <w:jc w:val="right"/>
              <w:textAlignment w:val="bottom"/>
            </w:pPr>
            <w:r>
              <w:rPr>
                <w:rFonts w:ascii="Arial" w:eastAsia="宋体" w:hAnsi="Arial" w:cs="Arial"/>
                <w:color w:val="262626"/>
                <w:sz w:val="18"/>
                <w:szCs w:val="18"/>
              </w:rPr>
              <w:t>4,086 </w:t>
            </w:r>
          </w:p>
        </w:tc>
        <w:tc>
          <w:tcPr>
            <w:tcW w:w="0" w:type="auto"/>
            <w:shd w:val="clear" w:color="auto" w:fill="auto"/>
            <w:tcMar>
              <w:top w:w="40" w:type="dxa"/>
              <w:left w:w="0" w:type="dxa"/>
              <w:bottom w:w="40" w:type="dxa"/>
              <w:right w:w="20" w:type="dxa"/>
            </w:tcMar>
            <w:vAlign w:val="bottom"/>
          </w:tcPr>
          <w:p w14:paraId="5A1B3392" w14:textId="77777777" w:rsidR="00960BB8" w:rsidRDefault="00960BB8">
            <w:pPr>
              <w:jc w:val="right"/>
              <w:rPr>
                <w:rFonts w:ascii="宋体"/>
              </w:rPr>
            </w:pPr>
          </w:p>
        </w:tc>
      </w:tr>
      <w:tr w:rsidR="00960BB8" w14:paraId="5A1B339C" w14:textId="77777777">
        <w:tc>
          <w:tcPr>
            <w:tcW w:w="0" w:type="auto"/>
            <w:gridSpan w:val="3"/>
            <w:shd w:val="clear" w:color="auto" w:fill="auto"/>
            <w:tcMar>
              <w:top w:w="40" w:type="dxa"/>
              <w:left w:w="155" w:type="dxa"/>
              <w:bottom w:w="40" w:type="dxa"/>
              <w:right w:w="20" w:type="dxa"/>
            </w:tcMar>
            <w:vAlign w:val="bottom"/>
          </w:tcPr>
          <w:p w14:paraId="5A1B3394" w14:textId="77777777" w:rsidR="00960BB8" w:rsidRDefault="00C06650">
            <w:pPr>
              <w:textAlignment w:val="bottom"/>
            </w:pPr>
            <w:r>
              <w:rPr>
                <w:rFonts w:ascii="Arial" w:eastAsia="宋体" w:hAnsi="Arial" w:cs="Arial"/>
                <w:color w:val="262626"/>
                <w:sz w:val="18"/>
                <w:szCs w:val="18"/>
              </w:rPr>
              <w:t xml:space="preserve">Plan </w:t>
            </w: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5A1B3395"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396"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397" w14:textId="77777777" w:rsidR="00960BB8" w:rsidRDefault="00C06650">
            <w:pPr>
              <w:jc w:val="right"/>
              <w:textAlignment w:val="bottom"/>
            </w:pPr>
            <w:r>
              <w:rPr>
                <w:rFonts w:ascii="Arial" w:eastAsia="宋体" w:hAnsi="Arial" w:cs="Arial"/>
                <w:color w:val="0068B5"/>
                <w:sz w:val="18"/>
                <w:szCs w:val="18"/>
              </w:rPr>
              <w:t>97 </w:t>
            </w:r>
          </w:p>
        </w:tc>
        <w:tc>
          <w:tcPr>
            <w:tcW w:w="0" w:type="auto"/>
            <w:shd w:val="clear" w:color="auto" w:fill="auto"/>
            <w:tcMar>
              <w:top w:w="40" w:type="dxa"/>
              <w:left w:w="0" w:type="dxa"/>
              <w:bottom w:w="40" w:type="dxa"/>
              <w:right w:w="20" w:type="dxa"/>
            </w:tcMar>
            <w:vAlign w:val="bottom"/>
          </w:tcPr>
          <w:p w14:paraId="5A1B3398" w14:textId="77777777" w:rsidR="00960BB8" w:rsidRDefault="00960BB8">
            <w:pPr>
              <w:jc w:val="right"/>
              <w:rPr>
                <w:rFonts w:ascii="宋体"/>
              </w:rPr>
            </w:pPr>
          </w:p>
        </w:tc>
        <w:tc>
          <w:tcPr>
            <w:tcW w:w="0" w:type="auto"/>
            <w:shd w:val="clear" w:color="auto" w:fill="auto"/>
            <w:tcMar>
              <w:top w:w="40" w:type="dxa"/>
              <w:left w:w="20" w:type="dxa"/>
              <w:bottom w:w="40" w:type="dxa"/>
              <w:right w:w="0" w:type="dxa"/>
            </w:tcMar>
            <w:vAlign w:val="bottom"/>
          </w:tcPr>
          <w:p w14:paraId="5A1B3399"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39A" w14:textId="77777777" w:rsidR="00960BB8" w:rsidRDefault="00C06650">
            <w:pPr>
              <w:jc w:val="right"/>
              <w:textAlignment w:val="bottom"/>
            </w:pPr>
            <w:r>
              <w:rPr>
                <w:rFonts w:ascii="Arial" w:eastAsia="宋体" w:hAnsi="Arial" w:cs="Arial"/>
                <w:color w:val="262626"/>
                <w:sz w:val="18"/>
                <w:szCs w:val="18"/>
              </w:rPr>
              <w:t>2,817 </w:t>
            </w:r>
          </w:p>
        </w:tc>
        <w:tc>
          <w:tcPr>
            <w:tcW w:w="0" w:type="auto"/>
            <w:shd w:val="clear" w:color="auto" w:fill="auto"/>
            <w:tcMar>
              <w:top w:w="40" w:type="dxa"/>
              <w:left w:w="0" w:type="dxa"/>
              <w:bottom w:w="40" w:type="dxa"/>
              <w:right w:w="20" w:type="dxa"/>
            </w:tcMar>
            <w:vAlign w:val="bottom"/>
          </w:tcPr>
          <w:p w14:paraId="5A1B339B" w14:textId="77777777" w:rsidR="00960BB8" w:rsidRDefault="00960BB8">
            <w:pPr>
              <w:jc w:val="right"/>
              <w:rPr>
                <w:rFonts w:ascii="宋体"/>
              </w:rPr>
            </w:pPr>
          </w:p>
        </w:tc>
      </w:tr>
      <w:tr w:rsidR="00960BB8" w14:paraId="5A1B33A1" w14:textId="77777777">
        <w:trPr>
          <w:trHeight w:val="280"/>
        </w:trPr>
        <w:tc>
          <w:tcPr>
            <w:tcW w:w="0" w:type="auto"/>
            <w:gridSpan w:val="3"/>
            <w:shd w:val="clear" w:color="auto" w:fill="auto"/>
            <w:tcMar>
              <w:top w:w="0" w:type="dxa"/>
              <w:left w:w="20" w:type="dxa"/>
              <w:bottom w:w="0" w:type="dxa"/>
              <w:right w:w="20" w:type="dxa"/>
            </w:tcMar>
            <w:vAlign w:val="bottom"/>
          </w:tcPr>
          <w:p w14:paraId="5A1B339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39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39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3A0" w14:textId="77777777" w:rsidR="00960BB8" w:rsidRDefault="00960BB8">
            <w:pPr>
              <w:rPr>
                <w:rFonts w:ascii="宋体"/>
              </w:rPr>
            </w:pPr>
          </w:p>
        </w:tc>
      </w:tr>
      <w:tr w:rsidR="00960BB8" w14:paraId="5A1B33A6" w14:textId="77777777">
        <w:tc>
          <w:tcPr>
            <w:tcW w:w="0" w:type="auto"/>
            <w:gridSpan w:val="3"/>
            <w:shd w:val="clear" w:color="auto" w:fill="auto"/>
            <w:tcMar>
              <w:top w:w="40" w:type="dxa"/>
              <w:left w:w="155" w:type="dxa"/>
              <w:bottom w:w="40" w:type="dxa"/>
              <w:right w:w="20" w:type="dxa"/>
            </w:tcMar>
            <w:vAlign w:val="bottom"/>
          </w:tcPr>
          <w:p w14:paraId="5A1B33A2" w14:textId="77777777" w:rsidR="00960BB8" w:rsidRDefault="00C06650">
            <w:pPr>
              <w:textAlignment w:val="bottom"/>
            </w:pPr>
            <w:r>
              <w:rPr>
                <w:rFonts w:ascii="Arial" w:eastAsia="宋体" w:hAnsi="Arial" w:cs="Arial"/>
                <w:b/>
                <w:bCs/>
                <w:color w:val="262626"/>
                <w:sz w:val="18"/>
                <w:szCs w:val="18"/>
              </w:rPr>
              <w:t>Plan with projected benefit obligation in excess of plan assets</w:t>
            </w:r>
          </w:p>
        </w:tc>
        <w:tc>
          <w:tcPr>
            <w:tcW w:w="0" w:type="auto"/>
            <w:gridSpan w:val="3"/>
            <w:shd w:val="clear" w:color="auto" w:fill="auto"/>
            <w:tcMar>
              <w:top w:w="0" w:type="dxa"/>
              <w:left w:w="20" w:type="dxa"/>
              <w:bottom w:w="0" w:type="dxa"/>
              <w:right w:w="20" w:type="dxa"/>
            </w:tcMar>
            <w:vAlign w:val="bottom"/>
          </w:tcPr>
          <w:p w14:paraId="5A1B33A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3A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3A5" w14:textId="77777777" w:rsidR="00960BB8" w:rsidRDefault="00960BB8">
            <w:pPr>
              <w:rPr>
                <w:rFonts w:ascii="宋体"/>
              </w:rPr>
            </w:pPr>
          </w:p>
        </w:tc>
      </w:tr>
      <w:tr w:rsidR="00960BB8" w14:paraId="5A1B33AF" w14:textId="77777777">
        <w:tc>
          <w:tcPr>
            <w:tcW w:w="0" w:type="auto"/>
            <w:gridSpan w:val="3"/>
            <w:shd w:val="clear" w:color="auto" w:fill="auto"/>
            <w:tcMar>
              <w:top w:w="40" w:type="dxa"/>
              <w:left w:w="155" w:type="dxa"/>
              <w:bottom w:w="40" w:type="dxa"/>
              <w:right w:w="20" w:type="dxa"/>
            </w:tcMar>
            <w:vAlign w:val="bottom"/>
          </w:tcPr>
          <w:p w14:paraId="5A1B33A7" w14:textId="77777777" w:rsidR="00960BB8" w:rsidRDefault="00C06650">
            <w:pPr>
              <w:textAlignment w:val="bottom"/>
            </w:pPr>
            <w:r>
              <w:rPr>
                <w:rFonts w:ascii="Arial" w:eastAsia="宋体" w:hAnsi="Arial" w:cs="Arial"/>
                <w:color w:val="262626"/>
                <w:sz w:val="18"/>
                <w:szCs w:val="18"/>
              </w:rPr>
              <w:t>Projected benefit obligation</w:t>
            </w:r>
          </w:p>
        </w:tc>
        <w:tc>
          <w:tcPr>
            <w:tcW w:w="0" w:type="auto"/>
            <w:gridSpan w:val="3"/>
            <w:shd w:val="clear" w:color="auto" w:fill="auto"/>
            <w:tcMar>
              <w:top w:w="0" w:type="dxa"/>
              <w:left w:w="20" w:type="dxa"/>
              <w:bottom w:w="0" w:type="dxa"/>
              <w:right w:w="20" w:type="dxa"/>
            </w:tcMar>
            <w:vAlign w:val="bottom"/>
          </w:tcPr>
          <w:p w14:paraId="5A1B33A8"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3A9"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3AA" w14:textId="77777777" w:rsidR="00960BB8" w:rsidRDefault="00C06650">
            <w:pPr>
              <w:jc w:val="right"/>
              <w:textAlignment w:val="bottom"/>
            </w:pPr>
            <w:r>
              <w:rPr>
                <w:rFonts w:ascii="Arial" w:eastAsia="宋体" w:hAnsi="Arial" w:cs="Arial"/>
                <w:color w:val="0068B5"/>
                <w:sz w:val="18"/>
                <w:szCs w:val="18"/>
              </w:rPr>
              <w:t>1,048 </w:t>
            </w:r>
          </w:p>
        </w:tc>
        <w:tc>
          <w:tcPr>
            <w:tcW w:w="0" w:type="auto"/>
            <w:shd w:val="clear" w:color="auto" w:fill="auto"/>
            <w:tcMar>
              <w:top w:w="40" w:type="dxa"/>
              <w:left w:w="0" w:type="dxa"/>
              <w:bottom w:w="40" w:type="dxa"/>
              <w:right w:w="20" w:type="dxa"/>
            </w:tcMar>
            <w:vAlign w:val="bottom"/>
          </w:tcPr>
          <w:p w14:paraId="5A1B33AB" w14:textId="77777777" w:rsidR="00960BB8" w:rsidRDefault="00960BB8">
            <w:pPr>
              <w:jc w:val="right"/>
              <w:rPr>
                <w:rFonts w:ascii="宋体"/>
              </w:rPr>
            </w:pPr>
          </w:p>
        </w:tc>
        <w:tc>
          <w:tcPr>
            <w:tcW w:w="0" w:type="auto"/>
            <w:shd w:val="clear" w:color="auto" w:fill="auto"/>
            <w:tcMar>
              <w:top w:w="40" w:type="dxa"/>
              <w:left w:w="20" w:type="dxa"/>
              <w:bottom w:w="40" w:type="dxa"/>
              <w:right w:w="0" w:type="dxa"/>
            </w:tcMar>
            <w:vAlign w:val="bottom"/>
          </w:tcPr>
          <w:p w14:paraId="5A1B33AC"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3AD" w14:textId="77777777" w:rsidR="00960BB8" w:rsidRDefault="00C06650">
            <w:pPr>
              <w:jc w:val="right"/>
              <w:textAlignment w:val="bottom"/>
            </w:pPr>
            <w:r>
              <w:rPr>
                <w:rFonts w:ascii="Arial" w:eastAsia="宋体" w:hAnsi="Arial" w:cs="Arial"/>
                <w:color w:val="262626"/>
                <w:sz w:val="18"/>
                <w:szCs w:val="18"/>
              </w:rPr>
              <w:t>4,456 </w:t>
            </w:r>
          </w:p>
        </w:tc>
        <w:tc>
          <w:tcPr>
            <w:tcW w:w="0" w:type="auto"/>
            <w:shd w:val="clear" w:color="auto" w:fill="auto"/>
            <w:tcMar>
              <w:top w:w="40" w:type="dxa"/>
              <w:left w:w="0" w:type="dxa"/>
              <w:bottom w:w="40" w:type="dxa"/>
              <w:right w:w="20" w:type="dxa"/>
            </w:tcMar>
            <w:vAlign w:val="bottom"/>
          </w:tcPr>
          <w:p w14:paraId="5A1B33AE" w14:textId="77777777" w:rsidR="00960BB8" w:rsidRDefault="00960BB8">
            <w:pPr>
              <w:jc w:val="right"/>
              <w:rPr>
                <w:rFonts w:ascii="宋体"/>
              </w:rPr>
            </w:pPr>
          </w:p>
        </w:tc>
      </w:tr>
      <w:tr w:rsidR="00960BB8" w14:paraId="5A1B33B8" w14:textId="77777777">
        <w:tc>
          <w:tcPr>
            <w:tcW w:w="0" w:type="auto"/>
            <w:gridSpan w:val="3"/>
            <w:shd w:val="clear" w:color="auto" w:fill="auto"/>
            <w:tcMar>
              <w:top w:w="40" w:type="dxa"/>
              <w:left w:w="155" w:type="dxa"/>
              <w:bottom w:w="40" w:type="dxa"/>
              <w:right w:w="20" w:type="dxa"/>
            </w:tcMar>
            <w:vAlign w:val="bottom"/>
          </w:tcPr>
          <w:p w14:paraId="5A1B33B0" w14:textId="77777777" w:rsidR="00960BB8" w:rsidRDefault="00C06650">
            <w:pPr>
              <w:textAlignment w:val="bottom"/>
            </w:pPr>
            <w:r>
              <w:rPr>
                <w:rFonts w:ascii="Arial" w:eastAsia="宋体" w:hAnsi="Arial" w:cs="Arial"/>
                <w:color w:val="262626"/>
                <w:sz w:val="18"/>
                <w:szCs w:val="18"/>
              </w:rPr>
              <w:t>Plan assets</w:t>
            </w:r>
          </w:p>
        </w:tc>
        <w:tc>
          <w:tcPr>
            <w:tcW w:w="0" w:type="auto"/>
            <w:gridSpan w:val="3"/>
            <w:shd w:val="clear" w:color="auto" w:fill="auto"/>
            <w:tcMar>
              <w:top w:w="0" w:type="dxa"/>
              <w:left w:w="20" w:type="dxa"/>
              <w:bottom w:w="0" w:type="dxa"/>
              <w:right w:w="20" w:type="dxa"/>
            </w:tcMar>
            <w:vAlign w:val="bottom"/>
          </w:tcPr>
          <w:p w14:paraId="5A1B33B1"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3B2"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3B3" w14:textId="77777777" w:rsidR="00960BB8" w:rsidRDefault="00C06650">
            <w:pPr>
              <w:jc w:val="right"/>
              <w:textAlignment w:val="bottom"/>
            </w:pPr>
            <w:r>
              <w:rPr>
                <w:rFonts w:ascii="Arial" w:eastAsia="宋体" w:hAnsi="Arial" w:cs="Arial"/>
                <w:color w:val="0068B5"/>
                <w:sz w:val="18"/>
                <w:szCs w:val="18"/>
              </w:rPr>
              <w:t>399 </w:t>
            </w:r>
          </w:p>
        </w:tc>
        <w:tc>
          <w:tcPr>
            <w:tcW w:w="0" w:type="auto"/>
            <w:shd w:val="clear" w:color="auto" w:fill="auto"/>
            <w:tcMar>
              <w:top w:w="40" w:type="dxa"/>
              <w:left w:w="0" w:type="dxa"/>
              <w:bottom w:w="40" w:type="dxa"/>
              <w:right w:w="20" w:type="dxa"/>
            </w:tcMar>
            <w:vAlign w:val="bottom"/>
          </w:tcPr>
          <w:p w14:paraId="5A1B33B4" w14:textId="77777777" w:rsidR="00960BB8" w:rsidRDefault="00960BB8">
            <w:pPr>
              <w:jc w:val="right"/>
              <w:rPr>
                <w:rFonts w:ascii="宋体"/>
              </w:rPr>
            </w:pPr>
          </w:p>
        </w:tc>
        <w:tc>
          <w:tcPr>
            <w:tcW w:w="0" w:type="auto"/>
            <w:shd w:val="clear" w:color="auto" w:fill="auto"/>
            <w:tcMar>
              <w:top w:w="40" w:type="dxa"/>
              <w:left w:w="20" w:type="dxa"/>
              <w:bottom w:w="40" w:type="dxa"/>
              <w:right w:w="0" w:type="dxa"/>
            </w:tcMar>
            <w:vAlign w:val="bottom"/>
          </w:tcPr>
          <w:p w14:paraId="5A1B33B5"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3B6" w14:textId="77777777" w:rsidR="00960BB8" w:rsidRDefault="00C06650">
            <w:pPr>
              <w:jc w:val="right"/>
              <w:textAlignment w:val="bottom"/>
            </w:pPr>
            <w:r>
              <w:rPr>
                <w:rFonts w:ascii="Arial" w:eastAsia="宋体" w:hAnsi="Arial" w:cs="Arial"/>
                <w:color w:val="262626"/>
                <w:sz w:val="18"/>
                <w:szCs w:val="18"/>
              </w:rPr>
              <w:t>2,817 </w:t>
            </w:r>
          </w:p>
        </w:tc>
        <w:tc>
          <w:tcPr>
            <w:tcW w:w="0" w:type="auto"/>
            <w:shd w:val="clear" w:color="auto" w:fill="auto"/>
            <w:tcMar>
              <w:top w:w="40" w:type="dxa"/>
              <w:left w:w="0" w:type="dxa"/>
              <w:bottom w:w="40" w:type="dxa"/>
              <w:right w:w="20" w:type="dxa"/>
            </w:tcMar>
            <w:vAlign w:val="bottom"/>
          </w:tcPr>
          <w:p w14:paraId="5A1B33B7" w14:textId="77777777" w:rsidR="00960BB8" w:rsidRDefault="00960BB8">
            <w:pPr>
              <w:jc w:val="right"/>
              <w:rPr>
                <w:rFonts w:ascii="宋体"/>
              </w:rPr>
            </w:pPr>
          </w:p>
        </w:tc>
      </w:tr>
    </w:tbl>
    <w:p w14:paraId="5A1B33B9" w14:textId="77777777" w:rsidR="00960BB8" w:rsidRDefault="00960BB8">
      <w:pPr>
        <w:spacing w:after="180"/>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33C6" w14:textId="77777777">
        <w:tc>
          <w:tcPr>
            <w:tcW w:w="50" w:type="pct"/>
            <w:shd w:val="clear" w:color="auto" w:fill="auto"/>
            <w:vAlign w:val="bottom"/>
          </w:tcPr>
          <w:p w14:paraId="5A1B33BA" w14:textId="77777777" w:rsidR="00960BB8" w:rsidRDefault="00960BB8">
            <w:pPr>
              <w:rPr>
                <w:rFonts w:ascii="宋体"/>
              </w:rPr>
            </w:pPr>
          </w:p>
        </w:tc>
        <w:tc>
          <w:tcPr>
            <w:tcW w:w="276" w:type="pct"/>
            <w:shd w:val="clear" w:color="auto" w:fill="auto"/>
            <w:vAlign w:val="bottom"/>
          </w:tcPr>
          <w:p w14:paraId="5A1B33BB" w14:textId="77777777" w:rsidR="00960BB8" w:rsidRDefault="00960BB8">
            <w:pPr>
              <w:rPr>
                <w:rFonts w:ascii="宋体"/>
              </w:rPr>
            </w:pPr>
          </w:p>
        </w:tc>
        <w:tc>
          <w:tcPr>
            <w:tcW w:w="5" w:type="pct"/>
            <w:shd w:val="clear" w:color="auto" w:fill="auto"/>
            <w:vAlign w:val="bottom"/>
          </w:tcPr>
          <w:p w14:paraId="5A1B33BC" w14:textId="77777777" w:rsidR="00960BB8" w:rsidRDefault="00960BB8">
            <w:pPr>
              <w:rPr>
                <w:rFonts w:ascii="宋体"/>
              </w:rPr>
            </w:pPr>
          </w:p>
        </w:tc>
        <w:tc>
          <w:tcPr>
            <w:tcW w:w="50" w:type="pct"/>
            <w:shd w:val="clear" w:color="auto" w:fill="auto"/>
            <w:vAlign w:val="bottom"/>
          </w:tcPr>
          <w:p w14:paraId="5A1B33BD" w14:textId="77777777" w:rsidR="00960BB8" w:rsidRDefault="00960BB8">
            <w:pPr>
              <w:rPr>
                <w:rFonts w:ascii="宋体"/>
              </w:rPr>
            </w:pPr>
          </w:p>
        </w:tc>
        <w:tc>
          <w:tcPr>
            <w:tcW w:w="940" w:type="pct"/>
            <w:shd w:val="clear" w:color="auto" w:fill="auto"/>
            <w:vAlign w:val="bottom"/>
          </w:tcPr>
          <w:p w14:paraId="5A1B33BE" w14:textId="77777777" w:rsidR="00960BB8" w:rsidRDefault="00960BB8">
            <w:pPr>
              <w:rPr>
                <w:rFonts w:ascii="宋体"/>
              </w:rPr>
            </w:pPr>
          </w:p>
        </w:tc>
        <w:tc>
          <w:tcPr>
            <w:tcW w:w="5" w:type="pct"/>
            <w:shd w:val="clear" w:color="auto" w:fill="auto"/>
            <w:vAlign w:val="bottom"/>
          </w:tcPr>
          <w:p w14:paraId="5A1B33BF" w14:textId="77777777" w:rsidR="00960BB8" w:rsidRDefault="00960BB8">
            <w:pPr>
              <w:rPr>
                <w:rFonts w:ascii="宋体"/>
              </w:rPr>
            </w:pPr>
          </w:p>
        </w:tc>
        <w:tc>
          <w:tcPr>
            <w:tcW w:w="50" w:type="pct"/>
            <w:shd w:val="clear" w:color="auto" w:fill="auto"/>
            <w:vAlign w:val="bottom"/>
          </w:tcPr>
          <w:p w14:paraId="5A1B33C0" w14:textId="77777777" w:rsidR="00960BB8" w:rsidRDefault="00960BB8">
            <w:pPr>
              <w:rPr>
                <w:rFonts w:ascii="宋体"/>
              </w:rPr>
            </w:pPr>
          </w:p>
        </w:tc>
        <w:tc>
          <w:tcPr>
            <w:tcW w:w="1837" w:type="pct"/>
            <w:shd w:val="clear" w:color="auto" w:fill="auto"/>
            <w:vAlign w:val="bottom"/>
          </w:tcPr>
          <w:p w14:paraId="5A1B33C1" w14:textId="77777777" w:rsidR="00960BB8" w:rsidRDefault="00960BB8">
            <w:pPr>
              <w:rPr>
                <w:rFonts w:ascii="宋体"/>
              </w:rPr>
            </w:pPr>
          </w:p>
        </w:tc>
        <w:tc>
          <w:tcPr>
            <w:tcW w:w="5" w:type="pct"/>
            <w:shd w:val="clear" w:color="auto" w:fill="auto"/>
            <w:vAlign w:val="bottom"/>
          </w:tcPr>
          <w:p w14:paraId="5A1B33C2" w14:textId="77777777" w:rsidR="00960BB8" w:rsidRDefault="00960BB8">
            <w:pPr>
              <w:rPr>
                <w:rFonts w:ascii="宋体"/>
              </w:rPr>
            </w:pPr>
          </w:p>
        </w:tc>
        <w:tc>
          <w:tcPr>
            <w:tcW w:w="50" w:type="pct"/>
            <w:shd w:val="clear" w:color="auto" w:fill="auto"/>
            <w:vAlign w:val="bottom"/>
          </w:tcPr>
          <w:p w14:paraId="5A1B33C3" w14:textId="77777777" w:rsidR="00960BB8" w:rsidRDefault="00960BB8">
            <w:pPr>
              <w:rPr>
                <w:rFonts w:ascii="宋体"/>
              </w:rPr>
            </w:pPr>
          </w:p>
        </w:tc>
        <w:tc>
          <w:tcPr>
            <w:tcW w:w="1724" w:type="pct"/>
            <w:shd w:val="clear" w:color="auto" w:fill="auto"/>
            <w:vAlign w:val="bottom"/>
          </w:tcPr>
          <w:p w14:paraId="5A1B33C4" w14:textId="77777777" w:rsidR="00960BB8" w:rsidRDefault="00960BB8">
            <w:pPr>
              <w:rPr>
                <w:rFonts w:ascii="宋体"/>
              </w:rPr>
            </w:pPr>
          </w:p>
        </w:tc>
        <w:tc>
          <w:tcPr>
            <w:tcW w:w="5" w:type="pct"/>
            <w:shd w:val="clear" w:color="auto" w:fill="auto"/>
            <w:vAlign w:val="bottom"/>
          </w:tcPr>
          <w:p w14:paraId="5A1B33C5" w14:textId="77777777" w:rsidR="00960BB8" w:rsidRDefault="00960BB8">
            <w:pPr>
              <w:rPr>
                <w:rFonts w:ascii="宋体"/>
              </w:rPr>
            </w:pPr>
          </w:p>
        </w:tc>
      </w:tr>
      <w:tr w:rsidR="00960BB8" w14:paraId="5A1B33CB"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3C7"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C6" wp14:editId="5A1B44C7">
                  <wp:extent cx="304800" cy="304800"/>
                  <wp:effectExtent l="0" t="0" r="0" b="0"/>
                  <wp:docPr id="159" name="图片 30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30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3C8"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33C9"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3CA" w14:textId="77777777" w:rsidR="00960BB8" w:rsidRDefault="00C06650">
            <w:pPr>
              <w:jc w:val="right"/>
              <w:textAlignment w:val="center"/>
            </w:pPr>
            <w:r>
              <w:rPr>
                <w:rFonts w:ascii="Arial" w:eastAsia="宋体" w:hAnsi="Arial" w:cs="Arial"/>
                <w:color w:val="262626"/>
                <w:sz w:val="16"/>
                <w:szCs w:val="16"/>
              </w:rPr>
              <w:t>108</w:t>
            </w:r>
          </w:p>
        </w:tc>
      </w:tr>
    </w:tbl>
    <w:p w14:paraId="5A1B33CC" w14:textId="77777777" w:rsidR="00960BB8" w:rsidRDefault="00C06650">
      <w:r>
        <w:pict w14:anchorId="5A1B44C8">
          <v:rect id="_x0000_i1134" style="width:415.3pt;height:1.5pt" o:hralign="center" o:hrstd="t" o:hr="t" fillcolor="#a0a0a0" stroked="f"/>
        </w:pict>
      </w:r>
    </w:p>
    <w:p w14:paraId="5A1B33CD" w14:textId="77777777" w:rsidR="00960BB8" w:rsidRDefault="00C06650">
      <w:pPr>
        <w:jc w:val="right"/>
      </w:pPr>
      <w:hyperlink r:id="rId157" w:anchor="i8aaa7b4dbd2e419ca0f5c30af85a11aa_16" w:history="1">
        <w:r>
          <w:rPr>
            <w:rStyle w:val="a5"/>
            <w:rFonts w:ascii="Arial" w:eastAsia="宋体" w:hAnsi="Arial" w:cs="Arial"/>
            <w:b/>
            <w:bCs/>
            <w:sz w:val="16"/>
            <w:szCs w:val="16"/>
          </w:rPr>
          <w:t>Table of Contents</w:t>
        </w:r>
      </w:hyperlink>
    </w:p>
    <w:p w14:paraId="5A1B33CE" w14:textId="77777777" w:rsidR="00960BB8" w:rsidRDefault="00960BB8">
      <w:pPr>
        <w:jc w:val="right"/>
      </w:pPr>
    </w:p>
    <w:p w14:paraId="5A1B33CF" w14:textId="77777777" w:rsidR="00960BB8" w:rsidRDefault="00C06650">
      <w:pPr>
        <w:spacing w:after="180"/>
      </w:pPr>
      <w:r>
        <w:rPr>
          <w:rFonts w:ascii="Arial" w:eastAsia="宋体" w:hAnsi="Arial" w:cs="Arial"/>
          <w:color w:val="0068B5"/>
        </w:rPr>
        <w:t>Assumptions for Pension Benefit Plans</w:t>
      </w:r>
    </w:p>
    <w:tbl>
      <w:tblPr>
        <w:tblW w:w="5000" w:type="pct"/>
        <w:tblCellMar>
          <w:top w:w="15" w:type="dxa"/>
          <w:left w:w="15" w:type="dxa"/>
          <w:bottom w:w="15" w:type="dxa"/>
          <w:right w:w="15" w:type="dxa"/>
        </w:tblCellMar>
        <w:tblLook w:val="04A0" w:firstRow="1" w:lastRow="0" w:firstColumn="1" w:lastColumn="0" w:noHBand="0" w:noVBand="1"/>
      </w:tblPr>
      <w:tblGrid>
        <w:gridCol w:w="37"/>
        <w:gridCol w:w="6074"/>
        <w:gridCol w:w="36"/>
        <w:gridCol w:w="36"/>
        <w:gridCol w:w="36"/>
        <w:gridCol w:w="36"/>
        <w:gridCol w:w="38"/>
        <w:gridCol w:w="767"/>
        <w:gridCol w:w="181"/>
        <w:gridCol w:w="36"/>
        <w:gridCol w:w="36"/>
        <w:gridCol w:w="36"/>
        <w:gridCol w:w="38"/>
        <w:gridCol w:w="768"/>
        <w:gridCol w:w="181"/>
      </w:tblGrid>
      <w:tr w:rsidR="00960BB8" w14:paraId="5A1B33DF" w14:textId="77777777">
        <w:tc>
          <w:tcPr>
            <w:tcW w:w="50" w:type="pct"/>
            <w:shd w:val="clear" w:color="auto" w:fill="auto"/>
            <w:vAlign w:val="bottom"/>
          </w:tcPr>
          <w:p w14:paraId="5A1B33D0" w14:textId="77777777" w:rsidR="00960BB8" w:rsidRDefault="00960BB8">
            <w:pPr>
              <w:rPr>
                <w:rFonts w:ascii="宋体"/>
              </w:rPr>
            </w:pPr>
          </w:p>
        </w:tc>
        <w:tc>
          <w:tcPr>
            <w:tcW w:w="3688" w:type="pct"/>
            <w:shd w:val="clear" w:color="auto" w:fill="auto"/>
            <w:vAlign w:val="bottom"/>
          </w:tcPr>
          <w:p w14:paraId="5A1B33D1" w14:textId="77777777" w:rsidR="00960BB8" w:rsidRDefault="00960BB8">
            <w:pPr>
              <w:rPr>
                <w:rFonts w:ascii="宋体"/>
              </w:rPr>
            </w:pPr>
          </w:p>
        </w:tc>
        <w:tc>
          <w:tcPr>
            <w:tcW w:w="5" w:type="pct"/>
            <w:shd w:val="clear" w:color="auto" w:fill="auto"/>
            <w:vAlign w:val="bottom"/>
          </w:tcPr>
          <w:p w14:paraId="5A1B33D2" w14:textId="77777777" w:rsidR="00960BB8" w:rsidRDefault="00960BB8">
            <w:pPr>
              <w:rPr>
                <w:rFonts w:ascii="宋体"/>
              </w:rPr>
            </w:pPr>
          </w:p>
        </w:tc>
        <w:tc>
          <w:tcPr>
            <w:tcW w:w="5" w:type="pct"/>
            <w:shd w:val="clear" w:color="auto" w:fill="auto"/>
            <w:vAlign w:val="bottom"/>
          </w:tcPr>
          <w:p w14:paraId="5A1B33D3" w14:textId="77777777" w:rsidR="00960BB8" w:rsidRDefault="00960BB8">
            <w:pPr>
              <w:rPr>
                <w:rFonts w:ascii="宋体"/>
              </w:rPr>
            </w:pPr>
          </w:p>
        </w:tc>
        <w:tc>
          <w:tcPr>
            <w:tcW w:w="24" w:type="pct"/>
            <w:shd w:val="clear" w:color="auto" w:fill="auto"/>
            <w:vAlign w:val="bottom"/>
          </w:tcPr>
          <w:p w14:paraId="5A1B33D4" w14:textId="77777777" w:rsidR="00960BB8" w:rsidRDefault="00960BB8">
            <w:pPr>
              <w:rPr>
                <w:rFonts w:ascii="宋体"/>
              </w:rPr>
            </w:pPr>
          </w:p>
        </w:tc>
        <w:tc>
          <w:tcPr>
            <w:tcW w:w="5" w:type="pct"/>
            <w:shd w:val="clear" w:color="auto" w:fill="auto"/>
            <w:vAlign w:val="bottom"/>
          </w:tcPr>
          <w:p w14:paraId="5A1B33D5" w14:textId="77777777" w:rsidR="00960BB8" w:rsidRDefault="00960BB8">
            <w:pPr>
              <w:rPr>
                <w:rFonts w:ascii="宋体"/>
              </w:rPr>
            </w:pPr>
          </w:p>
        </w:tc>
        <w:tc>
          <w:tcPr>
            <w:tcW w:w="50" w:type="pct"/>
            <w:shd w:val="clear" w:color="auto" w:fill="auto"/>
            <w:vAlign w:val="bottom"/>
          </w:tcPr>
          <w:p w14:paraId="5A1B33D6" w14:textId="77777777" w:rsidR="00960BB8" w:rsidRDefault="00960BB8">
            <w:pPr>
              <w:rPr>
                <w:rFonts w:ascii="宋体"/>
              </w:rPr>
            </w:pPr>
          </w:p>
        </w:tc>
        <w:tc>
          <w:tcPr>
            <w:tcW w:w="539" w:type="pct"/>
            <w:shd w:val="clear" w:color="auto" w:fill="auto"/>
            <w:vAlign w:val="bottom"/>
          </w:tcPr>
          <w:p w14:paraId="5A1B33D7" w14:textId="77777777" w:rsidR="00960BB8" w:rsidRDefault="00960BB8">
            <w:pPr>
              <w:rPr>
                <w:rFonts w:ascii="宋体"/>
              </w:rPr>
            </w:pPr>
          </w:p>
        </w:tc>
        <w:tc>
          <w:tcPr>
            <w:tcW w:w="5" w:type="pct"/>
            <w:shd w:val="clear" w:color="auto" w:fill="auto"/>
            <w:vAlign w:val="bottom"/>
          </w:tcPr>
          <w:p w14:paraId="5A1B33D8" w14:textId="77777777" w:rsidR="00960BB8" w:rsidRDefault="00960BB8">
            <w:pPr>
              <w:rPr>
                <w:rFonts w:ascii="宋体"/>
              </w:rPr>
            </w:pPr>
          </w:p>
        </w:tc>
        <w:tc>
          <w:tcPr>
            <w:tcW w:w="5" w:type="pct"/>
            <w:shd w:val="clear" w:color="auto" w:fill="auto"/>
            <w:vAlign w:val="bottom"/>
          </w:tcPr>
          <w:p w14:paraId="5A1B33D9" w14:textId="77777777" w:rsidR="00960BB8" w:rsidRDefault="00960BB8">
            <w:pPr>
              <w:rPr>
                <w:rFonts w:ascii="宋体"/>
              </w:rPr>
            </w:pPr>
          </w:p>
        </w:tc>
        <w:tc>
          <w:tcPr>
            <w:tcW w:w="24" w:type="pct"/>
            <w:shd w:val="clear" w:color="auto" w:fill="auto"/>
            <w:vAlign w:val="bottom"/>
          </w:tcPr>
          <w:p w14:paraId="5A1B33DA" w14:textId="77777777" w:rsidR="00960BB8" w:rsidRDefault="00960BB8">
            <w:pPr>
              <w:rPr>
                <w:rFonts w:ascii="宋体"/>
              </w:rPr>
            </w:pPr>
          </w:p>
        </w:tc>
        <w:tc>
          <w:tcPr>
            <w:tcW w:w="5" w:type="pct"/>
            <w:shd w:val="clear" w:color="auto" w:fill="auto"/>
            <w:vAlign w:val="bottom"/>
          </w:tcPr>
          <w:p w14:paraId="5A1B33DB" w14:textId="77777777" w:rsidR="00960BB8" w:rsidRDefault="00960BB8">
            <w:pPr>
              <w:rPr>
                <w:rFonts w:ascii="宋体"/>
              </w:rPr>
            </w:pPr>
          </w:p>
        </w:tc>
        <w:tc>
          <w:tcPr>
            <w:tcW w:w="50" w:type="pct"/>
            <w:shd w:val="clear" w:color="auto" w:fill="auto"/>
            <w:vAlign w:val="bottom"/>
          </w:tcPr>
          <w:p w14:paraId="5A1B33DC" w14:textId="77777777" w:rsidR="00960BB8" w:rsidRDefault="00960BB8">
            <w:pPr>
              <w:rPr>
                <w:rFonts w:ascii="宋体"/>
              </w:rPr>
            </w:pPr>
          </w:p>
        </w:tc>
        <w:tc>
          <w:tcPr>
            <w:tcW w:w="539" w:type="pct"/>
            <w:shd w:val="clear" w:color="auto" w:fill="auto"/>
            <w:vAlign w:val="bottom"/>
          </w:tcPr>
          <w:p w14:paraId="5A1B33DD" w14:textId="77777777" w:rsidR="00960BB8" w:rsidRDefault="00960BB8">
            <w:pPr>
              <w:rPr>
                <w:rFonts w:ascii="宋体"/>
              </w:rPr>
            </w:pPr>
          </w:p>
        </w:tc>
        <w:tc>
          <w:tcPr>
            <w:tcW w:w="5" w:type="pct"/>
            <w:shd w:val="clear" w:color="auto" w:fill="auto"/>
            <w:vAlign w:val="bottom"/>
          </w:tcPr>
          <w:p w14:paraId="5A1B33DE" w14:textId="77777777" w:rsidR="00960BB8" w:rsidRDefault="00960BB8">
            <w:pPr>
              <w:rPr>
                <w:rFonts w:ascii="宋体"/>
              </w:rPr>
            </w:pPr>
          </w:p>
        </w:tc>
      </w:tr>
      <w:tr w:rsidR="00960BB8" w14:paraId="5A1B33E5" w14:textId="77777777">
        <w:tc>
          <w:tcPr>
            <w:tcW w:w="0" w:type="auto"/>
            <w:gridSpan w:val="3"/>
            <w:shd w:val="clear" w:color="auto" w:fill="auto"/>
            <w:tcMar>
              <w:top w:w="0" w:type="dxa"/>
              <w:left w:w="20" w:type="dxa"/>
              <w:bottom w:w="0" w:type="dxa"/>
              <w:right w:w="20" w:type="dxa"/>
            </w:tcMar>
            <w:vAlign w:val="bottom"/>
          </w:tcPr>
          <w:p w14:paraId="5A1B33E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3E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3E2"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33E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3E4" w14:textId="77777777" w:rsidR="00960BB8" w:rsidRDefault="00C06650">
            <w:pPr>
              <w:jc w:val="center"/>
              <w:textAlignment w:val="bottom"/>
            </w:pPr>
            <w:r>
              <w:rPr>
                <w:rFonts w:ascii="Arial" w:eastAsia="宋体" w:hAnsi="Arial" w:cs="Arial"/>
                <w:b/>
                <w:bCs/>
                <w:color w:val="262626"/>
                <w:sz w:val="18"/>
                <w:szCs w:val="18"/>
              </w:rPr>
              <w:t xml:space="preserve">Dec 25, </w:t>
            </w:r>
            <w:r>
              <w:rPr>
                <w:rFonts w:ascii="Arial" w:eastAsia="宋体" w:hAnsi="Arial" w:cs="Arial"/>
                <w:b/>
                <w:bCs/>
                <w:color w:val="262626"/>
                <w:sz w:val="18"/>
                <w:szCs w:val="18"/>
              </w:rPr>
              <w:t>2021</w:t>
            </w:r>
          </w:p>
        </w:tc>
      </w:tr>
      <w:tr w:rsidR="00960BB8" w14:paraId="5A1B33EB"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33E6" w14:textId="77777777" w:rsidR="00960BB8" w:rsidRDefault="00C06650">
            <w:pPr>
              <w:textAlignment w:val="bottom"/>
            </w:pPr>
            <w:r>
              <w:rPr>
                <w:rFonts w:ascii="Arial" w:eastAsia="宋体" w:hAnsi="Arial" w:cs="Arial"/>
                <w:b/>
                <w:bCs/>
                <w:color w:val="262626"/>
                <w:sz w:val="18"/>
                <w:szCs w:val="18"/>
              </w:rPr>
              <w:t>Weighted average actuarial assumptions used to determine benefit obligations</w:t>
            </w:r>
          </w:p>
        </w:tc>
        <w:tc>
          <w:tcPr>
            <w:tcW w:w="0" w:type="auto"/>
            <w:gridSpan w:val="3"/>
            <w:shd w:val="clear" w:color="auto" w:fill="auto"/>
            <w:tcMar>
              <w:top w:w="0" w:type="dxa"/>
              <w:left w:w="20" w:type="dxa"/>
              <w:bottom w:w="0" w:type="dxa"/>
              <w:right w:w="20" w:type="dxa"/>
            </w:tcMar>
            <w:vAlign w:val="bottom"/>
          </w:tcPr>
          <w:p w14:paraId="5A1B33E7"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3E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3E9"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3EA" w14:textId="77777777" w:rsidR="00960BB8" w:rsidRDefault="00960BB8">
            <w:pPr>
              <w:rPr>
                <w:rFonts w:ascii="宋体"/>
              </w:rPr>
            </w:pPr>
          </w:p>
        </w:tc>
      </w:tr>
      <w:tr w:rsidR="00960BB8" w14:paraId="5A1B33F3" w14:textId="77777777">
        <w:tc>
          <w:tcPr>
            <w:tcW w:w="0" w:type="auto"/>
            <w:gridSpan w:val="3"/>
            <w:shd w:val="clear" w:color="auto" w:fill="auto"/>
            <w:tcMar>
              <w:top w:w="40" w:type="dxa"/>
              <w:left w:w="20" w:type="dxa"/>
              <w:bottom w:w="40" w:type="dxa"/>
              <w:right w:w="20" w:type="dxa"/>
            </w:tcMar>
            <w:vAlign w:val="bottom"/>
          </w:tcPr>
          <w:p w14:paraId="5A1B33EC" w14:textId="77777777" w:rsidR="00960BB8" w:rsidRDefault="00C06650">
            <w:pPr>
              <w:textAlignment w:val="bottom"/>
            </w:pPr>
            <w:r>
              <w:rPr>
                <w:rFonts w:ascii="Arial" w:eastAsia="宋体" w:hAnsi="Arial" w:cs="Arial"/>
                <w:color w:val="262626"/>
                <w:sz w:val="18"/>
                <w:szCs w:val="18"/>
              </w:rPr>
              <w:t>Discount rate</w:t>
            </w:r>
          </w:p>
        </w:tc>
        <w:tc>
          <w:tcPr>
            <w:tcW w:w="0" w:type="auto"/>
            <w:gridSpan w:val="3"/>
            <w:shd w:val="clear" w:color="auto" w:fill="auto"/>
            <w:tcMar>
              <w:top w:w="0" w:type="dxa"/>
              <w:left w:w="20" w:type="dxa"/>
              <w:bottom w:w="0" w:type="dxa"/>
              <w:right w:w="20" w:type="dxa"/>
            </w:tcMar>
            <w:vAlign w:val="bottom"/>
          </w:tcPr>
          <w:p w14:paraId="5A1B33E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3EE" w14:textId="77777777" w:rsidR="00960BB8" w:rsidRDefault="00C06650">
            <w:pPr>
              <w:jc w:val="right"/>
              <w:textAlignment w:val="bottom"/>
            </w:pPr>
            <w:r>
              <w:rPr>
                <w:rFonts w:ascii="Arial" w:eastAsia="宋体" w:hAnsi="Arial" w:cs="Arial"/>
                <w:color w:val="0068B5"/>
                <w:sz w:val="18"/>
                <w:szCs w:val="18"/>
              </w:rPr>
              <w:t>4.9 </w:t>
            </w:r>
          </w:p>
        </w:tc>
        <w:tc>
          <w:tcPr>
            <w:tcW w:w="0" w:type="auto"/>
            <w:shd w:val="clear" w:color="auto" w:fill="auto"/>
            <w:tcMar>
              <w:top w:w="40" w:type="dxa"/>
              <w:left w:w="0" w:type="dxa"/>
              <w:bottom w:w="40" w:type="dxa"/>
              <w:right w:w="20" w:type="dxa"/>
            </w:tcMar>
            <w:vAlign w:val="bottom"/>
          </w:tcPr>
          <w:p w14:paraId="5A1B33EF"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33F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3F1" w14:textId="77777777" w:rsidR="00960BB8" w:rsidRDefault="00C06650">
            <w:pPr>
              <w:jc w:val="right"/>
              <w:textAlignment w:val="bottom"/>
            </w:pPr>
            <w:r>
              <w:rPr>
                <w:rFonts w:ascii="Arial" w:eastAsia="宋体" w:hAnsi="Arial" w:cs="Arial"/>
                <w:color w:val="262626"/>
                <w:sz w:val="18"/>
                <w:szCs w:val="18"/>
              </w:rPr>
              <w:t>2.2 </w:t>
            </w:r>
          </w:p>
        </w:tc>
        <w:tc>
          <w:tcPr>
            <w:tcW w:w="0" w:type="auto"/>
            <w:shd w:val="clear" w:color="auto" w:fill="auto"/>
            <w:tcMar>
              <w:top w:w="40" w:type="dxa"/>
              <w:left w:w="0" w:type="dxa"/>
              <w:bottom w:w="40" w:type="dxa"/>
              <w:right w:w="20" w:type="dxa"/>
            </w:tcMar>
            <w:vAlign w:val="bottom"/>
          </w:tcPr>
          <w:p w14:paraId="5A1B33F2" w14:textId="77777777" w:rsidR="00960BB8" w:rsidRDefault="00C06650">
            <w:pPr>
              <w:jc w:val="right"/>
              <w:textAlignment w:val="bottom"/>
            </w:pPr>
            <w:r>
              <w:rPr>
                <w:rFonts w:ascii="Arial" w:eastAsia="宋体" w:hAnsi="Arial" w:cs="Arial"/>
                <w:color w:val="262626"/>
                <w:sz w:val="18"/>
                <w:szCs w:val="18"/>
              </w:rPr>
              <w:t>%</w:t>
            </w:r>
          </w:p>
        </w:tc>
      </w:tr>
      <w:tr w:rsidR="00960BB8" w14:paraId="5A1B33FB" w14:textId="77777777">
        <w:tc>
          <w:tcPr>
            <w:tcW w:w="0" w:type="auto"/>
            <w:gridSpan w:val="3"/>
            <w:shd w:val="clear" w:color="auto" w:fill="auto"/>
            <w:tcMar>
              <w:top w:w="40" w:type="dxa"/>
              <w:left w:w="20" w:type="dxa"/>
              <w:bottom w:w="40" w:type="dxa"/>
              <w:right w:w="20" w:type="dxa"/>
            </w:tcMar>
            <w:vAlign w:val="bottom"/>
          </w:tcPr>
          <w:p w14:paraId="5A1B33F4" w14:textId="77777777" w:rsidR="00960BB8" w:rsidRDefault="00C06650">
            <w:pPr>
              <w:textAlignment w:val="bottom"/>
            </w:pPr>
            <w:r>
              <w:rPr>
                <w:rFonts w:ascii="Arial" w:eastAsia="宋体" w:hAnsi="Arial" w:cs="Arial"/>
                <w:color w:val="262626"/>
                <w:sz w:val="18"/>
                <w:szCs w:val="18"/>
              </w:rPr>
              <w:t>Rate of compensation increase</w:t>
            </w:r>
          </w:p>
        </w:tc>
        <w:tc>
          <w:tcPr>
            <w:tcW w:w="0" w:type="auto"/>
            <w:gridSpan w:val="3"/>
            <w:shd w:val="clear" w:color="auto" w:fill="auto"/>
            <w:tcMar>
              <w:top w:w="0" w:type="dxa"/>
              <w:left w:w="20" w:type="dxa"/>
              <w:bottom w:w="0" w:type="dxa"/>
              <w:right w:w="20" w:type="dxa"/>
            </w:tcMar>
            <w:vAlign w:val="bottom"/>
          </w:tcPr>
          <w:p w14:paraId="5A1B33F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3F6" w14:textId="77777777" w:rsidR="00960BB8" w:rsidRDefault="00C06650">
            <w:pPr>
              <w:jc w:val="right"/>
              <w:textAlignment w:val="bottom"/>
            </w:pPr>
            <w:r>
              <w:rPr>
                <w:rFonts w:ascii="Arial" w:eastAsia="宋体" w:hAnsi="Arial" w:cs="Arial"/>
                <w:color w:val="0068B5"/>
                <w:sz w:val="18"/>
                <w:szCs w:val="18"/>
              </w:rPr>
              <w:t>3.7 </w:t>
            </w:r>
          </w:p>
        </w:tc>
        <w:tc>
          <w:tcPr>
            <w:tcW w:w="0" w:type="auto"/>
            <w:shd w:val="clear" w:color="auto" w:fill="auto"/>
            <w:tcMar>
              <w:top w:w="40" w:type="dxa"/>
              <w:left w:w="0" w:type="dxa"/>
              <w:bottom w:w="40" w:type="dxa"/>
              <w:right w:w="20" w:type="dxa"/>
            </w:tcMar>
            <w:vAlign w:val="bottom"/>
          </w:tcPr>
          <w:p w14:paraId="5A1B33F7"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33F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3F9" w14:textId="77777777" w:rsidR="00960BB8" w:rsidRDefault="00C06650">
            <w:pPr>
              <w:jc w:val="right"/>
              <w:textAlignment w:val="bottom"/>
            </w:pPr>
            <w:r>
              <w:rPr>
                <w:rFonts w:ascii="Arial" w:eastAsia="宋体" w:hAnsi="Arial" w:cs="Arial"/>
                <w:color w:val="262626"/>
                <w:sz w:val="18"/>
                <w:szCs w:val="18"/>
              </w:rPr>
              <w:t>3.2 </w:t>
            </w:r>
          </w:p>
        </w:tc>
        <w:tc>
          <w:tcPr>
            <w:tcW w:w="0" w:type="auto"/>
            <w:shd w:val="clear" w:color="auto" w:fill="auto"/>
            <w:tcMar>
              <w:top w:w="40" w:type="dxa"/>
              <w:left w:w="0" w:type="dxa"/>
              <w:bottom w:w="40" w:type="dxa"/>
              <w:right w:w="20" w:type="dxa"/>
            </w:tcMar>
            <w:vAlign w:val="bottom"/>
          </w:tcPr>
          <w:p w14:paraId="5A1B33FA" w14:textId="77777777" w:rsidR="00960BB8" w:rsidRDefault="00C06650">
            <w:pPr>
              <w:jc w:val="right"/>
              <w:textAlignment w:val="bottom"/>
            </w:pPr>
            <w:r>
              <w:rPr>
                <w:rFonts w:ascii="Arial" w:eastAsia="宋体" w:hAnsi="Arial" w:cs="Arial"/>
                <w:color w:val="262626"/>
                <w:sz w:val="18"/>
                <w:szCs w:val="18"/>
              </w:rPr>
              <w:t>%</w:t>
            </w:r>
          </w:p>
        </w:tc>
      </w:tr>
    </w:tbl>
    <w:p w14:paraId="5A1B33FC"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5018"/>
        <w:gridCol w:w="36"/>
        <w:gridCol w:w="36"/>
        <w:gridCol w:w="36"/>
        <w:gridCol w:w="36"/>
        <w:gridCol w:w="38"/>
        <w:gridCol w:w="753"/>
        <w:gridCol w:w="181"/>
        <w:gridCol w:w="36"/>
        <w:gridCol w:w="36"/>
        <w:gridCol w:w="36"/>
        <w:gridCol w:w="38"/>
        <w:gridCol w:w="755"/>
        <w:gridCol w:w="181"/>
        <w:gridCol w:w="36"/>
        <w:gridCol w:w="36"/>
        <w:gridCol w:w="36"/>
        <w:gridCol w:w="38"/>
        <w:gridCol w:w="756"/>
        <w:gridCol w:w="181"/>
      </w:tblGrid>
      <w:tr w:rsidR="00960BB8" w14:paraId="5A1B3412" w14:textId="77777777">
        <w:tc>
          <w:tcPr>
            <w:tcW w:w="50" w:type="pct"/>
            <w:shd w:val="clear" w:color="auto" w:fill="auto"/>
            <w:vAlign w:val="bottom"/>
          </w:tcPr>
          <w:p w14:paraId="5A1B33FD" w14:textId="77777777" w:rsidR="00960BB8" w:rsidRDefault="00960BB8">
            <w:pPr>
              <w:rPr>
                <w:rFonts w:ascii="宋体"/>
              </w:rPr>
            </w:pPr>
          </w:p>
        </w:tc>
        <w:tc>
          <w:tcPr>
            <w:tcW w:w="3059" w:type="pct"/>
            <w:shd w:val="clear" w:color="auto" w:fill="auto"/>
            <w:vAlign w:val="bottom"/>
          </w:tcPr>
          <w:p w14:paraId="5A1B33FE" w14:textId="77777777" w:rsidR="00960BB8" w:rsidRDefault="00960BB8">
            <w:pPr>
              <w:rPr>
                <w:rFonts w:ascii="宋体"/>
              </w:rPr>
            </w:pPr>
          </w:p>
        </w:tc>
        <w:tc>
          <w:tcPr>
            <w:tcW w:w="5" w:type="pct"/>
            <w:shd w:val="clear" w:color="auto" w:fill="auto"/>
            <w:vAlign w:val="bottom"/>
          </w:tcPr>
          <w:p w14:paraId="5A1B33FF" w14:textId="77777777" w:rsidR="00960BB8" w:rsidRDefault="00960BB8">
            <w:pPr>
              <w:rPr>
                <w:rFonts w:ascii="宋体"/>
              </w:rPr>
            </w:pPr>
          </w:p>
        </w:tc>
        <w:tc>
          <w:tcPr>
            <w:tcW w:w="5" w:type="pct"/>
            <w:shd w:val="clear" w:color="auto" w:fill="auto"/>
            <w:vAlign w:val="bottom"/>
          </w:tcPr>
          <w:p w14:paraId="5A1B3400" w14:textId="77777777" w:rsidR="00960BB8" w:rsidRDefault="00960BB8">
            <w:pPr>
              <w:rPr>
                <w:rFonts w:ascii="宋体"/>
              </w:rPr>
            </w:pPr>
          </w:p>
        </w:tc>
        <w:tc>
          <w:tcPr>
            <w:tcW w:w="24" w:type="pct"/>
            <w:shd w:val="clear" w:color="auto" w:fill="auto"/>
            <w:vAlign w:val="bottom"/>
          </w:tcPr>
          <w:p w14:paraId="5A1B3401" w14:textId="77777777" w:rsidR="00960BB8" w:rsidRDefault="00960BB8">
            <w:pPr>
              <w:rPr>
                <w:rFonts w:ascii="宋体"/>
              </w:rPr>
            </w:pPr>
          </w:p>
        </w:tc>
        <w:tc>
          <w:tcPr>
            <w:tcW w:w="5" w:type="pct"/>
            <w:shd w:val="clear" w:color="auto" w:fill="auto"/>
            <w:vAlign w:val="bottom"/>
          </w:tcPr>
          <w:p w14:paraId="5A1B3402" w14:textId="77777777" w:rsidR="00960BB8" w:rsidRDefault="00960BB8">
            <w:pPr>
              <w:rPr>
                <w:rFonts w:ascii="宋体"/>
              </w:rPr>
            </w:pPr>
          </w:p>
        </w:tc>
        <w:tc>
          <w:tcPr>
            <w:tcW w:w="50" w:type="pct"/>
            <w:shd w:val="clear" w:color="auto" w:fill="auto"/>
            <w:vAlign w:val="bottom"/>
          </w:tcPr>
          <w:p w14:paraId="5A1B3403" w14:textId="77777777" w:rsidR="00960BB8" w:rsidRDefault="00960BB8">
            <w:pPr>
              <w:rPr>
                <w:rFonts w:ascii="宋体"/>
              </w:rPr>
            </w:pPr>
          </w:p>
        </w:tc>
        <w:tc>
          <w:tcPr>
            <w:tcW w:w="539" w:type="pct"/>
            <w:shd w:val="clear" w:color="auto" w:fill="auto"/>
            <w:vAlign w:val="bottom"/>
          </w:tcPr>
          <w:p w14:paraId="5A1B3404" w14:textId="77777777" w:rsidR="00960BB8" w:rsidRDefault="00960BB8">
            <w:pPr>
              <w:rPr>
                <w:rFonts w:ascii="宋体"/>
              </w:rPr>
            </w:pPr>
          </w:p>
        </w:tc>
        <w:tc>
          <w:tcPr>
            <w:tcW w:w="5" w:type="pct"/>
            <w:shd w:val="clear" w:color="auto" w:fill="auto"/>
            <w:vAlign w:val="bottom"/>
          </w:tcPr>
          <w:p w14:paraId="5A1B3405" w14:textId="77777777" w:rsidR="00960BB8" w:rsidRDefault="00960BB8">
            <w:pPr>
              <w:rPr>
                <w:rFonts w:ascii="宋体"/>
              </w:rPr>
            </w:pPr>
          </w:p>
        </w:tc>
        <w:tc>
          <w:tcPr>
            <w:tcW w:w="5" w:type="pct"/>
            <w:shd w:val="clear" w:color="auto" w:fill="auto"/>
            <w:vAlign w:val="bottom"/>
          </w:tcPr>
          <w:p w14:paraId="5A1B3406" w14:textId="77777777" w:rsidR="00960BB8" w:rsidRDefault="00960BB8">
            <w:pPr>
              <w:rPr>
                <w:rFonts w:ascii="宋体"/>
              </w:rPr>
            </w:pPr>
          </w:p>
        </w:tc>
        <w:tc>
          <w:tcPr>
            <w:tcW w:w="24" w:type="pct"/>
            <w:shd w:val="clear" w:color="auto" w:fill="auto"/>
            <w:vAlign w:val="bottom"/>
          </w:tcPr>
          <w:p w14:paraId="5A1B3407" w14:textId="77777777" w:rsidR="00960BB8" w:rsidRDefault="00960BB8">
            <w:pPr>
              <w:rPr>
                <w:rFonts w:ascii="宋体"/>
              </w:rPr>
            </w:pPr>
          </w:p>
        </w:tc>
        <w:tc>
          <w:tcPr>
            <w:tcW w:w="5" w:type="pct"/>
            <w:shd w:val="clear" w:color="auto" w:fill="auto"/>
            <w:vAlign w:val="bottom"/>
          </w:tcPr>
          <w:p w14:paraId="5A1B3408" w14:textId="77777777" w:rsidR="00960BB8" w:rsidRDefault="00960BB8">
            <w:pPr>
              <w:rPr>
                <w:rFonts w:ascii="宋体"/>
              </w:rPr>
            </w:pPr>
          </w:p>
        </w:tc>
        <w:tc>
          <w:tcPr>
            <w:tcW w:w="50" w:type="pct"/>
            <w:shd w:val="clear" w:color="auto" w:fill="auto"/>
            <w:vAlign w:val="bottom"/>
          </w:tcPr>
          <w:p w14:paraId="5A1B3409" w14:textId="77777777" w:rsidR="00960BB8" w:rsidRDefault="00960BB8">
            <w:pPr>
              <w:rPr>
                <w:rFonts w:ascii="宋体"/>
              </w:rPr>
            </w:pPr>
          </w:p>
        </w:tc>
        <w:tc>
          <w:tcPr>
            <w:tcW w:w="539" w:type="pct"/>
            <w:shd w:val="clear" w:color="auto" w:fill="auto"/>
            <w:vAlign w:val="bottom"/>
          </w:tcPr>
          <w:p w14:paraId="5A1B340A" w14:textId="77777777" w:rsidR="00960BB8" w:rsidRDefault="00960BB8">
            <w:pPr>
              <w:rPr>
                <w:rFonts w:ascii="宋体"/>
              </w:rPr>
            </w:pPr>
          </w:p>
        </w:tc>
        <w:tc>
          <w:tcPr>
            <w:tcW w:w="5" w:type="pct"/>
            <w:shd w:val="clear" w:color="auto" w:fill="auto"/>
            <w:vAlign w:val="bottom"/>
          </w:tcPr>
          <w:p w14:paraId="5A1B340B" w14:textId="77777777" w:rsidR="00960BB8" w:rsidRDefault="00960BB8">
            <w:pPr>
              <w:rPr>
                <w:rFonts w:ascii="宋体"/>
              </w:rPr>
            </w:pPr>
          </w:p>
        </w:tc>
        <w:tc>
          <w:tcPr>
            <w:tcW w:w="5" w:type="pct"/>
            <w:shd w:val="clear" w:color="auto" w:fill="auto"/>
            <w:vAlign w:val="bottom"/>
          </w:tcPr>
          <w:p w14:paraId="5A1B340C" w14:textId="77777777" w:rsidR="00960BB8" w:rsidRDefault="00960BB8">
            <w:pPr>
              <w:rPr>
                <w:rFonts w:ascii="宋体"/>
              </w:rPr>
            </w:pPr>
          </w:p>
        </w:tc>
        <w:tc>
          <w:tcPr>
            <w:tcW w:w="24" w:type="pct"/>
            <w:shd w:val="clear" w:color="auto" w:fill="auto"/>
            <w:vAlign w:val="bottom"/>
          </w:tcPr>
          <w:p w14:paraId="5A1B340D" w14:textId="77777777" w:rsidR="00960BB8" w:rsidRDefault="00960BB8">
            <w:pPr>
              <w:rPr>
                <w:rFonts w:ascii="宋体"/>
              </w:rPr>
            </w:pPr>
          </w:p>
        </w:tc>
        <w:tc>
          <w:tcPr>
            <w:tcW w:w="5" w:type="pct"/>
            <w:shd w:val="clear" w:color="auto" w:fill="auto"/>
            <w:vAlign w:val="bottom"/>
          </w:tcPr>
          <w:p w14:paraId="5A1B340E" w14:textId="77777777" w:rsidR="00960BB8" w:rsidRDefault="00960BB8">
            <w:pPr>
              <w:rPr>
                <w:rFonts w:ascii="宋体"/>
              </w:rPr>
            </w:pPr>
          </w:p>
        </w:tc>
        <w:tc>
          <w:tcPr>
            <w:tcW w:w="50" w:type="pct"/>
            <w:shd w:val="clear" w:color="auto" w:fill="auto"/>
            <w:vAlign w:val="bottom"/>
          </w:tcPr>
          <w:p w14:paraId="5A1B340F" w14:textId="77777777" w:rsidR="00960BB8" w:rsidRDefault="00960BB8">
            <w:pPr>
              <w:rPr>
                <w:rFonts w:ascii="宋体"/>
              </w:rPr>
            </w:pPr>
          </w:p>
        </w:tc>
        <w:tc>
          <w:tcPr>
            <w:tcW w:w="539" w:type="pct"/>
            <w:shd w:val="clear" w:color="auto" w:fill="auto"/>
            <w:vAlign w:val="bottom"/>
          </w:tcPr>
          <w:p w14:paraId="5A1B3410" w14:textId="77777777" w:rsidR="00960BB8" w:rsidRDefault="00960BB8">
            <w:pPr>
              <w:rPr>
                <w:rFonts w:ascii="宋体"/>
              </w:rPr>
            </w:pPr>
          </w:p>
        </w:tc>
        <w:tc>
          <w:tcPr>
            <w:tcW w:w="5" w:type="pct"/>
            <w:shd w:val="clear" w:color="auto" w:fill="auto"/>
            <w:vAlign w:val="bottom"/>
          </w:tcPr>
          <w:p w14:paraId="5A1B3411" w14:textId="77777777" w:rsidR="00960BB8" w:rsidRDefault="00960BB8">
            <w:pPr>
              <w:rPr>
                <w:rFonts w:ascii="宋体"/>
              </w:rPr>
            </w:pPr>
          </w:p>
        </w:tc>
      </w:tr>
      <w:tr w:rsidR="00960BB8" w14:paraId="5A1B341A" w14:textId="77777777">
        <w:tc>
          <w:tcPr>
            <w:tcW w:w="0" w:type="auto"/>
            <w:gridSpan w:val="3"/>
            <w:shd w:val="clear" w:color="auto" w:fill="auto"/>
            <w:tcMar>
              <w:top w:w="0" w:type="dxa"/>
              <w:left w:w="20" w:type="dxa"/>
              <w:bottom w:w="0" w:type="dxa"/>
              <w:right w:w="20" w:type="dxa"/>
            </w:tcMar>
            <w:vAlign w:val="bottom"/>
          </w:tcPr>
          <w:p w14:paraId="5A1B341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1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415" w14:textId="77777777" w:rsidR="00960BB8" w:rsidRDefault="00C06650">
            <w:pPr>
              <w:jc w:val="center"/>
              <w:textAlignment w:val="bottom"/>
            </w:pPr>
            <w:r>
              <w:rPr>
                <w:rFonts w:ascii="Arial" w:eastAsia="宋体" w:hAnsi="Arial" w:cs="Arial"/>
                <w:b/>
                <w:bCs/>
                <w:color w:val="262626"/>
                <w:sz w:val="18"/>
                <w:szCs w:val="18"/>
              </w:rPr>
              <w:t>2022</w:t>
            </w:r>
          </w:p>
        </w:tc>
        <w:tc>
          <w:tcPr>
            <w:tcW w:w="0" w:type="auto"/>
            <w:gridSpan w:val="3"/>
            <w:shd w:val="clear" w:color="auto" w:fill="auto"/>
            <w:tcMar>
              <w:top w:w="0" w:type="dxa"/>
              <w:left w:w="20" w:type="dxa"/>
              <w:bottom w:w="0" w:type="dxa"/>
              <w:right w:w="20" w:type="dxa"/>
            </w:tcMar>
            <w:vAlign w:val="bottom"/>
          </w:tcPr>
          <w:p w14:paraId="5A1B341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417" w14:textId="77777777" w:rsidR="00960BB8" w:rsidRDefault="00C06650">
            <w:pPr>
              <w:jc w:val="center"/>
              <w:textAlignment w:val="bottom"/>
            </w:pPr>
            <w:r>
              <w:rPr>
                <w:rFonts w:ascii="Arial" w:eastAsia="宋体" w:hAnsi="Arial" w:cs="Arial"/>
                <w:b/>
                <w:bCs/>
                <w:color w:val="262626"/>
                <w:sz w:val="18"/>
                <w:szCs w:val="18"/>
              </w:rPr>
              <w:t>2021</w:t>
            </w:r>
          </w:p>
        </w:tc>
        <w:tc>
          <w:tcPr>
            <w:tcW w:w="0" w:type="auto"/>
            <w:gridSpan w:val="3"/>
            <w:shd w:val="clear" w:color="auto" w:fill="auto"/>
            <w:tcMar>
              <w:top w:w="0" w:type="dxa"/>
              <w:left w:w="20" w:type="dxa"/>
              <w:bottom w:w="0" w:type="dxa"/>
              <w:right w:w="20" w:type="dxa"/>
            </w:tcMar>
            <w:vAlign w:val="bottom"/>
          </w:tcPr>
          <w:p w14:paraId="5A1B341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419" w14:textId="77777777" w:rsidR="00960BB8" w:rsidRDefault="00C06650">
            <w:pPr>
              <w:jc w:val="center"/>
              <w:textAlignment w:val="bottom"/>
            </w:pPr>
            <w:r>
              <w:rPr>
                <w:rFonts w:ascii="Arial" w:eastAsia="宋体" w:hAnsi="Arial" w:cs="Arial"/>
                <w:b/>
                <w:bCs/>
                <w:color w:val="262626"/>
                <w:sz w:val="18"/>
                <w:szCs w:val="18"/>
              </w:rPr>
              <w:t>2020</w:t>
            </w:r>
          </w:p>
        </w:tc>
      </w:tr>
      <w:tr w:rsidR="00960BB8" w14:paraId="5A1B342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341B" w14:textId="77777777" w:rsidR="00960BB8" w:rsidRDefault="00C06650">
            <w:pPr>
              <w:textAlignment w:val="bottom"/>
            </w:pPr>
            <w:r>
              <w:rPr>
                <w:rFonts w:ascii="Arial" w:eastAsia="宋体" w:hAnsi="Arial" w:cs="Arial"/>
                <w:b/>
                <w:bCs/>
                <w:color w:val="262626"/>
                <w:sz w:val="18"/>
                <w:szCs w:val="18"/>
              </w:rPr>
              <w:t>Weighted average actuarial assumptions used to determine costs</w:t>
            </w:r>
          </w:p>
        </w:tc>
        <w:tc>
          <w:tcPr>
            <w:tcW w:w="0" w:type="auto"/>
            <w:gridSpan w:val="3"/>
            <w:shd w:val="clear" w:color="auto" w:fill="auto"/>
            <w:tcMar>
              <w:top w:w="0" w:type="dxa"/>
              <w:left w:w="20" w:type="dxa"/>
              <w:bottom w:w="0" w:type="dxa"/>
              <w:right w:w="20" w:type="dxa"/>
            </w:tcMar>
            <w:vAlign w:val="bottom"/>
          </w:tcPr>
          <w:p w14:paraId="5A1B341C"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41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1E"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41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20"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421" w14:textId="77777777" w:rsidR="00960BB8" w:rsidRDefault="00960BB8">
            <w:pPr>
              <w:rPr>
                <w:rFonts w:ascii="宋体"/>
              </w:rPr>
            </w:pPr>
          </w:p>
        </w:tc>
      </w:tr>
      <w:tr w:rsidR="00960BB8" w14:paraId="5A1B342D" w14:textId="77777777">
        <w:tc>
          <w:tcPr>
            <w:tcW w:w="0" w:type="auto"/>
            <w:gridSpan w:val="3"/>
            <w:shd w:val="clear" w:color="auto" w:fill="auto"/>
            <w:tcMar>
              <w:top w:w="40" w:type="dxa"/>
              <w:left w:w="20" w:type="dxa"/>
              <w:bottom w:w="40" w:type="dxa"/>
              <w:right w:w="20" w:type="dxa"/>
            </w:tcMar>
            <w:vAlign w:val="bottom"/>
          </w:tcPr>
          <w:p w14:paraId="5A1B3423" w14:textId="77777777" w:rsidR="00960BB8" w:rsidRDefault="00C06650">
            <w:pPr>
              <w:textAlignment w:val="bottom"/>
            </w:pPr>
            <w:r>
              <w:rPr>
                <w:rFonts w:ascii="Arial" w:eastAsia="宋体" w:hAnsi="Arial" w:cs="Arial"/>
                <w:color w:val="262626"/>
                <w:sz w:val="18"/>
                <w:szCs w:val="18"/>
              </w:rPr>
              <w:t>Discount rate</w:t>
            </w:r>
          </w:p>
        </w:tc>
        <w:tc>
          <w:tcPr>
            <w:tcW w:w="0" w:type="auto"/>
            <w:gridSpan w:val="3"/>
            <w:shd w:val="clear" w:color="auto" w:fill="auto"/>
            <w:tcMar>
              <w:top w:w="0" w:type="dxa"/>
              <w:left w:w="20" w:type="dxa"/>
              <w:bottom w:w="0" w:type="dxa"/>
              <w:right w:w="20" w:type="dxa"/>
            </w:tcMar>
            <w:vAlign w:val="bottom"/>
          </w:tcPr>
          <w:p w14:paraId="5A1B342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25" w14:textId="77777777" w:rsidR="00960BB8" w:rsidRDefault="00C06650">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5A1B3426"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342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28" w14:textId="77777777" w:rsidR="00960BB8" w:rsidRDefault="00C06650">
            <w:pPr>
              <w:jc w:val="right"/>
              <w:textAlignment w:val="bottom"/>
            </w:pPr>
            <w:r>
              <w:rPr>
                <w:rFonts w:ascii="Arial" w:eastAsia="宋体" w:hAnsi="Arial" w:cs="Arial"/>
                <w:color w:val="262626"/>
                <w:sz w:val="18"/>
                <w:szCs w:val="18"/>
              </w:rPr>
              <w:t>1.9 </w:t>
            </w:r>
          </w:p>
        </w:tc>
        <w:tc>
          <w:tcPr>
            <w:tcW w:w="0" w:type="auto"/>
            <w:shd w:val="clear" w:color="auto" w:fill="auto"/>
            <w:tcMar>
              <w:top w:w="40" w:type="dxa"/>
              <w:left w:w="0" w:type="dxa"/>
              <w:bottom w:w="40" w:type="dxa"/>
              <w:right w:w="20" w:type="dxa"/>
            </w:tcMar>
            <w:vAlign w:val="bottom"/>
          </w:tcPr>
          <w:p w14:paraId="5A1B3429"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342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2B" w14:textId="77777777" w:rsidR="00960BB8" w:rsidRDefault="00C06650">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5A1B342C" w14:textId="77777777" w:rsidR="00960BB8" w:rsidRDefault="00C06650">
            <w:pPr>
              <w:jc w:val="right"/>
              <w:textAlignment w:val="bottom"/>
            </w:pPr>
            <w:r>
              <w:rPr>
                <w:rFonts w:ascii="Arial" w:eastAsia="宋体" w:hAnsi="Arial" w:cs="Arial"/>
                <w:color w:val="262626"/>
                <w:sz w:val="18"/>
                <w:szCs w:val="18"/>
              </w:rPr>
              <w:t>%</w:t>
            </w:r>
          </w:p>
        </w:tc>
      </w:tr>
      <w:tr w:rsidR="00960BB8" w14:paraId="5A1B3438" w14:textId="77777777">
        <w:tc>
          <w:tcPr>
            <w:tcW w:w="0" w:type="auto"/>
            <w:gridSpan w:val="3"/>
            <w:shd w:val="clear" w:color="auto" w:fill="auto"/>
            <w:tcMar>
              <w:top w:w="40" w:type="dxa"/>
              <w:left w:w="20" w:type="dxa"/>
              <w:bottom w:w="40" w:type="dxa"/>
              <w:right w:w="20" w:type="dxa"/>
            </w:tcMar>
            <w:vAlign w:val="bottom"/>
          </w:tcPr>
          <w:p w14:paraId="5A1B342E" w14:textId="77777777" w:rsidR="00960BB8" w:rsidRDefault="00C06650">
            <w:pPr>
              <w:textAlignment w:val="bottom"/>
            </w:pPr>
            <w:r>
              <w:rPr>
                <w:rFonts w:ascii="Arial" w:eastAsia="宋体" w:hAnsi="Arial" w:cs="Arial"/>
                <w:color w:val="262626"/>
                <w:sz w:val="18"/>
                <w:szCs w:val="18"/>
              </w:rPr>
              <w:t>Expected long-term rate of return on plan assets</w:t>
            </w:r>
          </w:p>
        </w:tc>
        <w:tc>
          <w:tcPr>
            <w:tcW w:w="0" w:type="auto"/>
            <w:gridSpan w:val="3"/>
            <w:shd w:val="clear" w:color="auto" w:fill="auto"/>
            <w:tcMar>
              <w:top w:w="0" w:type="dxa"/>
              <w:left w:w="20" w:type="dxa"/>
              <w:bottom w:w="0" w:type="dxa"/>
              <w:right w:w="20" w:type="dxa"/>
            </w:tcMar>
            <w:vAlign w:val="bottom"/>
          </w:tcPr>
          <w:p w14:paraId="5A1B342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30" w14:textId="77777777" w:rsidR="00960BB8" w:rsidRDefault="00C06650">
            <w:pPr>
              <w:jc w:val="right"/>
              <w:textAlignment w:val="bottom"/>
            </w:pPr>
            <w:r>
              <w:rPr>
                <w:rFonts w:ascii="Arial" w:eastAsia="宋体" w:hAnsi="Arial" w:cs="Arial"/>
                <w:color w:val="0068B5"/>
                <w:sz w:val="18"/>
                <w:szCs w:val="18"/>
              </w:rPr>
              <w:t>3.2 </w:t>
            </w:r>
          </w:p>
        </w:tc>
        <w:tc>
          <w:tcPr>
            <w:tcW w:w="0" w:type="auto"/>
            <w:shd w:val="clear" w:color="auto" w:fill="auto"/>
            <w:tcMar>
              <w:top w:w="40" w:type="dxa"/>
              <w:left w:w="0" w:type="dxa"/>
              <w:bottom w:w="40" w:type="dxa"/>
              <w:right w:w="20" w:type="dxa"/>
            </w:tcMar>
            <w:vAlign w:val="bottom"/>
          </w:tcPr>
          <w:p w14:paraId="5A1B3431"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343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33" w14:textId="77777777" w:rsidR="00960BB8" w:rsidRDefault="00C06650">
            <w:pPr>
              <w:jc w:val="right"/>
              <w:textAlignment w:val="bottom"/>
            </w:pPr>
            <w:r>
              <w:rPr>
                <w:rFonts w:ascii="Arial" w:eastAsia="宋体" w:hAnsi="Arial" w:cs="Arial"/>
                <w:color w:val="262626"/>
                <w:sz w:val="18"/>
                <w:szCs w:val="18"/>
              </w:rPr>
              <w:t>2.7 </w:t>
            </w:r>
          </w:p>
        </w:tc>
        <w:tc>
          <w:tcPr>
            <w:tcW w:w="0" w:type="auto"/>
            <w:shd w:val="clear" w:color="auto" w:fill="auto"/>
            <w:tcMar>
              <w:top w:w="40" w:type="dxa"/>
              <w:left w:w="0" w:type="dxa"/>
              <w:bottom w:w="40" w:type="dxa"/>
              <w:right w:w="20" w:type="dxa"/>
            </w:tcMar>
            <w:vAlign w:val="bottom"/>
          </w:tcPr>
          <w:p w14:paraId="5A1B3434"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343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36" w14:textId="77777777" w:rsidR="00960BB8" w:rsidRDefault="00C06650">
            <w:pPr>
              <w:jc w:val="right"/>
              <w:textAlignment w:val="bottom"/>
            </w:pPr>
            <w:r>
              <w:rPr>
                <w:rFonts w:ascii="Arial" w:eastAsia="宋体" w:hAnsi="Arial" w:cs="Arial"/>
                <w:color w:val="262626"/>
                <w:sz w:val="18"/>
                <w:szCs w:val="18"/>
              </w:rPr>
              <w:t>3.3 </w:t>
            </w:r>
          </w:p>
        </w:tc>
        <w:tc>
          <w:tcPr>
            <w:tcW w:w="0" w:type="auto"/>
            <w:shd w:val="clear" w:color="auto" w:fill="auto"/>
            <w:tcMar>
              <w:top w:w="40" w:type="dxa"/>
              <w:left w:w="0" w:type="dxa"/>
              <w:bottom w:w="40" w:type="dxa"/>
              <w:right w:w="20" w:type="dxa"/>
            </w:tcMar>
            <w:vAlign w:val="bottom"/>
          </w:tcPr>
          <w:p w14:paraId="5A1B3437" w14:textId="77777777" w:rsidR="00960BB8" w:rsidRDefault="00C06650">
            <w:pPr>
              <w:jc w:val="right"/>
              <w:textAlignment w:val="bottom"/>
            </w:pPr>
            <w:r>
              <w:rPr>
                <w:rFonts w:ascii="Arial" w:eastAsia="宋体" w:hAnsi="Arial" w:cs="Arial"/>
                <w:color w:val="262626"/>
                <w:sz w:val="18"/>
                <w:szCs w:val="18"/>
              </w:rPr>
              <w:t>%</w:t>
            </w:r>
          </w:p>
        </w:tc>
      </w:tr>
      <w:tr w:rsidR="00960BB8" w14:paraId="5A1B3443" w14:textId="77777777">
        <w:tc>
          <w:tcPr>
            <w:tcW w:w="0" w:type="auto"/>
            <w:gridSpan w:val="3"/>
            <w:shd w:val="clear" w:color="auto" w:fill="auto"/>
            <w:tcMar>
              <w:top w:w="40" w:type="dxa"/>
              <w:left w:w="20" w:type="dxa"/>
              <w:bottom w:w="40" w:type="dxa"/>
              <w:right w:w="20" w:type="dxa"/>
            </w:tcMar>
            <w:vAlign w:val="bottom"/>
          </w:tcPr>
          <w:p w14:paraId="5A1B3439" w14:textId="77777777" w:rsidR="00960BB8" w:rsidRDefault="00C06650">
            <w:pPr>
              <w:textAlignment w:val="bottom"/>
            </w:pPr>
            <w:r>
              <w:rPr>
                <w:rFonts w:ascii="Arial" w:eastAsia="宋体" w:hAnsi="Arial" w:cs="Arial"/>
                <w:color w:val="262626"/>
                <w:sz w:val="18"/>
                <w:szCs w:val="18"/>
              </w:rPr>
              <w:t>Rate of compensation increase</w:t>
            </w:r>
          </w:p>
        </w:tc>
        <w:tc>
          <w:tcPr>
            <w:tcW w:w="0" w:type="auto"/>
            <w:gridSpan w:val="3"/>
            <w:shd w:val="clear" w:color="auto" w:fill="auto"/>
            <w:tcMar>
              <w:top w:w="0" w:type="dxa"/>
              <w:left w:w="20" w:type="dxa"/>
              <w:bottom w:w="0" w:type="dxa"/>
              <w:right w:w="20" w:type="dxa"/>
            </w:tcMar>
            <w:vAlign w:val="bottom"/>
          </w:tcPr>
          <w:p w14:paraId="5A1B343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3B" w14:textId="77777777" w:rsidR="00960BB8" w:rsidRDefault="00C06650">
            <w:pPr>
              <w:jc w:val="right"/>
              <w:textAlignment w:val="bottom"/>
            </w:pPr>
            <w:r>
              <w:rPr>
                <w:rFonts w:ascii="Arial" w:eastAsia="宋体" w:hAnsi="Arial" w:cs="Arial"/>
                <w:color w:val="0068B5"/>
                <w:sz w:val="18"/>
                <w:szCs w:val="18"/>
              </w:rPr>
              <w:t>3.2 </w:t>
            </w:r>
          </w:p>
        </w:tc>
        <w:tc>
          <w:tcPr>
            <w:tcW w:w="0" w:type="auto"/>
            <w:shd w:val="clear" w:color="auto" w:fill="auto"/>
            <w:tcMar>
              <w:top w:w="40" w:type="dxa"/>
              <w:left w:w="0" w:type="dxa"/>
              <w:bottom w:w="40" w:type="dxa"/>
              <w:right w:w="20" w:type="dxa"/>
            </w:tcMar>
            <w:vAlign w:val="bottom"/>
          </w:tcPr>
          <w:p w14:paraId="5A1B343C"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343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3E" w14:textId="77777777" w:rsidR="00960BB8" w:rsidRDefault="00C06650">
            <w:pPr>
              <w:jc w:val="right"/>
              <w:textAlignment w:val="bottom"/>
            </w:pPr>
            <w:r>
              <w:rPr>
                <w:rFonts w:ascii="Arial" w:eastAsia="宋体" w:hAnsi="Arial" w:cs="Arial"/>
                <w:color w:val="262626"/>
                <w:sz w:val="18"/>
                <w:szCs w:val="18"/>
              </w:rPr>
              <w:t>3.2 </w:t>
            </w:r>
          </w:p>
        </w:tc>
        <w:tc>
          <w:tcPr>
            <w:tcW w:w="0" w:type="auto"/>
            <w:shd w:val="clear" w:color="auto" w:fill="auto"/>
            <w:tcMar>
              <w:top w:w="40" w:type="dxa"/>
              <w:left w:w="0" w:type="dxa"/>
              <w:bottom w:w="40" w:type="dxa"/>
              <w:right w:w="20" w:type="dxa"/>
            </w:tcMar>
            <w:vAlign w:val="bottom"/>
          </w:tcPr>
          <w:p w14:paraId="5A1B343F"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344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41" w14:textId="77777777" w:rsidR="00960BB8" w:rsidRDefault="00C06650">
            <w:pPr>
              <w:jc w:val="right"/>
              <w:textAlignment w:val="bottom"/>
            </w:pPr>
            <w:r>
              <w:rPr>
                <w:rFonts w:ascii="Arial" w:eastAsia="宋体" w:hAnsi="Arial" w:cs="Arial"/>
                <w:color w:val="262626"/>
                <w:sz w:val="18"/>
                <w:szCs w:val="18"/>
              </w:rPr>
              <w:t>3.2 </w:t>
            </w:r>
          </w:p>
        </w:tc>
        <w:tc>
          <w:tcPr>
            <w:tcW w:w="0" w:type="auto"/>
            <w:shd w:val="clear" w:color="auto" w:fill="auto"/>
            <w:tcMar>
              <w:top w:w="40" w:type="dxa"/>
              <w:left w:w="0" w:type="dxa"/>
              <w:bottom w:w="40" w:type="dxa"/>
              <w:right w:w="20" w:type="dxa"/>
            </w:tcMar>
            <w:vAlign w:val="bottom"/>
          </w:tcPr>
          <w:p w14:paraId="5A1B3442" w14:textId="77777777" w:rsidR="00960BB8" w:rsidRDefault="00C06650">
            <w:pPr>
              <w:jc w:val="right"/>
              <w:textAlignment w:val="bottom"/>
            </w:pPr>
            <w:r>
              <w:rPr>
                <w:rFonts w:ascii="Arial" w:eastAsia="宋体" w:hAnsi="Arial" w:cs="Arial"/>
                <w:color w:val="262626"/>
                <w:sz w:val="18"/>
                <w:szCs w:val="18"/>
              </w:rPr>
              <w:t>%</w:t>
            </w:r>
          </w:p>
        </w:tc>
      </w:tr>
    </w:tbl>
    <w:p w14:paraId="5A1B3444" w14:textId="77777777" w:rsidR="00960BB8" w:rsidRDefault="00C06650">
      <w:pPr>
        <w:spacing w:before="120" w:after="180"/>
      </w:pPr>
      <w:r>
        <w:rPr>
          <w:rFonts w:ascii="Arial" w:eastAsia="宋体" w:hAnsi="Arial" w:cs="Arial"/>
          <w:color w:val="262626"/>
          <w:sz w:val="18"/>
          <w:szCs w:val="18"/>
        </w:rPr>
        <w:t xml:space="preserve">We establish the discount rate for each pension plan by analyzing current market long-term bond rates and matching the bond maturity with the average duration of the pension liabilities. </w:t>
      </w:r>
    </w:p>
    <w:p w14:paraId="5A1B3445" w14:textId="77777777" w:rsidR="00960BB8" w:rsidRDefault="00C06650">
      <w:pPr>
        <w:spacing w:after="180"/>
      </w:pPr>
      <w:r>
        <w:rPr>
          <w:rFonts w:ascii="Arial" w:eastAsia="宋体" w:hAnsi="Arial" w:cs="Arial"/>
          <w:color w:val="262626"/>
          <w:sz w:val="18"/>
          <w:szCs w:val="18"/>
        </w:rPr>
        <w:t>We establish the long-term expected rate of return by developing a f</w:t>
      </w:r>
      <w:r>
        <w:rPr>
          <w:rFonts w:ascii="Arial" w:eastAsia="宋体" w:hAnsi="Arial" w:cs="Arial"/>
          <w:color w:val="262626"/>
          <w:sz w:val="18"/>
          <w:szCs w:val="18"/>
        </w:rPr>
        <w:t>orward-looking, long-term return assumption for each pension fund asset class, taking into account factors such as the expected real return for the specific asset class and inflation. A single, long-term rate of return is then calculated as the weighted av</w:t>
      </w:r>
      <w:r>
        <w:rPr>
          <w:rFonts w:ascii="Arial" w:eastAsia="宋体" w:hAnsi="Arial" w:cs="Arial"/>
          <w:color w:val="262626"/>
          <w:sz w:val="18"/>
          <w:szCs w:val="18"/>
        </w:rPr>
        <w:t>erage of the target asset allocation percentages and the long-term return assumption for each asset class.</w:t>
      </w:r>
    </w:p>
    <w:p w14:paraId="5A1B3446" w14:textId="77777777" w:rsidR="00960BB8" w:rsidRDefault="00C06650">
      <w:pPr>
        <w:spacing w:after="180"/>
      </w:pPr>
      <w:r>
        <w:rPr>
          <w:rFonts w:ascii="Arial" w:eastAsia="宋体" w:hAnsi="Arial" w:cs="Arial"/>
          <w:color w:val="0068B5"/>
        </w:rPr>
        <w:t>Funding</w:t>
      </w:r>
    </w:p>
    <w:p w14:paraId="5A1B3447" w14:textId="77777777" w:rsidR="00960BB8" w:rsidRDefault="00C06650">
      <w:pPr>
        <w:spacing w:after="180"/>
      </w:pPr>
      <w:r>
        <w:rPr>
          <w:rFonts w:ascii="Arial" w:eastAsia="宋体" w:hAnsi="Arial" w:cs="Arial"/>
          <w:color w:val="262626"/>
          <w:sz w:val="18"/>
          <w:szCs w:val="18"/>
        </w:rPr>
        <w:t>Our practice is to fund the various pension plans in amounts sufficient to meet the minimum requirements of applicable local laws and regulat</w:t>
      </w:r>
      <w:r>
        <w:rPr>
          <w:rFonts w:ascii="Arial" w:eastAsia="宋体" w:hAnsi="Arial" w:cs="Arial"/>
          <w:color w:val="262626"/>
          <w:sz w:val="18"/>
          <w:szCs w:val="18"/>
        </w:rPr>
        <w:t>ions. Funding for the US Retiree Medical Plan is discretionary under applicable laws and regulations. Additional funding may be provided for the pension and retiree medical plans as deemed appropriate.</w:t>
      </w:r>
    </w:p>
    <w:p w14:paraId="5A1B3448" w14:textId="77777777" w:rsidR="00960BB8" w:rsidRDefault="00C06650">
      <w:pPr>
        <w:spacing w:after="180"/>
      </w:pPr>
      <w:r>
        <w:rPr>
          <w:rFonts w:ascii="Arial" w:eastAsia="宋体" w:hAnsi="Arial" w:cs="Arial"/>
          <w:color w:val="262626"/>
          <w:sz w:val="18"/>
          <w:szCs w:val="18"/>
        </w:rPr>
        <w:t xml:space="preserve">On a worldwide basis, our pension and retiree medical </w:t>
      </w:r>
      <w:r>
        <w:rPr>
          <w:rFonts w:ascii="Arial" w:eastAsia="宋体" w:hAnsi="Arial" w:cs="Arial"/>
          <w:color w:val="262626"/>
          <w:sz w:val="18"/>
          <w:szCs w:val="18"/>
        </w:rPr>
        <w:t xml:space="preserve">plans were 81% funded as of December 31, 2022. The US Pension Plan, which accounts for 28% of the worldwide pension and retiree medical benefit obligations, was 102% funded. Funded status is not indicative of our ability to pay ongoing pension benefits or </w:t>
      </w:r>
      <w:r>
        <w:rPr>
          <w:rFonts w:ascii="Arial" w:eastAsia="宋体" w:hAnsi="Arial" w:cs="Arial"/>
          <w:color w:val="262626"/>
          <w:sz w:val="18"/>
          <w:szCs w:val="18"/>
        </w:rPr>
        <w:t>of our obligation to fund retirement trusts. Required pension funding for US retirement plans is determined in accordance with ERISA, which sets required minimum contributions. Cumulative company funding to the US Pension Plan currently exceeds the minimum</w:t>
      </w:r>
      <w:r>
        <w:rPr>
          <w:rFonts w:ascii="Arial" w:eastAsia="宋体" w:hAnsi="Arial" w:cs="Arial"/>
          <w:color w:val="262626"/>
          <w:sz w:val="18"/>
          <w:szCs w:val="18"/>
        </w:rPr>
        <w:t xml:space="preserve"> ERISA funding requirements.</w:t>
      </w:r>
    </w:p>
    <w:p w14:paraId="5A1B3449" w14:textId="77777777" w:rsidR="00960BB8" w:rsidRDefault="00C06650">
      <w:pPr>
        <w:spacing w:after="180"/>
      </w:pPr>
      <w:r>
        <w:rPr>
          <w:rFonts w:ascii="Arial" w:eastAsia="宋体" w:hAnsi="Arial" w:cs="Arial"/>
          <w:color w:val="0068B5"/>
        </w:rPr>
        <w:t>Net Periodic Benefit Cost</w:t>
      </w:r>
    </w:p>
    <w:p w14:paraId="5A1B344A" w14:textId="77777777" w:rsidR="00960BB8" w:rsidRDefault="00C06650">
      <w:pPr>
        <w:spacing w:after="180"/>
      </w:pPr>
      <w:r>
        <w:rPr>
          <w:rFonts w:ascii="Arial" w:eastAsia="宋体" w:hAnsi="Arial" w:cs="Arial"/>
          <w:color w:val="262626"/>
          <w:sz w:val="18"/>
          <w:szCs w:val="18"/>
        </w:rPr>
        <w:t xml:space="preserve">The net periodic benefit cost for pension and US retiree medical benefits was $139 million in 2022 ($162 million in 2021 and $164 million in 2020). </w:t>
      </w:r>
    </w:p>
    <w:p w14:paraId="5A1B344B" w14:textId="77777777" w:rsidR="00960BB8" w:rsidRDefault="00C06650">
      <w:pPr>
        <w:spacing w:after="180"/>
      </w:pPr>
      <w:r>
        <w:rPr>
          <w:rFonts w:ascii="Arial" w:eastAsia="宋体" w:hAnsi="Arial" w:cs="Arial"/>
          <w:color w:val="0068B5"/>
        </w:rPr>
        <w:t>Pension Plan Assets</w:t>
      </w:r>
    </w:p>
    <w:tbl>
      <w:tblPr>
        <w:tblW w:w="5000" w:type="pct"/>
        <w:tblCellMar>
          <w:top w:w="15" w:type="dxa"/>
          <w:left w:w="15" w:type="dxa"/>
          <w:bottom w:w="15" w:type="dxa"/>
          <w:right w:w="15" w:type="dxa"/>
        </w:tblCellMar>
        <w:tblLook w:val="04A0" w:firstRow="1" w:lastRow="0" w:firstColumn="1" w:lastColumn="0" w:noHBand="0" w:noVBand="1"/>
      </w:tblPr>
      <w:tblGrid>
        <w:gridCol w:w="39"/>
        <w:gridCol w:w="2944"/>
        <w:gridCol w:w="38"/>
        <w:gridCol w:w="36"/>
        <w:gridCol w:w="36"/>
        <w:gridCol w:w="36"/>
        <w:gridCol w:w="122"/>
        <w:gridCol w:w="797"/>
        <w:gridCol w:w="37"/>
        <w:gridCol w:w="36"/>
        <w:gridCol w:w="36"/>
        <w:gridCol w:w="36"/>
        <w:gridCol w:w="121"/>
        <w:gridCol w:w="797"/>
        <w:gridCol w:w="36"/>
        <w:gridCol w:w="36"/>
        <w:gridCol w:w="36"/>
        <w:gridCol w:w="36"/>
        <w:gridCol w:w="122"/>
        <w:gridCol w:w="797"/>
        <w:gridCol w:w="37"/>
        <w:gridCol w:w="36"/>
        <w:gridCol w:w="36"/>
        <w:gridCol w:w="36"/>
        <w:gridCol w:w="121"/>
        <w:gridCol w:w="797"/>
        <w:gridCol w:w="36"/>
        <w:gridCol w:w="36"/>
        <w:gridCol w:w="36"/>
        <w:gridCol w:w="36"/>
        <w:gridCol w:w="121"/>
        <w:gridCol w:w="798"/>
        <w:gridCol w:w="36"/>
      </w:tblGrid>
      <w:tr w:rsidR="00960BB8" w14:paraId="5A1B346D" w14:textId="77777777">
        <w:tc>
          <w:tcPr>
            <w:tcW w:w="50" w:type="pct"/>
            <w:shd w:val="clear" w:color="auto" w:fill="auto"/>
            <w:vAlign w:val="bottom"/>
          </w:tcPr>
          <w:p w14:paraId="5A1B344C" w14:textId="77777777" w:rsidR="00960BB8" w:rsidRDefault="00960BB8">
            <w:pPr>
              <w:rPr>
                <w:rFonts w:ascii="宋体"/>
              </w:rPr>
            </w:pPr>
          </w:p>
        </w:tc>
        <w:tc>
          <w:tcPr>
            <w:tcW w:w="1802" w:type="pct"/>
            <w:shd w:val="clear" w:color="auto" w:fill="auto"/>
            <w:vAlign w:val="bottom"/>
          </w:tcPr>
          <w:p w14:paraId="5A1B344D" w14:textId="77777777" w:rsidR="00960BB8" w:rsidRDefault="00960BB8">
            <w:pPr>
              <w:rPr>
                <w:rFonts w:ascii="宋体"/>
              </w:rPr>
            </w:pPr>
          </w:p>
        </w:tc>
        <w:tc>
          <w:tcPr>
            <w:tcW w:w="5" w:type="pct"/>
            <w:shd w:val="clear" w:color="auto" w:fill="auto"/>
            <w:vAlign w:val="bottom"/>
          </w:tcPr>
          <w:p w14:paraId="5A1B344E" w14:textId="77777777" w:rsidR="00960BB8" w:rsidRDefault="00960BB8">
            <w:pPr>
              <w:rPr>
                <w:rFonts w:ascii="宋体"/>
              </w:rPr>
            </w:pPr>
          </w:p>
        </w:tc>
        <w:tc>
          <w:tcPr>
            <w:tcW w:w="5" w:type="pct"/>
            <w:shd w:val="clear" w:color="auto" w:fill="auto"/>
            <w:vAlign w:val="bottom"/>
          </w:tcPr>
          <w:p w14:paraId="5A1B344F" w14:textId="77777777" w:rsidR="00960BB8" w:rsidRDefault="00960BB8">
            <w:pPr>
              <w:rPr>
                <w:rFonts w:ascii="宋体"/>
              </w:rPr>
            </w:pPr>
          </w:p>
        </w:tc>
        <w:tc>
          <w:tcPr>
            <w:tcW w:w="24" w:type="pct"/>
            <w:shd w:val="clear" w:color="auto" w:fill="auto"/>
            <w:vAlign w:val="bottom"/>
          </w:tcPr>
          <w:p w14:paraId="5A1B3450" w14:textId="77777777" w:rsidR="00960BB8" w:rsidRDefault="00960BB8">
            <w:pPr>
              <w:rPr>
                <w:rFonts w:ascii="宋体"/>
              </w:rPr>
            </w:pPr>
          </w:p>
        </w:tc>
        <w:tc>
          <w:tcPr>
            <w:tcW w:w="5" w:type="pct"/>
            <w:shd w:val="clear" w:color="auto" w:fill="auto"/>
            <w:vAlign w:val="bottom"/>
          </w:tcPr>
          <w:p w14:paraId="5A1B3451" w14:textId="77777777" w:rsidR="00960BB8" w:rsidRDefault="00960BB8">
            <w:pPr>
              <w:rPr>
                <w:rFonts w:ascii="宋体"/>
              </w:rPr>
            </w:pPr>
          </w:p>
        </w:tc>
        <w:tc>
          <w:tcPr>
            <w:tcW w:w="50" w:type="pct"/>
            <w:shd w:val="clear" w:color="auto" w:fill="auto"/>
            <w:vAlign w:val="bottom"/>
          </w:tcPr>
          <w:p w14:paraId="5A1B3452" w14:textId="77777777" w:rsidR="00960BB8" w:rsidRDefault="00960BB8">
            <w:pPr>
              <w:rPr>
                <w:rFonts w:ascii="宋体"/>
              </w:rPr>
            </w:pPr>
          </w:p>
        </w:tc>
        <w:tc>
          <w:tcPr>
            <w:tcW w:w="539" w:type="pct"/>
            <w:shd w:val="clear" w:color="auto" w:fill="auto"/>
            <w:vAlign w:val="bottom"/>
          </w:tcPr>
          <w:p w14:paraId="5A1B3453" w14:textId="77777777" w:rsidR="00960BB8" w:rsidRDefault="00960BB8">
            <w:pPr>
              <w:rPr>
                <w:rFonts w:ascii="宋体"/>
              </w:rPr>
            </w:pPr>
          </w:p>
        </w:tc>
        <w:tc>
          <w:tcPr>
            <w:tcW w:w="5" w:type="pct"/>
            <w:shd w:val="clear" w:color="auto" w:fill="auto"/>
            <w:vAlign w:val="bottom"/>
          </w:tcPr>
          <w:p w14:paraId="5A1B3454" w14:textId="77777777" w:rsidR="00960BB8" w:rsidRDefault="00960BB8">
            <w:pPr>
              <w:rPr>
                <w:rFonts w:ascii="宋体"/>
              </w:rPr>
            </w:pPr>
          </w:p>
        </w:tc>
        <w:tc>
          <w:tcPr>
            <w:tcW w:w="5" w:type="pct"/>
            <w:shd w:val="clear" w:color="auto" w:fill="auto"/>
            <w:vAlign w:val="bottom"/>
          </w:tcPr>
          <w:p w14:paraId="5A1B3455" w14:textId="77777777" w:rsidR="00960BB8" w:rsidRDefault="00960BB8">
            <w:pPr>
              <w:rPr>
                <w:rFonts w:ascii="宋体"/>
              </w:rPr>
            </w:pPr>
          </w:p>
        </w:tc>
        <w:tc>
          <w:tcPr>
            <w:tcW w:w="24" w:type="pct"/>
            <w:shd w:val="clear" w:color="auto" w:fill="auto"/>
            <w:vAlign w:val="bottom"/>
          </w:tcPr>
          <w:p w14:paraId="5A1B3456" w14:textId="77777777" w:rsidR="00960BB8" w:rsidRDefault="00960BB8">
            <w:pPr>
              <w:rPr>
                <w:rFonts w:ascii="宋体"/>
              </w:rPr>
            </w:pPr>
          </w:p>
        </w:tc>
        <w:tc>
          <w:tcPr>
            <w:tcW w:w="5" w:type="pct"/>
            <w:shd w:val="clear" w:color="auto" w:fill="auto"/>
            <w:vAlign w:val="bottom"/>
          </w:tcPr>
          <w:p w14:paraId="5A1B3457" w14:textId="77777777" w:rsidR="00960BB8" w:rsidRDefault="00960BB8">
            <w:pPr>
              <w:rPr>
                <w:rFonts w:ascii="宋体"/>
              </w:rPr>
            </w:pPr>
          </w:p>
        </w:tc>
        <w:tc>
          <w:tcPr>
            <w:tcW w:w="50" w:type="pct"/>
            <w:shd w:val="clear" w:color="auto" w:fill="auto"/>
            <w:vAlign w:val="bottom"/>
          </w:tcPr>
          <w:p w14:paraId="5A1B3458" w14:textId="77777777" w:rsidR="00960BB8" w:rsidRDefault="00960BB8">
            <w:pPr>
              <w:rPr>
                <w:rFonts w:ascii="宋体"/>
              </w:rPr>
            </w:pPr>
          </w:p>
        </w:tc>
        <w:tc>
          <w:tcPr>
            <w:tcW w:w="539" w:type="pct"/>
            <w:shd w:val="clear" w:color="auto" w:fill="auto"/>
            <w:vAlign w:val="bottom"/>
          </w:tcPr>
          <w:p w14:paraId="5A1B3459" w14:textId="77777777" w:rsidR="00960BB8" w:rsidRDefault="00960BB8">
            <w:pPr>
              <w:rPr>
                <w:rFonts w:ascii="宋体"/>
              </w:rPr>
            </w:pPr>
          </w:p>
        </w:tc>
        <w:tc>
          <w:tcPr>
            <w:tcW w:w="5" w:type="pct"/>
            <w:shd w:val="clear" w:color="auto" w:fill="auto"/>
            <w:vAlign w:val="bottom"/>
          </w:tcPr>
          <w:p w14:paraId="5A1B345A" w14:textId="77777777" w:rsidR="00960BB8" w:rsidRDefault="00960BB8">
            <w:pPr>
              <w:rPr>
                <w:rFonts w:ascii="宋体"/>
              </w:rPr>
            </w:pPr>
          </w:p>
        </w:tc>
        <w:tc>
          <w:tcPr>
            <w:tcW w:w="5" w:type="pct"/>
            <w:shd w:val="clear" w:color="auto" w:fill="auto"/>
            <w:vAlign w:val="bottom"/>
          </w:tcPr>
          <w:p w14:paraId="5A1B345B" w14:textId="77777777" w:rsidR="00960BB8" w:rsidRDefault="00960BB8">
            <w:pPr>
              <w:rPr>
                <w:rFonts w:ascii="宋体"/>
              </w:rPr>
            </w:pPr>
          </w:p>
        </w:tc>
        <w:tc>
          <w:tcPr>
            <w:tcW w:w="24" w:type="pct"/>
            <w:shd w:val="clear" w:color="auto" w:fill="auto"/>
            <w:vAlign w:val="bottom"/>
          </w:tcPr>
          <w:p w14:paraId="5A1B345C" w14:textId="77777777" w:rsidR="00960BB8" w:rsidRDefault="00960BB8">
            <w:pPr>
              <w:rPr>
                <w:rFonts w:ascii="宋体"/>
              </w:rPr>
            </w:pPr>
          </w:p>
        </w:tc>
        <w:tc>
          <w:tcPr>
            <w:tcW w:w="5" w:type="pct"/>
            <w:shd w:val="clear" w:color="auto" w:fill="auto"/>
            <w:vAlign w:val="bottom"/>
          </w:tcPr>
          <w:p w14:paraId="5A1B345D" w14:textId="77777777" w:rsidR="00960BB8" w:rsidRDefault="00960BB8">
            <w:pPr>
              <w:rPr>
                <w:rFonts w:ascii="宋体"/>
              </w:rPr>
            </w:pPr>
          </w:p>
        </w:tc>
        <w:tc>
          <w:tcPr>
            <w:tcW w:w="50" w:type="pct"/>
            <w:shd w:val="clear" w:color="auto" w:fill="auto"/>
            <w:vAlign w:val="bottom"/>
          </w:tcPr>
          <w:p w14:paraId="5A1B345E" w14:textId="77777777" w:rsidR="00960BB8" w:rsidRDefault="00960BB8">
            <w:pPr>
              <w:rPr>
                <w:rFonts w:ascii="宋体"/>
              </w:rPr>
            </w:pPr>
          </w:p>
        </w:tc>
        <w:tc>
          <w:tcPr>
            <w:tcW w:w="539" w:type="pct"/>
            <w:shd w:val="clear" w:color="auto" w:fill="auto"/>
            <w:vAlign w:val="bottom"/>
          </w:tcPr>
          <w:p w14:paraId="5A1B345F" w14:textId="77777777" w:rsidR="00960BB8" w:rsidRDefault="00960BB8">
            <w:pPr>
              <w:rPr>
                <w:rFonts w:ascii="宋体"/>
              </w:rPr>
            </w:pPr>
          </w:p>
        </w:tc>
        <w:tc>
          <w:tcPr>
            <w:tcW w:w="5" w:type="pct"/>
            <w:shd w:val="clear" w:color="auto" w:fill="auto"/>
            <w:vAlign w:val="bottom"/>
          </w:tcPr>
          <w:p w14:paraId="5A1B3460" w14:textId="77777777" w:rsidR="00960BB8" w:rsidRDefault="00960BB8">
            <w:pPr>
              <w:rPr>
                <w:rFonts w:ascii="宋体"/>
              </w:rPr>
            </w:pPr>
          </w:p>
        </w:tc>
        <w:tc>
          <w:tcPr>
            <w:tcW w:w="5" w:type="pct"/>
            <w:shd w:val="clear" w:color="auto" w:fill="auto"/>
            <w:vAlign w:val="bottom"/>
          </w:tcPr>
          <w:p w14:paraId="5A1B3461" w14:textId="77777777" w:rsidR="00960BB8" w:rsidRDefault="00960BB8">
            <w:pPr>
              <w:rPr>
                <w:rFonts w:ascii="宋体"/>
              </w:rPr>
            </w:pPr>
          </w:p>
        </w:tc>
        <w:tc>
          <w:tcPr>
            <w:tcW w:w="24" w:type="pct"/>
            <w:shd w:val="clear" w:color="auto" w:fill="auto"/>
            <w:vAlign w:val="bottom"/>
          </w:tcPr>
          <w:p w14:paraId="5A1B3462" w14:textId="77777777" w:rsidR="00960BB8" w:rsidRDefault="00960BB8">
            <w:pPr>
              <w:rPr>
                <w:rFonts w:ascii="宋体"/>
              </w:rPr>
            </w:pPr>
          </w:p>
        </w:tc>
        <w:tc>
          <w:tcPr>
            <w:tcW w:w="5" w:type="pct"/>
            <w:shd w:val="clear" w:color="auto" w:fill="auto"/>
            <w:vAlign w:val="bottom"/>
          </w:tcPr>
          <w:p w14:paraId="5A1B3463" w14:textId="77777777" w:rsidR="00960BB8" w:rsidRDefault="00960BB8">
            <w:pPr>
              <w:rPr>
                <w:rFonts w:ascii="宋体"/>
              </w:rPr>
            </w:pPr>
          </w:p>
        </w:tc>
        <w:tc>
          <w:tcPr>
            <w:tcW w:w="50" w:type="pct"/>
            <w:shd w:val="clear" w:color="auto" w:fill="auto"/>
            <w:vAlign w:val="bottom"/>
          </w:tcPr>
          <w:p w14:paraId="5A1B3464" w14:textId="77777777" w:rsidR="00960BB8" w:rsidRDefault="00960BB8">
            <w:pPr>
              <w:rPr>
                <w:rFonts w:ascii="宋体"/>
              </w:rPr>
            </w:pPr>
          </w:p>
        </w:tc>
        <w:tc>
          <w:tcPr>
            <w:tcW w:w="539" w:type="pct"/>
            <w:shd w:val="clear" w:color="auto" w:fill="auto"/>
            <w:vAlign w:val="bottom"/>
          </w:tcPr>
          <w:p w14:paraId="5A1B3465" w14:textId="77777777" w:rsidR="00960BB8" w:rsidRDefault="00960BB8">
            <w:pPr>
              <w:rPr>
                <w:rFonts w:ascii="宋体"/>
              </w:rPr>
            </w:pPr>
          </w:p>
        </w:tc>
        <w:tc>
          <w:tcPr>
            <w:tcW w:w="5" w:type="pct"/>
            <w:shd w:val="clear" w:color="auto" w:fill="auto"/>
            <w:vAlign w:val="bottom"/>
          </w:tcPr>
          <w:p w14:paraId="5A1B3466" w14:textId="77777777" w:rsidR="00960BB8" w:rsidRDefault="00960BB8">
            <w:pPr>
              <w:rPr>
                <w:rFonts w:ascii="宋体"/>
              </w:rPr>
            </w:pPr>
          </w:p>
        </w:tc>
        <w:tc>
          <w:tcPr>
            <w:tcW w:w="5" w:type="pct"/>
            <w:shd w:val="clear" w:color="auto" w:fill="auto"/>
            <w:vAlign w:val="bottom"/>
          </w:tcPr>
          <w:p w14:paraId="5A1B3467" w14:textId="77777777" w:rsidR="00960BB8" w:rsidRDefault="00960BB8">
            <w:pPr>
              <w:rPr>
                <w:rFonts w:ascii="宋体"/>
              </w:rPr>
            </w:pPr>
          </w:p>
        </w:tc>
        <w:tc>
          <w:tcPr>
            <w:tcW w:w="24" w:type="pct"/>
            <w:shd w:val="clear" w:color="auto" w:fill="auto"/>
            <w:vAlign w:val="bottom"/>
          </w:tcPr>
          <w:p w14:paraId="5A1B3468" w14:textId="77777777" w:rsidR="00960BB8" w:rsidRDefault="00960BB8">
            <w:pPr>
              <w:rPr>
                <w:rFonts w:ascii="宋体"/>
              </w:rPr>
            </w:pPr>
          </w:p>
        </w:tc>
        <w:tc>
          <w:tcPr>
            <w:tcW w:w="5" w:type="pct"/>
            <w:shd w:val="clear" w:color="auto" w:fill="auto"/>
            <w:vAlign w:val="bottom"/>
          </w:tcPr>
          <w:p w14:paraId="5A1B3469" w14:textId="77777777" w:rsidR="00960BB8" w:rsidRDefault="00960BB8">
            <w:pPr>
              <w:rPr>
                <w:rFonts w:ascii="宋体"/>
              </w:rPr>
            </w:pPr>
          </w:p>
        </w:tc>
        <w:tc>
          <w:tcPr>
            <w:tcW w:w="50" w:type="pct"/>
            <w:shd w:val="clear" w:color="auto" w:fill="auto"/>
            <w:vAlign w:val="bottom"/>
          </w:tcPr>
          <w:p w14:paraId="5A1B346A" w14:textId="77777777" w:rsidR="00960BB8" w:rsidRDefault="00960BB8">
            <w:pPr>
              <w:rPr>
                <w:rFonts w:ascii="宋体"/>
              </w:rPr>
            </w:pPr>
          </w:p>
        </w:tc>
        <w:tc>
          <w:tcPr>
            <w:tcW w:w="539" w:type="pct"/>
            <w:shd w:val="clear" w:color="auto" w:fill="auto"/>
            <w:vAlign w:val="bottom"/>
          </w:tcPr>
          <w:p w14:paraId="5A1B346B" w14:textId="77777777" w:rsidR="00960BB8" w:rsidRDefault="00960BB8">
            <w:pPr>
              <w:rPr>
                <w:rFonts w:ascii="宋体"/>
              </w:rPr>
            </w:pPr>
          </w:p>
        </w:tc>
        <w:tc>
          <w:tcPr>
            <w:tcW w:w="5" w:type="pct"/>
            <w:shd w:val="clear" w:color="auto" w:fill="auto"/>
            <w:vAlign w:val="bottom"/>
          </w:tcPr>
          <w:p w14:paraId="5A1B346C" w14:textId="77777777" w:rsidR="00960BB8" w:rsidRDefault="00960BB8">
            <w:pPr>
              <w:rPr>
                <w:rFonts w:ascii="宋体"/>
              </w:rPr>
            </w:pPr>
          </w:p>
        </w:tc>
      </w:tr>
      <w:tr w:rsidR="00960BB8" w14:paraId="5A1B3473" w14:textId="77777777">
        <w:tc>
          <w:tcPr>
            <w:tcW w:w="0" w:type="auto"/>
            <w:gridSpan w:val="3"/>
            <w:shd w:val="clear" w:color="auto" w:fill="auto"/>
            <w:tcMar>
              <w:top w:w="0" w:type="dxa"/>
              <w:left w:w="20" w:type="dxa"/>
              <w:bottom w:w="0" w:type="dxa"/>
              <w:right w:w="20" w:type="dxa"/>
            </w:tcMar>
            <w:vAlign w:val="bottom"/>
          </w:tcPr>
          <w:p w14:paraId="5A1B346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6F" w14:textId="77777777" w:rsidR="00960BB8" w:rsidRDefault="00960BB8">
            <w:pPr>
              <w:rPr>
                <w:rFonts w:ascii="宋体"/>
              </w:rPr>
            </w:pPr>
          </w:p>
        </w:tc>
        <w:tc>
          <w:tcPr>
            <w:tcW w:w="0" w:type="auto"/>
            <w:gridSpan w:val="21"/>
            <w:shd w:val="clear" w:color="auto" w:fill="auto"/>
            <w:tcMar>
              <w:top w:w="40" w:type="dxa"/>
              <w:left w:w="20" w:type="dxa"/>
              <w:bottom w:w="40" w:type="dxa"/>
              <w:right w:w="20" w:type="dxa"/>
            </w:tcMar>
            <w:vAlign w:val="bottom"/>
          </w:tcPr>
          <w:p w14:paraId="5A1B3470" w14:textId="77777777" w:rsidR="00960BB8" w:rsidRDefault="00C06650">
            <w:pPr>
              <w:jc w:val="center"/>
              <w:textAlignment w:val="bottom"/>
            </w:pPr>
            <w:r>
              <w:rPr>
                <w:rFonts w:ascii="Arial" w:eastAsia="宋体" w:hAnsi="Arial" w:cs="Arial"/>
                <w:b/>
                <w:bCs/>
                <w:color w:val="262626"/>
                <w:sz w:val="18"/>
                <w:szCs w:val="18"/>
              </w:rPr>
              <w:t>December 31, 2022</w:t>
            </w:r>
          </w:p>
        </w:tc>
        <w:tc>
          <w:tcPr>
            <w:tcW w:w="0" w:type="auto"/>
            <w:gridSpan w:val="3"/>
            <w:shd w:val="clear" w:color="auto" w:fill="auto"/>
            <w:tcMar>
              <w:top w:w="0" w:type="dxa"/>
              <w:left w:w="20" w:type="dxa"/>
              <w:bottom w:w="0" w:type="dxa"/>
              <w:right w:w="20" w:type="dxa"/>
            </w:tcMar>
            <w:vAlign w:val="bottom"/>
          </w:tcPr>
          <w:p w14:paraId="5A1B347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472" w14:textId="77777777" w:rsidR="00960BB8" w:rsidRDefault="00C06650">
            <w:pPr>
              <w:jc w:val="center"/>
              <w:textAlignment w:val="bottom"/>
            </w:pPr>
            <w:r>
              <w:rPr>
                <w:rFonts w:ascii="Arial" w:eastAsia="宋体" w:hAnsi="Arial" w:cs="Arial"/>
                <w:b/>
                <w:bCs/>
                <w:color w:val="262626"/>
                <w:sz w:val="18"/>
                <w:szCs w:val="18"/>
              </w:rPr>
              <w:t>Dec 25, 2021</w:t>
            </w:r>
          </w:p>
        </w:tc>
      </w:tr>
      <w:tr w:rsidR="00960BB8" w14:paraId="5A1B347B" w14:textId="77777777">
        <w:tc>
          <w:tcPr>
            <w:tcW w:w="0" w:type="auto"/>
            <w:gridSpan w:val="3"/>
            <w:shd w:val="clear" w:color="auto" w:fill="auto"/>
            <w:tcMar>
              <w:top w:w="0" w:type="dxa"/>
              <w:left w:w="20" w:type="dxa"/>
              <w:bottom w:w="0" w:type="dxa"/>
              <w:right w:w="20" w:type="dxa"/>
            </w:tcMar>
            <w:vAlign w:val="bottom"/>
          </w:tcPr>
          <w:p w14:paraId="5A1B347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75" w14:textId="77777777" w:rsidR="00960BB8" w:rsidRDefault="00960BB8">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5A1B3476" w14:textId="77777777" w:rsidR="00960BB8" w:rsidRDefault="00C06650">
            <w:pPr>
              <w:jc w:val="center"/>
              <w:textAlignment w:val="bottom"/>
            </w:pPr>
            <w:r>
              <w:rPr>
                <w:rFonts w:ascii="Arial" w:eastAsia="宋体" w:hAnsi="Arial" w:cs="Arial"/>
                <w:b/>
                <w:bCs/>
                <w:color w:val="262626"/>
                <w:sz w:val="18"/>
                <w:szCs w:val="18"/>
              </w:rPr>
              <w:t>Fair Value Measured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477"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47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79" w14:textId="77777777" w:rsidR="00960BB8" w:rsidRDefault="00960BB8">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47A" w14:textId="77777777" w:rsidR="00960BB8" w:rsidRDefault="00960BB8">
            <w:pPr>
              <w:rPr>
                <w:rFonts w:ascii="宋体"/>
              </w:rPr>
            </w:pPr>
          </w:p>
        </w:tc>
      </w:tr>
      <w:tr w:rsidR="00960BB8" w14:paraId="5A1B3487" w14:textId="77777777">
        <w:tc>
          <w:tcPr>
            <w:tcW w:w="0" w:type="auto"/>
            <w:gridSpan w:val="3"/>
            <w:shd w:val="clear" w:color="auto" w:fill="auto"/>
            <w:tcMar>
              <w:top w:w="40" w:type="dxa"/>
              <w:left w:w="20" w:type="dxa"/>
              <w:bottom w:w="40" w:type="dxa"/>
              <w:right w:w="20" w:type="dxa"/>
            </w:tcMar>
            <w:vAlign w:val="bottom"/>
          </w:tcPr>
          <w:p w14:paraId="5A1B347C"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347D"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47E" w14:textId="77777777" w:rsidR="00960BB8" w:rsidRDefault="00C06650">
            <w:pPr>
              <w:jc w:val="center"/>
              <w:textAlignment w:val="bottom"/>
            </w:pPr>
            <w:r>
              <w:rPr>
                <w:rFonts w:ascii="Arial" w:eastAsia="宋体" w:hAnsi="Arial" w:cs="Arial"/>
                <w:b/>
                <w:bCs/>
                <w:color w:val="262626"/>
                <w:sz w:val="18"/>
                <w:szCs w:val="18"/>
              </w:rPr>
              <w:t>Level 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47F"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480" w14:textId="77777777" w:rsidR="00960BB8" w:rsidRDefault="00C06650">
            <w:pPr>
              <w:jc w:val="center"/>
              <w:textAlignment w:val="bottom"/>
            </w:pPr>
            <w:r>
              <w:rPr>
                <w:rFonts w:ascii="Arial" w:eastAsia="宋体" w:hAnsi="Arial" w:cs="Arial"/>
                <w:b/>
                <w:bCs/>
                <w:color w:val="262626"/>
                <w:sz w:val="18"/>
                <w:szCs w:val="18"/>
              </w:rPr>
              <w:t>Level 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481" w14:textId="77777777" w:rsidR="00960BB8" w:rsidRDefault="00960BB8">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5A1B3482" w14:textId="77777777" w:rsidR="00960BB8" w:rsidRDefault="00C06650">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5A1B348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484" w14:textId="77777777" w:rsidR="00960BB8" w:rsidRDefault="00C06650">
            <w:pPr>
              <w:jc w:val="cente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5A1B348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486" w14:textId="77777777" w:rsidR="00960BB8" w:rsidRDefault="00C06650">
            <w:pPr>
              <w:jc w:val="center"/>
              <w:textAlignment w:val="bottom"/>
            </w:pPr>
            <w:r>
              <w:rPr>
                <w:rFonts w:ascii="Arial" w:eastAsia="宋体" w:hAnsi="Arial" w:cs="Arial"/>
                <w:b/>
                <w:bCs/>
                <w:color w:val="262626"/>
                <w:sz w:val="18"/>
                <w:szCs w:val="18"/>
              </w:rPr>
              <w:t>Total</w:t>
            </w:r>
          </w:p>
        </w:tc>
      </w:tr>
      <w:tr w:rsidR="00960BB8" w14:paraId="5A1B349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3488" w14:textId="77777777" w:rsidR="00960BB8" w:rsidRDefault="00C06650">
            <w:pPr>
              <w:textAlignment w:val="bottom"/>
            </w:pPr>
            <w:r>
              <w:rPr>
                <w:rFonts w:ascii="Arial" w:eastAsia="宋体" w:hAnsi="Arial" w:cs="Arial"/>
                <w:color w:val="262626"/>
                <w:sz w:val="18"/>
                <w:szCs w:val="18"/>
              </w:rPr>
              <w:t>Equity securities</w:t>
            </w:r>
          </w:p>
        </w:tc>
        <w:tc>
          <w:tcPr>
            <w:tcW w:w="0" w:type="auto"/>
            <w:gridSpan w:val="3"/>
            <w:shd w:val="clear" w:color="auto" w:fill="auto"/>
            <w:tcMar>
              <w:top w:w="0" w:type="dxa"/>
              <w:left w:w="20" w:type="dxa"/>
              <w:bottom w:w="0" w:type="dxa"/>
              <w:right w:w="20" w:type="dxa"/>
            </w:tcMar>
            <w:vAlign w:val="bottom"/>
          </w:tcPr>
          <w:p w14:paraId="5A1B3489"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48A"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48B" w14:textId="77777777" w:rsidR="00960BB8" w:rsidRDefault="00C06650">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48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8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48E"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48F" w14:textId="77777777" w:rsidR="00960BB8" w:rsidRDefault="00C06650">
            <w:pPr>
              <w:jc w:val="right"/>
              <w:textAlignment w:val="bottom"/>
            </w:pPr>
            <w:r>
              <w:rPr>
                <w:rFonts w:ascii="Arial" w:eastAsia="宋体" w:hAnsi="Arial" w:cs="Arial"/>
                <w:color w:val="0068B5"/>
                <w:sz w:val="18"/>
                <w:szCs w:val="18"/>
              </w:rPr>
              <w:t>297 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49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91"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492"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493" w14:textId="77777777" w:rsidR="00960BB8" w:rsidRDefault="00C06650">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49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95"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496"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497" w14:textId="77777777" w:rsidR="00960BB8" w:rsidRDefault="00C06650">
            <w:pPr>
              <w:jc w:val="right"/>
              <w:textAlignment w:val="bottom"/>
            </w:pPr>
            <w:r>
              <w:rPr>
                <w:rFonts w:ascii="Arial" w:eastAsia="宋体" w:hAnsi="Arial" w:cs="Arial"/>
                <w:color w:val="0068B5"/>
                <w:sz w:val="18"/>
                <w:szCs w:val="18"/>
              </w:rPr>
              <w:t>297 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49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99"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49A"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49B" w14:textId="77777777" w:rsidR="00960BB8" w:rsidRDefault="00C06650">
            <w:pPr>
              <w:jc w:val="right"/>
              <w:textAlignment w:val="bottom"/>
            </w:pPr>
            <w:r>
              <w:rPr>
                <w:rFonts w:ascii="Arial" w:eastAsia="宋体" w:hAnsi="Arial" w:cs="Arial"/>
                <w:color w:val="262626"/>
                <w:sz w:val="18"/>
                <w:szCs w:val="18"/>
              </w:rPr>
              <w:t>342 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49C" w14:textId="77777777" w:rsidR="00960BB8" w:rsidRDefault="00960BB8">
            <w:pPr>
              <w:jc w:val="right"/>
              <w:rPr>
                <w:rFonts w:ascii="宋体"/>
              </w:rPr>
            </w:pPr>
          </w:p>
        </w:tc>
      </w:tr>
      <w:tr w:rsidR="00960BB8" w14:paraId="5A1B34AE" w14:textId="77777777">
        <w:tc>
          <w:tcPr>
            <w:tcW w:w="0" w:type="auto"/>
            <w:gridSpan w:val="3"/>
            <w:shd w:val="clear" w:color="auto" w:fill="auto"/>
            <w:tcMar>
              <w:top w:w="40" w:type="dxa"/>
              <w:left w:w="20" w:type="dxa"/>
              <w:bottom w:w="40" w:type="dxa"/>
              <w:right w:w="20" w:type="dxa"/>
            </w:tcMar>
            <w:vAlign w:val="bottom"/>
          </w:tcPr>
          <w:p w14:paraId="5A1B349E" w14:textId="77777777" w:rsidR="00960BB8" w:rsidRDefault="00C06650">
            <w:pPr>
              <w:textAlignment w:val="bottom"/>
            </w:pPr>
            <w:r>
              <w:rPr>
                <w:rFonts w:ascii="Arial" w:eastAsia="宋体" w:hAnsi="Arial" w:cs="Arial"/>
                <w:color w:val="262626"/>
                <w:sz w:val="18"/>
                <w:szCs w:val="18"/>
              </w:rPr>
              <w:t>Fixed income</w:t>
            </w:r>
          </w:p>
        </w:tc>
        <w:tc>
          <w:tcPr>
            <w:tcW w:w="0" w:type="auto"/>
            <w:gridSpan w:val="3"/>
            <w:shd w:val="clear" w:color="auto" w:fill="auto"/>
            <w:tcMar>
              <w:top w:w="0" w:type="dxa"/>
              <w:left w:w="20" w:type="dxa"/>
              <w:bottom w:w="0" w:type="dxa"/>
              <w:right w:w="20" w:type="dxa"/>
            </w:tcMar>
            <w:vAlign w:val="bottom"/>
          </w:tcPr>
          <w:p w14:paraId="5A1B349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A0" w14:textId="77777777" w:rsidR="00960BB8" w:rsidRDefault="00C06650">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34A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A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A3" w14:textId="77777777" w:rsidR="00960BB8" w:rsidRDefault="00C06650">
            <w:pPr>
              <w:jc w:val="right"/>
              <w:textAlignment w:val="bottom"/>
            </w:pPr>
            <w:r>
              <w:rPr>
                <w:rFonts w:ascii="Arial" w:eastAsia="宋体" w:hAnsi="Arial" w:cs="Arial"/>
                <w:color w:val="0068B5"/>
                <w:sz w:val="18"/>
                <w:szCs w:val="18"/>
              </w:rPr>
              <w:t>106 </w:t>
            </w:r>
          </w:p>
        </w:tc>
        <w:tc>
          <w:tcPr>
            <w:tcW w:w="0" w:type="auto"/>
            <w:shd w:val="clear" w:color="auto" w:fill="auto"/>
            <w:tcMar>
              <w:top w:w="40" w:type="dxa"/>
              <w:left w:w="0" w:type="dxa"/>
              <w:bottom w:w="40" w:type="dxa"/>
              <w:right w:w="20" w:type="dxa"/>
            </w:tcMar>
            <w:vAlign w:val="bottom"/>
          </w:tcPr>
          <w:p w14:paraId="5A1B34A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A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A6" w14:textId="77777777" w:rsidR="00960BB8" w:rsidRDefault="00C06650">
            <w:pPr>
              <w:jc w:val="right"/>
              <w:textAlignment w:val="bottom"/>
            </w:pPr>
            <w:r>
              <w:rPr>
                <w:rFonts w:ascii="Arial" w:eastAsia="宋体" w:hAnsi="Arial" w:cs="Arial"/>
                <w:color w:val="0068B5"/>
                <w:sz w:val="18"/>
                <w:szCs w:val="18"/>
              </w:rPr>
              <w:t>24 </w:t>
            </w:r>
          </w:p>
        </w:tc>
        <w:tc>
          <w:tcPr>
            <w:tcW w:w="0" w:type="auto"/>
            <w:shd w:val="clear" w:color="auto" w:fill="auto"/>
            <w:tcMar>
              <w:top w:w="40" w:type="dxa"/>
              <w:left w:w="0" w:type="dxa"/>
              <w:bottom w:w="40" w:type="dxa"/>
              <w:right w:w="20" w:type="dxa"/>
            </w:tcMar>
            <w:vAlign w:val="bottom"/>
          </w:tcPr>
          <w:p w14:paraId="5A1B34A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A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A9" w14:textId="77777777" w:rsidR="00960BB8" w:rsidRDefault="00C06650">
            <w:pPr>
              <w:jc w:val="right"/>
              <w:textAlignment w:val="bottom"/>
            </w:pPr>
            <w:r>
              <w:rPr>
                <w:rFonts w:ascii="Arial" w:eastAsia="宋体" w:hAnsi="Arial" w:cs="Arial"/>
                <w:color w:val="0068B5"/>
                <w:sz w:val="18"/>
                <w:szCs w:val="18"/>
              </w:rPr>
              <w:t>130 </w:t>
            </w:r>
          </w:p>
        </w:tc>
        <w:tc>
          <w:tcPr>
            <w:tcW w:w="0" w:type="auto"/>
            <w:shd w:val="clear" w:color="auto" w:fill="auto"/>
            <w:tcMar>
              <w:top w:w="40" w:type="dxa"/>
              <w:left w:w="0" w:type="dxa"/>
              <w:bottom w:w="40" w:type="dxa"/>
              <w:right w:w="20" w:type="dxa"/>
            </w:tcMar>
            <w:vAlign w:val="bottom"/>
          </w:tcPr>
          <w:p w14:paraId="5A1B34A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A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AC" w14:textId="77777777" w:rsidR="00960BB8" w:rsidRDefault="00C06650">
            <w:pPr>
              <w:jc w:val="right"/>
              <w:textAlignment w:val="bottom"/>
            </w:pPr>
            <w:r>
              <w:rPr>
                <w:rFonts w:ascii="Arial" w:eastAsia="宋体" w:hAnsi="Arial" w:cs="Arial"/>
                <w:color w:val="262626"/>
                <w:sz w:val="18"/>
                <w:szCs w:val="18"/>
              </w:rPr>
              <w:t>142 </w:t>
            </w:r>
          </w:p>
        </w:tc>
        <w:tc>
          <w:tcPr>
            <w:tcW w:w="0" w:type="auto"/>
            <w:shd w:val="clear" w:color="auto" w:fill="auto"/>
            <w:tcMar>
              <w:top w:w="40" w:type="dxa"/>
              <w:left w:w="0" w:type="dxa"/>
              <w:bottom w:w="40" w:type="dxa"/>
              <w:right w:w="20" w:type="dxa"/>
            </w:tcMar>
            <w:vAlign w:val="bottom"/>
          </w:tcPr>
          <w:p w14:paraId="5A1B34AD" w14:textId="77777777" w:rsidR="00960BB8" w:rsidRDefault="00960BB8">
            <w:pPr>
              <w:jc w:val="right"/>
              <w:rPr>
                <w:rFonts w:ascii="宋体"/>
              </w:rPr>
            </w:pPr>
          </w:p>
        </w:tc>
      </w:tr>
      <w:tr w:rsidR="00960BB8" w14:paraId="5A1B34C4" w14:textId="77777777">
        <w:tc>
          <w:tcPr>
            <w:tcW w:w="0" w:type="auto"/>
            <w:gridSpan w:val="3"/>
            <w:shd w:val="clear" w:color="auto" w:fill="auto"/>
            <w:tcMar>
              <w:top w:w="40" w:type="dxa"/>
              <w:left w:w="20" w:type="dxa"/>
              <w:bottom w:w="40" w:type="dxa"/>
              <w:right w:w="20" w:type="dxa"/>
            </w:tcMar>
            <w:vAlign w:val="bottom"/>
          </w:tcPr>
          <w:p w14:paraId="5A1B34AF" w14:textId="77777777" w:rsidR="00960BB8" w:rsidRDefault="00C06650">
            <w:pPr>
              <w:textAlignment w:val="bottom"/>
            </w:pPr>
            <w:r>
              <w:rPr>
                <w:rFonts w:ascii="Arial" w:eastAsia="宋体" w:hAnsi="Arial" w:cs="Arial"/>
                <w:b/>
                <w:bCs/>
                <w:color w:val="262626"/>
                <w:sz w:val="18"/>
                <w:szCs w:val="18"/>
              </w:rPr>
              <w:t>Assets measured by fair value hierarchy</w:t>
            </w:r>
          </w:p>
        </w:tc>
        <w:tc>
          <w:tcPr>
            <w:tcW w:w="0" w:type="auto"/>
            <w:gridSpan w:val="3"/>
            <w:shd w:val="clear" w:color="auto" w:fill="auto"/>
            <w:tcMar>
              <w:top w:w="0" w:type="dxa"/>
              <w:left w:w="20" w:type="dxa"/>
              <w:bottom w:w="0" w:type="dxa"/>
              <w:right w:w="20" w:type="dxa"/>
            </w:tcMar>
            <w:vAlign w:val="bottom"/>
          </w:tcPr>
          <w:p w14:paraId="5A1B34B0"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34B1"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34B2" w14:textId="77777777" w:rsidR="00960BB8" w:rsidRDefault="00C06650">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4B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B4"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34B5"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34B6" w14:textId="77777777" w:rsidR="00960BB8" w:rsidRDefault="00C06650">
            <w:pPr>
              <w:jc w:val="right"/>
              <w:textAlignment w:val="bottom"/>
            </w:pPr>
            <w:r>
              <w:rPr>
                <w:rFonts w:ascii="Arial" w:eastAsia="宋体" w:hAnsi="Arial" w:cs="Arial"/>
                <w:b/>
                <w:bCs/>
                <w:color w:val="0068B5"/>
                <w:sz w:val="18"/>
                <w:szCs w:val="18"/>
              </w:rPr>
              <w:t>403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4B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B8"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34B9"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34BA" w14:textId="77777777" w:rsidR="00960BB8" w:rsidRDefault="00C06650">
            <w:pPr>
              <w:jc w:val="right"/>
              <w:textAlignment w:val="bottom"/>
            </w:pPr>
            <w:r>
              <w:rPr>
                <w:rFonts w:ascii="Arial" w:eastAsia="宋体" w:hAnsi="Arial" w:cs="Arial"/>
                <w:b/>
                <w:bCs/>
                <w:color w:val="0068B5"/>
                <w:sz w:val="18"/>
                <w:szCs w:val="18"/>
              </w:rPr>
              <w:t>24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4B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BC"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34BD"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34BE" w14:textId="77777777" w:rsidR="00960BB8" w:rsidRDefault="00C06650">
            <w:pPr>
              <w:jc w:val="right"/>
              <w:textAlignment w:val="bottom"/>
            </w:pPr>
            <w:r>
              <w:rPr>
                <w:rFonts w:ascii="Arial" w:eastAsia="宋体" w:hAnsi="Arial" w:cs="Arial"/>
                <w:b/>
                <w:bCs/>
                <w:color w:val="0068B5"/>
                <w:sz w:val="18"/>
                <w:szCs w:val="18"/>
              </w:rPr>
              <w:t>427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4B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C0"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34C1"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34C2" w14:textId="77777777" w:rsidR="00960BB8" w:rsidRDefault="00C06650">
            <w:pPr>
              <w:jc w:val="right"/>
              <w:textAlignment w:val="bottom"/>
            </w:pPr>
            <w:r>
              <w:rPr>
                <w:rFonts w:ascii="Arial" w:eastAsia="宋体" w:hAnsi="Arial" w:cs="Arial"/>
                <w:b/>
                <w:bCs/>
                <w:color w:val="262626"/>
                <w:sz w:val="18"/>
                <w:szCs w:val="18"/>
              </w:rPr>
              <w:t>484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4C3" w14:textId="77777777" w:rsidR="00960BB8" w:rsidRDefault="00960BB8">
            <w:pPr>
              <w:jc w:val="right"/>
              <w:rPr>
                <w:rFonts w:ascii="宋体"/>
              </w:rPr>
            </w:pPr>
          </w:p>
        </w:tc>
      </w:tr>
      <w:tr w:rsidR="00960BB8" w14:paraId="5A1B34D2" w14:textId="77777777">
        <w:tc>
          <w:tcPr>
            <w:tcW w:w="0" w:type="auto"/>
            <w:gridSpan w:val="3"/>
            <w:shd w:val="clear" w:color="auto" w:fill="auto"/>
            <w:tcMar>
              <w:top w:w="40" w:type="dxa"/>
              <w:left w:w="20" w:type="dxa"/>
              <w:bottom w:w="40" w:type="dxa"/>
              <w:right w:w="20" w:type="dxa"/>
            </w:tcMar>
            <w:vAlign w:val="bottom"/>
          </w:tcPr>
          <w:p w14:paraId="5A1B34C5" w14:textId="77777777" w:rsidR="00960BB8" w:rsidRDefault="00C06650">
            <w:pPr>
              <w:textAlignment w:val="bottom"/>
            </w:pPr>
            <w:r>
              <w:rPr>
                <w:rFonts w:ascii="Arial" w:eastAsia="宋体" w:hAnsi="Arial" w:cs="Arial"/>
                <w:color w:val="262626"/>
                <w:sz w:val="18"/>
                <w:szCs w:val="18"/>
              </w:rPr>
              <w:t>Assets measured at net asset value</w:t>
            </w:r>
          </w:p>
        </w:tc>
        <w:tc>
          <w:tcPr>
            <w:tcW w:w="0" w:type="auto"/>
            <w:gridSpan w:val="3"/>
            <w:shd w:val="clear" w:color="auto" w:fill="auto"/>
            <w:tcMar>
              <w:top w:w="0" w:type="dxa"/>
              <w:left w:w="20" w:type="dxa"/>
              <w:bottom w:w="0" w:type="dxa"/>
              <w:right w:w="20" w:type="dxa"/>
            </w:tcMar>
            <w:vAlign w:val="bottom"/>
          </w:tcPr>
          <w:p w14:paraId="5A1B34C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C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C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C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C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C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C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CD" w14:textId="77777777" w:rsidR="00960BB8" w:rsidRDefault="00C06650">
            <w:pPr>
              <w:jc w:val="right"/>
              <w:textAlignment w:val="bottom"/>
            </w:pPr>
            <w:r>
              <w:rPr>
                <w:rFonts w:ascii="Arial" w:eastAsia="宋体" w:hAnsi="Arial" w:cs="Arial"/>
                <w:color w:val="0068B5"/>
                <w:sz w:val="18"/>
                <w:szCs w:val="18"/>
              </w:rPr>
              <w:t>1,683 </w:t>
            </w:r>
          </w:p>
        </w:tc>
        <w:tc>
          <w:tcPr>
            <w:tcW w:w="0" w:type="auto"/>
            <w:shd w:val="clear" w:color="auto" w:fill="auto"/>
            <w:tcMar>
              <w:top w:w="40" w:type="dxa"/>
              <w:left w:w="0" w:type="dxa"/>
              <w:bottom w:w="40" w:type="dxa"/>
              <w:right w:w="20" w:type="dxa"/>
            </w:tcMar>
            <w:vAlign w:val="bottom"/>
          </w:tcPr>
          <w:p w14:paraId="5A1B34C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C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D0" w14:textId="77777777" w:rsidR="00960BB8" w:rsidRDefault="00C06650">
            <w:pPr>
              <w:jc w:val="right"/>
              <w:textAlignment w:val="bottom"/>
            </w:pPr>
            <w:r>
              <w:rPr>
                <w:rFonts w:ascii="Arial" w:eastAsia="宋体" w:hAnsi="Arial" w:cs="Arial"/>
                <w:color w:val="262626"/>
                <w:sz w:val="18"/>
                <w:szCs w:val="18"/>
              </w:rPr>
              <w:t>2,311 </w:t>
            </w:r>
          </w:p>
        </w:tc>
        <w:tc>
          <w:tcPr>
            <w:tcW w:w="0" w:type="auto"/>
            <w:shd w:val="clear" w:color="auto" w:fill="auto"/>
            <w:tcMar>
              <w:top w:w="40" w:type="dxa"/>
              <w:left w:w="0" w:type="dxa"/>
              <w:bottom w:w="40" w:type="dxa"/>
              <w:right w:w="20" w:type="dxa"/>
            </w:tcMar>
            <w:vAlign w:val="bottom"/>
          </w:tcPr>
          <w:p w14:paraId="5A1B34D1" w14:textId="77777777" w:rsidR="00960BB8" w:rsidRDefault="00960BB8">
            <w:pPr>
              <w:jc w:val="right"/>
              <w:rPr>
                <w:rFonts w:ascii="宋体"/>
              </w:rPr>
            </w:pPr>
          </w:p>
        </w:tc>
      </w:tr>
      <w:tr w:rsidR="00960BB8" w14:paraId="5A1B34E0" w14:textId="77777777">
        <w:tc>
          <w:tcPr>
            <w:tcW w:w="0" w:type="auto"/>
            <w:gridSpan w:val="3"/>
            <w:shd w:val="clear" w:color="auto" w:fill="auto"/>
            <w:tcMar>
              <w:top w:w="40" w:type="dxa"/>
              <w:left w:w="20" w:type="dxa"/>
              <w:bottom w:w="40" w:type="dxa"/>
              <w:right w:w="20" w:type="dxa"/>
            </w:tcMar>
            <w:vAlign w:val="bottom"/>
          </w:tcPr>
          <w:p w14:paraId="5A1B34D3" w14:textId="77777777" w:rsidR="00960BB8" w:rsidRDefault="00C06650">
            <w:pPr>
              <w:textAlignment w:val="bottom"/>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5A1B34D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D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D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D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D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D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D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DB" w14:textId="77777777" w:rsidR="00960BB8" w:rsidRDefault="00C06650">
            <w:pPr>
              <w:jc w:val="right"/>
              <w:textAlignment w:val="bottom"/>
            </w:pPr>
            <w:r>
              <w:rPr>
                <w:rFonts w:ascii="Arial" w:eastAsia="宋体" w:hAnsi="Arial" w:cs="Arial"/>
                <w:color w:val="0068B5"/>
                <w:sz w:val="18"/>
                <w:szCs w:val="18"/>
              </w:rPr>
              <w:t>20 </w:t>
            </w:r>
          </w:p>
        </w:tc>
        <w:tc>
          <w:tcPr>
            <w:tcW w:w="0" w:type="auto"/>
            <w:shd w:val="clear" w:color="auto" w:fill="auto"/>
            <w:tcMar>
              <w:top w:w="40" w:type="dxa"/>
              <w:left w:w="0" w:type="dxa"/>
              <w:bottom w:w="40" w:type="dxa"/>
              <w:right w:w="20" w:type="dxa"/>
            </w:tcMar>
            <w:vAlign w:val="bottom"/>
          </w:tcPr>
          <w:p w14:paraId="5A1B34D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D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4DE" w14:textId="77777777" w:rsidR="00960BB8" w:rsidRDefault="00C06650">
            <w:pPr>
              <w:jc w:val="right"/>
              <w:textAlignment w:val="bottom"/>
            </w:pPr>
            <w:r>
              <w:rPr>
                <w:rFonts w:ascii="Arial" w:eastAsia="宋体" w:hAnsi="Arial" w:cs="Arial"/>
                <w:color w:val="262626"/>
                <w:sz w:val="18"/>
                <w:szCs w:val="18"/>
              </w:rPr>
              <w:t>22 </w:t>
            </w:r>
          </w:p>
        </w:tc>
        <w:tc>
          <w:tcPr>
            <w:tcW w:w="0" w:type="auto"/>
            <w:shd w:val="clear" w:color="auto" w:fill="auto"/>
            <w:tcMar>
              <w:top w:w="40" w:type="dxa"/>
              <w:left w:w="0" w:type="dxa"/>
              <w:bottom w:w="40" w:type="dxa"/>
              <w:right w:w="20" w:type="dxa"/>
            </w:tcMar>
            <w:vAlign w:val="bottom"/>
          </w:tcPr>
          <w:p w14:paraId="5A1B34DF" w14:textId="77777777" w:rsidR="00960BB8" w:rsidRDefault="00960BB8">
            <w:pPr>
              <w:jc w:val="right"/>
              <w:rPr>
                <w:rFonts w:ascii="宋体"/>
              </w:rPr>
            </w:pPr>
          </w:p>
        </w:tc>
      </w:tr>
      <w:tr w:rsidR="00960BB8" w14:paraId="5A1B34F0" w14:textId="77777777">
        <w:tc>
          <w:tcPr>
            <w:tcW w:w="0" w:type="auto"/>
            <w:gridSpan w:val="3"/>
            <w:shd w:val="clear" w:color="auto" w:fill="auto"/>
            <w:tcMar>
              <w:top w:w="40" w:type="dxa"/>
              <w:left w:w="20" w:type="dxa"/>
              <w:bottom w:w="40" w:type="dxa"/>
              <w:right w:w="20" w:type="dxa"/>
            </w:tcMar>
            <w:vAlign w:val="bottom"/>
          </w:tcPr>
          <w:p w14:paraId="5A1B34E1" w14:textId="77777777" w:rsidR="00960BB8" w:rsidRDefault="00C06650">
            <w:pPr>
              <w:textAlignment w:val="bottom"/>
            </w:pPr>
            <w:r>
              <w:rPr>
                <w:rFonts w:ascii="Arial" w:eastAsia="宋体" w:hAnsi="Arial" w:cs="Arial"/>
                <w:b/>
                <w:bCs/>
                <w:color w:val="262626"/>
                <w:sz w:val="18"/>
                <w:szCs w:val="18"/>
              </w:rPr>
              <w:t>Total pension plan assets at fair value</w:t>
            </w:r>
          </w:p>
        </w:tc>
        <w:tc>
          <w:tcPr>
            <w:tcW w:w="0" w:type="auto"/>
            <w:gridSpan w:val="3"/>
            <w:shd w:val="clear" w:color="auto" w:fill="auto"/>
            <w:tcMar>
              <w:top w:w="0" w:type="dxa"/>
              <w:left w:w="20" w:type="dxa"/>
              <w:bottom w:w="0" w:type="dxa"/>
              <w:right w:w="20" w:type="dxa"/>
            </w:tcMar>
            <w:vAlign w:val="bottom"/>
          </w:tcPr>
          <w:p w14:paraId="5A1B34E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E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E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E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E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E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4E8"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4E9"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4EA" w14:textId="77777777" w:rsidR="00960BB8" w:rsidRDefault="00C06650">
            <w:pPr>
              <w:jc w:val="right"/>
              <w:textAlignment w:val="bottom"/>
            </w:pPr>
            <w:r>
              <w:rPr>
                <w:rFonts w:ascii="Arial" w:eastAsia="宋体" w:hAnsi="Arial" w:cs="Arial"/>
                <w:b/>
                <w:bCs/>
                <w:color w:val="0068B5"/>
                <w:sz w:val="18"/>
                <w:szCs w:val="18"/>
              </w:rPr>
              <w:t>2,130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4E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4EC"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4ED"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4EE" w14:textId="77777777" w:rsidR="00960BB8" w:rsidRDefault="00C06650">
            <w:pPr>
              <w:jc w:val="right"/>
              <w:textAlignment w:val="bottom"/>
            </w:pPr>
            <w:r>
              <w:rPr>
                <w:rFonts w:ascii="Arial" w:eastAsia="宋体" w:hAnsi="Arial" w:cs="Arial"/>
                <w:b/>
                <w:bCs/>
                <w:color w:val="262626"/>
                <w:sz w:val="18"/>
                <w:szCs w:val="18"/>
              </w:rPr>
              <w:t>2,817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4EF" w14:textId="77777777" w:rsidR="00960BB8" w:rsidRDefault="00960BB8">
            <w:pPr>
              <w:jc w:val="right"/>
              <w:rPr>
                <w:rFonts w:ascii="宋体"/>
              </w:rPr>
            </w:pPr>
          </w:p>
        </w:tc>
      </w:tr>
    </w:tbl>
    <w:p w14:paraId="5A1B34F1" w14:textId="77777777" w:rsidR="00960BB8" w:rsidRDefault="00C06650">
      <w:pPr>
        <w:spacing w:after="120"/>
      </w:pPr>
      <w:r>
        <w:rPr>
          <w:rFonts w:ascii="Arial" w:eastAsia="宋体" w:hAnsi="Arial" w:cs="Arial"/>
          <w:color w:val="0068B5"/>
          <w:sz w:val="20"/>
          <w:szCs w:val="20"/>
        </w:rPr>
        <w:t>US Plan Assets</w:t>
      </w:r>
    </w:p>
    <w:p w14:paraId="5A1B34F2" w14:textId="77777777" w:rsidR="00960BB8" w:rsidRDefault="00C06650">
      <w:pPr>
        <w:spacing w:after="180"/>
      </w:pPr>
      <w:r>
        <w:rPr>
          <w:rFonts w:ascii="Arial" w:eastAsia="宋体" w:hAnsi="Arial" w:cs="Arial"/>
          <w:color w:val="262626"/>
          <w:sz w:val="18"/>
          <w:szCs w:val="18"/>
        </w:rPr>
        <w:t>The investment strategy for US Pension Plan assets is to manage the funded status volatility, taking into consideration the investment horizon and expected volatility to help enable sufficient assets to be availab</w:t>
      </w:r>
      <w:r>
        <w:rPr>
          <w:rFonts w:ascii="Arial" w:eastAsia="宋体" w:hAnsi="Arial" w:cs="Arial"/>
          <w:color w:val="262626"/>
          <w:sz w:val="18"/>
          <w:szCs w:val="18"/>
        </w:rPr>
        <w:t>le to pay pension benefits as they come due. The allocation to each asset class will fluctuate with market conditions, such as volatility and liquidity concerns, and will typically be rebalanced when outside the target ranges, which are 90% fixed income an</w:t>
      </w:r>
      <w:r>
        <w:rPr>
          <w:rFonts w:ascii="Arial" w:eastAsia="宋体" w:hAnsi="Arial" w:cs="Arial"/>
          <w:color w:val="262626"/>
          <w:sz w:val="18"/>
          <w:szCs w:val="18"/>
        </w:rPr>
        <w:t xml:space="preserve">d 10% equity investments. During 2022, the US Pension Plan assets were invested in collective investment trust funds, which are measured at net asset value.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34FF" w14:textId="77777777">
        <w:tc>
          <w:tcPr>
            <w:tcW w:w="50" w:type="pct"/>
            <w:shd w:val="clear" w:color="auto" w:fill="auto"/>
            <w:vAlign w:val="bottom"/>
          </w:tcPr>
          <w:p w14:paraId="5A1B34F3" w14:textId="77777777" w:rsidR="00960BB8" w:rsidRDefault="00960BB8">
            <w:pPr>
              <w:rPr>
                <w:rFonts w:ascii="宋体"/>
              </w:rPr>
            </w:pPr>
          </w:p>
        </w:tc>
        <w:tc>
          <w:tcPr>
            <w:tcW w:w="276" w:type="pct"/>
            <w:shd w:val="clear" w:color="auto" w:fill="auto"/>
            <w:vAlign w:val="bottom"/>
          </w:tcPr>
          <w:p w14:paraId="5A1B34F4" w14:textId="77777777" w:rsidR="00960BB8" w:rsidRDefault="00960BB8">
            <w:pPr>
              <w:rPr>
                <w:rFonts w:ascii="宋体"/>
              </w:rPr>
            </w:pPr>
          </w:p>
        </w:tc>
        <w:tc>
          <w:tcPr>
            <w:tcW w:w="5" w:type="pct"/>
            <w:shd w:val="clear" w:color="auto" w:fill="auto"/>
            <w:vAlign w:val="bottom"/>
          </w:tcPr>
          <w:p w14:paraId="5A1B34F5" w14:textId="77777777" w:rsidR="00960BB8" w:rsidRDefault="00960BB8">
            <w:pPr>
              <w:rPr>
                <w:rFonts w:ascii="宋体"/>
              </w:rPr>
            </w:pPr>
          </w:p>
        </w:tc>
        <w:tc>
          <w:tcPr>
            <w:tcW w:w="50" w:type="pct"/>
            <w:shd w:val="clear" w:color="auto" w:fill="auto"/>
            <w:vAlign w:val="bottom"/>
          </w:tcPr>
          <w:p w14:paraId="5A1B34F6" w14:textId="77777777" w:rsidR="00960BB8" w:rsidRDefault="00960BB8">
            <w:pPr>
              <w:rPr>
                <w:rFonts w:ascii="宋体"/>
              </w:rPr>
            </w:pPr>
          </w:p>
        </w:tc>
        <w:tc>
          <w:tcPr>
            <w:tcW w:w="940" w:type="pct"/>
            <w:shd w:val="clear" w:color="auto" w:fill="auto"/>
            <w:vAlign w:val="bottom"/>
          </w:tcPr>
          <w:p w14:paraId="5A1B34F7" w14:textId="77777777" w:rsidR="00960BB8" w:rsidRDefault="00960BB8">
            <w:pPr>
              <w:rPr>
                <w:rFonts w:ascii="宋体"/>
              </w:rPr>
            </w:pPr>
          </w:p>
        </w:tc>
        <w:tc>
          <w:tcPr>
            <w:tcW w:w="5" w:type="pct"/>
            <w:shd w:val="clear" w:color="auto" w:fill="auto"/>
            <w:vAlign w:val="bottom"/>
          </w:tcPr>
          <w:p w14:paraId="5A1B34F8" w14:textId="77777777" w:rsidR="00960BB8" w:rsidRDefault="00960BB8">
            <w:pPr>
              <w:rPr>
                <w:rFonts w:ascii="宋体"/>
              </w:rPr>
            </w:pPr>
          </w:p>
        </w:tc>
        <w:tc>
          <w:tcPr>
            <w:tcW w:w="50" w:type="pct"/>
            <w:shd w:val="clear" w:color="auto" w:fill="auto"/>
            <w:vAlign w:val="bottom"/>
          </w:tcPr>
          <w:p w14:paraId="5A1B34F9" w14:textId="77777777" w:rsidR="00960BB8" w:rsidRDefault="00960BB8">
            <w:pPr>
              <w:rPr>
                <w:rFonts w:ascii="宋体"/>
              </w:rPr>
            </w:pPr>
          </w:p>
        </w:tc>
        <w:tc>
          <w:tcPr>
            <w:tcW w:w="1837" w:type="pct"/>
            <w:shd w:val="clear" w:color="auto" w:fill="auto"/>
            <w:vAlign w:val="bottom"/>
          </w:tcPr>
          <w:p w14:paraId="5A1B34FA" w14:textId="77777777" w:rsidR="00960BB8" w:rsidRDefault="00960BB8">
            <w:pPr>
              <w:rPr>
                <w:rFonts w:ascii="宋体"/>
              </w:rPr>
            </w:pPr>
          </w:p>
        </w:tc>
        <w:tc>
          <w:tcPr>
            <w:tcW w:w="5" w:type="pct"/>
            <w:shd w:val="clear" w:color="auto" w:fill="auto"/>
            <w:vAlign w:val="bottom"/>
          </w:tcPr>
          <w:p w14:paraId="5A1B34FB" w14:textId="77777777" w:rsidR="00960BB8" w:rsidRDefault="00960BB8">
            <w:pPr>
              <w:rPr>
                <w:rFonts w:ascii="宋体"/>
              </w:rPr>
            </w:pPr>
          </w:p>
        </w:tc>
        <w:tc>
          <w:tcPr>
            <w:tcW w:w="50" w:type="pct"/>
            <w:shd w:val="clear" w:color="auto" w:fill="auto"/>
            <w:vAlign w:val="bottom"/>
          </w:tcPr>
          <w:p w14:paraId="5A1B34FC" w14:textId="77777777" w:rsidR="00960BB8" w:rsidRDefault="00960BB8">
            <w:pPr>
              <w:rPr>
                <w:rFonts w:ascii="宋体"/>
              </w:rPr>
            </w:pPr>
          </w:p>
        </w:tc>
        <w:tc>
          <w:tcPr>
            <w:tcW w:w="1724" w:type="pct"/>
            <w:shd w:val="clear" w:color="auto" w:fill="auto"/>
            <w:vAlign w:val="bottom"/>
          </w:tcPr>
          <w:p w14:paraId="5A1B34FD" w14:textId="77777777" w:rsidR="00960BB8" w:rsidRDefault="00960BB8">
            <w:pPr>
              <w:rPr>
                <w:rFonts w:ascii="宋体"/>
              </w:rPr>
            </w:pPr>
          </w:p>
        </w:tc>
        <w:tc>
          <w:tcPr>
            <w:tcW w:w="5" w:type="pct"/>
            <w:shd w:val="clear" w:color="auto" w:fill="auto"/>
            <w:vAlign w:val="bottom"/>
          </w:tcPr>
          <w:p w14:paraId="5A1B34FE" w14:textId="77777777" w:rsidR="00960BB8" w:rsidRDefault="00960BB8">
            <w:pPr>
              <w:rPr>
                <w:rFonts w:ascii="宋体"/>
              </w:rPr>
            </w:pPr>
          </w:p>
        </w:tc>
      </w:tr>
      <w:tr w:rsidR="00960BB8" w14:paraId="5A1B3504"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500"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C9" wp14:editId="5A1B44CA">
                  <wp:extent cx="304800" cy="304800"/>
                  <wp:effectExtent l="0" t="0" r="0" b="0"/>
                  <wp:docPr id="156" name="图片 30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0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501"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3502"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503" w14:textId="77777777" w:rsidR="00960BB8" w:rsidRDefault="00C06650">
            <w:pPr>
              <w:jc w:val="right"/>
              <w:textAlignment w:val="center"/>
            </w:pPr>
            <w:r>
              <w:rPr>
                <w:rFonts w:ascii="Arial" w:eastAsia="宋体" w:hAnsi="Arial" w:cs="Arial"/>
                <w:color w:val="262626"/>
                <w:sz w:val="16"/>
                <w:szCs w:val="16"/>
              </w:rPr>
              <w:t>109</w:t>
            </w:r>
          </w:p>
        </w:tc>
      </w:tr>
    </w:tbl>
    <w:p w14:paraId="5A1B3505" w14:textId="77777777" w:rsidR="00960BB8" w:rsidRDefault="00C06650">
      <w:r>
        <w:pict w14:anchorId="5A1B44CB">
          <v:rect id="_x0000_i1135" style="width:415.3pt;height:1.5pt" o:hralign="center" o:hrstd="t" o:hr="t" fillcolor="#a0a0a0" stroked="f"/>
        </w:pict>
      </w:r>
    </w:p>
    <w:p w14:paraId="5A1B3506" w14:textId="77777777" w:rsidR="00960BB8" w:rsidRDefault="00C06650">
      <w:pPr>
        <w:jc w:val="right"/>
      </w:pPr>
      <w:hyperlink r:id="rId158" w:anchor="i8aaa7b4dbd2e419ca0f5c30af85a11aa_16" w:history="1">
        <w:r>
          <w:rPr>
            <w:rStyle w:val="a5"/>
            <w:rFonts w:ascii="Arial" w:eastAsia="宋体" w:hAnsi="Arial" w:cs="Arial"/>
            <w:b/>
            <w:bCs/>
            <w:sz w:val="16"/>
            <w:szCs w:val="16"/>
          </w:rPr>
          <w:t>Table of Contents</w:t>
        </w:r>
      </w:hyperlink>
    </w:p>
    <w:p w14:paraId="5A1B3507" w14:textId="77777777" w:rsidR="00960BB8" w:rsidRDefault="00960BB8">
      <w:pPr>
        <w:jc w:val="right"/>
      </w:pPr>
    </w:p>
    <w:p w14:paraId="5A1B3508" w14:textId="77777777" w:rsidR="00960BB8" w:rsidRDefault="00C06650">
      <w:pPr>
        <w:spacing w:after="120"/>
      </w:pPr>
      <w:r>
        <w:rPr>
          <w:rFonts w:ascii="Arial" w:eastAsia="宋体" w:hAnsi="Arial" w:cs="Arial"/>
          <w:color w:val="0068B5"/>
          <w:sz w:val="20"/>
          <w:szCs w:val="20"/>
        </w:rPr>
        <w:t>Non-US Plan Assets</w:t>
      </w:r>
    </w:p>
    <w:p w14:paraId="5A1B3509" w14:textId="77777777" w:rsidR="00960BB8" w:rsidRDefault="00C06650">
      <w:pPr>
        <w:spacing w:after="180"/>
      </w:pPr>
      <w:r>
        <w:rPr>
          <w:rFonts w:ascii="Arial" w:eastAsia="宋体" w:hAnsi="Arial" w:cs="Arial"/>
          <w:color w:val="262626"/>
          <w:sz w:val="18"/>
          <w:szCs w:val="18"/>
        </w:rPr>
        <w:t>The investments of the non-US plans are managed by insurance com</w:t>
      </w:r>
      <w:r>
        <w:rPr>
          <w:rFonts w:ascii="Arial" w:eastAsia="宋体" w:hAnsi="Arial" w:cs="Arial"/>
          <w:color w:val="262626"/>
          <w:sz w:val="18"/>
          <w:szCs w:val="18"/>
        </w:rPr>
        <w:t>panies, pension funds, or third-party trustees, consistent with regulations or market practice of the country where the assets are invested. The investment manager makes investment decisions within the guidelines set by Intel or local regulations. Investme</w:t>
      </w:r>
      <w:r>
        <w:rPr>
          <w:rFonts w:ascii="Arial" w:eastAsia="宋体" w:hAnsi="Arial" w:cs="Arial"/>
          <w:color w:val="262626"/>
          <w:sz w:val="18"/>
          <w:szCs w:val="18"/>
        </w:rPr>
        <w:t>nts managed by qualified insurance companies or pension funds under standard contracts follow local regulations, and we are not actively involved in their investment strategies. For the assets that we have the discretion to set investment guidelines, the a</w:t>
      </w:r>
      <w:r>
        <w:rPr>
          <w:rFonts w:ascii="Arial" w:eastAsia="宋体" w:hAnsi="Arial" w:cs="Arial"/>
          <w:color w:val="262626"/>
          <w:sz w:val="18"/>
          <w:szCs w:val="18"/>
        </w:rPr>
        <w:t>ssets are invested in developed country equity investments and fixed-income investments, either through index funds or direct investment. In general, the investment strategy is designed to accumulate a diversified portfolio among markets, asset classes, or</w:t>
      </w:r>
      <w:r>
        <w:rPr>
          <w:rFonts w:ascii="Arial" w:eastAsia="宋体" w:hAnsi="Arial" w:cs="Arial"/>
          <w:color w:val="262626"/>
          <w:sz w:val="18"/>
          <w:szCs w:val="18"/>
        </w:rPr>
        <w:t xml:space="preserve"> individual securities to reduce market risk and to help enable sufficient pension assets to be available to pay benefits as they come due. The equity investments in the non-US plan assets are invested in a diversified mix of equities of developed countrie</w:t>
      </w:r>
      <w:r>
        <w:rPr>
          <w:rFonts w:ascii="Arial" w:eastAsia="宋体" w:hAnsi="Arial" w:cs="Arial"/>
          <w:color w:val="262626"/>
          <w:sz w:val="18"/>
          <w:szCs w:val="18"/>
        </w:rPr>
        <w:t xml:space="preserve">s, including the US, and emerging markets throughout the world. We have control over the investment strategy related to the majority of the assets measured at net asset value, which are invested in hedge funds, bond index funds and equity index funds. The </w:t>
      </w:r>
      <w:r>
        <w:rPr>
          <w:rFonts w:ascii="Arial" w:eastAsia="宋体" w:hAnsi="Arial" w:cs="Arial"/>
          <w:color w:val="262626"/>
          <w:sz w:val="18"/>
          <w:szCs w:val="18"/>
        </w:rPr>
        <w:t>target allocation of the non-US plan assets that we have control over was approximately 45% fixed income, 35% equity, and 20% hedge fund investments in 2022.</w:t>
      </w:r>
    </w:p>
    <w:p w14:paraId="5A1B350A" w14:textId="77777777" w:rsidR="00960BB8" w:rsidRDefault="00C06650">
      <w:pPr>
        <w:spacing w:after="180"/>
      </w:pPr>
      <w:r>
        <w:rPr>
          <w:rFonts w:ascii="Arial" w:eastAsia="宋体" w:hAnsi="Arial" w:cs="Arial"/>
          <w:color w:val="0068B5"/>
        </w:rPr>
        <w:t>Estimated Future Benefit Payments for Pension Benefit Plans</w:t>
      </w:r>
    </w:p>
    <w:p w14:paraId="5A1B350B" w14:textId="77777777" w:rsidR="00960BB8" w:rsidRDefault="00C06650">
      <w:pPr>
        <w:spacing w:after="120"/>
      </w:pPr>
      <w:r>
        <w:rPr>
          <w:rFonts w:ascii="Arial" w:eastAsia="宋体" w:hAnsi="Arial" w:cs="Arial"/>
          <w:color w:val="262626"/>
          <w:sz w:val="18"/>
          <w:szCs w:val="18"/>
        </w:rPr>
        <w:t>As of December 31, 2022, estimated ben</w:t>
      </w:r>
      <w:r>
        <w:rPr>
          <w:rFonts w:ascii="Arial" w:eastAsia="宋体" w:hAnsi="Arial" w:cs="Arial"/>
          <w:color w:val="262626"/>
          <w:sz w:val="18"/>
          <w:szCs w:val="18"/>
        </w:rPr>
        <w:t>efit payments over the next 10 years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893"/>
        <w:gridCol w:w="36"/>
        <w:gridCol w:w="36"/>
        <w:gridCol w:w="36"/>
        <w:gridCol w:w="36"/>
        <w:gridCol w:w="121"/>
        <w:gridCol w:w="791"/>
        <w:gridCol w:w="36"/>
        <w:gridCol w:w="36"/>
        <w:gridCol w:w="36"/>
        <w:gridCol w:w="36"/>
        <w:gridCol w:w="121"/>
        <w:gridCol w:w="791"/>
        <w:gridCol w:w="36"/>
        <w:gridCol w:w="36"/>
        <w:gridCol w:w="36"/>
        <w:gridCol w:w="36"/>
        <w:gridCol w:w="121"/>
        <w:gridCol w:w="792"/>
        <w:gridCol w:w="36"/>
        <w:gridCol w:w="36"/>
        <w:gridCol w:w="36"/>
        <w:gridCol w:w="36"/>
        <w:gridCol w:w="121"/>
        <w:gridCol w:w="793"/>
        <w:gridCol w:w="36"/>
        <w:gridCol w:w="36"/>
        <w:gridCol w:w="36"/>
        <w:gridCol w:w="36"/>
        <w:gridCol w:w="121"/>
        <w:gridCol w:w="794"/>
        <w:gridCol w:w="36"/>
        <w:gridCol w:w="36"/>
        <w:gridCol w:w="36"/>
        <w:gridCol w:w="36"/>
        <w:gridCol w:w="122"/>
        <w:gridCol w:w="818"/>
        <w:gridCol w:w="36"/>
      </w:tblGrid>
      <w:tr w:rsidR="00960BB8" w14:paraId="5A1B3533" w14:textId="77777777">
        <w:tc>
          <w:tcPr>
            <w:tcW w:w="50" w:type="pct"/>
            <w:shd w:val="clear" w:color="auto" w:fill="auto"/>
            <w:vAlign w:val="bottom"/>
          </w:tcPr>
          <w:p w14:paraId="5A1B350C" w14:textId="77777777" w:rsidR="00960BB8" w:rsidRDefault="00960BB8">
            <w:pPr>
              <w:rPr>
                <w:rFonts w:ascii="宋体"/>
              </w:rPr>
            </w:pPr>
          </w:p>
        </w:tc>
        <w:tc>
          <w:tcPr>
            <w:tcW w:w="1174" w:type="pct"/>
            <w:shd w:val="clear" w:color="auto" w:fill="auto"/>
            <w:vAlign w:val="bottom"/>
          </w:tcPr>
          <w:p w14:paraId="5A1B350D" w14:textId="77777777" w:rsidR="00960BB8" w:rsidRDefault="00960BB8">
            <w:pPr>
              <w:rPr>
                <w:rFonts w:ascii="宋体"/>
              </w:rPr>
            </w:pPr>
          </w:p>
        </w:tc>
        <w:tc>
          <w:tcPr>
            <w:tcW w:w="5" w:type="pct"/>
            <w:shd w:val="clear" w:color="auto" w:fill="auto"/>
            <w:vAlign w:val="bottom"/>
          </w:tcPr>
          <w:p w14:paraId="5A1B350E" w14:textId="77777777" w:rsidR="00960BB8" w:rsidRDefault="00960BB8">
            <w:pPr>
              <w:rPr>
                <w:rFonts w:ascii="宋体"/>
              </w:rPr>
            </w:pPr>
          </w:p>
        </w:tc>
        <w:tc>
          <w:tcPr>
            <w:tcW w:w="5" w:type="pct"/>
            <w:shd w:val="clear" w:color="auto" w:fill="auto"/>
            <w:vAlign w:val="bottom"/>
          </w:tcPr>
          <w:p w14:paraId="5A1B350F" w14:textId="77777777" w:rsidR="00960BB8" w:rsidRDefault="00960BB8">
            <w:pPr>
              <w:rPr>
                <w:rFonts w:ascii="宋体"/>
              </w:rPr>
            </w:pPr>
          </w:p>
        </w:tc>
        <w:tc>
          <w:tcPr>
            <w:tcW w:w="24" w:type="pct"/>
            <w:shd w:val="clear" w:color="auto" w:fill="auto"/>
            <w:vAlign w:val="bottom"/>
          </w:tcPr>
          <w:p w14:paraId="5A1B3510" w14:textId="77777777" w:rsidR="00960BB8" w:rsidRDefault="00960BB8">
            <w:pPr>
              <w:rPr>
                <w:rFonts w:ascii="宋体"/>
              </w:rPr>
            </w:pPr>
          </w:p>
        </w:tc>
        <w:tc>
          <w:tcPr>
            <w:tcW w:w="5" w:type="pct"/>
            <w:shd w:val="clear" w:color="auto" w:fill="auto"/>
            <w:vAlign w:val="bottom"/>
          </w:tcPr>
          <w:p w14:paraId="5A1B3511" w14:textId="77777777" w:rsidR="00960BB8" w:rsidRDefault="00960BB8">
            <w:pPr>
              <w:rPr>
                <w:rFonts w:ascii="宋体"/>
              </w:rPr>
            </w:pPr>
          </w:p>
        </w:tc>
        <w:tc>
          <w:tcPr>
            <w:tcW w:w="50" w:type="pct"/>
            <w:shd w:val="clear" w:color="auto" w:fill="auto"/>
            <w:vAlign w:val="bottom"/>
          </w:tcPr>
          <w:p w14:paraId="5A1B3512" w14:textId="77777777" w:rsidR="00960BB8" w:rsidRDefault="00960BB8">
            <w:pPr>
              <w:rPr>
                <w:rFonts w:ascii="宋体"/>
              </w:rPr>
            </w:pPr>
          </w:p>
        </w:tc>
        <w:tc>
          <w:tcPr>
            <w:tcW w:w="539" w:type="pct"/>
            <w:shd w:val="clear" w:color="auto" w:fill="auto"/>
            <w:vAlign w:val="bottom"/>
          </w:tcPr>
          <w:p w14:paraId="5A1B3513" w14:textId="77777777" w:rsidR="00960BB8" w:rsidRDefault="00960BB8">
            <w:pPr>
              <w:rPr>
                <w:rFonts w:ascii="宋体"/>
              </w:rPr>
            </w:pPr>
          </w:p>
        </w:tc>
        <w:tc>
          <w:tcPr>
            <w:tcW w:w="5" w:type="pct"/>
            <w:shd w:val="clear" w:color="auto" w:fill="auto"/>
            <w:vAlign w:val="bottom"/>
          </w:tcPr>
          <w:p w14:paraId="5A1B3514" w14:textId="77777777" w:rsidR="00960BB8" w:rsidRDefault="00960BB8">
            <w:pPr>
              <w:rPr>
                <w:rFonts w:ascii="宋体"/>
              </w:rPr>
            </w:pPr>
          </w:p>
        </w:tc>
        <w:tc>
          <w:tcPr>
            <w:tcW w:w="5" w:type="pct"/>
            <w:shd w:val="clear" w:color="auto" w:fill="auto"/>
            <w:vAlign w:val="bottom"/>
          </w:tcPr>
          <w:p w14:paraId="5A1B3515" w14:textId="77777777" w:rsidR="00960BB8" w:rsidRDefault="00960BB8">
            <w:pPr>
              <w:rPr>
                <w:rFonts w:ascii="宋体"/>
              </w:rPr>
            </w:pPr>
          </w:p>
        </w:tc>
        <w:tc>
          <w:tcPr>
            <w:tcW w:w="24" w:type="pct"/>
            <w:shd w:val="clear" w:color="auto" w:fill="auto"/>
            <w:vAlign w:val="bottom"/>
          </w:tcPr>
          <w:p w14:paraId="5A1B3516" w14:textId="77777777" w:rsidR="00960BB8" w:rsidRDefault="00960BB8">
            <w:pPr>
              <w:rPr>
                <w:rFonts w:ascii="宋体"/>
              </w:rPr>
            </w:pPr>
          </w:p>
        </w:tc>
        <w:tc>
          <w:tcPr>
            <w:tcW w:w="5" w:type="pct"/>
            <w:shd w:val="clear" w:color="auto" w:fill="auto"/>
            <w:vAlign w:val="bottom"/>
          </w:tcPr>
          <w:p w14:paraId="5A1B3517" w14:textId="77777777" w:rsidR="00960BB8" w:rsidRDefault="00960BB8">
            <w:pPr>
              <w:rPr>
                <w:rFonts w:ascii="宋体"/>
              </w:rPr>
            </w:pPr>
          </w:p>
        </w:tc>
        <w:tc>
          <w:tcPr>
            <w:tcW w:w="50" w:type="pct"/>
            <w:shd w:val="clear" w:color="auto" w:fill="auto"/>
            <w:vAlign w:val="bottom"/>
          </w:tcPr>
          <w:p w14:paraId="5A1B3518" w14:textId="77777777" w:rsidR="00960BB8" w:rsidRDefault="00960BB8">
            <w:pPr>
              <w:rPr>
                <w:rFonts w:ascii="宋体"/>
              </w:rPr>
            </w:pPr>
          </w:p>
        </w:tc>
        <w:tc>
          <w:tcPr>
            <w:tcW w:w="539" w:type="pct"/>
            <w:shd w:val="clear" w:color="auto" w:fill="auto"/>
            <w:vAlign w:val="bottom"/>
          </w:tcPr>
          <w:p w14:paraId="5A1B3519" w14:textId="77777777" w:rsidR="00960BB8" w:rsidRDefault="00960BB8">
            <w:pPr>
              <w:rPr>
                <w:rFonts w:ascii="宋体"/>
              </w:rPr>
            </w:pPr>
          </w:p>
        </w:tc>
        <w:tc>
          <w:tcPr>
            <w:tcW w:w="5" w:type="pct"/>
            <w:shd w:val="clear" w:color="auto" w:fill="auto"/>
            <w:vAlign w:val="bottom"/>
          </w:tcPr>
          <w:p w14:paraId="5A1B351A" w14:textId="77777777" w:rsidR="00960BB8" w:rsidRDefault="00960BB8">
            <w:pPr>
              <w:rPr>
                <w:rFonts w:ascii="宋体"/>
              </w:rPr>
            </w:pPr>
          </w:p>
        </w:tc>
        <w:tc>
          <w:tcPr>
            <w:tcW w:w="5" w:type="pct"/>
            <w:shd w:val="clear" w:color="auto" w:fill="auto"/>
            <w:vAlign w:val="bottom"/>
          </w:tcPr>
          <w:p w14:paraId="5A1B351B" w14:textId="77777777" w:rsidR="00960BB8" w:rsidRDefault="00960BB8">
            <w:pPr>
              <w:rPr>
                <w:rFonts w:ascii="宋体"/>
              </w:rPr>
            </w:pPr>
          </w:p>
        </w:tc>
        <w:tc>
          <w:tcPr>
            <w:tcW w:w="24" w:type="pct"/>
            <w:shd w:val="clear" w:color="auto" w:fill="auto"/>
            <w:vAlign w:val="bottom"/>
          </w:tcPr>
          <w:p w14:paraId="5A1B351C" w14:textId="77777777" w:rsidR="00960BB8" w:rsidRDefault="00960BB8">
            <w:pPr>
              <w:rPr>
                <w:rFonts w:ascii="宋体"/>
              </w:rPr>
            </w:pPr>
          </w:p>
        </w:tc>
        <w:tc>
          <w:tcPr>
            <w:tcW w:w="5" w:type="pct"/>
            <w:shd w:val="clear" w:color="auto" w:fill="auto"/>
            <w:vAlign w:val="bottom"/>
          </w:tcPr>
          <w:p w14:paraId="5A1B351D" w14:textId="77777777" w:rsidR="00960BB8" w:rsidRDefault="00960BB8">
            <w:pPr>
              <w:rPr>
                <w:rFonts w:ascii="宋体"/>
              </w:rPr>
            </w:pPr>
          </w:p>
        </w:tc>
        <w:tc>
          <w:tcPr>
            <w:tcW w:w="50" w:type="pct"/>
            <w:shd w:val="clear" w:color="auto" w:fill="auto"/>
            <w:vAlign w:val="bottom"/>
          </w:tcPr>
          <w:p w14:paraId="5A1B351E" w14:textId="77777777" w:rsidR="00960BB8" w:rsidRDefault="00960BB8">
            <w:pPr>
              <w:rPr>
                <w:rFonts w:ascii="宋体"/>
              </w:rPr>
            </w:pPr>
          </w:p>
        </w:tc>
        <w:tc>
          <w:tcPr>
            <w:tcW w:w="539" w:type="pct"/>
            <w:shd w:val="clear" w:color="auto" w:fill="auto"/>
            <w:vAlign w:val="bottom"/>
          </w:tcPr>
          <w:p w14:paraId="5A1B351F" w14:textId="77777777" w:rsidR="00960BB8" w:rsidRDefault="00960BB8">
            <w:pPr>
              <w:rPr>
                <w:rFonts w:ascii="宋体"/>
              </w:rPr>
            </w:pPr>
          </w:p>
        </w:tc>
        <w:tc>
          <w:tcPr>
            <w:tcW w:w="5" w:type="pct"/>
            <w:shd w:val="clear" w:color="auto" w:fill="auto"/>
            <w:vAlign w:val="bottom"/>
          </w:tcPr>
          <w:p w14:paraId="5A1B3520" w14:textId="77777777" w:rsidR="00960BB8" w:rsidRDefault="00960BB8">
            <w:pPr>
              <w:rPr>
                <w:rFonts w:ascii="宋体"/>
              </w:rPr>
            </w:pPr>
          </w:p>
        </w:tc>
        <w:tc>
          <w:tcPr>
            <w:tcW w:w="5" w:type="pct"/>
            <w:shd w:val="clear" w:color="auto" w:fill="auto"/>
            <w:vAlign w:val="bottom"/>
          </w:tcPr>
          <w:p w14:paraId="5A1B3521" w14:textId="77777777" w:rsidR="00960BB8" w:rsidRDefault="00960BB8">
            <w:pPr>
              <w:rPr>
                <w:rFonts w:ascii="宋体"/>
              </w:rPr>
            </w:pPr>
          </w:p>
        </w:tc>
        <w:tc>
          <w:tcPr>
            <w:tcW w:w="24" w:type="pct"/>
            <w:shd w:val="clear" w:color="auto" w:fill="auto"/>
            <w:vAlign w:val="bottom"/>
          </w:tcPr>
          <w:p w14:paraId="5A1B3522" w14:textId="77777777" w:rsidR="00960BB8" w:rsidRDefault="00960BB8">
            <w:pPr>
              <w:rPr>
                <w:rFonts w:ascii="宋体"/>
              </w:rPr>
            </w:pPr>
          </w:p>
        </w:tc>
        <w:tc>
          <w:tcPr>
            <w:tcW w:w="5" w:type="pct"/>
            <w:shd w:val="clear" w:color="auto" w:fill="auto"/>
            <w:vAlign w:val="bottom"/>
          </w:tcPr>
          <w:p w14:paraId="5A1B3523" w14:textId="77777777" w:rsidR="00960BB8" w:rsidRDefault="00960BB8">
            <w:pPr>
              <w:rPr>
                <w:rFonts w:ascii="宋体"/>
              </w:rPr>
            </w:pPr>
          </w:p>
        </w:tc>
        <w:tc>
          <w:tcPr>
            <w:tcW w:w="50" w:type="pct"/>
            <w:shd w:val="clear" w:color="auto" w:fill="auto"/>
            <w:vAlign w:val="bottom"/>
          </w:tcPr>
          <w:p w14:paraId="5A1B3524" w14:textId="77777777" w:rsidR="00960BB8" w:rsidRDefault="00960BB8">
            <w:pPr>
              <w:rPr>
                <w:rFonts w:ascii="宋体"/>
              </w:rPr>
            </w:pPr>
          </w:p>
        </w:tc>
        <w:tc>
          <w:tcPr>
            <w:tcW w:w="539" w:type="pct"/>
            <w:shd w:val="clear" w:color="auto" w:fill="auto"/>
            <w:vAlign w:val="bottom"/>
          </w:tcPr>
          <w:p w14:paraId="5A1B3525" w14:textId="77777777" w:rsidR="00960BB8" w:rsidRDefault="00960BB8">
            <w:pPr>
              <w:rPr>
                <w:rFonts w:ascii="宋体"/>
              </w:rPr>
            </w:pPr>
          </w:p>
        </w:tc>
        <w:tc>
          <w:tcPr>
            <w:tcW w:w="5" w:type="pct"/>
            <w:shd w:val="clear" w:color="auto" w:fill="auto"/>
            <w:vAlign w:val="bottom"/>
          </w:tcPr>
          <w:p w14:paraId="5A1B3526" w14:textId="77777777" w:rsidR="00960BB8" w:rsidRDefault="00960BB8">
            <w:pPr>
              <w:rPr>
                <w:rFonts w:ascii="宋体"/>
              </w:rPr>
            </w:pPr>
          </w:p>
        </w:tc>
        <w:tc>
          <w:tcPr>
            <w:tcW w:w="5" w:type="pct"/>
            <w:shd w:val="clear" w:color="auto" w:fill="auto"/>
            <w:vAlign w:val="bottom"/>
          </w:tcPr>
          <w:p w14:paraId="5A1B3527" w14:textId="77777777" w:rsidR="00960BB8" w:rsidRDefault="00960BB8">
            <w:pPr>
              <w:rPr>
                <w:rFonts w:ascii="宋体"/>
              </w:rPr>
            </w:pPr>
          </w:p>
        </w:tc>
        <w:tc>
          <w:tcPr>
            <w:tcW w:w="24" w:type="pct"/>
            <w:shd w:val="clear" w:color="auto" w:fill="auto"/>
            <w:vAlign w:val="bottom"/>
          </w:tcPr>
          <w:p w14:paraId="5A1B3528" w14:textId="77777777" w:rsidR="00960BB8" w:rsidRDefault="00960BB8">
            <w:pPr>
              <w:rPr>
                <w:rFonts w:ascii="宋体"/>
              </w:rPr>
            </w:pPr>
          </w:p>
        </w:tc>
        <w:tc>
          <w:tcPr>
            <w:tcW w:w="5" w:type="pct"/>
            <w:shd w:val="clear" w:color="auto" w:fill="auto"/>
            <w:vAlign w:val="bottom"/>
          </w:tcPr>
          <w:p w14:paraId="5A1B3529" w14:textId="77777777" w:rsidR="00960BB8" w:rsidRDefault="00960BB8">
            <w:pPr>
              <w:rPr>
                <w:rFonts w:ascii="宋体"/>
              </w:rPr>
            </w:pPr>
          </w:p>
        </w:tc>
        <w:tc>
          <w:tcPr>
            <w:tcW w:w="50" w:type="pct"/>
            <w:shd w:val="clear" w:color="auto" w:fill="auto"/>
            <w:vAlign w:val="bottom"/>
          </w:tcPr>
          <w:p w14:paraId="5A1B352A" w14:textId="77777777" w:rsidR="00960BB8" w:rsidRDefault="00960BB8">
            <w:pPr>
              <w:rPr>
                <w:rFonts w:ascii="宋体"/>
              </w:rPr>
            </w:pPr>
          </w:p>
        </w:tc>
        <w:tc>
          <w:tcPr>
            <w:tcW w:w="539" w:type="pct"/>
            <w:shd w:val="clear" w:color="auto" w:fill="auto"/>
            <w:vAlign w:val="bottom"/>
          </w:tcPr>
          <w:p w14:paraId="5A1B352B" w14:textId="77777777" w:rsidR="00960BB8" w:rsidRDefault="00960BB8">
            <w:pPr>
              <w:rPr>
                <w:rFonts w:ascii="宋体"/>
              </w:rPr>
            </w:pPr>
          </w:p>
        </w:tc>
        <w:tc>
          <w:tcPr>
            <w:tcW w:w="5" w:type="pct"/>
            <w:shd w:val="clear" w:color="auto" w:fill="auto"/>
            <w:vAlign w:val="bottom"/>
          </w:tcPr>
          <w:p w14:paraId="5A1B352C" w14:textId="77777777" w:rsidR="00960BB8" w:rsidRDefault="00960BB8">
            <w:pPr>
              <w:rPr>
                <w:rFonts w:ascii="宋体"/>
              </w:rPr>
            </w:pPr>
          </w:p>
        </w:tc>
        <w:tc>
          <w:tcPr>
            <w:tcW w:w="5" w:type="pct"/>
            <w:shd w:val="clear" w:color="auto" w:fill="auto"/>
            <w:vAlign w:val="bottom"/>
          </w:tcPr>
          <w:p w14:paraId="5A1B352D" w14:textId="77777777" w:rsidR="00960BB8" w:rsidRDefault="00960BB8">
            <w:pPr>
              <w:rPr>
                <w:rFonts w:ascii="宋体"/>
              </w:rPr>
            </w:pPr>
          </w:p>
        </w:tc>
        <w:tc>
          <w:tcPr>
            <w:tcW w:w="24" w:type="pct"/>
            <w:shd w:val="clear" w:color="auto" w:fill="auto"/>
            <w:vAlign w:val="bottom"/>
          </w:tcPr>
          <w:p w14:paraId="5A1B352E" w14:textId="77777777" w:rsidR="00960BB8" w:rsidRDefault="00960BB8">
            <w:pPr>
              <w:rPr>
                <w:rFonts w:ascii="宋体"/>
              </w:rPr>
            </w:pPr>
          </w:p>
        </w:tc>
        <w:tc>
          <w:tcPr>
            <w:tcW w:w="5" w:type="pct"/>
            <w:shd w:val="clear" w:color="auto" w:fill="auto"/>
            <w:vAlign w:val="bottom"/>
          </w:tcPr>
          <w:p w14:paraId="5A1B352F" w14:textId="77777777" w:rsidR="00960BB8" w:rsidRDefault="00960BB8">
            <w:pPr>
              <w:rPr>
                <w:rFonts w:ascii="宋体"/>
              </w:rPr>
            </w:pPr>
          </w:p>
        </w:tc>
        <w:tc>
          <w:tcPr>
            <w:tcW w:w="50" w:type="pct"/>
            <w:shd w:val="clear" w:color="auto" w:fill="auto"/>
            <w:vAlign w:val="bottom"/>
          </w:tcPr>
          <w:p w14:paraId="5A1B3530" w14:textId="77777777" w:rsidR="00960BB8" w:rsidRDefault="00960BB8">
            <w:pPr>
              <w:rPr>
                <w:rFonts w:ascii="宋体"/>
              </w:rPr>
            </w:pPr>
          </w:p>
        </w:tc>
        <w:tc>
          <w:tcPr>
            <w:tcW w:w="539" w:type="pct"/>
            <w:shd w:val="clear" w:color="auto" w:fill="auto"/>
            <w:vAlign w:val="bottom"/>
          </w:tcPr>
          <w:p w14:paraId="5A1B3531" w14:textId="77777777" w:rsidR="00960BB8" w:rsidRDefault="00960BB8">
            <w:pPr>
              <w:rPr>
                <w:rFonts w:ascii="宋体"/>
              </w:rPr>
            </w:pPr>
          </w:p>
        </w:tc>
        <w:tc>
          <w:tcPr>
            <w:tcW w:w="5" w:type="pct"/>
            <w:shd w:val="clear" w:color="auto" w:fill="auto"/>
            <w:vAlign w:val="bottom"/>
          </w:tcPr>
          <w:p w14:paraId="5A1B3532" w14:textId="77777777" w:rsidR="00960BB8" w:rsidRDefault="00960BB8">
            <w:pPr>
              <w:rPr>
                <w:rFonts w:ascii="宋体"/>
              </w:rPr>
            </w:pPr>
          </w:p>
        </w:tc>
      </w:tr>
      <w:tr w:rsidR="00960BB8" w14:paraId="5A1B3541" w14:textId="77777777">
        <w:tc>
          <w:tcPr>
            <w:tcW w:w="0" w:type="auto"/>
            <w:gridSpan w:val="3"/>
            <w:shd w:val="clear" w:color="auto" w:fill="auto"/>
            <w:tcMar>
              <w:top w:w="40" w:type="dxa"/>
              <w:left w:w="20" w:type="dxa"/>
              <w:bottom w:w="40" w:type="dxa"/>
              <w:right w:w="20" w:type="dxa"/>
            </w:tcMar>
            <w:vAlign w:val="bottom"/>
          </w:tcPr>
          <w:p w14:paraId="5A1B3534"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353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536" w14:textId="77777777" w:rsidR="00960BB8" w:rsidRDefault="00C06650">
            <w:pPr>
              <w:jc w:val="right"/>
              <w:textAlignment w:val="top"/>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vAlign w:val="bottom"/>
          </w:tcPr>
          <w:p w14:paraId="5A1B353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538" w14:textId="77777777" w:rsidR="00960BB8" w:rsidRDefault="00C06650">
            <w:pPr>
              <w:jc w:val="right"/>
              <w:textAlignment w:val="top"/>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vAlign w:val="bottom"/>
          </w:tcPr>
          <w:p w14:paraId="5A1B353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53A" w14:textId="77777777" w:rsidR="00960BB8" w:rsidRDefault="00C06650">
            <w:pPr>
              <w:jc w:val="right"/>
              <w:textAlignment w:val="top"/>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vAlign w:val="bottom"/>
          </w:tcPr>
          <w:p w14:paraId="5A1B353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53C" w14:textId="77777777" w:rsidR="00960BB8" w:rsidRDefault="00C06650">
            <w:pPr>
              <w:jc w:val="right"/>
              <w:textAlignment w:val="top"/>
            </w:pPr>
            <w:r>
              <w:rPr>
                <w:rFonts w:ascii="Arial" w:eastAsia="宋体" w:hAnsi="Arial" w:cs="Arial"/>
                <w:b/>
                <w:bCs/>
                <w:color w:val="262626"/>
                <w:sz w:val="18"/>
                <w:szCs w:val="18"/>
              </w:rPr>
              <w:t>2026</w:t>
            </w:r>
          </w:p>
        </w:tc>
        <w:tc>
          <w:tcPr>
            <w:tcW w:w="0" w:type="auto"/>
            <w:gridSpan w:val="3"/>
            <w:shd w:val="clear" w:color="auto" w:fill="auto"/>
            <w:tcMar>
              <w:top w:w="0" w:type="dxa"/>
              <w:left w:w="20" w:type="dxa"/>
              <w:bottom w:w="0" w:type="dxa"/>
              <w:right w:w="20" w:type="dxa"/>
            </w:tcMar>
            <w:vAlign w:val="bottom"/>
          </w:tcPr>
          <w:p w14:paraId="5A1B353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53E" w14:textId="77777777" w:rsidR="00960BB8" w:rsidRDefault="00C06650">
            <w:pPr>
              <w:jc w:val="right"/>
              <w:textAlignment w:val="top"/>
            </w:pPr>
            <w:r>
              <w:rPr>
                <w:rFonts w:ascii="Arial" w:eastAsia="宋体" w:hAnsi="Arial" w:cs="Arial"/>
                <w:b/>
                <w:bCs/>
                <w:color w:val="262626"/>
                <w:sz w:val="18"/>
                <w:szCs w:val="18"/>
              </w:rPr>
              <w:t>2027</w:t>
            </w:r>
          </w:p>
        </w:tc>
        <w:tc>
          <w:tcPr>
            <w:tcW w:w="0" w:type="auto"/>
            <w:gridSpan w:val="3"/>
            <w:shd w:val="clear" w:color="auto" w:fill="auto"/>
            <w:tcMar>
              <w:top w:w="0" w:type="dxa"/>
              <w:left w:w="20" w:type="dxa"/>
              <w:bottom w:w="0" w:type="dxa"/>
              <w:right w:w="20" w:type="dxa"/>
            </w:tcMar>
            <w:vAlign w:val="bottom"/>
          </w:tcPr>
          <w:p w14:paraId="5A1B353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540" w14:textId="77777777" w:rsidR="00960BB8" w:rsidRDefault="00C06650">
            <w:pPr>
              <w:jc w:val="right"/>
              <w:textAlignment w:val="top"/>
            </w:pPr>
            <w:r>
              <w:rPr>
                <w:rFonts w:ascii="Arial" w:eastAsia="宋体" w:hAnsi="Arial" w:cs="Arial"/>
                <w:b/>
                <w:bCs/>
                <w:color w:val="262626"/>
                <w:sz w:val="18"/>
                <w:szCs w:val="18"/>
              </w:rPr>
              <w:t>2028-2032</w:t>
            </w:r>
          </w:p>
        </w:tc>
      </w:tr>
      <w:tr w:rsidR="00960BB8" w14:paraId="5A1B355B"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3542" w14:textId="77777777" w:rsidR="00960BB8" w:rsidRDefault="00C06650">
            <w:pPr>
              <w:textAlignment w:val="bottom"/>
            </w:pPr>
            <w:r>
              <w:rPr>
                <w:rFonts w:ascii="Arial" w:eastAsia="宋体" w:hAnsi="Arial" w:cs="Arial"/>
                <w:color w:val="262626"/>
                <w:sz w:val="18"/>
                <w:szCs w:val="18"/>
              </w:rPr>
              <w:t>Pension benefits</w:t>
            </w:r>
          </w:p>
        </w:tc>
        <w:tc>
          <w:tcPr>
            <w:tcW w:w="0" w:type="auto"/>
            <w:gridSpan w:val="3"/>
            <w:shd w:val="clear" w:color="auto" w:fill="auto"/>
            <w:tcMar>
              <w:top w:w="0" w:type="dxa"/>
              <w:left w:w="20" w:type="dxa"/>
              <w:bottom w:w="0" w:type="dxa"/>
              <w:right w:w="20" w:type="dxa"/>
            </w:tcMar>
            <w:vAlign w:val="bottom"/>
          </w:tcPr>
          <w:p w14:paraId="5A1B354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544"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545" w14:textId="77777777" w:rsidR="00960BB8" w:rsidRDefault="00C06650">
            <w:pPr>
              <w:jc w:val="right"/>
              <w:textAlignment w:val="bottom"/>
            </w:pPr>
            <w:r>
              <w:rPr>
                <w:rFonts w:ascii="Arial" w:eastAsia="宋体" w:hAnsi="Arial" w:cs="Arial"/>
                <w:color w:val="0068B5"/>
                <w:sz w:val="18"/>
                <w:szCs w:val="18"/>
              </w:rPr>
              <w:t>125 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54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547"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548"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549" w14:textId="77777777" w:rsidR="00960BB8" w:rsidRDefault="00C06650">
            <w:pPr>
              <w:jc w:val="right"/>
              <w:textAlignment w:val="bottom"/>
            </w:pPr>
            <w:r>
              <w:rPr>
                <w:rFonts w:ascii="Arial" w:eastAsia="宋体" w:hAnsi="Arial" w:cs="Arial"/>
                <w:color w:val="0068B5"/>
                <w:sz w:val="18"/>
                <w:szCs w:val="18"/>
              </w:rPr>
              <w:t>113 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54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54B"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54C"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54D" w14:textId="77777777" w:rsidR="00960BB8" w:rsidRDefault="00C06650">
            <w:pPr>
              <w:jc w:val="right"/>
              <w:textAlignment w:val="bottom"/>
            </w:pPr>
            <w:r>
              <w:rPr>
                <w:rFonts w:ascii="Arial" w:eastAsia="宋体" w:hAnsi="Arial" w:cs="Arial"/>
                <w:color w:val="0068B5"/>
                <w:sz w:val="18"/>
                <w:szCs w:val="18"/>
              </w:rPr>
              <w:t>118 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54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54F"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550"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551" w14:textId="77777777" w:rsidR="00960BB8" w:rsidRDefault="00C06650">
            <w:pPr>
              <w:jc w:val="right"/>
              <w:textAlignment w:val="bottom"/>
            </w:pPr>
            <w:r>
              <w:rPr>
                <w:rFonts w:ascii="Arial" w:eastAsia="宋体" w:hAnsi="Arial" w:cs="Arial"/>
                <w:color w:val="0068B5"/>
                <w:sz w:val="18"/>
                <w:szCs w:val="18"/>
              </w:rPr>
              <w:t>126 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55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55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554"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555" w14:textId="77777777" w:rsidR="00960BB8" w:rsidRDefault="00C06650">
            <w:pPr>
              <w:jc w:val="right"/>
              <w:textAlignment w:val="bottom"/>
            </w:pPr>
            <w:r>
              <w:rPr>
                <w:rFonts w:ascii="Arial" w:eastAsia="宋体" w:hAnsi="Arial" w:cs="Arial"/>
                <w:color w:val="0068B5"/>
                <w:sz w:val="18"/>
                <w:szCs w:val="18"/>
              </w:rPr>
              <w:t>129 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55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557"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558"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559" w14:textId="77777777" w:rsidR="00960BB8" w:rsidRDefault="00C06650">
            <w:pPr>
              <w:jc w:val="right"/>
              <w:textAlignment w:val="bottom"/>
            </w:pPr>
            <w:r>
              <w:rPr>
                <w:rFonts w:ascii="Arial" w:eastAsia="宋体" w:hAnsi="Arial" w:cs="Arial"/>
                <w:color w:val="0068B5"/>
                <w:sz w:val="18"/>
                <w:szCs w:val="18"/>
              </w:rPr>
              <w:t>700 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55A" w14:textId="77777777" w:rsidR="00960BB8" w:rsidRDefault="00960BB8">
            <w:pPr>
              <w:jc w:val="right"/>
              <w:rPr>
                <w:rFonts w:ascii="宋体"/>
              </w:rPr>
            </w:pPr>
          </w:p>
        </w:tc>
      </w:tr>
    </w:tbl>
    <w:p w14:paraId="5A1B355C"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960BB8" w14:paraId="5A1B3563" w14:textId="77777777">
        <w:tc>
          <w:tcPr>
            <w:tcW w:w="50" w:type="pct"/>
            <w:shd w:val="clear" w:color="auto" w:fill="auto"/>
            <w:vAlign w:val="bottom"/>
          </w:tcPr>
          <w:p w14:paraId="5A1B355D" w14:textId="77777777" w:rsidR="00960BB8" w:rsidRDefault="00960BB8">
            <w:pPr>
              <w:rPr>
                <w:rFonts w:ascii="宋体"/>
              </w:rPr>
            </w:pPr>
          </w:p>
        </w:tc>
        <w:tc>
          <w:tcPr>
            <w:tcW w:w="539" w:type="pct"/>
            <w:shd w:val="clear" w:color="auto" w:fill="auto"/>
            <w:vAlign w:val="bottom"/>
          </w:tcPr>
          <w:p w14:paraId="5A1B355E" w14:textId="77777777" w:rsidR="00960BB8" w:rsidRDefault="00960BB8">
            <w:pPr>
              <w:rPr>
                <w:rFonts w:ascii="宋体"/>
              </w:rPr>
            </w:pPr>
          </w:p>
        </w:tc>
        <w:tc>
          <w:tcPr>
            <w:tcW w:w="5" w:type="pct"/>
            <w:shd w:val="clear" w:color="auto" w:fill="auto"/>
            <w:vAlign w:val="bottom"/>
          </w:tcPr>
          <w:p w14:paraId="5A1B355F" w14:textId="77777777" w:rsidR="00960BB8" w:rsidRDefault="00960BB8">
            <w:pPr>
              <w:rPr>
                <w:rFonts w:ascii="宋体"/>
              </w:rPr>
            </w:pPr>
          </w:p>
        </w:tc>
        <w:tc>
          <w:tcPr>
            <w:tcW w:w="50" w:type="pct"/>
            <w:shd w:val="clear" w:color="auto" w:fill="auto"/>
            <w:vAlign w:val="bottom"/>
          </w:tcPr>
          <w:p w14:paraId="5A1B3560" w14:textId="77777777" w:rsidR="00960BB8" w:rsidRDefault="00960BB8">
            <w:pPr>
              <w:rPr>
                <w:rFonts w:ascii="宋体"/>
              </w:rPr>
            </w:pPr>
          </w:p>
        </w:tc>
        <w:tc>
          <w:tcPr>
            <w:tcW w:w="4350" w:type="pct"/>
            <w:shd w:val="clear" w:color="auto" w:fill="auto"/>
            <w:vAlign w:val="bottom"/>
          </w:tcPr>
          <w:p w14:paraId="5A1B3561" w14:textId="77777777" w:rsidR="00960BB8" w:rsidRDefault="00960BB8">
            <w:pPr>
              <w:rPr>
                <w:rFonts w:ascii="宋体"/>
              </w:rPr>
            </w:pPr>
          </w:p>
        </w:tc>
        <w:tc>
          <w:tcPr>
            <w:tcW w:w="5" w:type="pct"/>
            <w:shd w:val="clear" w:color="auto" w:fill="auto"/>
            <w:vAlign w:val="bottom"/>
          </w:tcPr>
          <w:p w14:paraId="5A1B3562" w14:textId="77777777" w:rsidR="00960BB8" w:rsidRDefault="00960BB8">
            <w:pPr>
              <w:rPr>
                <w:rFonts w:ascii="宋体"/>
              </w:rPr>
            </w:pPr>
          </w:p>
        </w:tc>
      </w:tr>
      <w:tr w:rsidR="00960BB8" w14:paraId="5A1B3566"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3564" w14:textId="77777777" w:rsidR="00960BB8" w:rsidRDefault="00C06650">
            <w:pPr>
              <w:textAlignment w:val="bottom"/>
            </w:pPr>
            <w:r>
              <w:rPr>
                <w:rFonts w:ascii="Arial" w:eastAsia="宋体" w:hAnsi="Arial" w:cs="Arial"/>
                <w:color w:val="FFFFFF"/>
                <w:sz w:val="28"/>
                <w:szCs w:val="28"/>
              </w:rPr>
              <w:t xml:space="preserve">Note 18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3565" w14:textId="77777777" w:rsidR="00960BB8" w:rsidRDefault="00C06650">
            <w:pPr>
              <w:textAlignment w:val="bottom"/>
            </w:pPr>
            <w:r>
              <w:rPr>
                <w:rFonts w:ascii="Arial" w:eastAsia="宋体" w:hAnsi="Arial" w:cs="Arial"/>
                <w:color w:val="0068B5"/>
                <w:sz w:val="28"/>
                <w:szCs w:val="28"/>
              </w:rPr>
              <w:t>Employee Equity Incentive Plans</w:t>
            </w:r>
          </w:p>
        </w:tc>
      </w:tr>
    </w:tbl>
    <w:p w14:paraId="5A1B3567" w14:textId="77777777" w:rsidR="00960BB8" w:rsidRDefault="00C06650">
      <w:pPr>
        <w:spacing w:after="180"/>
      </w:pPr>
      <w:r>
        <w:rPr>
          <w:rFonts w:ascii="Arial" w:eastAsia="宋体" w:hAnsi="Arial" w:cs="Arial"/>
          <w:color w:val="262626"/>
          <w:sz w:val="18"/>
          <w:szCs w:val="18"/>
        </w:rPr>
        <w:t xml:space="preserve">Our equity incentive plans are broad-based, long-term programs intended to attract and retain talented employees and align stockholder and </w:t>
      </w:r>
      <w:r>
        <w:rPr>
          <w:rFonts w:ascii="Arial" w:eastAsia="宋体" w:hAnsi="Arial" w:cs="Arial"/>
          <w:color w:val="262626"/>
          <w:sz w:val="18"/>
          <w:szCs w:val="18"/>
        </w:rPr>
        <w:t>employee interests. Our plans include our 2006 Plan and our 2006 ESPP.</w:t>
      </w:r>
    </w:p>
    <w:p w14:paraId="5A1B3568" w14:textId="77777777" w:rsidR="00960BB8" w:rsidRDefault="00C06650">
      <w:pPr>
        <w:spacing w:after="180"/>
      </w:pPr>
      <w:r>
        <w:rPr>
          <w:rFonts w:ascii="Arial" w:eastAsia="宋体" w:hAnsi="Arial" w:cs="Arial"/>
          <w:color w:val="262626"/>
          <w:sz w:val="18"/>
          <w:szCs w:val="18"/>
        </w:rPr>
        <w:t xml:space="preserve">Under the 2006 Plan, 946 million shares of common stock have been authorized for issuance as equity awards to employees and non-employee directors through June 2023. As of December 31, </w:t>
      </w:r>
      <w:r>
        <w:rPr>
          <w:rFonts w:ascii="Arial" w:eastAsia="宋体" w:hAnsi="Arial" w:cs="Arial"/>
          <w:color w:val="262626"/>
          <w:sz w:val="18"/>
          <w:szCs w:val="18"/>
        </w:rPr>
        <w:t>2022, 119 million shares of common stock remained available for future grants.</w:t>
      </w:r>
    </w:p>
    <w:p w14:paraId="5A1B3569" w14:textId="77777777" w:rsidR="00960BB8" w:rsidRDefault="00C06650">
      <w:pPr>
        <w:spacing w:after="180"/>
      </w:pPr>
      <w:r>
        <w:rPr>
          <w:rFonts w:ascii="Arial" w:eastAsia="宋体" w:hAnsi="Arial" w:cs="Arial"/>
          <w:color w:val="262626"/>
          <w:sz w:val="18"/>
          <w:szCs w:val="18"/>
        </w:rPr>
        <w:t>Under the 2006 Plan, we may grant RSUs and stock options. We grant RSUs with a service condition as well as RSUs with a market condition, performance condition, and a service co</w:t>
      </w:r>
      <w:r>
        <w:rPr>
          <w:rFonts w:ascii="Arial" w:eastAsia="宋体" w:hAnsi="Arial" w:cs="Arial"/>
          <w:color w:val="262626"/>
          <w:sz w:val="18"/>
          <w:szCs w:val="18"/>
        </w:rPr>
        <w:t>ndition, which we call PSUs. PSUs are granted to a group of senior officers and employees. For PSUs granted in 2022, the number of shares of our common stock to be received at vesting at the end of the three-year performance period will range from 0% to 20</w:t>
      </w:r>
      <w:r>
        <w:rPr>
          <w:rFonts w:ascii="Arial" w:eastAsia="宋体" w:hAnsi="Arial" w:cs="Arial"/>
          <w:color w:val="262626"/>
          <w:sz w:val="18"/>
          <w:szCs w:val="18"/>
        </w:rPr>
        <w:t>0% of the target grant amount and will be determined based on our performance relative to annual targets for each year in the performance period with respect to a revenue growth metric, weighted 60%, and a cash flow from operations metric, weighted 40%. Th</w:t>
      </w:r>
      <w:r>
        <w:rPr>
          <w:rFonts w:ascii="Arial" w:eastAsia="宋体" w:hAnsi="Arial" w:cs="Arial"/>
          <w:color w:val="262626"/>
          <w:sz w:val="18"/>
          <w:szCs w:val="18"/>
        </w:rPr>
        <w:t>e results are then averaged at the end of the performance period. Additionally, an adjustment to the performance goals aggregate achievement percentage is based on the TSR of our common stock measured against the benchmark TSR of the S&amp;P 500 Index over a t</w:t>
      </w:r>
      <w:r>
        <w:rPr>
          <w:rFonts w:ascii="Arial" w:eastAsia="宋体" w:hAnsi="Arial" w:cs="Arial"/>
          <w:color w:val="262626"/>
          <w:sz w:val="18"/>
          <w:szCs w:val="18"/>
        </w:rPr>
        <w:t xml:space="preserve">hree-year period and revenue CAGR for the three-year performance period. TSR is a measure of stock price appreciation plus any dividends paid in this performance period. As of December 31, 2022, 15 million PSUs were outstanding. PSUs vest three years from </w:t>
      </w:r>
      <w:r>
        <w:rPr>
          <w:rFonts w:ascii="Arial" w:eastAsia="宋体" w:hAnsi="Arial" w:cs="Arial"/>
          <w:color w:val="262626"/>
          <w:sz w:val="18"/>
          <w:szCs w:val="18"/>
        </w:rPr>
        <w:t xml:space="preserve">the grant date. Other RSU awards and option awards generally vest over four years from the grant date. </w:t>
      </w:r>
    </w:p>
    <w:p w14:paraId="5A1B356A" w14:textId="77777777" w:rsidR="00960BB8" w:rsidRDefault="00C06650">
      <w:pPr>
        <w:spacing w:after="180"/>
      </w:pPr>
      <w:r>
        <w:rPr>
          <w:rFonts w:ascii="Arial" w:eastAsia="宋体" w:hAnsi="Arial" w:cs="Arial"/>
          <w:color w:val="0068B5"/>
        </w:rPr>
        <w:t>Share-Based Compensation</w:t>
      </w:r>
    </w:p>
    <w:p w14:paraId="5A1B356B" w14:textId="77777777" w:rsidR="00960BB8" w:rsidRDefault="00C06650">
      <w:pPr>
        <w:spacing w:after="180"/>
      </w:pPr>
      <w:r>
        <w:rPr>
          <w:rFonts w:ascii="Arial" w:eastAsia="宋体" w:hAnsi="Arial" w:cs="Arial"/>
          <w:color w:val="262626"/>
          <w:sz w:val="18"/>
          <w:szCs w:val="18"/>
        </w:rPr>
        <w:t xml:space="preserve">Share-based compensation recognized in 2022 was $3.1 billion ($2.0 billion in 2021 and $1.9 billion in 2020). During 2022, the </w:t>
      </w:r>
      <w:r>
        <w:rPr>
          <w:rFonts w:ascii="Arial" w:eastAsia="宋体" w:hAnsi="Arial" w:cs="Arial"/>
          <w:color w:val="262626"/>
          <w:sz w:val="18"/>
          <w:szCs w:val="18"/>
        </w:rPr>
        <w:t>tax benefit that we realized for the tax deduction from share-based awards totaled $478 million ($377 million in 2021 and $380 million in 2020).</w:t>
      </w:r>
    </w:p>
    <w:p w14:paraId="5A1B356C" w14:textId="77777777" w:rsidR="00960BB8" w:rsidRDefault="00C06650">
      <w:pPr>
        <w:spacing w:after="180"/>
      </w:pPr>
      <w:r>
        <w:rPr>
          <w:rFonts w:ascii="Arial" w:eastAsia="宋体" w:hAnsi="Arial" w:cs="Arial"/>
          <w:color w:val="262626"/>
          <w:sz w:val="18"/>
          <w:szCs w:val="18"/>
        </w:rPr>
        <w:t>We estimate the fair value of RSUs and PSUs with a service condition or performance condition using the value o</w:t>
      </w:r>
      <w:r>
        <w:rPr>
          <w:rFonts w:ascii="Arial" w:eastAsia="宋体" w:hAnsi="Arial" w:cs="Arial"/>
          <w:color w:val="262626"/>
          <w:sz w:val="18"/>
          <w:szCs w:val="18"/>
        </w:rPr>
        <w:t>f our common stock on the date of grant, reduced by the present value of dividends expected to be paid on our shares of common stock prior to vesting. We estimate the fair value of PSUs with a market condition using a Monte Carlo simulation model as of the</w:t>
      </w:r>
      <w:r>
        <w:rPr>
          <w:rFonts w:ascii="Arial" w:eastAsia="宋体" w:hAnsi="Arial" w:cs="Arial"/>
          <w:color w:val="262626"/>
          <w:sz w:val="18"/>
          <w:szCs w:val="18"/>
        </w:rPr>
        <w:t xml:space="preserve"> date of grant using historical volatility.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3579" w14:textId="77777777">
        <w:tc>
          <w:tcPr>
            <w:tcW w:w="50" w:type="pct"/>
            <w:shd w:val="clear" w:color="auto" w:fill="auto"/>
            <w:vAlign w:val="bottom"/>
          </w:tcPr>
          <w:p w14:paraId="5A1B356D" w14:textId="77777777" w:rsidR="00960BB8" w:rsidRDefault="00960BB8">
            <w:pPr>
              <w:rPr>
                <w:rFonts w:ascii="宋体"/>
              </w:rPr>
            </w:pPr>
          </w:p>
        </w:tc>
        <w:tc>
          <w:tcPr>
            <w:tcW w:w="276" w:type="pct"/>
            <w:shd w:val="clear" w:color="auto" w:fill="auto"/>
            <w:vAlign w:val="bottom"/>
          </w:tcPr>
          <w:p w14:paraId="5A1B356E" w14:textId="77777777" w:rsidR="00960BB8" w:rsidRDefault="00960BB8">
            <w:pPr>
              <w:rPr>
                <w:rFonts w:ascii="宋体"/>
              </w:rPr>
            </w:pPr>
          </w:p>
        </w:tc>
        <w:tc>
          <w:tcPr>
            <w:tcW w:w="5" w:type="pct"/>
            <w:shd w:val="clear" w:color="auto" w:fill="auto"/>
            <w:vAlign w:val="bottom"/>
          </w:tcPr>
          <w:p w14:paraId="5A1B356F" w14:textId="77777777" w:rsidR="00960BB8" w:rsidRDefault="00960BB8">
            <w:pPr>
              <w:rPr>
                <w:rFonts w:ascii="宋体"/>
              </w:rPr>
            </w:pPr>
          </w:p>
        </w:tc>
        <w:tc>
          <w:tcPr>
            <w:tcW w:w="50" w:type="pct"/>
            <w:shd w:val="clear" w:color="auto" w:fill="auto"/>
            <w:vAlign w:val="bottom"/>
          </w:tcPr>
          <w:p w14:paraId="5A1B3570" w14:textId="77777777" w:rsidR="00960BB8" w:rsidRDefault="00960BB8">
            <w:pPr>
              <w:rPr>
                <w:rFonts w:ascii="宋体"/>
              </w:rPr>
            </w:pPr>
          </w:p>
        </w:tc>
        <w:tc>
          <w:tcPr>
            <w:tcW w:w="940" w:type="pct"/>
            <w:shd w:val="clear" w:color="auto" w:fill="auto"/>
            <w:vAlign w:val="bottom"/>
          </w:tcPr>
          <w:p w14:paraId="5A1B3571" w14:textId="77777777" w:rsidR="00960BB8" w:rsidRDefault="00960BB8">
            <w:pPr>
              <w:rPr>
                <w:rFonts w:ascii="宋体"/>
              </w:rPr>
            </w:pPr>
          </w:p>
        </w:tc>
        <w:tc>
          <w:tcPr>
            <w:tcW w:w="5" w:type="pct"/>
            <w:shd w:val="clear" w:color="auto" w:fill="auto"/>
            <w:vAlign w:val="bottom"/>
          </w:tcPr>
          <w:p w14:paraId="5A1B3572" w14:textId="77777777" w:rsidR="00960BB8" w:rsidRDefault="00960BB8">
            <w:pPr>
              <w:rPr>
                <w:rFonts w:ascii="宋体"/>
              </w:rPr>
            </w:pPr>
          </w:p>
        </w:tc>
        <w:tc>
          <w:tcPr>
            <w:tcW w:w="50" w:type="pct"/>
            <w:shd w:val="clear" w:color="auto" w:fill="auto"/>
            <w:vAlign w:val="bottom"/>
          </w:tcPr>
          <w:p w14:paraId="5A1B3573" w14:textId="77777777" w:rsidR="00960BB8" w:rsidRDefault="00960BB8">
            <w:pPr>
              <w:rPr>
                <w:rFonts w:ascii="宋体"/>
              </w:rPr>
            </w:pPr>
          </w:p>
        </w:tc>
        <w:tc>
          <w:tcPr>
            <w:tcW w:w="1837" w:type="pct"/>
            <w:shd w:val="clear" w:color="auto" w:fill="auto"/>
            <w:vAlign w:val="bottom"/>
          </w:tcPr>
          <w:p w14:paraId="5A1B3574" w14:textId="77777777" w:rsidR="00960BB8" w:rsidRDefault="00960BB8">
            <w:pPr>
              <w:rPr>
                <w:rFonts w:ascii="宋体"/>
              </w:rPr>
            </w:pPr>
          </w:p>
        </w:tc>
        <w:tc>
          <w:tcPr>
            <w:tcW w:w="5" w:type="pct"/>
            <w:shd w:val="clear" w:color="auto" w:fill="auto"/>
            <w:vAlign w:val="bottom"/>
          </w:tcPr>
          <w:p w14:paraId="5A1B3575" w14:textId="77777777" w:rsidR="00960BB8" w:rsidRDefault="00960BB8">
            <w:pPr>
              <w:rPr>
                <w:rFonts w:ascii="宋体"/>
              </w:rPr>
            </w:pPr>
          </w:p>
        </w:tc>
        <w:tc>
          <w:tcPr>
            <w:tcW w:w="50" w:type="pct"/>
            <w:shd w:val="clear" w:color="auto" w:fill="auto"/>
            <w:vAlign w:val="bottom"/>
          </w:tcPr>
          <w:p w14:paraId="5A1B3576" w14:textId="77777777" w:rsidR="00960BB8" w:rsidRDefault="00960BB8">
            <w:pPr>
              <w:rPr>
                <w:rFonts w:ascii="宋体"/>
              </w:rPr>
            </w:pPr>
          </w:p>
        </w:tc>
        <w:tc>
          <w:tcPr>
            <w:tcW w:w="1724" w:type="pct"/>
            <w:shd w:val="clear" w:color="auto" w:fill="auto"/>
            <w:vAlign w:val="bottom"/>
          </w:tcPr>
          <w:p w14:paraId="5A1B3577" w14:textId="77777777" w:rsidR="00960BB8" w:rsidRDefault="00960BB8">
            <w:pPr>
              <w:rPr>
                <w:rFonts w:ascii="宋体"/>
              </w:rPr>
            </w:pPr>
          </w:p>
        </w:tc>
        <w:tc>
          <w:tcPr>
            <w:tcW w:w="5" w:type="pct"/>
            <w:shd w:val="clear" w:color="auto" w:fill="auto"/>
            <w:vAlign w:val="bottom"/>
          </w:tcPr>
          <w:p w14:paraId="5A1B3578" w14:textId="77777777" w:rsidR="00960BB8" w:rsidRDefault="00960BB8">
            <w:pPr>
              <w:rPr>
                <w:rFonts w:ascii="宋体"/>
              </w:rPr>
            </w:pPr>
          </w:p>
        </w:tc>
      </w:tr>
      <w:tr w:rsidR="00960BB8" w14:paraId="5A1B357E"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57A"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CC" wp14:editId="5A1B44CD">
                  <wp:extent cx="304800" cy="304800"/>
                  <wp:effectExtent l="0" t="0" r="0" b="0"/>
                  <wp:docPr id="157" name="图片 30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0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57B"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357C"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57D" w14:textId="77777777" w:rsidR="00960BB8" w:rsidRDefault="00C06650">
            <w:pPr>
              <w:jc w:val="right"/>
              <w:textAlignment w:val="center"/>
            </w:pPr>
            <w:r>
              <w:rPr>
                <w:rFonts w:ascii="Arial" w:eastAsia="宋体" w:hAnsi="Arial" w:cs="Arial"/>
                <w:color w:val="262626"/>
                <w:sz w:val="16"/>
                <w:szCs w:val="16"/>
              </w:rPr>
              <w:t>110</w:t>
            </w:r>
          </w:p>
        </w:tc>
      </w:tr>
    </w:tbl>
    <w:p w14:paraId="5A1B357F" w14:textId="77777777" w:rsidR="00960BB8" w:rsidRDefault="00C06650">
      <w:r>
        <w:pict w14:anchorId="5A1B44CE">
          <v:rect id="_x0000_i1136" style="width:415.3pt;height:1.5pt" o:hralign="center" o:hrstd="t" o:hr="t" fillcolor="#a0a0a0" stroked="f"/>
        </w:pict>
      </w:r>
    </w:p>
    <w:p w14:paraId="5A1B3580" w14:textId="77777777" w:rsidR="00960BB8" w:rsidRDefault="00C06650">
      <w:pPr>
        <w:jc w:val="right"/>
      </w:pPr>
      <w:hyperlink r:id="rId159" w:anchor="i8aaa7b4dbd2e419ca0f5c30af85a11aa_16" w:history="1">
        <w:r>
          <w:rPr>
            <w:rStyle w:val="a5"/>
            <w:rFonts w:ascii="Arial" w:eastAsia="宋体" w:hAnsi="Arial" w:cs="Arial"/>
            <w:b/>
            <w:bCs/>
            <w:sz w:val="16"/>
            <w:szCs w:val="16"/>
          </w:rPr>
          <w:t>Table of Contents</w:t>
        </w:r>
      </w:hyperlink>
    </w:p>
    <w:p w14:paraId="5A1B3581" w14:textId="77777777" w:rsidR="00960BB8" w:rsidRDefault="00960BB8">
      <w:pPr>
        <w:jc w:val="right"/>
      </w:pPr>
    </w:p>
    <w:p w14:paraId="5A1B3582" w14:textId="77777777" w:rsidR="00960BB8" w:rsidRDefault="00C06650">
      <w:pPr>
        <w:spacing w:after="180"/>
      </w:pPr>
      <w:r>
        <w:rPr>
          <w:rFonts w:ascii="Arial" w:eastAsia="宋体" w:hAnsi="Arial" w:cs="Arial"/>
          <w:color w:val="0068B5"/>
        </w:rPr>
        <w:t>Restricted Stock Units and Performance Stock Units</w:t>
      </w:r>
    </w:p>
    <w:p w14:paraId="5A1B3583" w14:textId="77777777" w:rsidR="00960BB8" w:rsidRDefault="00C06650">
      <w:pPr>
        <w:spacing w:after="120"/>
      </w:pPr>
      <w:r>
        <w:rPr>
          <w:rFonts w:ascii="Arial" w:eastAsia="宋体" w:hAnsi="Arial" w:cs="Arial"/>
          <w:color w:val="262626"/>
          <w:sz w:val="18"/>
          <w:szCs w:val="18"/>
        </w:rPr>
        <w:t xml:space="preserve">Weighted average </w:t>
      </w:r>
      <w:r>
        <w:rPr>
          <w:rFonts w:ascii="Arial" w:eastAsia="宋体" w:hAnsi="Arial" w:cs="Arial"/>
          <w:color w:val="262626"/>
          <w:sz w:val="18"/>
          <w:szCs w:val="18"/>
        </w:rPr>
        <w:t>assumptions used in estimating grant values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942"/>
        <w:gridCol w:w="36"/>
        <w:gridCol w:w="36"/>
        <w:gridCol w:w="36"/>
        <w:gridCol w:w="36"/>
        <w:gridCol w:w="121"/>
        <w:gridCol w:w="697"/>
        <w:gridCol w:w="181"/>
        <w:gridCol w:w="36"/>
        <w:gridCol w:w="36"/>
        <w:gridCol w:w="36"/>
        <w:gridCol w:w="121"/>
        <w:gridCol w:w="697"/>
        <w:gridCol w:w="181"/>
        <w:gridCol w:w="36"/>
        <w:gridCol w:w="36"/>
        <w:gridCol w:w="36"/>
        <w:gridCol w:w="121"/>
        <w:gridCol w:w="697"/>
        <w:gridCol w:w="181"/>
      </w:tblGrid>
      <w:tr w:rsidR="00960BB8" w14:paraId="5A1B3599" w14:textId="77777777">
        <w:tc>
          <w:tcPr>
            <w:tcW w:w="50" w:type="pct"/>
            <w:shd w:val="clear" w:color="auto" w:fill="auto"/>
            <w:vAlign w:val="bottom"/>
          </w:tcPr>
          <w:p w14:paraId="5A1B3584" w14:textId="77777777" w:rsidR="00960BB8" w:rsidRDefault="00960BB8">
            <w:pPr>
              <w:rPr>
                <w:rFonts w:ascii="宋体"/>
              </w:rPr>
            </w:pPr>
          </w:p>
        </w:tc>
        <w:tc>
          <w:tcPr>
            <w:tcW w:w="3059" w:type="pct"/>
            <w:shd w:val="clear" w:color="auto" w:fill="auto"/>
            <w:vAlign w:val="bottom"/>
          </w:tcPr>
          <w:p w14:paraId="5A1B3585" w14:textId="77777777" w:rsidR="00960BB8" w:rsidRDefault="00960BB8">
            <w:pPr>
              <w:rPr>
                <w:rFonts w:ascii="宋体"/>
              </w:rPr>
            </w:pPr>
          </w:p>
        </w:tc>
        <w:tc>
          <w:tcPr>
            <w:tcW w:w="5" w:type="pct"/>
            <w:shd w:val="clear" w:color="auto" w:fill="auto"/>
            <w:vAlign w:val="bottom"/>
          </w:tcPr>
          <w:p w14:paraId="5A1B3586" w14:textId="77777777" w:rsidR="00960BB8" w:rsidRDefault="00960BB8">
            <w:pPr>
              <w:rPr>
                <w:rFonts w:ascii="宋体"/>
              </w:rPr>
            </w:pPr>
          </w:p>
        </w:tc>
        <w:tc>
          <w:tcPr>
            <w:tcW w:w="5" w:type="pct"/>
            <w:shd w:val="clear" w:color="auto" w:fill="auto"/>
            <w:vAlign w:val="bottom"/>
          </w:tcPr>
          <w:p w14:paraId="5A1B3587" w14:textId="77777777" w:rsidR="00960BB8" w:rsidRDefault="00960BB8">
            <w:pPr>
              <w:rPr>
                <w:rFonts w:ascii="宋体"/>
              </w:rPr>
            </w:pPr>
          </w:p>
        </w:tc>
        <w:tc>
          <w:tcPr>
            <w:tcW w:w="24" w:type="pct"/>
            <w:shd w:val="clear" w:color="auto" w:fill="auto"/>
            <w:vAlign w:val="bottom"/>
          </w:tcPr>
          <w:p w14:paraId="5A1B3588" w14:textId="77777777" w:rsidR="00960BB8" w:rsidRDefault="00960BB8">
            <w:pPr>
              <w:rPr>
                <w:rFonts w:ascii="宋体"/>
              </w:rPr>
            </w:pPr>
          </w:p>
        </w:tc>
        <w:tc>
          <w:tcPr>
            <w:tcW w:w="5" w:type="pct"/>
            <w:shd w:val="clear" w:color="auto" w:fill="auto"/>
            <w:vAlign w:val="bottom"/>
          </w:tcPr>
          <w:p w14:paraId="5A1B3589" w14:textId="77777777" w:rsidR="00960BB8" w:rsidRDefault="00960BB8">
            <w:pPr>
              <w:rPr>
                <w:rFonts w:ascii="宋体"/>
              </w:rPr>
            </w:pPr>
          </w:p>
        </w:tc>
        <w:tc>
          <w:tcPr>
            <w:tcW w:w="50" w:type="pct"/>
            <w:shd w:val="clear" w:color="auto" w:fill="auto"/>
            <w:vAlign w:val="bottom"/>
          </w:tcPr>
          <w:p w14:paraId="5A1B358A" w14:textId="77777777" w:rsidR="00960BB8" w:rsidRDefault="00960BB8">
            <w:pPr>
              <w:rPr>
                <w:rFonts w:ascii="宋体"/>
              </w:rPr>
            </w:pPr>
          </w:p>
        </w:tc>
        <w:tc>
          <w:tcPr>
            <w:tcW w:w="539" w:type="pct"/>
            <w:shd w:val="clear" w:color="auto" w:fill="auto"/>
            <w:vAlign w:val="bottom"/>
          </w:tcPr>
          <w:p w14:paraId="5A1B358B" w14:textId="77777777" w:rsidR="00960BB8" w:rsidRDefault="00960BB8">
            <w:pPr>
              <w:rPr>
                <w:rFonts w:ascii="宋体"/>
              </w:rPr>
            </w:pPr>
          </w:p>
        </w:tc>
        <w:tc>
          <w:tcPr>
            <w:tcW w:w="5" w:type="pct"/>
            <w:shd w:val="clear" w:color="auto" w:fill="auto"/>
            <w:vAlign w:val="bottom"/>
          </w:tcPr>
          <w:p w14:paraId="5A1B358C" w14:textId="77777777" w:rsidR="00960BB8" w:rsidRDefault="00960BB8">
            <w:pPr>
              <w:rPr>
                <w:rFonts w:ascii="宋体"/>
              </w:rPr>
            </w:pPr>
          </w:p>
        </w:tc>
        <w:tc>
          <w:tcPr>
            <w:tcW w:w="5" w:type="pct"/>
            <w:shd w:val="clear" w:color="auto" w:fill="auto"/>
            <w:vAlign w:val="bottom"/>
          </w:tcPr>
          <w:p w14:paraId="5A1B358D" w14:textId="77777777" w:rsidR="00960BB8" w:rsidRDefault="00960BB8">
            <w:pPr>
              <w:rPr>
                <w:rFonts w:ascii="宋体"/>
              </w:rPr>
            </w:pPr>
          </w:p>
        </w:tc>
        <w:tc>
          <w:tcPr>
            <w:tcW w:w="24" w:type="pct"/>
            <w:shd w:val="clear" w:color="auto" w:fill="auto"/>
            <w:vAlign w:val="bottom"/>
          </w:tcPr>
          <w:p w14:paraId="5A1B358E" w14:textId="77777777" w:rsidR="00960BB8" w:rsidRDefault="00960BB8">
            <w:pPr>
              <w:rPr>
                <w:rFonts w:ascii="宋体"/>
              </w:rPr>
            </w:pPr>
          </w:p>
        </w:tc>
        <w:tc>
          <w:tcPr>
            <w:tcW w:w="5" w:type="pct"/>
            <w:shd w:val="clear" w:color="auto" w:fill="auto"/>
            <w:vAlign w:val="bottom"/>
          </w:tcPr>
          <w:p w14:paraId="5A1B358F" w14:textId="77777777" w:rsidR="00960BB8" w:rsidRDefault="00960BB8">
            <w:pPr>
              <w:rPr>
                <w:rFonts w:ascii="宋体"/>
              </w:rPr>
            </w:pPr>
          </w:p>
        </w:tc>
        <w:tc>
          <w:tcPr>
            <w:tcW w:w="50" w:type="pct"/>
            <w:shd w:val="clear" w:color="auto" w:fill="auto"/>
            <w:vAlign w:val="bottom"/>
          </w:tcPr>
          <w:p w14:paraId="5A1B3590" w14:textId="77777777" w:rsidR="00960BB8" w:rsidRDefault="00960BB8">
            <w:pPr>
              <w:rPr>
                <w:rFonts w:ascii="宋体"/>
              </w:rPr>
            </w:pPr>
          </w:p>
        </w:tc>
        <w:tc>
          <w:tcPr>
            <w:tcW w:w="539" w:type="pct"/>
            <w:shd w:val="clear" w:color="auto" w:fill="auto"/>
            <w:vAlign w:val="bottom"/>
          </w:tcPr>
          <w:p w14:paraId="5A1B3591" w14:textId="77777777" w:rsidR="00960BB8" w:rsidRDefault="00960BB8">
            <w:pPr>
              <w:rPr>
                <w:rFonts w:ascii="宋体"/>
              </w:rPr>
            </w:pPr>
          </w:p>
        </w:tc>
        <w:tc>
          <w:tcPr>
            <w:tcW w:w="5" w:type="pct"/>
            <w:shd w:val="clear" w:color="auto" w:fill="auto"/>
            <w:vAlign w:val="bottom"/>
          </w:tcPr>
          <w:p w14:paraId="5A1B3592" w14:textId="77777777" w:rsidR="00960BB8" w:rsidRDefault="00960BB8">
            <w:pPr>
              <w:rPr>
                <w:rFonts w:ascii="宋体"/>
              </w:rPr>
            </w:pPr>
          </w:p>
        </w:tc>
        <w:tc>
          <w:tcPr>
            <w:tcW w:w="5" w:type="pct"/>
            <w:shd w:val="clear" w:color="auto" w:fill="auto"/>
            <w:vAlign w:val="bottom"/>
          </w:tcPr>
          <w:p w14:paraId="5A1B3593" w14:textId="77777777" w:rsidR="00960BB8" w:rsidRDefault="00960BB8">
            <w:pPr>
              <w:rPr>
                <w:rFonts w:ascii="宋体"/>
              </w:rPr>
            </w:pPr>
          </w:p>
        </w:tc>
        <w:tc>
          <w:tcPr>
            <w:tcW w:w="24" w:type="pct"/>
            <w:shd w:val="clear" w:color="auto" w:fill="auto"/>
            <w:vAlign w:val="bottom"/>
          </w:tcPr>
          <w:p w14:paraId="5A1B3594" w14:textId="77777777" w:rsidR="00960BB8" w:rsidRDefault="00960BB8">
            <w:pPr>
              <w:rPr>
                <w:rFonts w:ascii="宋体"/>
              </w:rPr>
            </w:pPr>
          </w:p>
        </w:tc>
        <w:tc>
          <w:tcPr>
            <w:tcW w:w="5" w:type="pct"/>
            <w:shd w:val="clear" w:color="auto" w:fill="auto"/>
            <w:vAlign w:val="bottom"/>
          </w:tcPr>
          <w:p w14:paraId="5A1B3595" w14:textId="77777777" w:rsidR="00960BB8" w:rsidRDefault="00960BB8">
            <w:pPr>
              <w:rPr>
                <w:rFonts w:ascii="宋体"/>
              </w:rPr>
            </w:pPr>
          </w:p>
        </w:tc>
        <w:tc>
          <w:tcPr>
            <w:tcW w:w="50" w:type="pct"/>
            <w:shd w:val="clear" w:color="auto" w:fill="auto"/>
            <w:vAlign w:val="bottom"/>
          </w:tcPr>
          <w:p w14:paraId="5A1B3596" w14:textId="77777777" w:rsidR="00960BB8" w:rsidRDefault="00960BB8">
            <w:pPr>
              <w:rPr>
                <w:rFonts w:ascii="宋体"/>
              </w:rPr>
            </w:pPr>
          </w:p>
        </w:tc>
        <w:tc>
          <w:tcPr>
            <w:tcW w:w="539" w:type="pct"/>
            <w:shd w:val="clear" w:color="auto" w:fill="auto"/>
            <w:vAlign w:val="bottom"/>
          </w:tcPr>
          <w:p w14:paraId="5A1B3597" w14:textId="77777777" w:rsidR="00960BB8" w:rsidRDefault="00960BB8">
            <w:pPr>
              <w:rPr>
                <w:rFonts w:ascii="宋体"/>
              </w:rPr>
            </w:pPr>
          </w:p>
        </w:tc>
        <w:tc>
          <w:tcPr>
            <w:tcW w:w="5" w:type="pct"/>
            <w:shd w:val="clear" w:color="auto" w:fill="auto"/>
            <w:vAlign w:val="bottom"/>
          </w:tcPr>
          <w:p w14:paraId="5A1B3598" w14:textId="77777777" w:rsidR="00960BB8" w:rsidRDefault="00960BB8">
            <w:pPr>
              <w:rPr>
                <w:rFonts w:ascii="宋体"/>
              </w:rPr>
            </w:pPr>
          </w:p>
        </w:tc>
      </w:tr>
      <w:tr w:rsidR="00960BB8" w14:paraId="5A1B35A9" w14:textId="77777777">
        <w:trPr>
          <w:hidden/>
        </w:trPr>
        <w:tc>
          <w:tcPr>
            <w:tcW w:w="0" w:type="auto"/>
            <w:gridSpan w:val="3"/>
            <w:shd w:val="clear" w:color="auto" w:fill="auto"/>
            <w:vAlign w:val="bottom"/>
          </w:tcPr>
          <w:p w14:paraId="5A1B359A" w14:textId="77777777" w:rsidR="00960BB8" w:rsidRDefault="00960BB8">
            <w:pPr>
              <w:rPr>
                <w:rFonts w:ascii="宋体"/>
                <w:vanish/>
              </w:rPr>
            </w:pPr>
          </w:p>
        </w:tc>
        <w:tc>
          <w:tcPr>
            <w:tcW w:w="0" w:type="auto"/>
            <w:gridSpan w:val="3"/>
            <w:shd w:val="clear" w:color="auto" w:fill="auto"/>
            <w:vAlign w:val="bottom"/>
          </w:tcPr>
          <w:p w14:paraId="5A1B359B" w14:textId="77777777" w:rsidR="00960BB8" w:rsidRDefault="00960BB8">
            <w:pPr>
              <w:rPr>
                <w:rFonts w:ascii="宋体"/>
                <w:vanish/>
              </w:rPr>
            </w:pPr>
          </w:p>
        </w:tc>
        <w:tc>
          <w:tcPr>
            <w:tcW w:w="0" w:type="auto"/>
            <w:gridSpan w:val="3"/>
            <w:shd w:val="clear" w:color="auto" w:fill="auto"/>
            <w:vAlign w:val="bottom"/>
          </w:tcPr>
          <w:p w14:paraId="5A1B359C" w14:textId="77777777" w:rsidR="00960BB8" w:rsidRDefault="00960BB8">
            <w:pPr>
              <w:rPr>
                <w:rFonts w:ascii="宋体"/>
                <w:vanish/>
              </w:rPr>
            </w:pPr>
          </w:p>
        </w:tc>
        <w:tc>
          <w:tcPr>
            <w:tcW w:w="0" w:type="auto"/>
            <w:shd w:val="clear" w:color="auto" w:fill="auto"/>
            <w:vAlign w:val="bottom"/>
          </w:tcPr>
          <w:p w14:paraId="5A1B359D" w14:textId="77777777" w:rsidR="00960BB8" w:rsidRDefault="00960BB8">
            <w:pPr>
              <w:rPr>
                <w:rFonts w:ascii="宋体"/>
              </w:rPr>
            </w:pPr>
          </w:p>
        </w:tc>
        <w:tc>
          <w:tcPr>
            <w:tcW w:w="0" w:type="auto"/>
            <w:shd w:val="clear" w:color="auto" w:fill="auto"/>
            <w:vAlign w:val="bottom"/>
          </w:tcPr>
          <w:p w14:paraId="5A1B359E" w14:textId="77777777" w:rsidR="00960BB8" w:rsidRDefault="00960BB8">
            <w:pPr>
              <w:rPr>
                <w:rFonts w:ascii="宋体"/>
              </w:rPr>
            </w:pPr>
          </w:p>
        </w:tc>
        <w:tc>
          <w:tcPr>
            <w:tcW w:w="0" w:type="auto"/>
            <w:shd w:val="clear" w:color="auto" w:fill="auto"/>
            <w:vAlign w:val="bottom"/>
          </w:tcPr>
          <w:p w14:paraId="5A1B359F" w14:textId="77777777" w:rsidR="00960BB8" w:rsidRDefault="00960BB8">
            <w:pPr>
              <w:rPr>
                <w:rFonts w:ascii="宋体"/>
              </w:rPr>
            </w:pPr>
          </w:p>
        </w:tc>
        <w:tc>
          <w:tcPr>
            <w:tcW w:w="0" w:type="auto"/>
            <w:shd w:val="clear" w:color="auto" w:fill="auto"/>
            <w:vAlign w:val="bottom"/>
          </w:tcPr>
          <w:p w14:paraId="5A1B35A0" w14:textId="77777777" w:rsidR="00960BB8" w:rsidRDefault="00960BB8">
            <w:pPr>
              <w:rPr>
                <w:rFonts w:ascii="宋体"/>
              </w:rPr>
            </w:pPr>
          </w:p>
        </w:tc>
        <w:tc>
          <w:tcPr>
            <w:tcW w:w="0" w:type="auto"/>
            <w:shd w:val="clear" w:color="auto" w:fill="auto"/>
            <w:vAlign w:val="bottom"/>
          </w:tcPr>
          <w:p w14:paraId="5A1B35A1" w14:textId="77777777" w:rsidR="00960BB8" w:rsidRDefault="00960BB8">
            <w:pPr>
              <w:rPr>
                <w:rFonts w:ascii="宋体"/>
              </w:rPr>
            </w:pPr>
          </w:p>
        </w:tc>
        <w:tc>
          <w:tcPr>
            <w:tcW w:w="0" w:type="auto"/>
            <w:shd w:val="clear" w:color="auto" w:fill="auto"/>
            <w:vAlign w:val="bottom"/>
          </w:tcPr>
          <w:p w14:paraId="5A1B35A2" w14:textId="77777777" w:rsidR="00960BB8" w:rsidRDefault="00960BB8">
            <w:pPr>
              <w:rPr>
                <w:rFonts w:ascii="宋体"/>
              </w:rPr>
            </w:pPr>
          </w:p>
        </w:tc>
        <w:tc>
          <w:tcPr>
            <w:tcW w:w="0" w:type="auto"/>
            <w:shd w:val="clear" w:color="auto" w:fill="auto"/>
            <w:vAlign w:val="bottom"/>
          </w:tcPr>
          <w:p w14:paraId="5A1B35A3" w14:textId="77777777" w:rsidR="00960BB8" w:rsidRDefault="00960BB8">
            <w:pPr>
              <w:rPr>
                <w:rFonts w:ascii="宋体"/>
              </w:rPr>
            </w:pPr>
          </w:p>
        </w:tc>
        <w:tc>
          <w:tcPr>
            <w:tcW w:w="0" w:type="auto"/>
            <w:shd w:val="clear" w:color="auto" w:fill="auto"/>
            <w:vAlign w:val="bottom"/>
          </w:tcPr>
          <w:p w14:paraId="5A1B35A4" w14:textId="77777777" w:rsidR="00960BB8" w:rsidRDefault="00960BB8">
            <w:pPr>
              <w:rPr>
                <w:rFonts w:ascii="宋体"/>
              </w:rPr>
            </w:pPr>
          </w:p>
        </w:tc>
        <w:tc>
          <w:tcPr>
            <w:tcW w:w="0" w:type="auto"/>
            <w:shd w:val="clear" w:color="auto" w:fill="auto"/>
            <w:vAlign w:val="bottom"/>
          </w:tcPr>
          <w:p w14:paraId="5A1B35A5" w14:textId="77777777" w:rsidR="00960BB8" w:rsidRDefault="00960BB8">
            <w:pPr>
              <w:rPr>
                <w:rFonts w:ascii="宋体"/>
              </w:rPr>
            </w:pPr>
          </w:p>
        </w:tc>
        <w:tc>
          <w:tcPr>
            <w:tcW w:w="0" w:type="auto"/>
            <w:shd w:val="clear" w:color="auto" w:fill="auto"/>
            <w:vAlign w:val="bottom"/>
          </w:tcPr>
          <w:p w14:paraId="5A1B35A6" w14:textId="77777777" w:rsidR="00960BB8" w:rsidRDefault="00960BB8">
            <w:pPr>
              <w:rPr>
                <w:rFonts w:ascii="宋体"/>
              </w:rPr>
            </w:pPr>
          </w:p>
        </w:tc>
        <w:tc>
          <w:tcPr>
            <w:tcW w:w="0" w:type="auto"/>
            <w:shd w:val="clear" w:color="auto" w:fill="auto"/>
            <w:vAlign w:val="bottom"/>
          </w:tcPr>
          <w:p w14:paraId="5A1B35A7" w14:textId="77777777" w:rsidR="00960BB8" w:rsidRDefault="00960BB8">
            <w:pPr>
              <w:rPr>
                <w:rFonts w:ascii="宋体"/>
              </w:rPr>
            </w:pPr>
          </w:p>
        </w:tc>
        <w:tc>
          <w:tcPr>
            <w:tcW w:w="0" w:type="auto"/>
            <w:shd w:val="clear" w:color="auto" w:fill="auto"/>
            <w:vAlign w:val="bottom"/>
          </w:tcPr>
          <w:p w14:paraId="5A1B35A8" w14:textId="77777777" w:rsidR="00960BB8" w:rsidRDefault="00960BB8">
            <w:pPr>
              <w:rPr>
                <w:rFonts w:ascii="宋体"/>
              </w:rPr>
            </w:pPr>
          </w:p>
        </w:tc>
      </w:tr>
      <w:tr w:rsidR="00960BB8" w14:paraId="5A1B35B1" w14:textId="77777777">
        <w:tc>
          <w:tcPr>
            <w:tcW w:w="0" w:type="auto"/>
            <w:gridSpan w:val="3"/>
            <w:shd w:val="clear" w:color="auto" w:fill="auto"/>
            <w:tcMar>
              <w:top w:w="0" w:type="dxa"/>
              <w:left w:w="20" w:type="dxa"/>
              <w:bottom w:w="0" w:type="dxa"/>
              <w:right w:w="20" w:type="dxa"/>
            </w:tcMar>
            <w:vAlign w:val="bottom"/>
          </w:tcPr>
          <w:p w14:paraId="5A1B35A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5A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5AC" w14:textId="77777777" w:rsidR="00960BB8" w:rsidRDefault="00C06650">
            <w:pPr>
              <w:jc w:val="center"/>
              <w:textAlignment w:val="bottom"/>
            </w:pPr>
            <w:r>
              <w:rPr>
                <w:rFonts w:ascii="Arial" w:eastAsia="宋体" w:hAnsi="Arial" w:cs="Arial"/>
                <w:b/>
                <w:bCs/>
                <w:color w:val="262626"/>
                <w:sz w:val="18"/>
                <w:szCs w:val="18"/>
              </w:rPr>
              <w:t>Dec 31, 2022</w:t>
            </w:r>
          </w:p>
        </w:tc>
        <w:tc>
          <w:tcPr>
            <w:tcW w:w="0" w:type="auto"/>
            <w:gridSpan w:val="3"/>
            <w:shd w:val="clear" w:color="auto" w:fill="auto"/>
            <w:tcMar>
              <w:top w:w="0" w:type="dxa"/>
              <w:left w:w="20" w:type="dxa"/>
              <w:bottom w:w="0" w:type="dxa"/>
              <w:right w:w="20" w:type="dxa"/>
            </w:tcMar>
            <w:vAlign w:val="bottom"/>
          </w:tcPr>
          <w:p w14:paraId="5A1B35A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5AE" w14:textId="77777777" w:rsidR="00960BB8" w:rsidRDefault="00C06650">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5A1B35A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5B0" w14:textId="77777777" w:rsidR="00960BB8" w:rsidRDefault="00C06650">
            <w:pPr>
              <w:jc w:val="center"/>
              <w:textAlignment w:val="bottom"/>
            </w:pPr>
            <w:r>
              <w:rPr>
                <w:rFonts w:ascii="Arial" w:eastAsia="宋体" w:hAnsi="Arial" w:cs="Arial"/>
                <w:b/>
                <w:bCs/>
                <w:color w:val="262626"/>
                <w:sz w:val="18"/>
                <w:szCs w:val="18"/>
              </w:rPr>
              <w:t>Dec 26, 2020</w:t>
            </w:r>
          </w:p>
        </w:tc>
      </w:tr>
      <w:tr w:rsidR="00960BB8" w14:paraId="5A1B35BF"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35B2" w14:textId="77777777" w:rsidR="00960BB8" w:rsidRDefault="00C06650">
            <w:pPr>
              <w:textAlignment w:val="bottom"/>
            </w:pPr>
            <w:r>
              <w:rPr>
                <w:rFonts w:ascii="Arial" w:eastAsia="宋体" w:hAnsi="Arial" w:cs="Arial"/>
                <w:color w:val="262626"/>
                <w:sz w:val="18"/>
                <w:szCs w:val="18"/>
              </w:rPr>
              <w:t>Estimated values</w:t>
            </w:r>
          </w:p>
        </w:tc>
        <w:tc>
          <w:tcPr>
            <w:tcW w:w="0" w:type="auto"/>
            <w:gridSpan w:val="3"/>
            <w:shd w:val="clear" w:color="auto" w:fill="auto"/>
            <w:tcMar>
              <w:top w:w="0" w:type="dxa"/>
              <w:left w:w="20" w:type="dxa"/>
              <w:bottom w:w="0" w:type="dxa"/>
              <w:right w:w="20" w:type="dxa"/>
            </w:tcMar>
            <w:vAlign w:val="bottom"/>
          </w:tcPr>
          <w:p w14:paraId="5A1B35B3"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5B4"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5B5" w14:textId="77777777" w:rsidR="00960BB8" w:rsidRDefault="00C06650">
            <w:pPr>
              <w:jc w:val="right"/>
              <w:textAlignment w:val="bottom"/>
            </w:pPr>
            <w:r>
              <w:rPr>
                <w:rFonts w:ascii="Arial" w:eastAsia="宋体" w:hAnsi="Arial" w:cs="Arial"/>
                <w:color w:val="0068B5"/>
                <w:sz w:val="18"/>
                <w:szCs w:val="18"/>
              </w:rPr>
              <w:t>41.12 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5B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5B7"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5B8"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5B9" w14:textId="77777777" w:rsidR="00960BB8" w:rsidRDefault="00C06650">
            <w:pPr>
              <w:jc w:val="right"/>
              <w:textAlignment w:val="bottom"/>
            </w:pPr>
            <w:r>
              <w:rPr>
                <w:rFonts w:ascii="Arial" w:eastAsia="宋体" w:hAnsi="Arial" w:cs="Arial"/>
                <w:color w:val="262626"/>
                <w:sz w:val="18"/>
                <w:szCs w:val="18"/>
              </w:rPr>
              <w:t>50.82 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5B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5BB"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5BC" w14:textId="77777777" w:rsidR="00960BB8" w:rsidRDefault="00C06650">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5BD" w14:textId="77777777" w:rsidR="00960BB8" w:rsidRDefault="00C06650">
            <w:pPr>
              <w:jc w:val="right"/>
              <w:textAlignment w:val="bottom"/>
            </w:pPr>
            <w:r>
              <w:rPr>
                <w:rFonts w:ascii="Arial" w:eastAsia="宋体" w:hAnsi="Arial" w:cs="Arial"/>
                <w:color w:val="262626"/>
                <w:sz w:val="18"/>
                <w:szCs w:val="18"/>
              </w:rPr>
              <w:t>54.82 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5BE" w14:textId="77777777" w:rsidR="00960BB8" w:rsidRDefault="00960BB8">
            <w:pPr>
              <w:jc w:val="right"/>
              <w:rPr>
                <w:rFonts w:ascii="宋体"/>
              </w:rPr>
            </w:pPr>
          </w:p>
        </w:tc>
      </w:tr>
      <w:tr w:rsidR="00960BB8" w14:paraId="5A1B35CA" w14:textId="77777777">
        <w:tc>
          <w:tcPr>
            <w:tcW w:w="0" w:type="auto"/>
            <w:gridSpan w:val="3"/>
            <w:shd w:val="clear" w:color="auto" w:fill="auto"/>
            <w:tcMar>
              <w:top w:w="40" w:type="dxa"/>
              <w:left w:w="20" w:type="dxa"/>
              <w:bottom w:w="40" w:type="dxa"/>
              <w:right w:w="20" w:type="dxa"/>
            </w:tcMar>
            <w:vAlign w:val="bottom"/>
          </w:tcPr>
          <w:p w14:paraId="5A1B35C0" w14:textId="77777777" w:rsidR="00960BB8" w:rsidRDefault="00C06650">
            <w:pPr>
              <w:textAlignment w:val="bottom"/>
            </w:pPr>
            <w:r>
              <w:rPr>
                <w:rFonts w:ascii="Arial" w:eastAsia="宋体" w:hAnsi="Arial" w:cs="Arial"/>
                <w:color w:val="262626"/>
                <w:sz w:val="18"/>
                <w:szCs w:val="18"/>
              </w:rPr>
              <w:t>Risk-free interest rate</w:t>
            </w:r>
          </w:p>
        </w:tc>
        <w:tc>
          <w:tcPr>
            <w:tcW w:w="0" w:type="auto"/>
            <w:gridSpan w:val="3"/>
            <w:shd w:val="clear" w:color="auto" w:fill="auto"/>
            <w:tcMar>
              <w:top w:w="0" w:type="dxa"/>
              <w:left w:w="20" w:type="dxa"/>
              <w:bottom w:w="0" w:type="dxa"/>
              <w:right w:w="20" w:type="dxa"/>
            </w:tcMar>
            <w:vAlign w:val="bottom"/>
          </w:tcPr>
          <w:p w14:paraId="5A1B35C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5C2" w14:textId="77777777" w:rsidR="00960BB8" w:rsidRDefault="00C06650">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5A1B35C3"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35C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5C5" w14:textId="77777777" w:rsidR="00960BB8" w:rsidRDefault="00C06650">
            <w:pPr>
              <w:jc w:val="right"/>
              <w:textAlignment w:val="bottom"/>
            </w:pPr>
            <w:r>
              <w:rPr>
                <w:rFonts w:ascii="Arial" w:eastAsia="宋体" w:hAnsi="Arial" w:cs="Arial"/>
                <w:color w:val="262626"/>
                <w:sz w:val="18"/>
                <w:szCs w:val="18"/>
              </w:rPr>
              <w:t>0.2 </w:t>
            </w:r>
          </w:p>
        </w:tc>
        <w:tc>
          <w:tcPr>
            <w:tcW w:w="0" w:type="auto"/>
            <w:shd w:val="clear" w:color="auto" w:fill="auto"/>
            <w:tcMar>
              <w:top w:w="40" w:type="dxa"/>
              <w:left w:w="0" w:type="dxa"/>
              <w:bottom w:w="40" w:type="dxa"/>
              <w:right w:w="20" w:type="dxa"/>
            </w:tcMar>
            <w:vAlign w:val="bottom"/>
          </w:tcPr>
          <w:p w14:paraId="5A1B35C6"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35C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5C8" w14:textId="77777777" w:rsidR="00960BB8" w:rsidRDefault="00C06650">
            <w:pPr>
              <w:jc w:val="right"/>
              <w:textAlignment w:val="bottom"/>
            </w:pPr>
            <w:r>
              <w:rPr>
                <w:rFonts w:ascii="Arial" w:eastAsia="宋体" w:hAnsi="Arial" w:cs="Arial"/>
                <w:color w:val="262626"/>
                <w:sz w:val="18"/>
                <w:szCs w:val="18"/>
              </w:rPr>
              <w:t>0.4 </w:t>
            </w:r>
          </w:p>
        </w:tc>
        <w:tc>
          <w:tcPr>
            <w:tcW w:w="0" w:type="auto"/>
            <w:shd w:val="clear" w:color="auto" w:fill="auto"/>
            <w:tcMar>
              <w:top w:w="40" w:type="dxa"/>
              <w:left w:w="0" w:type="dxa"/>
              <w:bottom w:w="40" w:type="dxa"/>
              <w:right w:w="20" w:type="dxa"/>
            </w:tcMar>
            <w:vAlign w:val="bottom"/>
          </w:tcPr>
          <w:p w14:paraId="5A1B35C9" w14:textId="77777777" w:rsidR="00960BB8" w:rsidRDefault="00C06650">
            <w:pPr>
              <w:jc w:val="right"/>
              <w:textAlignment w:val="bottom"/>
            </w:pPr>
            <w:r>
              <w:rPr>
                <w:rFonts w:ascii="Arial" w:eastAsia="宋体" w:hAnsi="Arial" w:cs="Arial"/>
                <w:color w:val="262626"/>
                <w:sz w:val="18"/>
                <w:szCs w:val="18"/>
              </w:rPr>
              <w:t>%</w:t>
            </w:r>
          </w:p>
        </w:tc>
      </w:tr>
      <w:tr w:rsidR="00960BB8" w14:paraId="5A1B35D5" w14:textId="77777777">
        <w:tc>
          <w:tcPr>
            <w:tcW w:w="0" w:type="auto"/>
            <w:gridSpan w:val="3"/>
            <w:shd w:val="clear" w:color="auto" w:fill="auto"/>
            <w:tcMar>
              <w:top w:w="40" w:type="dxa"/>
              <w:left w:w="20" w:type="dxa"/>
              <w:bottom w:w="40" w:type="dxa"/>
              <w:right w:w="20" w:type="dxa"/>
            </w:tcMar>
            <w:vAlign w:val="bottom"/>
          </w:tcPr>
          <w:p w14:paraId="5A1B35CB" w14:textId="77777777" w:rsidR="00960BB8" w:rsidRDefault="00C06650">
            <w:pPr>
              <w:textAlignment w:val="bottom"/>
            </w:pPr>
            <w:r>
              <w:rPr>
                <w:rFonts w:ascii="Arial" w:eastAsia="宋体" w:hAnsi="Arial" w:cs="Arial"/>
                <w:color w:val="262626"/>
                <w:sz w:val="18"/>
                <w:szCs w:val="18"/>
              </w:rPr>
              <w:t>Dividend yield</w:t>
            </w:r>
          </w:p>
        </w:tc>
        <w:tc>
          <w:tcPr>
            <w:tcW w:w="0" w:type="auto"/>
            <w:gridSpan w:val="3"/>
            <w:shd w:val="clear" w:color="auto" w:fill="auto"/>
            <w:tcMar>
              <w:top w:w="0" w:type="dxa"/>
              <w:left w:w="20" w:type="dxa"/>
              <w:bottom w:w="0" w:type="dxa"/>
              <w:right w:w="20" w:type="dxa"/>
            </w:tcMar>
            <w:vAlign w:val="bottom"/>
          </w:tcPr>
          <w:p w14:paraId="5A1B35C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5CD" w14:textId="77777777" w:rsidR="00960BB8" w:rsidRDefault="00C06650">
            <w:pPr>
              <w:jc w:val="right"/>
              <w:textAlignment w:val="bottom"/>
            </w:pPr>
            <w:r>
              <w:rPr>
                <w:rFonts w:ascii="Arial" w:eastAsia="宋体" w:hAnsi="Arial" w:cs="Arial"/>
                <w:color w:val="0068B5"/>
                <w:sz w:val="18"/>
                <w:szCs w:val="18"/>
              </w:rPr>
              <w:t>3.4 </w:t>
            </w:r>
          </w:p>
        </w:tc>
        <w:tc>
          <w:tcPr>
            <w:tcW w:w="0" w:type="auto"/>
            <w:shd w:val="clear" w:color="auto" w:fill="auto"/>
            <w:tcMar>
              <w:top w:w="40" w:type="dxa"/>
              <w:left w:w="0" w:type="dxa"/>
              <w:bottom w:w="40" w:type="dxa"/>
              <w:right w:w="20" w:type="dxa"/>
            </w:tcMar>
            <w:vAlign w:val="bottom"/>
          </w:tcPr>
          <w:p w14:paraId="5A1B35CE"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35C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5D0" w14:textId="77777777" w:rsidR="00960BB8" w:rsidRDefault="00C06650">
            <w:pPr>
              <w:jc w:val="right"/>
              <w:textAlignment w:val="bottom"/>
            </w:pPr>
            <w:r>
              <w:rPr>
                <w:rFonts w:ascii="Arial" w:eastAsia="宋体" w:hAnsi="Arial" w:cs="Arial"/>
                <w:color w:val="262626"/>
                <w:sz w:val="18"/>
                <w:szCs w:val="18"/>
              </w:rPr>
              <w:t>2.6 </w:t>
            </w:r>
          </w:p>
        </w:tc>
        <w:tc>
          <w:tcPr>
            <w:tcW w:w="0" w:type="auto"/>
            <w:shd w:val="clear" w:color="auto" w:fill="auto"/>
            <w:tcMar>
              <w:top w:w="40" w:type="dxa"/>
              <w:left w:w="0" w:type="dxa"/>
              <w:bottom w:w="40" w:type="dxa"/>
              <w:right w:w="20" w:type="dxa"/>
            </w:tcMar>
            <w:vAlign w:val="bottom"/>
          </w:tcPr>
          <w:p w14:paraId="5A1B35D1"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35D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5D3" w14:textId="77777777" w:rsidR="00960BB8" w:rsidRDefault="00C06650">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5A1B35D4" w14:textId="77777777" w:rsidR="00960BB8" w:rsidRDefault="00C06650">
            <w:pPr>
              <w:jc w:val="right"/>
              <w:textAlignment w:val="bottom"/>
            </w:pPr>
            <w:r>
              <w:rPr>
                <w:rFonts w:ascii="Arial" w:eastAsia="宋体" w:hAnsi="Arial" w:cs="Arial"/>
                <w:color w:val="262626"/>
                <w:sz w:val="18"/>
                <w:szCs w:val="18"/>
              </w:rPr>
              <w:t>%</w:t>
            </w:r>
          </w:p>
        </w:tc>
      </w:tr>
      <w:tr w:rsidR="00960BB8" w14:paraId="5A1B35E0" w14:textId="77777777">
        <w:tc>
          <w:tcPr>
            <w:tcW w:w="0" w:type="auto"/>
            <w:gridSpan w:val="3"/>
            <w:shd w:val="clear" w:color="auto" w:fill="auto"/>
            <w:tcMar>
              <w:top w:w="40" w:type="dxa"/>
              <w:left w:w="20" w:type="dxa"/>
              <w:bottom w:w="40" w:type="dxa"/>
              <w:right w:w="20" w:type="dxa"/>
            </w:tcMar>
            <w:vAlign w:val="bottom"/>
          </w:tcPr>
          <w:p w14:paraId="5A1B35D6" w14:textId="77777777" w:rsidR="00960BB8" w:rsidRDefault="00C06650">
            <w:pPr>
              <w:textAlignment w:val="bottom"/>
            </w:pPr>
            <w:r>
              <w:rPr>
                <w:rFonts w:ascii="Arial" w:eastAsia="宋体" w:hAnsi="Arial" w:cs="Arial"/>
                <w:color w:val="262626"/>
                <w:sz w:val="18"/>
                <w:szCs w:val="18"/>
              </w:rPr>
              <w:t>Volatility</w:t>
            </w:r>
          </w:p>
        </w:tc>
        <w:tc>
          <w:tcPr>
            <w:tcW w:w="0" w:type="auto"/>
            <w:gridSpan w:val="3"/>
            <w:shd w:val="clear" w:color="auto" w:fill="auto"/>
            <w:tcMar>
              <w:top w:w="0" w:type="dxa"/>
              <w:left w:w="20" w:type="dxa"/>
              <w:bottom w:w="0" w:type="dxa"/>
              <w:right w:w="20" w:type="dxa"/>
            </w:tcMar>
            <w:vAlign w:val="bottom"/>
          </w:tcPr>
          <w:p w14:paraId="5A1B35D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5D8" w14:textId="77777777" w:rsidR="00960BB8" w:rsidRDefault="00C06650">
            <w:pPr>
              <w:jc w:val="right"/>
              <w:textAlignment w:val="bottom"/>
            </w:pPr>
            <w:r>
              <w:rPr>
                <w:rFonts w:ascii="Arial" w:eastAsia="宋体" w:hAnsi="Arial" w:cs="Arial"/>
                <w:color w:val="0068B5"/>
                <w:sz w:val="18"/>
                <w:szCs w:val="18"/>
              </w:rPr>
              <w:t>40 </w:t>
            </w:r>
          </w:p>
        </w:tc>
        <w:tc>
          <w:tcPr>
            <w:tcW w:w="0" w:type="auto"/>
            <w:shd w:val="clear" w:color="auto" w:fill="auto"/>
            <w:tcMar>
              <w:top w:w="40" w:type="dxa"/>
              <w:left w:w="0" w:type="dxa"/>
              <w:bottom w:w="40" w:type="dxa"/>
              <w:right w:w="20" w:type="dxa"/>
            </w:tcMar>
            <w:vAlign w:val="bottom"/>
          </w:tcPr>
          <w:p w14:paraId="5A1B35D9" w14:textId="77777777" w:rsidR="00960BB8" w:rsidRDefault="00C06650">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5A1B35D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5DB" w14:textId="77777777" w:rsidR="00960BB8" w:rsidRDefault="00C06650">
            <w:pPr>
              <w:jc w:val="right"/>
              <w:textAlignment w:val="bottom"/>
            </w:pPr>
            <w:r>
              <w:rPr>
                <w:rFonts w:ascii="Arial" w:eastAsia="宋体" w:hAnsi="Arial" w:cs="Arial"/>
                <w:color w:val="262626"/>
                <w:sz w:val="18"/>
                <w:szCs w:val="18"/>
              </w:rPr>
              <w:t>37 </w:t>
            </w:r>
          </w:p>
        </w:tc>
        <w:tc>
          <w:tcPr>
            <w:tcW w:w="0" w:type="auto"/>
            <w:shd w:val="clear" w:color="auto" w:fill="auto"/>
            <w:tcMar>
              <w:top w:w="40" w:type="dxa"/>
              <w:left w:w="0" w:type="dxa"/>
              <w:bottom w:w="40" w:type="dxa"/>
              <w:right w:w="20" w:type="dxa"/>
            </w:tcMar>
            <w:vAlign w:val="bottom"/>
          </w:tcPr>
          <w:p w14:paraId="5A1B35DC" w14:textId="77777777" w:rsidR="00960BB8" w:rsidRDefault="00C06650">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35D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5DE" w14:textId="77777777" w:rsidR="00960BB8" w:rsidRDefault="00C06650">
            <w:pPr>
              <w:jc w:val="right"/>
              <w:textAlignment w:val="bottom"/>
            </w:pPr>
            <w:r>
              <w:rPr>
                <w:rFonts w:ascii="Arial" w:eastAsia="宋体" w:hAnsi="Arial" w:cs="Arial"/>
                <w:color w:val="262626"/>
                <w:sz w:val="18"/>
                <w:szCs w:val="18"/>
              </w:rPr>
              <w:t>30 </w:t>
            </w:r>
          </w:p>
        </w:tc>
        <w:tc>
          <w:tcPr>
            <w:tcW w:w="0" w:type="auto"/>
            <w:shd w:val="clear" w:color="auto" w:fill="auto"/>
            <w:tcMar>
              <w:top w:w="40" w:type="dxa"/>
              <w:left w:w="0" w:type="dxa"/>
              <w:bottom w:w="40" w:type="dxa"/>
              <w:right w:w="20" w:type="dxa"/>
            </w:tcMar>
            <w:vAlign w:val="bottom"/>
          </w:tcPr>
          <w:p w14:paraId="5A1B35DF" w14:textId="77777777" w:rsidR="00960BB8" w:rsidRDefault="00C06650">
            <w:pPr>
              <w:jc w:val="right"/>
              <w:textAlignment w:val="bottom"/>
            </w:pPr>
            <w:r>
              <w:rPr>
                <w:rFonts w:ascii="Arial" w:eastAsia="宋体" w:hAnsi="Arial" w:cs="Arial"/>
                <w:color w:val="262626"/>
                <w:sz w:val="18"/>
                <w:szCs w:val="18"/>
              </w:rPr>
              <w:t>%</w:t>
            </w:r>
          </w:p>
        </w:tc>
      </w:tr>
    </w:tbl>
    <w:p w14:paraId="5A1B35E1" w14:textId="77777777" w:rsidR="00960BB8" w:rsidRDefault="00C06650">
      <w:pPr>
        <w:spacing w:before="180"/>
      </w:pPr>
      <w:r>
        <w:rPr>
          <w:rFonts w:ascii="Arial" w:eastAsia="宋体" w:hAnsi="Arial" w:cs="Arial"/>
          <w:color w:val="262626"/>
          <w:sz w:val="18"/>
          <w:szCs w:val="18"/>
        </w:rPr>
        <w:t>Summary of activities:</w:t>
      </w:r>
    </w:p>
    <w:tbl>
      <w:tblPr>
        <w:tblW w:w="4980" w:type="pct"/>
        <w:tblCellMar>
          <w:top w:w="15" w:type="dxa"/>
          <w:left w:w="15" w:type="dxa"/>
          <w:bottom w:w="15" w:type="dxa"/>
          <w:right w:w="15" w:type="dxa"/>
        </w:tblCellMar>
        <w:tblLook w:val="04A0" w:firstRow="1" w:lastRow="0" w:firstColumn="1" w:lastColumn="0" w:noHBand="0" w:noVBand="1"/>
      </w:tblPr>
      <w:tblGrid>
        <w:gridCol w:w="49"/>
        <w:gridCol w:w="5628"/>
        <w:gridCol w:w="36"/>
        <w:gridCol w:w="36"/>
        <w:gridCol w:w="36"/>
        <w:gridCol w:w="36"/>
        <w:gridCol w:w="53"/>
        <w:gridCol w:w="1061"/>
        <w:gridCol w:w="36"/>
        <w:gridCol w:w="36"/>
        <w:gridCol w:w="36"/>
        <w:gridCol w:w="36"/>
        <w:gridCol w:w="122"/>
        <w:gridCol w:w="1066"/>
        <w:gridCol w:w="36"/>
      </w:tblGrid>
      <w:tr w:rsidR="00960BB8" w14:paraId="5A1B35F1" w14:textId="77777777">
        <w:tc>
          <w:tcPr>
            <w:tcW w:w="50" w:type="pct"/>
            <w:shd w:val="clear" w:color="auto" w:fill="auto"/>
            <w:vAlign w:val="bottom"/>
          </w:tcPr>
          <w:p w14:paraId="5A1B35E2" w14:textId="77777777" w:rsidR="00960BB8" w:rsidRDefault="00960BB8">
            <w:pPr>
              <w:rPr>
                <w:rFonts w:ascii="宋体"/>
              </w:rPr>
            </w:pPr>
          </w:p>
        </w:tc>
        <w:tc>
          <w:tcPr>
            <w:tcW w:w="3408" w:type="pct"/>
            <w:shd w:val="clear" w:color="auto" w:fill="auto"/>
            <w:vAlign w:val="bottom"/>
          </w:tcPr>
          <w:p w14:paraId="5A1B35E3" w14:textId="77777777" w:rsidR="00960BB8" w:rsidRDefault="00960BB8">
            <w:pPr>
              <w:rPr>
                <w:rFonts w:ascii="宋体"/>
              </w:rPr>
            </w:pPr>
          </w:p>
        </w:tc>
        <w:tc>
          <w:tcPr>
            <w:tcW w:w="5" w:type="pct"/>
            <w:shd w:val="clear" w:color="auto" w:fill="auto"/>
            <w:vAlign w:val="bottom"/>
          </w:tcPr>
          <w:p w14:paraId="5A1B35E4" w14:textId="77777777" w:rsidR="00960BB8" w:rsidRDefault="00960BB8">
            <w:pPr>
              <w:rPr>
                <w:rFonts w:ascii="宋体"/>
              </w:rPr>
            </w:pPr>
          </w:p>
        </w:tc>
        <w:tc>
          <w:tcPr>
            <w:tcW w:w="5" w:type="pct"/>
            <w:shd w:val="clear" w:color="auto" w:fill="auto"/>
            <w:vAlign w:val="bottom"/>
          </w:tcPr>
          <w:p w14:paraId="5A1B35E5" w14:textId="77777777" w:rsidR="00960BB8" w:rsidRDefault="00960BB8">
            <w:pPr>
              <w:rPr>
                <w:rFonts w:ascii="宋体"/>
              </w:rPr>
            </w:pPr>
          </w:p>
        </w:tc>
        <w:tc>
          <w:tcPr>
            <w:tcW w:w="24" w:type="pct"/>
            <w:shd w:val="clear" w:color="auto" w:fill="auto"/>
            <w:vAlign w:val="bottom"/>
          </w:tcPr>
          <w:p w14:paraId="5A1B35E6" w14:textId="77777777" w:rsidR="00960BB8" w:rsidRDefault="00960BB8">
            <w:pPr>
              <w:rPr>
                <w:rFonts w:ascii="宋体"/>
              </w:rPr>
            </w:pPr>
          </w:p>
        </w:tc>
        <w:tc>
          <w:tcPr>
            <w:tcW w:w="5" w:type="pct"/>
            <w:shd w:val="clear" w:color="auto" w:fill="auto"/>
            <w:vAlign w:val="bottom"/>
          </w:tcPr>
          <w:p w14:paraId="5A1B35E7" w14:textId="77777777" w:rsidR="00960BB8" w:rsidRDefault="00960BB8">
            <w:pPr>
              <w:rPr>
                <w:rFonts w:ascii="宋体"/>
              </w:rPr>
            </w:pPr>
          </w:p>
        </w:tc>
        <w:tc>
          <w:tcPr>
            <w:tcW w:w="50" w:type="pct"/>
            <w:shd w:val="clear" w:color="auto" w:fill="auto"/>
            <w:vAlign w:val="bottom"/>
          </w:tcPr>
          <w:p w14:paraId="5A1B35E8" w14:textId="77777777" w:rsidR="00960BB8" w:rsidRDefault="00960BB8">
            <w:pPr>
              <w:rPr>
                <w:rFonts w:ascii="宋体"/>
              </w:rPr>
            </w:pPr>
          </w:p>
        </w:tc>
        <w:tc>
          <w:tcPr>
            <w:tcW w:w="678" w:type="pct"/>
            <w:shd w:val="clear" w:color="auto" w:fill="auto"/>
            <w:vAlign w:val="bottom"/>
          </w:tcPr>
          <w:p w14:paraId="5A1B35E9" w14:textId="77777777" w:rsidR="00960BB8" w:rsidRDefault="00960BB8">
            <w:pPr>
              <w:rPr>
                <w:rFonts w:ascii="宋体"/>
              </w:rPr>
            </w:pPr>
          </w:p>
        </w:tc>
        <w:tc>
          <w:tcPr>
            <w:tcW w:w="5" w:type="pct"/>
            <w:shd w:val="clear" w:color="auto" w:fill="auto"/>
            <w:vAlign w:val="bottom"/>
          </w:tcPr>
          <w:p w14:paraId="5A1B35EA" w14:textId="77777777" w:rsidR="00960BB8" w:rsidRDefault="00960BB8">
            <w:pPr>
              <w:rPr>
                <w:rFonts w:ascii="宋体"/>
              </w:rPr>
            </w:pPr>
          </w:p>
        </w:tc>
        <w:tc>
          <w:tcPr>
            <w:tcW w:w="5" w:type="pct"/>
            <w:shd w:val="clear" w:color="auto" w:fill="auto"/>
            <w:vAlign w:val="bottom"/>
          </w:tcPr>
          <w:p w14:paraId="5A1B35EB" w14:textId="77777777" w:rsidR="00960BB8" w:rsidRDefault="00960BB8">
            <w:pPr>
              <w:rPr>
                <w:rFonts w:ascii="宋体"/>
              </w:rPr>
            </w:pPr>
          </w:p>
        </w:tc>
        <w:tc>
          <w:tcPr>
            <w:tcW w:w="24" w:type="pct"/>
            <w:shd w:val="clear" w:color="auto" w:fill="auto"/>
            <w:vAlign w:val="bottom"/>
          </w:tcPr>
          <w:p w14:paraId="5A1B35EC" w14:textId="77777777" w:rsidR="00960BB8" w:rsidRDefault="00960BB8">
            <w:pPr>
              <w:rPr>
                <w:rFonts w:ascii="宋体"/>
              </w:rPr>
            </w:pPr>
          </w:p>
        </w:tc>
        <w:tc>
          <w:tcPr>
            <w:tcW w:w="5" w:type="pct"/>
            <w:shd w:val="clear" w:color="auto" w:fill="auto"/>
            <w:vAlign w:val="bottom"/>
          </w:tcPr>
          <w:p w14:paraId="5A1B35ED" w14:textId="77777777" w:rsidR="00960BB8" w:rsidRDefault="00960BB8">
            <w:pPr>
              <w:rPr>
                <w:rFonts w:ascii="宋体"/>
              </w:rPr>
            </w:pPr>
          </w:p>
        </w:tc>
        <w:tc>
          <w:tcPr>
            <w:tcW w:w="50" w:type="pct"/>
            <w:shd w:val="clear" w:color="auto" w:fill="auto"/>
            <w:vAlign w:val="bottom"/>
          </w:tcPr>
          <w:p w14:paraId="5A1B35EE" w14:textId="77777777" w:rsidR="00960BB8" w:rsidRDefault="00960BB8">
            <w:pPr>
              <w:rPr>
                <w:rFonts w:ascii="宋体"/>
              </w:rPr>
            </w:pPr>
          </w:p>
        </w:tc>
        <w:tc>
          <w:tcPr>
            <w:tcW w:w="679" w:type="pct"/>
            <w:shd w:val="clear" w:color="auto" w:fill="auto"/>
            <w:vAlign w:val="bottom"/>
          </w:tcPr>
          <w:p w14:paraId="5A1B35EF" w14:textId="77777777" w:rsidR="00960BB8" w:rsidRDefault="00960BB8">
            <w:pPr>
              <w:rPr>
                <w:rFonts w:ascii="宋体"/>
              </w:rPr>
            </w:pPr>
          </w:p>
        </w:tc>
        <w:tc>
          <w:tcPr>
            <w:tcW w:w="5" w:type="pct"/>
            <w:shd w:val="clear" w:color="auto" w:fill="auto"/>
            <w:vAlign w:val="bottom"/>
          </w:tcPr>
          <w:p w14:paraId="5A1B35F0" w14:textId="77777777" w:rsidR="00960BB8" w:rsidRDefault="00960BB8">
            <w:pPr>
              <w:rPr>
                <w:rFonts w:ascii="宋体"/>
              </w:rPr>
            </w:pPr>
          </w:p>
        </w:tc>
      </w:tr>
      <w:tr w:rsidR="00960BB8" w14:paraId="5A1B35F7" w14:textId="77777777">
        <w:tc>
          <w:tcPr>
            <w:tcW w:w="0" w:type="auto"/>
            <w:gridSpan w:val="3"/>
            <w:shd w:val="clear" w:color="auto" w:fill="auto"/>
            <w:tcMar>
              <w:top w:w="0" w:type="dxa"/>
              <w:left w:w="20" w:type="dxa"/>
              <w:bottom w:w="0" w:type="dxa"/>
              <w:right w:w="20" w:type="dxa"/>
            </w:tcMar>
            <w:vAlign w:val="bottom"/>
          </w:tcPr>
          <w:p w14:paraId="5A1B35F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5F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5F4" w14:textId="77777777" w:rsidR="00960BB8" w:rsidRDefault="00C06650">
            <w:pPr>
              <w:jc w:val="center"/>
              <w:textAlignment w:val="bottom"/>
            </w:pPr>
            <w:r>
              <w:rPr>
                <w:rFonts w:ascii="Arial" w:eastAsia="宋体" w:hAnsi="Arial" w:cs="Arial"/>
                <w:b/>
                <w:bCs/>
                <w:color w:val="262626"/>
                <w:sz w:val="18"/>
                <w:szCs w:val="18"/>
              </w:rPr>
              <w:t>Number of</w:t>
            </w:r>
            <w:r>
              <w:rPr>
                <w:rFonts w:ascii="Arial" w:eastAsia="宋体" w:hAnsi="Arial" w:cs="Arial"/>
                <w:b/>
                <w:bCs/>
                <w:color w:val="262626"/>
                <w:sz w:val="18"/>
                <w:szCs w:val="18"/>
              </w:rPr>
              <w:br/>
              <w:t>Stock Units</w:t>
            </w:r>
            <w:r>
              <w:rPr>
                <w:rFonts w:ascii="Arial" w:eastAsia="宋体" w:hAnsi="Arial" w:cs="Arial"/>
                <w:b/>
                <w:bCs/>
                <w:color w:val="262626"/>
                <w:sz w:val="18"/>
                <w:szCs w:val="18"/>
              </w:rPr>
              <w:b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5A1B35F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5F6" w14:textId="77777777" w:rsidR="00960BB8" w:rsidRDefault="00C06650">
            <w:pPr>
              <w:jc w:val="center"/>
              <w:textAlignment w:val="bottom"/>
            </w:pPr>
            <w:r>
              <w:rPr>
                <w:rFonts w:ascii="Arial" w:eastAsia="宋体" w:hAnsi="Arial" w:cs="Arial"/>
                <w:b/>
                <w:bCs/>
                <w:color w:val="262626"/>
                <w:sz w:val="18"/>
                <w:szCs w:val="18"/>
              </w:rPr>
              <w:t>Weighted Average Grant-Date Fair Value</w:t>
            </w:r>
          </w:p>
        </w:tc>
      </w:tr>
      <w:tr w:rsidR="00960BB8" w14:paraId="5A1B360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35F8" w14:textId="77777777" w:rsidR="00960BB8" w:rsidRDefault="00C06650">
            <w:pPr>
              <w:textAlignment w:val="bottom"/>
            </w:pPr>
            <w:r>
              <w:rPr>
                <w:rFonts w:ascii="Arial" w:eastAsia="宋体" w:hAnsi="Arial" w:cs="Arial"/>
                <w:b/>
                <w:bCs/>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5A1B35F9"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A1B35FA" w14:textId="77777777" w:rsidR="00960BB8" w:rsidRDefault="00C06650">
            <w:pPr>
              <w:jc w:val="right"/>
              <w:textAlignment w:val="bottom"/>
            </w:pPr>
            <w:r>
              <w:rPr>
                <w:rFonts w:ascii="Arial" w:eastAsia="宋体" w:hAnsi="Arial" w:cs="Arial"/>
                <w:b/>
                <w:bCs/>
                <w:color w:val="262626"/>
                <w:sz w:val="18"/>
                <w:szCs w:val="18"/>
              </w:rPr>
              <w:t>118.0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5F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5FC"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5FD" w14:textId="77777777" w:rsidR="00960BB8" w:rsidRDefault="00C06650">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5FE" w14:textId="77777777" w:rsidR="00960BB8" w:rsidRDefault="00C06650">
            <w:pPr>
              <w:jc w:val="right"/>
              <w:textAlignment w:val="bottom"/>
            </w:pPr>
            <w:r>
              <w:rPr>
                <w:rFonts w:ascii="Arial" w:eastAsia="宋体" w:hAnsi="Arial" w:cs="Arial"/>
                <w:b/>
                <w:bCs/>
                <w:color w:val="262626"/>
                <w:sz w:val="18"/>
                <w:szCs w:val="18"/>
              </w:rPr>
              <w:t>51.29</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5FF" w14:textId="77777777" w:rsidR="00960BB8" w:rsidRDefault="00960BB8">
            <w:pPr>
              <w:jc w:val="right"/>
              <w:rPr>
                <w:rFonts w:ascii="宋体"/>
              </w:rPr>
            </w:pPr>
          </w:p>
        </w:tc>
      </w:tr>
      <w:tr w:rsidR="00960BB8" w14:paraId="5A1B3609" w14:textId="77777777">
        <w:tc>
          <w:tcPr>
            <w:tcW w:w="0" w:type="auto"/>
            <w:gridSpan w:val="3"/>
            <w:shd w:val="clear" w:color="auto" w:fill="auto"/>
            <w:tcMar>
              <w:top w:w="40" w:type="dxa"/>
              <w:left w:w="20" w:type="dxa"/>
              <w:bottom w:w="40" w:type="dxa"/>
              <w:right w:w="20" w:type="dxa"/>
            </w:tcMar>
            <w:vAlign w:val="bottom"/>
          </w:tcPr>
          <w:p w14:paraId="5A1B3601" w14:textId="77777777" w:rsidR="00960BB8" w:rsidRDefault="00C06650">
            <w:pPr>
              <w:textAlignment w:val="bottom"/>
            </w:pPr>
            <w:r>
              <w:rPr>
                <w:rFonts w:ascii="Arial" w:eastAsia="宋体" w:hAnsi="Arial" w:cs="Arial"/>
                <w:color w:val="262626"/>
                <w:sz w:val="18"/>
                <w:szCs w:val="18"/>
              </w:rPr>
              <w:t>Granted</w:t>
            </w:r>
          </w:p>
        </w:tc>
        <w:tc>
          <w:tcPr>
            <w:tcW w:w="0" w:type="auto"/>
            <w:gridSpan w:val="3"/>
            <w:shd w:val="clear" w:color="auto" w:fill="auto"/>
            <w:tcMar>
              <w:top w:w="0" w:type="dxa"/>
              <w:left w:w="20" w:type="dxa"/>
              <w:bottom w:w="0" w:type="dxa"/>
              <w:right w:w="20" w:type="dxa"/>
            </w:tcMar>
            <w:vAlign w:val="bottom"/>
          </w:tcPr>
          <w:p w14:paraId="5A1B360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603" w14:textId="77777777" w:rsidR="00960BB8" w:rsidRDefault="00C06650">
            <w:pPr>
              <w:jc w:val="right"/>
              <w:textAlignment w:val="bottom"/>
            </w:pPr>
            <w:r>
              <w:rPr>
                <w:rFonts w:ascii="Arial" w:eastAsia="宋体" w:hAnsi="Arial" w:cs="Arial"/>
                <w:color w:val="0068B5"/>
                <w:sz w:val="18"/>
                <w:szCs w:val="18"/>
              </w:rPr>
              <w:t>104.2 </w:t>
            </w:r>
          </w:p>
        </w:tc>
        <w:tc>
          <w:tcPr>
            <w:tcW w:w="0" w:type="auto"/>
            <w:shd w:val="clear" w:color="auto" w:fill="auto"/>
            <w:tcMar>
              <w:top w:w="40" w:type="dxa"/>
              <w:left w:w="0" w:type="dxa"/>
              <w:bottom w:w="40" w:type="dxa"/>
              <w:right w:w="20" w:type="dxa"/>
            </w:tcMar>
            <w:vAlign w:val="bottom"/>
          </w:tcPr>
          <w:p w14:paraId="5A1B360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05"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606"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607" w14:textId="77777777" w:rsidR="00960BB8" w:rsidRDefault="00C06650">
            <w:pPr>
              <w:jc w:val="right"/>
              <w:textAlignment w:val="bottom"/>
            </w:pPr>
            <w:r>
              <w:rPr>
                <w:rFonts w:ascii="Arial" w:eastAsia="宋体" w:hAnsi="Arial" w:cs="Arial"/>
                <w:color w:val="0068B5"/>
                <w:sz w:val="18"/>
                <w:szCs w:val="18"/>
              </w:rPr>
              <w:t>41.12 </w:t>
            </w:r>
          </w:p>
        </w:tc>
        <w:tc>
          <w:tcPr>
            <w:tcW w:w="0" w:type="auto"/>
            <w:shd w:val="clear" w:color="auto" w:fill="auto"/>
            <w:tcMar>
              <w:top w:w="40" w:type="dxa"/>
              <w:left w:w="0" w:type="dxa"/>
              <w:bottom w:w="40" w:type="dxa"/>
              <w:right w:w="20" w:type="dxa"/>
            </w:tcMar>
            <w:vAlign w:val="bottom"/>
          </w:tcPr>
          <w:p w14:paraId="5A1B3608" w14:textId="77777777" w:rsidR="00960BB8" w:rsidRDefault="00960BB8">
            <w:pPr>
              <w:jc w:val="right"/>
              <w:rPr>
                <w:rFonts w:ascii="宋体"/>
              </w:rPr>
            </w:pPr>
          </w:p>
        </w:tc>
      </w:tr>
      <w:tr w:rsidR="00960BB8" w14:paraId="5A1B3612" w14:textId="77777777">
        <w:tc>
          <w:tcPr>
            <w:tcW w:w="0" w:type="auto"/>
            <w:gridSpan w:val="3"/>
            <w:shd w:val="clear" w:color="auto" w:fill="auto"/>
            <w:tcMar>
              <w:top w:w="40" w:type="dxa"/>
              <w:left w:w="20" w:type="dxa"/>
              <w:bottom w:w="40" w:type="dxa"/>
              <w:right w:w="20" w:type="dxa"/>
            </w:tcMar>
            <w:vAlign w:val="bottom"/>
          </w:tcPr>
          <w:p w14:paraId="5A1B360A" w14:textId="77777777" w:rsidR="00960BB8" w:rsidRDefault="00C06650">
            <w:pPr>
              <w:textAlignment w:val="bottom"/>
            </w:pPr>
            <w:r>
              <w:rPr>
                <w:rFonts w:ascii="Arial" w:eastAsia="宋体" w:hAnsi="Arial" w:cs="Arial"/>
                <w:color w:val="262626"/>
                <w:sz w:val="18"/>
                <w:szCs w:val="18"/>
              </w:rPr>
              <w:t>Vested</w:t>
            </w:r>
          </w:p>
        </w:tc>
        <w:tc>
          <w:tcPr>
            <w:tcW w:w="0" w:type="auto"/>
            <w:gridSpan w:val="3"/>
            <w:shd w:val="clear" w:color="auto" w:fill="auto"/>
            <w:tcMar>
              <w:top w:w="0" w:type="dxa"/>
              <w:left w:w="20" w:type="dxa"/>
              <w:bottom w:w="0" w:type="dxa"/>
              <w:right w:w="20" w:type="dxa"/>
            </w:tcMar>
            <w:vAlign w:val="bottom"/>
          </w:tcPr>
          <w:p w14:paraId="5A1B360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60C" w14:textId="77777777" w:rsidR="00960BB8" w:rsidRDefault="00C06650">
            <w:pPr>
              <w:jc w:val="right"/>
              <w:textAlignment w:val="bottom"/>
            </w:pPr>
            <w:r>
              <w:rPr>
                <w:rFonts w:ascii="Arial" w:eastAsia="宋体" w:hAnsi="Arial" w:cs="Arial"/>
                <w:color w:val="0068B5"/>
                <w:sz w:val="18"/>
                <w:szCs w:val="18"/>
              </w:rPr>
              <w:t>(50.3)</w:t>
            </w:r>
          </w:p>
        </w:tc>
        <w:tc>
          <w:tcPr>
            <w:tcW w:w="0" w:type="auto"/>
            <w:shd w:val="clear" w:color="auto" w:fill="auto"/>
            <w:tcMar>
              <w:top w:w="40" w:type="dxa"/>
              <w:left w:w="0" w:type="dxa"/>
              <w:bottom w:w="40" w:type="dxa"/>
              <w:right w:w="20" w:type="dxa"/>
            </w:tcMar>
            <w:vAlign w:val="bottom"/>
          </w:tcPr>
          <w:p w14:paraId="5A1B360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0E"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60F"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610" w14:textId="77777777" w:rsidR="00960BB8" w:rsidRDefault="00C06650">
            <w:pPr>
              <w:jc w:val="right"/>
              <w:textAlignment w:val="bottom"/>
            </w:pPr>
            <w:r>
              <w:rPr>
                <w:rFonts w:ascii="Arial" w:eastAsia="宋体" w:hAnsi="Arial" w:cs="Arial"/>
                <w:color w:val="0068B5"/>
                <w:sz w:val="18"/>
                <w:szCs w:val="18"/>
              </w:rPr>
              <w:t>48.90 </w:t>
            </w:r>
          </w:p>
        </w:tc>
        <w:tc>
          <w:tcPr>
            <w:tcW w:w="0" w:type="auto"/>
            <w:shd w:val="clear" w:color="auto" w:fill="auto"/>
            <w:tcMar>
              <w:top w:w="40" w:type="dxa"/>
              <w:left w:w="0" w:type="dxa"/>
              <w:bottom w:w="40" w:type="dxa"/>
              <w:right w:w="20" w:type="dxa"/>
            </w:tcMar>
            <w:vAlign w:val="bottom"/>
          </w:tcPr>
          <w:p w14:paraId="5A1B3611" w14:textId="77777777" w:rsidR="00960BB8" w:rsidRDefault="00960BB8">
            <w:pPr>
              <w:jc w:val="right"/>
              <w:rPr>
                <w:rFonts w:ascii="宋体"/>
              </w:rPr>
            </w:pPr>
          </w:p>
        </w:tc>
      </w:tr>
      <w:tr w:rsidR="00960BB8" w14:paraId="5A1B361B" w14:textId="77777777">
        <w:tc>
          <w:tcPr>
            <w:tcW w:w="0" w:type="auto"/>
            <w:gridSpan w:val="3"/>
            <w:shd w:val="clear" w:color="auto" w:fill="auto"/>
            <w:tcMar>
              <w:top w:w="40" w:type="dxa"/>
              <w:left w:w="20" w:type="dxa"/>
              <w:bottom w:w="40" w:type="dxa"/>
              <w:right w:w="20" w:type="dxa"/>
            </w:tcMar>
            <w:vAlign w:val="bottom"/>
          </w:tcPr>
          <w:p w14:paraId="5A1B3613" w14:textId="77777777" w:rsidR="00960BB8" w:rsidRDefault="00C06650">
            <w:pPr>
              <w:textAlignment w:val="bottom"/>
            </w:pPr>
            <w:r>
              <w:rPr>
                <w:rFonts w:ascii="Arial" w:eastAsia="宋体" w:hAnsi="Arial" w:cs="Arial"/>
                <w:color w:val="262626"/>
                <w:sz w:val="18"/>
                <w:szCs w:val="18"/>
              </w:rPr>
              <w:t>Forfeited</w:t>
            </w:r>
          </w:p>
        </w:tc>
        <w:tc>
          <w:tcPr>
            <w:tcW w:w="0" w:type="auto"/>
            <w:gridSpan w:val="3"/>
            <w:shd w:val="clear" w:color="auto" w:fill="auto"/>
            <w:tcMar>
              <w:top w:w="0" w:type="dxa"/>
              <w:left w:w="20" w:type="dxa"/>
              <w:bottom w:w="0" w:type="dxa"/>
              <w:right w:w="20" w:type="dxa"/>
            </w:tcMar>
            <w:vAlign w:val="bottom"/>
          </w:tcPr>
          <w:p w14:paraId="5A1B361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615" w14:textId="77777777" w:rsidR="00960BB8" w:rsidRDefault="00C06650">
            <w:pPr>
              <w:jc w:val="right"/>
              <w:textAlignment w:val="bottom"/>
            </w:pPr>
            <w:r>
              <w:rPr>
                <w:rFonts w:ascii="Arial" w:eastAsia="宋体" w:hAnsi="Arial" w:cs="Arial"/>
                <w:color w:val="0068B5"/>
                <w:sz w:val="18"/>
                <w:szCs w:val="18"/>
              </w:rPr>
              <w:t>(13.2)</w:t>
            </w:r>
          </w:p>
        </w:tc>
        <w:tc>
          <w:tcPr>
            <w:tcW w:w="0" w:type="auto"/>
            <w:shd w:val="clear" w:color="auto" w:fill="auto"/>
            <w:tcMar>
              <w:top w:w="40" w:type="dxa"/>
              <w:left w:w="0" w:type="dxa"/>
              <w:bottom w:w="40" w:type="dxa"/>
              <w:right w:w="20" w:type="dxa"/>
            </w:tcMar>
            <w:vAlign w:val="bottom"/>
          </w:tcPr>
          <w:p w14:paraId="5A1B361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1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618"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619" w14:textId="77777777" w:rsidR="00960BB8" w:rsidRDefault="00C06650">
            <w:pPr>
              <w:jc w:val="right"/>
              <w:textAlignment w:val="bottom"/>
            </w:pPr>
            <w:r>
              <w:rPr>
                <w:rFonts w:ascii="Arial" w:eastAsia="宋体" w:hAnsi="Arial" w:cs="Arial"/>
                <w:color w:val="0068B5"/>
                <w:sz w:val="18"/>
                <w:szCs w:val="18"/>
              </w:rPr>
              <w:t>48.99 </w:t>
            </w:r>
          </w:p>
        </w:tc>
        <w:tc>
          <w:tcPr>
            <w:tcW w:w="0" w:type="auto"/>
            <w:shd w:val="clear" w:color="auto" w:fill="auto"/>
            <w:tcMar>
              <w:top w:w="40" w:type="dxa"/>
              <w:left w:w="0" w:type="dxa"/>
              <w:bottom w:w="40" w:type="dxa"/>
              <w:right w:w="20" w:type="dxa"/>
            </w:tcMar>
            <w:vAlign w:val="bottom"/>
          </w:tcPr>
          <w:p w14:paraId="5A1B361A" w14:textId="77777777" w:rsidR="00960BB8" w:rsidRDefault="00960BB8">
            <w:pPr>
              <w:jc w:val="right"/>
              <w:rPr>
                <w:rFonts w:ascii="宋体"/>
              </w:rPr>
            </w:pPr>
          </w:p>
        </w:tc>
      </w:tr>
      <w:tr w:rsidR="00960BB8" w14:paraId="5A1B3624" w14:textId="77777777">
        <w:tc>
          <w:tcPr>
            <w:tcW w:w="0" w:type="auto"/>
            <w:gridSpan w:val="3"/>
            <w:shd w:val="clear" w:color="auto" w:fill="auto"/>
            <w:tcMar>
              <w:top w:w="40" w:type="dxa"/>
              <w:left w:w="20" w:type="dxa"/>
              <w:bottom w:w="40" w:type="dxa"/>
              <w:right w:w="20" w:type="dxa"/>
            </w:tcMar>
            <w:vAlign w:val="bottom"/>
          </w:tcPr>
          <w:p w14:paraId="5A1B361C" w14:textId="77777777" w:rsidR="00960BB8" w:rsidRDefault="00C06650">
            <w:pPr>
              <w:textAlignment w:val="bottom"/>
            </w:pPr>
            <w:r>
              <w:rPr>
                <w:rFonts w:ascii="Arial" w:eastAsia="宋体" w:hAnsi="Arial" w:cs="Arial"/>
                <w:b/>
                <w:bCs/>
                <w:color w:val="262626"/>
                <w:sz w:val="18"/>
                <w:szCs w:val="18"/>
              </w:rPr>
              <w:t>December 31, 2022</w:t>
            </w:r>
          </w:p>
        </w:tc>
        <w:tc>
          <w:tcPr>
            <w:tcW w:w="0" w:type="auto"/>
            <w:gridSpan w:val="3"/>
            <w:shd w:val="clear" w:color="auto" w:fill="auto"/>
            <w:tcMar>
              <w:top w:w="0" w:type="dxa"/>
              <w:left w:w="20" w:type="dxa"/>
              <w:bottom w:w="0" w:type="dxa"/>
              <w:right w:w="20" w:type="dxa"/>
            </w:tcMar>
            <w:vAlign w:val="bottom"/>
          </w:tcPr>
          <w:p w14:paraId="5A1B361D" w14:textId="77777777" w:rsidR="00960BB8" w:rsidRDefault="00960BB8">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5A1B361E" w14:textId="77777777" w:rsidR="00960BB8" w:rsidRDefault="00C06650">
            <w:pPr>
              <w:jc w:val="right"/>
              <w:textAlignment w:val="bottom"/>
            </w:pPr>
            <w:r>
              <w:rPr>
                <w:rFonts w:ascii="Arial" w:eastAsia="宋体" w:hAnsi="Arial" w:cs="Arial"/>
                <w:b/>
                <w:bCs/>
                <w:color w:val="0068B5"/>
                <w:sz w:val="18"/>
                <w:szCs w:val="18"/>
              </w:rPr>
              <w:t>158.7</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5A1B361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20" w14:textId="77777777" w:rsidR="00960BB8" w:rsidRDefault="00960BB8">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5A1B3621"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5A1B3622" w14:textId="77777777" w:rsidR="00960BB8" w:rsidRDefault="00C06650">
            <w:pPr>
              <w:jc w:val="right"/>
              <w:textAlignment w:val="bottom"/>
            </w:pPr>
            <w:r>
              <w:rPr>
                <w:rFonts w:ascii="Arial" w:eastAsia="宋体" w:hAnsi="Arial" w:cs="Arial"/>
                <w:b/>
                <w:bCs/>
                <w:color w:val="0068B5"/>
                <w:sz w:val="18"/>
                <w:szCs w:val="18"/>
              </w:rPr>
              <w:t>45.56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5A1B3623" w14:textId="77777777" w:rsidR="00960BB8" w:rsidRDefault="00960BB8">
            <w:pPr>
              <w:jc w:val="right"/>
              <w:rPr>
                <w:rFonts w:ascii="宋体"/>
              </w:rPr>
            </w:pPr>
          </w:p>
        </w:tc>
      </w:tr>
      <w:tr w:rsidR="00960BB8" w14:paraId="5A1B362C" w14:textId="77777777">
        <w:tc>
          <w:tcPr>
            <w:tcW w:w="0" w:type="auto"/>
            <w:gridSpan w:val="6"/>
            <w:shd w:val="clear" w:color="auto" w:fill="auto"/>
            <w:tcMar>
              <w:top w:w="40" w:type="dxa"/>
              <w:left w:w="20" w:type="dxa"/>
              <w:bottom w:w="40" w:type="dxa"/>
              <w:right w:w="20" w:type="dxa"/>
            </w:tcMar>
            <w:vAlign w:val="bottom"/>
          </w:tcPr>
          <w:p w14:paraId="5A1B3625" w14:textId="77777777" w:rsidR="00960BB8" w:rsidRDefault="00C06650">
            <w:pPr>
              <w:textAlignment w:val="bottom"/>
            </w:pPr>
            <w:r>
              <w:rPr>
                <w:rFonts w:ascii="Arial" w:eastAsia="宋体" w:hAnsi="Arial" w:cs="Arial"/>
                <w:b/>
                <w:bCs/>
                <w:color w:val="262626"/>
                <w:sz w:val="18"/>
                <w:szCs w:val="18"/>
              </w:rPr>
              <w:t>Expected to vest</w:t>
            </w: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626" w14:textId="77777777" w:rsidR="00960BB8" w:rsidRDefault="00C06650">
            <w:pPr>
              <w:jc w:val="right"/>
              <w:textAlignment w:val="bottom"/>
            </w:pPr>
            <w:r>
              <w:rPr>
                <w:rFonts w:ascii="Arial" w:eastAsia="宋体" w:hAnsi="Arial" w:cs="Arial"/>
                <w:b/>
                <w:bCs/>
                <w:color w:val="0068B5"/>
                <w:sz w:val="18"/>
                <w:szCs w:val="18"/>
              </w:rPr>
              <w:t>142.7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62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28" w14:textId="77777777" w:rsidR="00960BB8" w:rsidRDefault="00960BB8">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5A1B3629"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5A1B362A" w14:textId="77777777" w:rsidR="00960BB8" w:rsidRDefault="00C06650">
            <w:pPr>
              <w:jc w:val="right"/>
              <w:textAlignment w:val="bottom"/>
            </w:pPr>
            <w:r>
              <w:rPr>
                <w:rFonts w:ascii="Arial" w:eastAsia="宋体" w:hAnsi="Arial" w:cs="Arial"/>
                <w:b/>
                <w:bCs/>
                <w:color w:val="0068B5"/>
                <w:sz w:val="18"/>
                <w:szCs w:val="18"/>
              </w:rPr>
              <w:t>45.78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5A1B362B" w14:textId="77777777" w:rsidR="00960BB8" w:rsidRDefault="00960BB8">
            <w:pPr>
              <w:jc w:val="right"/>
              <w:rPr>
                <w:rFonts w:ascii="宋体"/>
              </w:rPr>
            </w:pPr>
          </w:p>
        </w:tc>
      </w:tr>
    </w:tbl>
    <w:p w14:paraId="5A1B362D" w14:textId="77777777" w:rsidR="00960BB8" w:rsidRDefault="00C06650">
      <w:pPr>
        <w:spacing w:before="120" w:after="180"/>
      </w:pPr>
      <w:r>
        <w:rPr>
          <w:rFonts w:ascii="Arial" w:eastAsia="宋体" w:hAnsi="Arial" w:cs="Arial"/>
          <w:color w:val="262626"/>
          <w:sz w:val="18"/>
          <w:szCs w:val="18"/>
        </w:rPr>
        <w:t>The aggregate fair value of awards that vested in 2022 was $2.0 billion ($1.7 billion in 2021 and $1.9 billion in 2020), which represents the market value of our common stock on the date that the RSUs vested. The grant-date fair value of awards that vested</w:t>
      </w:r>
      <w:r>
        <w:rPr>
          <w:rFonts w:ascii="Arial" w:eastAsia="宋体" w:hAnsi="Arial" w:cs="Arial"/>
          <w:color w:val="262626"/>
          <w:sz w:val="18"/>
          <w:szCs w:val="18"/>
        </w:rPr>
        <w:t xml:space="preserve"> in 2022 was $2.5 billion ($1.4 billion in 2021 and $1.3 billion in 2020). The number of RSUs vested includes shares of common stock that we withheld on behalf of employees to satisfy the minimum statutory tax withholding requirements. RSUs that are expect</w:t>
      </w:r>
      <w:r>
        <w:rPr>
          <w:rFonts w:ascii="Arial" w:eastAsia="宋体" w:hAnsi="Arial" w:cs="Arial"/>
          <w:color w:val="262626"/>
          <w:sz w:val="18"/>
          <w:szCs w:val="18"/>
        </w:rPr>
        <w:t>ed to vest are net of estimated future forfeitures.</w:t>
      </w:r>
    </w:p>
    <w:p w14:paraId="5A1B362E" w14:textId="77777777" w:rsidR="00960BB8" w:rsidRDefault="00C06650">
      <w:pPr>
        <w:spacing w:after="180"/>
      </w:pPr>
      <w:r>
        <w:rPr>
          <w:rFonts w:ascii="Arial" w:eastAsia="宋体" w:hAnsi="Arial" w:cs="Arial"/>
          <w:color w:val="262626"/>
          <w:sz w:val="18"/>
          <w:szCs w:val="18"/>
        </w:rPr>
        <w:t>As of December 31, 2022, unrecognized compensation costs related to RSUs granted under our equity incentive plans were $4.6 billion. We expect to recognize those costs over a weighted average period of 1.</w:t>
      </w:r>
      <w:r>
        <w:rPr>
          <w:rFonts w:ascii="Arial" w:eastAsia="宋体" w:hAnsi="Arial" w:cs="Arial"/>
          <w:color w:val="262626"/>
          <w:sz w:val="18"/>
          <w:szCs w:val="18"/>
        </w:rPr>
        <w:t>4 years.</w:t>
      </w:r>
    </w:p>
    <w:p w14:paraId="5A1B362F" w14:textId="77777777" w:rsidR="00960BB8" w:rsidRDefault="00C06650">
      <w:pPr>
        <w:spacing w:after="180"/>
      </w:pPr>
      <w:r>
        <w:rPr>
          <w:rFonts w:ascii="Arial" w:eastAsia="宋体" w:hAnsi="Arial" w:cs="Arial"/>
          <w:color w:val="0068B5"/>
        </w:rPr>
        <w:t>Stock Purchase Plan</w:t>
      </w:r>
    </w:p>
    <w:p w14:paraId="5A1B3630" w14:textId="77777777" w:rsidR="00960BB8" w:rsidRDefault="00C06650">
      <w:pPr>
        <w:spacing w:after="180"/>
      </w:pPr>
      <w:r>
        <w:rPr>
          <w:rFonts w:ascii="Arial" w:eastAsia="宋体" w:hAnsi="Arial" w:cs="Arial"/>
          <w:color w:val="262626"/>
          <w:sz w:val="18"/>
          <w:szCs w:val="18"/>
        </w:rPr>
        <w:t xml:space="preserve">The 2006 ESPP allows eligible employees to purchase shares of our common stock at 85% of the value of our common stock on specific dates. Under the 2006 ESPP, 523 million shares of common stock are authorized for </w:t>
      </w:r>
      <w:r>
        <w:rPr>
          <w:rFonts w:ascii="Arial" w:eastAsia="宋体" w:hAnsi="Arial" w:cs="Arial"/>
          <w:color w:val="262626"/>
          <w:sz w:val="18"/>
          <w:szCs w:val="18"/>
        </w:rPr>
        <w:t>issuance through August 2026. As of December 31, 2022, 200 million shares of common stock remained available for issuance.</w:t>
      </w:r>
    </w:p>
    <w:p w14:paraId="5A1B3631" w14:textId="77777777" w:rsidR="00960BB8" w:rsidRDefault="00C06650">
      <w:pPr>
        <w:spacing w:after="180"/>
      </w:pPr>
      <w:r>
        <w:rPr>
          <w:rFonts w:ascii="Arial" w:eastAsia="宋体" w:hAnsi="Arial" w:cs="Arial"/>
          <w:color w:val="262626"/>
          <w:sz w:val="18"/>
          <w:szCs w:val="18"/>
        </w:rPr>
        <w:t>Employees purchased 27 million shares of common stock in 2022 for $931 million under the 2006 ESPP (22 million shares of common stock</w:t>
      </w:r>
      <w:r>
        <w:rPr>
          <w:rFonts w:ascii="Arial" w:eastAsia="宋体" w:hAnsi="Arial" w:cs="Arial"/>
          <w:color w:val="262626"/>
          <w:sz w:val="18"/>
          <w:szCs w:val="18"/>
        </w:rPr>
        <w:t xml:space="preserve"> for $925 million in 2021 and 21 million shares of common stock for $876 million in 2020). As of December 31, 2022, unrecognized share-based compensation costs related to rights to acquire shares of common stock under the 2006 ESPP totaled $73 million. We </w:t>
      </w:r>
      <w:r>
        <w:rPr>
          <w:rFonts w:ascii="Arial" w:eastAsia="宋体" w:hAnsi="Arial" w:cs="Arial"/>
          <w:color w:val="262626"/>
          <w:sz w:val="18"/>
          <w:szCs w:val="18"/>
        </w:rPr>
        <w:t>expect to recognize those costs over a period of approximately two months.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363E" w14:textId="77777777">
        <w:tc>
          <w:tcPr>
            <w:tcW w:w="50" w:type="pct"/>
            <w:shd w:val="clear" w:color="auto" w:fill="auto"/>
            <w:vAlign w:val="bottom"/>
          </w:tcPr>
          <w:p w14:paraId="5A1B3632" w14:textId="77777777" w:rsidR="00960BB8" w:rsidRDefault="00960BB8">
            <w:pPr>
              <w:rPr>
                <w:rFonts w:ascii="宋体"/>
              </w:rPr>
            </w:pPr>
          </w:p>
        </w:tc>
        <w:tc>
          <w:tcPr>
            <w:tcW w:w="276" w:type="pct"/>
            <w:shd w:val="clear" w:color="auto" w:fill="auto"/>
            <w:vAlign w:val="bottom"/>
          </w:tcPr>
          <w:p w14:paraId="5A1B3633" w14:textId="77777777" w:rsidR="00960BB8" w:rsidRDefault="00960BB8">
            <w:pPr>
              <w:rPr>
                <w:rFonts w:ascii="宋体"/>
              </w:rPr>
            </w:pPr>
          </w:p>
        </w:tc>
        <w:tc>
          <w:tcPr>
            <w:tcW w:w="5" w:type="pct"/>
            <w:shd w:val="clear" w:color="auto" w:fill="auto"/>
            <w:vAlign w:val="bottom"/>
          </w:tcPr>
          <w:p w14:paraId="5A1B3634" w14:textId="77777777" w:rsidR="00960BB8" w:rsidRDefault="00960BB8">
            <w:pPr>
              <w:rPr>
                <w:rFonts w:ascii="宋体"/>
              </w:rPr>
            </w:pPr>
          </w:p>
        </w:tc>
        <w:tc>
          <w:tcPr>
            <w:tcW w:w="50" w:type="pct"/>
            <w:shd w:val="clear" w:color="auto" w:fill="auto"/>
            <w:vAlign w:val="bottom"/>
          </w:tcPr>
          <w:p w14:paraId="5A1B3635" w14:textId="77777777" w:rsidR="00960BB8" w:rsidRDefault="00960BB8">
            <w:pPr>
              <w:rPr>
                <w:rFonts w:ascii="宋体"/>
              </w:rPr>
            </w:pPr>
          </w:p>
        </w:tc>
        <w:tc>
          <w:tcPr>
            <w:tcW w:w="940" w:type="pct"/>
            <w:shd w:val="clear" w:color="auto" w:fill="auto"/>
            <w:vAlign w:val="bottom"/>
          </w:tcPr>
          <w:p w14:paraId="5A1B3636" w14:textId="77777777" w:rsidR="00960BB8" w:rsidRDefault="00960BB8">
            <w:pPr>
              <w:rPr>
                <w:rFonts w:ascii="宋体"/>
              </w:rPr>
            </w:pPr>
          </w:p>
        </w:tc>
        <w:tc>
          <w:tcPr>
            <w:tcW w:w="5" w:type="pct"/>
            <w:shd w:val="clear" w:color="auto" w:fill="auto"/>
            <w:vAlign w:val="bottom"/>
          </w:tcPr>
          <w:p w14:paraId="5A1B3637" w14:textId="77777777" w:rsidR="00960BB8" w:rsidRDefault="00960BB8">
            <w:pPr>
              <w:rPr>
                <w:rFonts w:ascii="宋体"/>
              </w:rPr>
            </w:pPr>
          </w:p>
        </w:tc>
        <w:tc>
          <w:tcPr>
            <w:tcW w:w="50" w:type="pct"/>
            <w:shd w:val="clear" w:color="auto" w:fill="auto"/>
            <w:vAlign w:val="bottom"/>
          </w:tcPr>
          <w:p w14:paraId="5A1B3638" w14:textId="77777777" w:rsidR="00960BB8" w:rsidRDefault="00960BB8">
            <w:pPr>
              <w:rPr>
                <w:rFonts w:ascii="宋体"/>
              </w:rPr>
            </w:pPr>
          </w:p>
        </w:tc>
        <w:tc>
          <w:tcPr>
            <w:tcW w:w="1837" w:type="pct"/>
            <w:shd w:val="clear" w:color="auto" w:fill="auto"/>
            <w:vAlign w:val="bottom"/>
          </w:tcPr>
          <w:p w14:paraId="5A1B3639" w14:textId="77777777" w:rsidR="00960BB8" w:rsidRDefault="00960BB8">
            <w:pPr>
              <w:rPr>
                <w:rFonts w:ascii="宋体"/>
              </w:rPr>
            </w:pPr>
          </w:p>
        </w:tc>
        <w:tc>
          <w:tcPr>
            <w:tcW w:w="5" w:type="pct"/>
            <w:shd w:val="clear" w:color="auto" w:fill="auto"/>
            <w:vAlign w:val="bottom"/>
          </w:tcPr>
          <w:p w14:paraId="5A1B363A" w14:textId="77777777" w:rsidR="00960BB8" w:rsidRDefault="00960BB8">
            <w:pPr>
              <w:rPr>
                <w:rFonts w:ascii="宋体"/>
              </w:rPr>
            </w:pPr>
          </w:p>
        </w:tc>
        <w:tc>
          <w:tcPr>
            <w:tcW w:w="50" w:type="pct"/>
            <w:shd w:val="clear" w:color="auto" w:fill="auto"/>
            <w:vAlign w:val="bottom"/>
          </w:tcPr>
          <w:p w14:paraId="5A1B363B" w14:textId="77777777" w:rsidR="00960BB8" w:rsidRDefault="00960BB8">
            <w:pPr>
              <w:rPr>
                <w:rFonts w:ascii="宋体"/>
              </w:rPr>
            </w:pPr>
          </w:p>
        </w:tc>
        <w:tc>
          <w:tcPr>
            <w:tcW w:w="1724" w:type="pct"/>
            <w:shd w:val="clear" w:color="auto" w:fill="auto"/>
            <w:vAlign w:val="bottom"/>
          </w:tcPr>
          <w:p w14:paraId="5A1B363C" w14:textId="77777777" w:rsidR="00960BB8" w:rsidRDefault="00960BB8">
            <w:pPr>
              <w:rPr>
                <w:rFonts w:ascii="宋体"/>
              </w:rPr>
            </w:pPr>
          </w:p>
        </w:tc>
        <w:tc>
          <w:tcPr>
            <w:tcW w:w="5" w:type="pct"/>
            <w:shd w:val="clear" w:color="auto" w:fill="auto"/>
            <w:vAlign w:val="bottom"/>
          </w:tcPr>
          <w:p w14:paraId="5A1B363D" w14:textId="77777777" w:rsidR="00960BB8" w:rsidRDefault="00960BB8">
            <w:pPr>
              <w:rPr>
                <w:rFonts w:ascii="宋体"/>
              </w:rPr>
            </w:pPr>
          </w:p>
        </w:tc>
      </w:tr>
      <w:tr w:rsidR="00960BB8" w14:paraId="5A1B3643"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63F"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CF" wp14:editId="5A1B44D0">
                  <wp:extent cx="304800" cy="304800"/>
                  <wp:effectExtent l="0" t="0" r="0" b="0"/>
                  <wp:docPr id="167" name="图片 31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31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640"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3641"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642" w14:textId="77777777" w:rsidR="00960BB8" w:rsidRDefault="00C06650">
            <w:pPr>
              <w:jc w:val="right"/>
              <w:textAlignment w:val="center"/>
            </w:pPr>
            <w:r>
              <w:rPr>
                <w:rFonts w:ascii="Arial" w:eastAsia="宋体" w:hAnsi="Arial" w:cs="Arial"/>
                <w:color w:val="262626"/>
                <w:sz w:val="16"/>
                <w:szCs w:val="16"/>
              </w:rPr>
              <w:t>111</w:t>
            </w:r>
          </w:p>
        </w:tc>
      </w:tr>
    </w:tbl>
    <w:p w14:paraId="5A1B3644" w14:textId="77777777" w:rsidR="00960BB8" w:rsidRDefault="00C06650">
      <w:r>
        <w:pict w14:anchorId="5A1B44D1">
          <v:rect id="_x0000_i1137" style="width:415.3pt;height:1.5pt" o:hralign="center" o:hrstd="t" o:hr="t" fillcolor="#a0a0a0" stroked="f"/>
        </w:pict>
      </w:r>
    </w:p>
    <w:p w14:paraId="5A1B3645" w14:textId="77777777" w:rsidR="00960BB8" w:rsidRDefault="00C06650">
      <w:pPr>
        <w:jc w:val="right"/>
      </w:pPr>
      <w:hyperlink r:id="rId160" w:anchor="i8aaa7b4dbd2e419ca0f5c30af85a11aa_16" w:history="1">
        <w:r>
          <w:rPr>
            <w:rStyle w:val="a5"/>
            <w:rFonts w:ascii="Arial" w:eastAsia="宋体" w:hAnsi="Arial" w:cs="Arial"/>
            <w:b/>
            <w:bCs/>
            <w:sz w:val="16"/>
            <w:szCs w:val="16"/>
          </w:rPr>
          <w:t>Table of Contents</w:t>
        </w:r>
      </w:hyperlink>
    </w:p>
    <w:p w14:paraId="5A1B3646"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960BB8" w14:paraId="5A1B364D" w14:textId="77777777">
        <w:tc>
          <w:tcPr>
            <w:tcW w:w="50" w:type="pct"/>
            <w:shd w:val="clear" w:color="auto" w:fill="auto"/>
            <w:vAlign w:val="bottom"/>
          </w:tcPr>
          <w:p w14:paraId="5A1B3647" w14:textId="77777777" w:rsidR="00960BB8" w:rsidRDefault="00960BB8">
            <w:pPr>
              <w:rPr>
                <w:rFonts w:ascii="宋体"/>
              </w:rPr>
            </w:pPr>
          </w:p>
        </w:tc>
        <w:tc>
          <w:tcPr>
            <w:tcW w:w="539" w:type="pct"/>
            <w:shd w:val="clear" w:color="auto" w:fill="auto"/>
            <w:vAlign w:val="bottom"/>
          </w:tcPr>
          <w:p w14:paraId="5A1B3648" w14:textId="77777777" w:rsidR="00960BB8" w:rsidRDefault="00960BB8">
            <w:pPr>
              <w:rPr>
                <w:rFonts w:ascii="宋体"/>
              </w:rPr>
            </w:pPr>
          </w:p>
        </w:tc>
        <w:tc>
          <w:tcPr>
            <w:tcW w:w="5" w:type="pct"/>
            <w:shd w:val="clear" w:color="auto" w:fill="auto"/>
            <w:vAlign w:val="bottom"/>
          </w:tcPr>
          <w:p w14:paraId="5A1B3649" w14:textId="77777777" w:rsidR="00960BB8" w:rsidRDefault="00960BB8">
            <w:pPr>
              <w:rPr>
                <w:rFonts w:ascii="宋体"/>
              </w:rPr>
            </w:pPr>
          </w:p>
        </w:tc>
        <w:tc>
          <w:tcPr>
            <w:tcW w:w="50" w:type="pct"/>
            <w:shd w:val="clear" w:color="auto" w:fill="auto"/>
            <w:vAlign w:val="bottom"/>
          </w:tcPr>
          <w:p w14:paraId="5A1B364A" w14:textId="77777777" w:rsidR="00960BB8" w:rsidRDefault="00960BB8">
            <w:pPr>
              <w:rPr>
                <w:rFonts w:ascii="宋体"/>
              </w:rPr>
            </w:pPr>
          </w:p>
        </w:tc>
        <w:tc>
          <w:tcPr>
            <w:tcW w:w="4350" w:type="pct"/>
            <w:shd w:val="clear" w:color="auto" w:fill="auto"/>
            <w:vAlign w:val="bottom"/>
          </w:tcPr>
          <w:p w14:paraId="5A1B364B" w14:textId="77777777" w:rsidR="00960BB8" w:rsidRDefault="00960BB8">
            <w:pPr>
              <w:rPr>
                <w:rFonts w:ascii="宋体"/>
              </w:rPr>
            </w:pPr>
          </w:p>
        </w:tc>
        <w:tc>
          <w:tcPr>
            <w:tcW w:w="5" w:type="pct"/>
            <w:shd w:val="clear" w:color="auto" w:fill="auto"/>
            <w:vAlign w:val="bottom"/>
          </w:tcPr>
          <w:p w14:paraId="5A1B364C" w14:textId="77777777" w:rsidR="00960BB8" w:rsidRDefault="00960BB8">
            <w:pPr>
              <w:rPr>
                <w:rFonts w:ascii="宋体"/>
              </w:rPr>
            </w:pPr>
          </w:p>
        </w:tc>
      </w:tr>
      <w:tr w:rsidR="00960BB8" w14:paraId="5A1B3650"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A1B364E" w14:textId="77777777" w:rsidR="00960BB8" w:rsidRDefault="00C06650">
            <w:pPr>
              <w:textAlignment w:val="bottom"/>
            </w:pPr>
            <w:r>
              <w:rPr>
                <w:rFonts w:ascii="Arial" w:eastAsia="宋体" w:hAnsi="Arial" w:cs="Arial"/>
                <w:color w:val="FFFFFF"/>
                <w:sz w:val="28"/>
                <w:szCs w:val="28"/>
              </w:rPr>
              <w:t xml:space="preserve">Note 19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364F" w14:textId="77777777" w:rsidR="00960BB8" w:rsidRDefault="00C06650">
            <w:pPr>
              <w:textAlignment w:val="bottom"/>
            </w:pPr>
            <w:r>
              <w:rPr>
                <w:rFonts w:ascii="Arial" w:eastAsia="宋体" w:hAnsi="Arial" w:cs="Arial"/>
                <w:color w:val="0068B5"/>
                <w:sz w:val="28"/>
                <w:szCs w:val="28"/>
              </w:rPr>
              <w:t>Commitments and Contingencies</w:t>
            </w:r>
          </w:p>
        </w:tc>
      </w:tr>
    </w:tbl>
    <w:p w14:paraId="5A1B3651" w14:textId="77777777" w:rsidR="00960BB8" w:rsidRDefault="00C06650">
      <w:pPr>
        <w:spacing w:after="180"/>
      </w:pPr>
      <w:r>
        <w:rPr>
          <w:rFonts w:ascii="Arial" w:eastAsia="宋体" w:hAnsi="Arial" w:cs="Arial"/>
          <w:color w:val="0068B5"/>
          <w:sz w:val="28"/>
          <w:szCs w:val="28"/>
        </w:rPr>
        <w:t>Leases</w:t>
      </w:r>
    </w:p>
    <w:p w14:paraId="5A1B3652" w14:textId="77777777" w:rsidR="00960BB8" w:rsidRDefault="00C06650">
      <w:pPr>
        <w:spacing w:after="180"/>
      </w:pPr>
      <w:r>
        <w:rPr>
          <w:rFonts w:ascii="Arial" w:eastAsia="宋体" w:hAnsi="Arial" w:cs="Arial"/>
          <w:color w:val="262626"/>
          <w:sz w:val="18"/>
          <w:szCs w:val="18"/>
        </w:rPr>
        <w:t>We recognized operating leased assets in other long-term assets of $487 million and corresponding accrued liabilities of $173 million, and other long-term liabilities of $236 million as of December 31, 2022. Our operating leases have remaining terms of 1 t</w:t>
      </w:r>
      <w:r>
        <w:rPr>
          <w:rFonts w:ascii="Arial" w:eastAsia="宋体" w:hAnsi="Arial" w:cs="Arial"/>
          <w:color w:val="262626"/>
          <w:sz w:val="18"/>
          <w:szCs w:val="18"/>
        </w:rPr>
        <w:t xml:space="preserve">o 13 years and may include options to extend the leases for up to 36 years. The weighted average remaining lease term was 3.7 years, and the weighted average discount rate was 4.3% as of December 31, 2022, for our operating leases. </w:t>
      </w:r>
    </w:p>
    <w:p w14:paraId="5A1B3653" w14:textId="77777777" w:rsidR="00960BB8" w:rsidRDefault="00C06650">
      <w:pPr>
        <w:spacing w:after="180"/>
      </w:pPr>
      <w:r>
        <w:rPr>
          <w:rFonts w:ascii="Arial" w:eastAsia="宋体" w:hAnsi="Arial" w:cs="Arial"/>
          <w:color w:val="262626"/>
          <w:sz w:val="18"/>
          <w:szCs w:val="18"/>
        </w:rPr>
        <w:t>Operating lease expense</w:t>
      </w:r>
      <w:r>
        <w:rPr>
          <w:rFonts w:ascii="Arial" w:eastAsia="宋体" w:hAnsi="Arial" w:cs="Arial"/>
          <w:color w:val="262626"/>
          <w:sz w:val="18"/>
          <w:szCs w:val="18"/>
        </w:rPr>
        <w:t xml:space="preserve"> was $729 million in 2022 ($798 million in 2021 and $416 million in 2020), including $551 million in variable lease expense in 2022 ($620 million in 2021 and $237 million in 2020).</w:t>
      </w:r>
    </w:p>
    <w:p w14:paraId="5A1B3654" w14:textId="77777777" w:rsidR="00960BB8" w:rsidRDefault="00C06650">
      <w:pPr>
        <w:spacing w:after="180"/>
      </w:pPr>
      <w:r>
        <w:rPr>
          <w:rFonts w:ascii="Arial" w:eastAsia="宋体" w:hAnsi="Arial" w:cs="Arial"/>
          <w:color w:val="262626"/>
          <w:sz w:val="18"/>
          <w:szCs w:val="18"/>
        </w:rPr>
        <w:t xml:space="preserve">In 2021 and 2022, we signed finance leases for supplier capacity </w:t>
      </w:r>
      <w:r>
        <w:rPr>
          <w:rFonts w:ascii="Arial" w:eastAsia="宋体" w:hAnsi="Arial" w:cs="Arial"/>
          <w:color w:val="262626"/>
          <w:sz w:val="18"/>
          <w:szCs w:val="18"/>
        </w:rPr>
        <w:t>extending over approximately 8 years. The leases will commence upon start of supplier production expected in 2023 and 2024. Prepayments of $430 million were recognized in property, plant and equipment as of December 31, 2022.</w:t>
      </w:r>
    </w:p>
    <w:p w14:paraId="5A1B3655" w14:textId="77777777" w:rsidR="00960BB8" w:rsidRDefault="00C06650">
      <w:pPr>
        <w:spacing w:after="120"/>
      </w:pPr>
      <w:r>
        <w:rPr>
          <w:rFonts w:ascii="Arial" w:eastAsia="宋体" w:hAnsi="Arial" w:cs="Arial"/>
          <w:color w:val="262626"/>
          <w:sz w:val="18"/>
          <w:szCs w:val="18"/>
        </w:rPr>
        <w:t>Discounted and undiscounted le</w:t>
      </w:r>
      <w:r>
        <w:rPr>
          <w:rFonts w:ascii="Arial" w:eastAsia="宋体" w:hAnsi="Arial" w:cs="Arial"/>
          <w:color w:val="262626"/>
          <w:sz w:val="18"/>
          <w:szCs w:val="18"/>
        </w:rPr>
        <w:t>ase payments under non-cancelable leases as of December 31, 2022 excluding non-lease components,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766"/>
        <w:gridCol w:w="37"/>
        <w:gridCol w:w="36"/>
        <w:gridCol w:w="36"/>
        <w:gridCol w:w="36"/>
        <w:gridCol w:w="121"/>
        <w:gridCol w:w="444"/>
        <w:gridCol w:w="36"/>
        <w:gridCol w:w="36"/>
        <w:gridCol w:w="36"/>
        <w:gridCol w:w="36"/>
        <w:gridCol w:w="121"/>
        <w:gridCol w:w="446"/>
        <w:gridCol w:w="36"/>
        <w:gridCol w:w="36"/>
        <w:gridCol w:w="36"/>
        <w:gridCol w:w="36"/>
        <w:gridCol w:w="122"/>
        <w:gridCol w:w="446"/>
        <w:gridCol w:w="36"/>
        <w:gridCol w:w="36"/>
        <w:gridCol w:w="36"/>
        <w:gridCol w:w="36"/>
        <w:gridCol w:w="122"/>
        <w:gridCol w:w="446"/>
        <w:gridCol w:w="36"/>
        <w:gridCol w:w="36"/>
        <w:gridCol w:w="36"/>
        <w:gridCol w:w="36"/>
        <w:gridCol w:w="122"/>
        <w:gridCol w:w="446"/>
        <w:gridCol w:w="36"/>
        <w:gridCol w:w="36"/>
        <w:gridCol w:w="36"/>
        <w:gridCol w:w="36"/>
        <w:gridCol w:w="122"/>
        <w:gridCol w:w="857"/>
        <w:gridCol w:w="36"/>
        <w:gridCol w:w="36"/>
        <w:gridCol w:w="36"/>
        <w:gridCol w:w="36"/>
        <w:gridCol w:w="121"/>
        <w:gridCol w:w="551"/>
        <w:gridCol w:w="36"/>
      </w:tblGrid>
      <w:tr w:rsidR="00960BB8" w14:paraId="5A1B3683" w14:textId="77777777">
        <w:tc>
          <w:tcPr>
            <w:tcW w:w="50" w:type="pct"/>
            <w:shd w:val="clear" w:color="auto" w:fill="auto"/>
            <w:vAlign w:val="bottom"/>
          </w:tcPr>
          <w:p w14:paraId="5A1B3656" w14:textId="77777777" w:rsidR="00960BB8" w:rsidRDefault="00960BB8">
            <w:pPr>
              <w:rPr>
                <w:rFonts w:ascii="宋体"/>
              </w:rPr>
            </w:pPr>
          </w:p>
        </w:tc>
        <w:tc>
          <w:tcPr>
            <w:tcW w:w="1720" w:type="pct"/>
            <w:shd w:val="clear" w:color="auto" w:fill="auto"/>
            <w:vAlign w:val="bottom"/>
          </w:tcPr>
          <w:p w14:paraId="5A1B3657" w14:textId="77777777" w:rsidR="00960BB8" w:rsidRDefault="00960BB8">
            <w:pPr>
              <w:rPr>
                <w:rFonts w:ascii="宋体"/>
              </w:rPr>
            </w:pPr>
          </w:p>
        </w:tc>
        <w:tc>
          <w:tcPr>
            <w:tcW w:w="5" w:type="pct"/>
            <w:shd w:val="clear" w:color="auto" w:fill="auto"/>
            <w:vAlign w:val="bottom"/>
          </w:tcPr>
          <w:p w14:paraId="5A1B3658" w14:textId="77777777" w:rsidR="00960BB8" w:rsidRDefault="00960BB8">
            <w:pPr>
              <w:rPr>
                <w:rFonts w:ascii="宋体"/>
              </w:rPr>
            </w:pPr>
          </w:p>
        </w:tc>
        <w:tc>
          <w:tcPr>
            <w:tcW w:w="5" w:type="pct"/>
            <w:shd w:val="clear" w:color="auto" w:fill="auto"/>
            <w:vAlign w:val="bottom"/>
          </w:tcPr>
          <w:p w14:paraId="5A1B3659" w14:textId="77777777" w:rsidR="00960BB8" w:rsidRDefault="00960BB8">
            <w:pPr>
              <w:rPr>
                <w:rFonts w:ascii="宋体"/>
              </w:rPr>
            </w:pPr>
          </w:p>
        </w:tc>
        <w:tc>
          <w:tcPr>
            <w:tcW w:w="24" w:type="pct"/>
            <w:shd w:val="clear" w:color="auto" w:fill="auto"/>
            <w:vAlign w:val="bottom"/>
          </w:tcPr>
          <w:p w14:paraId="5A1B365A" w14:textId="77777777" w:rsidR="00960BB8" w:rsidRDefault="00960BB8">
            <w:pPr>
              <w:rPr>
                <w:rFonts w:ascii="宋体"/>
              </w:rPr>
            </w:pPr>
          </w:p>
        </w:tc>
        <w:tc>
          <w:tcPr>
            <w:tcW w:w="5" w:type="pct"/>
            <w:shd w:val="clear" w:color="auto" w:fill="auto"/>
            <w:vAlign w:val="bottom"/>
          </w:tcPr>
          <w:p w14:paraId="5A1B365B" w14:textId="77777777" w:rsidR="00960BB8" w:rsidRDefault="00960BB8">
            <w:pPr>
              <w:rPr>
                <w:rFonts w:ascii="宋体"/>
              </w:rPr>
            </w:pPr>
          </w:p>
        </w:tc>
        <w:tc>
          <w:tcPr>
            <w:tcW w:w="50" w:type="pct"/>
            <w:shd w:val="clear" w:color="auto" w:fill="auto"/>
            <w:vAlign w:val="bottom"/>
          </w:tcPr>
          <w:p w14:paraId="5A1B365C" w14:textId="77777777" w:rsidR="00960BB8" w:rsidRDefault="00960BB8">
            <w:pPr>
              <w:rPr>
                <w:rFonts w:ascii="宋体"/>
              </w:rPr>
            </w:pPr>
          </w:p>
        </w:tc>
        <w:tc>
          <w:tcPr>
            <w:tcW w:w="354" w:type="pct"/>
            <w:shd w:val="clear" w:color="auto" w:fill="auto"/>
            <w:vAlign w:val="bottom"/>
          </w:tcPr>
          <w:p w14:paraId="5A1B365D" w14:textId="77777777" w:rsidR="00960BB8" w:rsidRDefault="00960BB8">
            <w:pPr>
              <w:rPr>
                <w:rFonts w:ascii="宋体"/>
              </w:rPr>
            </w:pPr>
          </w:p>
        </w:tc>
        <w:tc>
          <w:tcPr>
            <w:tcW w:w="5" w:type="pct"/>
            <w:shd w:val="clear" w:color="auto" w:fill="auto"/>
            <w:vAlign w:val="bottom"/>
          </w:tcPr>
          <w:p w14:paraId="5A1B365E" w14:textId="77777777" w:rsidR="00960BB8" w:rsidRDefault="00960BB8">
            <w:pPr>
              <w:rPr>
                <w:rFonts w:ascii="宋体"/>
              </w:rPr>
            </w:pPr>
          </w:p>
        </w:tc>
        <w:tc>
          <w:tcPr>
            <w:tcW w:w="5" w:type="pct"/>
            <w:shd w:val="clear" w:color="auto" w:fill="auto"/>
            <w:vAlign w:val="bottom"/>
          </w:tcPr>
          <w:p w14:paraId="5A1B365F" w14:textId="77777777" w:rsidR="00960BB8" w:rsidRDefault="00960BB8">
            <w:pPr>
              <w:rPr>
                <w:rFonts w:ascii="宋体"/>
              </w:rPr>
            </w:pPr>
          </w:p>
        </w:tc>
        <w:tc>
          <w:tcPr>
            <w:tcW w:w="24" w:type="pct"/>
            <w:shd w:val="clear" w:color="auto" w:fill="auto"/>
            <w:vAlign w:val="bottom"/>
          </w:tcPr>
          <w:p w14:paraId="5A1B3660" w14:textId="77777777" w:rsidR="00960BB8" w:rsidRDefault="00960BB8">
            <w:pPr>
              <w:rPr>
                <w:rFonts w:ascii="宋体"/>
              </w:rPr>
            </w:pPr>
          </w:p>
        </w:tc>
        <w:tc>
          <w:tcPr>
            <w:tcW w:w="5" w:type="pct"/>
            <w:shd w:val="clear" w:color="auto" w:fill="auto"/>
            <w:vAlign w:val="bottom"/>
          </w:tcPr>
          <w:p w14:paraId="5A1B3661" w14:textId="77777777" w:rsidR="00960BB8" w:rsidRDefault="00960BB8">
            <w:pPr>
              <w:rPr>
                <w:rFonts w:ascii="宋体"/>
              </w:rPr>
            </w:pPr>
          </w:p>
        </w:tc>
        <w:tc>
          <w:tcPr>
            <w:tcW w:w="50" w:type="pct"/>
            <w:shd w:val="clear" w:color="auto" w:fill="auto"/>
            <w:vAlign w:val="bottom"/>
          </w:tcPr>
          <w:p w14:paraId="5A1B3662" w14:textId="77777777" w:rsidR="00960BB8" w:rsidRDefault="00960BB8">
            <w:pPr>
              <w:rPr>
                <w:rFonts w:ascii="宋体"/>
              </w:rPr>
            </w:pPr>
          </w:p>
        </w:tc>
        <w:tc>
          <w:tcPr>
            <w:tcW w:w="354" w:type="pct"/>
            <w:shd w:val="clear" w:color="auto" w:fill="auto"/>
            <w:vAlign w:val="bottom"/>
          </w:tcPr>
          <w:p w14:paraId="5A1B3663" w14:textId="77777777" w:rsidR="00960BB8" w:rsidRDefault="00960BB8">
            <w:pPr>
              <w:rPr>
                <w:rFonts w:ascii="宋体"/>
              </w:rPr>
            </w:pPr>
          </w:p>
        </w:tc>
        <w:tc>
          <w:tcPr>
            <w:tcW w:w="5" w:type="pct"/>
            <w:shd w:val="clear" w:color="auto" w:fill="auto"/>
            <w:vAlign w:val="bottom"/>
          </w:tcPr>
          <w:p w14:paraId="5A1B3664" w14:textId="77777777" w:rsidR="00960BB8" w:rsidRDefault="00960BB8">
            <w:pPr>
              <w:rPr>
                <w:rFonts w:ascii="宋体"/>
              </w:rPr>
            </w:pPr>
          </w:p>
        </w:tc>
        <w:tc>
          <w:tcPr>
            <w:tcW w:w="5" w:type="pct"/>
            <w:shd w:val="clear" w:color="auto" w:fill="auto"/>
            <w:vAlign w:val="bottom"/>
          </w:tcPr>
          <w:p w14:paraId="5A1B3665" w14:textId="77777777" w:rsidR="00960BB8" w:rsidRDefault="00960BB8">
            <w:pPr>
              <w:rPr>
                <w:rFonts w:ascii="宋体"/>
              </w:rPr>
            </w:pPr>
          </w:p>
        </w:tc>
        <w:tc>
          <w:tcPr>
            <w:tcW w:w="24" w:type="pct"/>
            <w:shd w:val="clear" w:color="auto" w:fill="auto"/>
            <w:vAlign w:val="bottom"/>
          </w:tcPr>
          <w:p w14:paraId="5A1B3666" w14:textId="77777777" w:rsidR="00960BB8" w:rsidRDefault="00960BB8">
            <w:pPr>
              <w:rPr>
                <w:rFonts w:ascii="宋体"/>
              </w:rPr>
            </w:pPr>
          </w:p>
        </w:tc>
        <w:tc>
          <w:tcPr>
            <w:tcW w:w="5" w:type="pct"/>
            <w:shd w:val="clear" w:color="auto" w:fill="auto"/>
            <w:vAlign w:val="bottom"/>
          </w:tcPr>
          <w:p w14:paraId="5A1B3667" w14:textId="77777777" w:rsidR="00960BB8" w:rsidRDefault="00960BB8">
            <w:pPr>
              <w:rPr>
                <w:rFonts w:ascii="宋体"/>
              </w:rPr>
            </w:pPr>
          </w:p>
        </w:tc>
        <w:tc>
          <w:tcPr>
            <w:tcW w:w="50" w:type="pct"/>
            <w:shd w:val="clear" w:color="auto" w:fill="auto"/>
            <w:vAlign w:val="bottom"/>
          </w:tcPr>
          <w:p w14:paraId="5A1B3668" w14:textId="77777777" w:rsidR="00960BB8" w:rsidRDefault="00960BB8">
            <w:pPr>
              <w:rPr>
                <w:rFonts w:ascii="宋体"/>
              </w:rPr>
            </w:pPr>
          </w:p>
        </w:tc>
        <w:tc>
          <w:tcPr>
            <w:tcW w:w="354" w:type="pct"/>
            <w:shd w:val="clear" w:color="auto" w:fill="auto"/>
            <w:vAlign w:val="bottom"/>
          </w:tcPr>
          <w:p w14:paraId="5A1B3669" w14:textId="77777777" w:rsidR="00960BB8" w:rsidRDefault="00960BB8">
            <w:pPr>
              <w:rPr>
                <w:rFonts w:ascii="宋体"/>
              </w:rPr>
            </w:pPr>
          </w:p>
        </w:tc>
        <w:tc>
          <w:tcPr>
            <w:tcW w:w="5" w:type="pct"/>
            <w:shd w:val="clear" w:color="auto" w:fill="auto"/>
            <w:vAlign w:val="bottom"/>
          </w:tcPr>
          <w:p w14:paraId="5A1B366A" w14:textId="77777777" w:rsidR="00960BB8" w:rsidRDefault="00960BB8">
            <w:pPr>
              <w:rPr>
                <w:rFonts w:ascii="宋体"/>
              </w:rPr>
            </w:pPr>
          </w:p>
        </w:tc>
        <w:tc>
          <w:tcPr>
            <w:tcW w:w="5" w:type="pct"/>
            <w:shd w:val="clear" w:color="auto" w:fill="auto"/>
            <w:vAlign w:val="bottom"/>
          </w:tcPr>
          <w:p w14:paraId="5A1B366B" w14:textId="77777777" w:rsidR="00960BB8" w:rsidRDefault="00960BB8">
            <w:pPr>
              <w:rPr>
                <w:rFonts w:ascii="宋体"/>
              </w:rPr>
            </w:pPr>
          </w:p>
        </w:tc>
        <w:tc>
          <w:tcPr>
            <w:tcW w:w="24" w:type="pct"/>
            <w:shd w:val="clear" w:color="auto" w:fill="auto"/>
            <w:vAlign w:val="bottom"/>
          </w:tcPr>
          <w:p w14:paraId="5A1B366C" w14:textId="77777777" w:rsidR="00960BB8" w:rsidRDefault="00960BB8">
            <w:pPr>
              <w:rPr>
                <w:rFonts w:ascii="宋体"/>
              </w:rPr>
            </w:pPr>
          </w:p>
        </w:tc>
        <w:tc>
          <w:tcPr>
            <w:tcW w:w="5" w:type="pct"/>
            <w:shd w:val="clear" w:color="auto" w:fill="auto"/>
            <w:vAlign w:val="bottom"/>
          </w:tcPr>
          <w:p w14:paraId="5A1B366D" w14:textId="77777777" w:rsidR="00960BB8" w:rsidRDefault="00960BB8">
            <w:pPr>
              <w:rPr>
                <w:rFonts w:ascii="宋体"/>
              </w:rPr>
            </w:pPr>
          </w:p>
        </w:tc>
        <w:tc>
          <w:tcPr>
            <w:tcW w:w="50" w:type="pct"/>
            <w:shd w:val="clear" w:color="auto" w:fill="auto"/>
            <w:vAlign w:val="bottom"/>
          </w:tcPr>
          <w:p w14:paraId="5A1B366E" w14:textId="77777777" w:rsidR="00960BB8" w:rsidRDefault="00960BB8">
            <w:pPr>
              <w:rPr>
                <w:rFonts w:ascii="宋体"/>
              </w:rPr>
            </w:pPr>
          </w:p>
        </w:tc>
        <w:tc>
          <w:tcPr>
            <w:tcW w:w="354" w:type="pct"/>
            <w:shd w:val="clear" w:color="auto" w:fill="auto"/>
            <w:vAlign w:val="bottom"/>
          </w:tcPr>
          <w:p w14:paraId="5A1B366F" w14:textId="77777777" w:rsidR="00960BB8" w:rsidRDefault="00960BB8">
            <w:pPr>
              <w:rPr>
                <w:rFonts w:ascii="宋体"/>
              </w:rPr>
            </w:pPr>
          </w:p>
        </w:tc>
        <w:tc>
          <w:tcPr>
            <w:tcW w:w="5" w:type="pct"/>
            <w:shd w:val="clear" w:color="auto" w:fill="auto"/>
            <w:vAlign w:val="bottom"/>
          </w:tcPr>
          <w:p w14:paraId="5A1B3670" w14:textId="77777777" w:rsidR="00960BB8" w:rsidRDefault="00960BB8">
            <w:pPr>
              <w:rPr>
                <w:rFonts w:ascii="宋体"/>
              </w:rPr>
            </w:pPr>
          </w:p>
        </w:tc>
        <w:tc>
          <w:tcPr>
            <w:tcW w:w="5" w:type="pct"/>
            <w:shd w:val="clear" w:color="auto" w:fill="auto"/>
            <w:vAlign w:val="bottom"/>
          </w:tcPr>
          <w:p w14:paraId="5A1B3671" w14:textId="77777777" w:rsidR="00960BB8" w:rsidRDefault="00960BB8">
            <w:pPr>
              <w:rPr>
                <w:rFonts w:ascii="宋体"/>
              </w:rPr>
            </w:pPr>
          </w:p>
        </w:tc>
        <w:tc>
          <w:tcPr>
            <w:tcW w:w="24" w:type="pct"/>
            <w:shd w:val="clear" w:color="auto" w:fill="auto"/>
            <w:vAlign w:val="bottom"/>
          </w:tcPr>
          <w:p w14:paraId="5A1B3672" w14:textId="77777777" w:rsidR="00960BB8" w:rsidRDefault="00960BB8">
            <w:pPr>
              <w:rPr>
                <w:rFonts w:ascii="宋体"/>
              </w:rPr>
            </w:pPr>
          </w:p>
        </w:tc>
        <w:tc>
          <w:tcPr>
            <w:tcW w:w="5" w:type="pct"/>
            <w:shd w:val="clear" w:color="auto" w:fill="auto"/>
            <w:vAlign w:val="bottom"/>
          </w:tcPr>
          <w:p w14:paraId="5A1B3673" w14:textId="77777777" w:rsidR="00960BB8" w:rsidRDefault="00960BB8">
            <w:pPr>
              <w:rPr>
                <w:rFonts w:ascii="宋体"/>
              </w:rPr>
            </w:pPr>
          </w:p>
        </w:tc>
        <w:tc>
          <w:tcPr>
            <w:tcW w:w="50" w:type="pct"/>
            <w:shd w:val="clear" w:color="auto" w:fill="auto"/>
            <w:vAlign w:val="bottom"/>
          </w:tcPr>
          <w:p w14:paraId="5A1B3674" w14:textId="77777777" w:rsidR="00960BB8" w:rsidRDefault="00960BB8">
            <w:pPr>
              <w:rPr>
                <w:rFonts w:ascii="宋体"/>
              </w:rPr>
            </w:pPr>
          </w:p>
        </w:tc>
        <w:tc>
          <w:tcPr>
            <w:tcW w:w="354" w:type="pct"/>
            <w:shd w:val="clear" w:color="auto" w:fill="auto"/>
            <w:vAlign w:val="bottom"/>
          </w:tcPr>
          <w:p w14:paraId="5A1B3675" w14:textId="77777777" w:rsidR="00960BB8" w:rsidRDefault="00960BB8">
            <w:pPr>
              <w:rPr>
                <w:rFonts w:ascii="宋体"/>
              </w:rPr>
            </w:pPr>
          </w:p>
        </w:tc>
        <w:tc>
          <w:tcPr>
            <w:tcW w:w="5" w:type="pct"/>
            <w:shd w:val="clear" w:color="auto" w:fill="auto"/>
            <w:vAlign w:val="bottom"/>
          </w:tcPr>
          <w:p w14:paraId="5A1B3676" w14:textId="77777777" w:rsidR="00960BB8" w:rsidRDefault="00960BB8">
            <w:pPr>
              <w:rPr>
                <w:rFonts w:ascii="宋体"/>
              </w:rPr>
            </w:pPr>
          </w:p>
        </w:tc>
        <w:tc>
          <w:tcPr>
            <w:tcW w:w="5" w:type="pct"/>
            <w:shd w:val="clear" w:color="auto" w:fill="auto"/>
            <w:vAlign w:val="bottom"/>
          </w:tcPr>
          <w:p w14:paraId="5A1B3677" w14:textId="77777777" w:rsidR="00960BB8" w:rsidRDefault="00960BB8">
            <w:pPr>
              <w:rPr>
                <w:rFonts w:ascii="宋体"/>
              </w:rPr>
            </w:pPr>
          </w:p>
        </w:tc>
        <w:tc>
          <w:tcPr>
            <w:tcW w:w="17" w:type="pct"/>
            <w:shd w:val="clear" w:color="auto" w:fill="auto"/>
            <w:vAlign w:val="bottom"/>
          </w:tcPr>
          <w:p w14:paraId="5A1B3678" w14:textId="77777777" w:rsidR="00960BB8" w:rsidRDefault="00960BB8">
            <w:pPr>
              <w:rPr>
                <w:rFonts w:ascii="宋体"/>
              </w:rPr>
            </w:pPr>
          </w:p>
        </w:tc>
        <w:tc>
          <w:tcPr>
            <w:tcW w:w="5" w:type="pct"/>
            <w:shd w:val="clear" w:color="auto" w:fill="auto"/>
            <w:vAlign w:val="bottom"/>
          </w:tcPr>
          <w:p w14:paraId="5A1B3679" w14:textId="77777777" w:rsidR="00960BB8" w:rsidRDefault="00960BB8">
            <w:pPr>
              <w:rPr>
                <w:rFonts w:ascii="宋体"/>
              </w:rPr>
            </w:pPr>
          </w:p>
        </w:tc>
        <w:tc>
          <w:tcPr>
            <w:tcW w:w="50" w:type="pct"/>
            <w:shd w:val="clear" w:color="auto" w:fill="auto"/>
            <w:vAlign w:val="bottom"/>
          </w:tcPr>
          <w:p w14:paraId="5A1B367A" w14:textId="77777777" w:rsidR="00960BB8" w:rsidRDefault="00960BB8">
            <w:pPr>
              <w:rPr>
                <w:rFonts w:ascii="宋体"/>
              </w:rPr>
            </w:pPr>
          </w:p>
        </w:tc>
        <w:tc>
          <w:tcPr>
            <w:tcW w:w="416" w:type="pct"/>
            <w:shd w:val="clear" w:color="auto" w:fill="auto"/>
            <w:vAlign w:val="bottom"/>
          </w:tcPr>
          <w:p w14:paraId="5A1B367B" w14:textId="77777777" w:rsidR="00960BB8" w:rsidRDefault="00960BB8">
            <w:pPr>
              <w:rPr>
                <w:rFonts w:ascii="宋体"/>
              </w:rPr>
            </w:pPr>
          </w:p>
        </w:tc>
        <w:tc>
          <w:tcPr>
            <w:tcW w:w="5" w:type="pct"/>
            <w:shd w:val="clear" w:color="auto" w:fill="auto"/>
            <w:vAlign w:val="bottom"/>
          </w:tcPr>
          <w:p w14:paraId="5A1B367C" w14:textId="77777777" w:rsidR="00960BB8" w:rsidRDefault="00960BB8">
            <w:pPr>
              <w:rPr>
                <w:rFonts w:ascii="宋体"/>
              </w:rPr>
            </w:pPr>
          </w:p>
        </w:tc>
        <w:tc>
          <w:tcPr>
            <w:tcW w:w="5" w:type="pct"/>
            <w:shd w:val="clear" w:color="auto" w:fill="auto"/>
            <w:vAlign w:val="bottom"/>
          </w:tcPr>
          <w:p w14:paraId="5A1B367D" w14:textId="77777777" w:rsidR="00960BB8" w:rsidRDefault="00960BB8">
            <w:pPr>
              <w:rPr>
                <w:rFonts w:ascii="宋体"/>
              </w:rPr>
            </w:pPr>
          </w:p>
        </w:tc>
        <w:tc>
          <w:tcPr>
            <w:tcW w:w="24" w:type="pct"/>
            <w:shd w:val="clear" w:color="auto" w:fill="auto"/>
            <w:vAlign w:val="bottom"/>
          </w:tcPr>
          <w:p w14:paraId="5A1B367E" w14:textId="77777777" w:rsidR="00960BB8" w:rsidRDefault="00960BB8">
            <w:pPr>
              <w:rPr>
                <w:rFonts w:ascii="宋体"/>
              </w:rPr>
            </w:pPr>
          </w:p>
        </w:tc>
        <w:tc>
          <w:tcPr>
            <w:tcW w:w="5" w:type="pct"/>
            <w:shd w:val="clear" w:color="auto" w:fill="auto"/>
            <w:vAlign w:val="bottom"/>
          </w:tcPr>
          <w:p w14:paraId="5A1B367F" w14:textId="77777777" w:rsidR="00960BB8" w:rsidRDefault="00960BB8">
            <w:pPr>
              <w:rPr>
                <w:rFonts w:ascii="宋体"/>
              </w:rPr>
            </w:pPr>
          </w:p>
        </w:tc>
        <w:tc>
          <w:tcPr>
            <w:tcW w:w="50" w:type="pct"/>
            <w:shd w:val="clear" w:color="auto" w:fill="auto"/>
            <w:vAlign w:val="bottom"/>
          </w:tcPr>
          <w:p w14:paraId="5A1B3680" w14:textId="77777777" w:rsidR="00960BB8" w:rsidRDefault="00960BB8">
            <w:pPr>
              <w:rPr>
                <w:rFonts w:ascii="宋体"/>
              </w:rPr>
            </w:pPr>
          </w:p>
        </w:tc>
        <w:tc>
          <w:tcPr>
            <w:tcW w:w="416" w:type="pct"/>
            <w:shd w:val="clear" w:color="auto" w:fill="auto"/>
            <w:vAlign w:val="bottom"/>
          </w:tcPr>
          <w:p w14:paraId="5A1B3681" w14:textId="77777777" w:rsidR="00960BB8" w:rsidRDefault="00960BB8">
            <w:pPr>
              <w:rPr>
                <w:rFonts w:ascii="宋体"/>
              </w:rPr>
            </w:pPr>
          </w:p>
        </w:tc>
        <w:tc>
          <w:tcPr>
            <w:tcW w:w="5" w:type="pct"/>
            <w:shd w:val="clear" w:color="auto" w:fill="auto"/>
            <w:vAlign w:val="bottom"/>
          </w:tcPr>
          <w:p w14:paraId="5A1B3682" w14:textId="77777777" w:rsidR="00960BB8" w:rsidRDefault="00960BB8">
            <w:pPr>
              <w:rPr>
                <w:rFonts w:ascii="宋体"/>
              </w:rPr>
            </w:pPr>
          </w:p>
        </w:tc>
      </w:tr>
      <w:tr w:rsidR="00960BB8" w14:paraId="5A1B3693" w14:textId="77777777">
        <w:tc>
          <w:tcPr>
            <w:tcW w:w="0" w:type="auto"/>
            <w:gridSpan w:val="3"/>
            <w:shd w:val="clear" w:color="auto" w:fill="auto"/>
            <w:tcMar>
              <w:top w:w="40" w:type="dxa"/>
              <w:left w:w="20" w:type="dxa"/>
              <w:bottom w:w="40" w:type="dxa"/>
              <w:right w:w="20" w:type="dxa"/>
            </w:tcMar>
            <w:vAlign w:val="bottom"/>
          </w:tcPr>
          <w:p w14:paraId="5A1B3684" w14:textId="77777777" w:rsidR="00960BB8" w:rsidRDefault="00C06650">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5A1B368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686" w14:textId="77777777" w:rsidR="00960BB8" w:rsidRDefault="00C06650">
            <w:pPr>
              <w:jc w:val="center"/>
              <w:textAlignment w:val="bottom"/>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vAlign w:val="bottom"/>
          </w:tcPr>
          <w:p w14:paraId="5A1B368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688" w14:textId="77777777" w:rsidR="00960BB8" w:rsidRDefault="00C06650">
            <w:pPr>
              <w:jc w:val="center"/>
              <w:textAlignment w:val="bottom"/>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vAlign w:val="bottom"/>
          </w:tcPr>
          <w:p w14:paraId="5A1B368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68A" w14:textId="77777777" w:rsidR="00960BB8" w:rsidRDefault="00C06650">
            <w:pPr>
              <w:jc w:val="center"/>
              <w:textAlignment w:val="bottom"/>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vAlign w:val="bottom"/>
          </w:tcPr>
          <w:p w14:paraId="5A1B368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68C" w14:textId="77777777" w:rsidR="00960BB8" w:rsidRDefault="00C06650">
            <w:pPr>
              <w:jc w:val="center"/>
              <w:textAlignment w:val="bottom"/>
            </w:pPr>
            <w:r>
              <w:rPr>
                <w:rFonts w:ascii="Arial" w:eastAsia="宋体" w:hAnsi="Arial" w:cs="Arial"/>
                <w:b/>
                <w:bCs/>
                <w:color w:val="262626"/>
                <w:sz w:val="18"/>
                <w:szCs w:val="18"/>
              </w:rPr>
              <w:t>2026</w:t>
            </w:r>
          </w:p>
        </w:tc>
        <w:tc>
          <w:tcPr>
            <w:tcW w:w="0" w:type="auto"/>
            <w:gridSpan w:val="3"/>
            <w:shd w:val="clear" w:color="auto" w:fill="auto"/>
            <w:tcMar>
              <w:top w:w="0" w:type="dxa"/>
              <w:left w:w="20" w:type="dxa"/>
              <w:bottom w:w="0" w:type="dxa"/>
              <w:right w:w="20" w:type="dxa"/>
            </w:tcMar>
            <w:vAlign w:val="bottom"/>
          </w:tcPr>
          <w:p w14:paraId="5A1B368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68E" w14:textId="77777777" w:rsidR="00960BB8" w:rsidRDefault="00C06650">
            <w:pPr>
              <w:jc w:val="center"/>
              <w:textAlignment w:val="bottom"/>
            </w:pPr>
            <w:r>
              <w:rPr>
                <w:rFonts w:ascii="Arial" w:eastAsia="宋体" w:hAnsi="Arial" w:cs="Arial"/>
                <w:b/>
                <w:bCs/>
                <w:color w:val="262626"/>
                <w:sz w:val="18"/>
                <w:szCs w:val="18"/>
              </w:rPr>
              <w:t>2027</w:t>
            </w:r>
          </w:p>
        </w:tc>
        <w:tc>
          <w:tcPr>
            <w:tcW w:w="0" w:type="auto"/>
            <w:gridSpan w:val="3"/>
            <w:shd w:val="clear" w:color="auto" w:fill="auto"/>
            <w:tcMar>
              <w:top w:w="0" w:type="dxa"/>
              <w:left w:w="20" w:type="dxa"/>
              <w:bottom w:w="0" w:type="dxa"/>
              <w:right w:w="20" w:type="dxa"/>
            </w:tcMar>
            <w:vAlign w:val="bottom"/>
          </w:tcPr>
          <w:p w14:paraId="5A1B368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690" w14:textId="77777777" w:rsidR="00960BB8" w:rsidRDefault="00C06650">
            <w:pPr>
              <w:jc w:val="center"/>
              <w:textAlignment w:val="bottom"/>
            </w:pPr>
            <w:r>
              <w:rPr>
                <w:rFonts w:ascii="Arial" w:eastAsia="宋体" w:hAnsi="Arial" w:cs="Arial"/>
                <w:b/>
                <w:bCs/>
                <w:color w:val="262626"/>
                <w:sz w:val="18"/>
                <w:szCs w:val="18"/>
              </w:rPr>
              <w:t> Thereafter</w:t>
            </w:r>
          </w:p>
        </w:tc>
        <w:tc>
          <w:tcPr>
            <w:tcW w:w="0" w:type="auto"/>
            <w:gridSpan w:val="3"/>
            <w:shd w:val="clear" w:color="auto" w:fill="auto"/>
            <w:tcMar>
              <w:top w:w="0" w:type="dxa"/>
              <w:left w:w="20" w:type="dxa"/>
              <w:bottom w:w="0" w:type="dxa"/>
              <w:right w:w="20" w:type="dxa"/>
            </w:tcMar>
            <w:vAlign w:val="bottom"/>
          </w:tcPr>
          <w:p w14:paraId="5A1B369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692" w14:textId="77777777" w:rsidR="00960BB8" w:rsidRDefault="00C06650">
            <w:pPr>
              <w:jc w:val="center"/>
              <w:textAlignment w:val="bottom"/>
            </w:pPr>
            <w:r>
              <w:rPr>
                <w:rFonts w:ascii="Arial" w:eastAsia="宋体" w:hAnsi="Arial" w:cs="Arial"/>
                <w:b/>
                <w:bCs/>
                <w:color w:val="262626"/>
                <w:sz w:val="18"/>
                <w:szCs w:val="18"/>
              </w:rPr>
              <w:t>Total</w:t>
            </w:r>
          </w:p>
        </w:tc>
      </w:tr>
      <w:tr w:rsidR="00960BB8" w14:paraId="5A1B36B1"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A1B3694" w14:textId="77777777" w:rsidR="00960BB8" w:rsidRDefault="00C06650">
            <w:pPr>
              <w:textAlignment w:val="bottom"/>
            </w:pPr>
            <w:r>
              <w:rPr>
                <w:rFonts w:ascii="Arial" w:eastAsia="宋体" w:hAnsi="Arial" w:cs="Arial"/>
                <w:color w:val="262626"/>
                <w:sz w:val="18"/>
                <w:szCs w:val="18"/>
              </w:rPr>
              <w:t>Operating lease payments</w:t>
            </w:r>
          </w:p>
        </w:tc>
        <w:tc>
          <w:tcPr>
            <w:tcW w:w="0" w:type="auto"/>
            <w:gridSpan w:val="3"/>
            <w:shd w:val="clear" w:color="auto" w:fill="auto"/>
            <w:tcMar>
              <w:top w:w="0" w:type="dxa"/>
              <w:left w:w="20" w:type="dxa"/>
              <w:bottom w:w="0" w:type="dxa"/>
              <w:right w:w="20" w:type="dxa"/>
            </w:tcMar>
            <w:vAlign w:val="bottom"/>
          </w:tcPr>
          <w:p w14:paraId="5A1B3695"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696"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697" w14:textId="77777777" w:rsidR="00960BB8" w:rsidRDefault="00C06650">
            <w:pPr>
              <w:jc w:val="right"/>
              <w:textAlignment w:val="bottom"/>
            </w:pPr>
            <w:r>
              <w:rPr>
                <w:rFonts w:ascii="Arial" w:eastAsia="宋体" w:hAnsi="Arial" w:cs="Arial"/>
                <w:color w:val="0068B5"/>
                <w:sz w:val="18"/>
                <w:szCs w:val="18"/>
              </w:rPr>
              <w:t>179 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69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99"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69A"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69B" w14:textId="77777777" w:rsidR="00960BB8" w:rsidRDefault="00C06650">
            <w:pPr>
              <w:jc w:val="right"/>
              <w:textAlignment w:val="bottom"/>
            </w:pPr>
            <w:r>
              <w:rPr>
                <w:rFonts w:ascii="Arial" w:eastAsia="宋体" w:hAnsi="Arial" w:cs="Arial"/>
                <w:color w:val="0068B5"/>
                <w:sz w:val="18"/>
                <w:szCs w:val="18"/>
              </w:rPr>
              <w:t>107 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69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9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69E"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69F" w14:textId="77777777" w:rsidR="00960BB8" w:rsidRDefault="00C06650">
            <w:pPr>
              <w:jc w:val="right"/>
              <w:textAlignment w:val="bottom"/>
            </w:pPr>
            <w:r>
              <w:rPr>
                <w:rFonts w:ascii="Arial" w:eastAsia="宋体" w:hAnsi="Arial" w:cs="Arial"/>
                <w:color w:val="0068B5"/>
                <w:sz w:val="18"/>
                <w:szCs w:val="18"/>
              </w:rPr>
              <w:t>72 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6A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A1"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6A2"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6A3" w14:textId="77777777" w:rsidR="00960BB8" w:rsidRDefault="00C06650">
            <w:pPr>
              <w:jc w:val="right"/>
              <w:textAlignment w:val="bottom"/>
            </w:pPr>
            <w:r>
              <w:rPr>
                <w:rFonts w:ascii="Arial" w:eastAsia="宋体" w:hAnsi="Arial" w:cs="Arial"/>
                <w:color w:val="0068B5"/>
                <w:sz w:val="18"/>
                <w:szCs w:val="18"/>
              </w:rPr>
              <w:t>34 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6A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A5"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6A6"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6A7" w14:textId="77777777" w:rsidR="00960BB8" w:rsidRDefault="00C06650">
            <w:pPr>
              <w:jc w:val="right"/>
              <w:textAlignment w:val="bottom"/>
            </w:pPr>
            <w:r>
              <w:rPr>
                <w:rFonts w:ascii="Arial" w:eastAsia="宋体" w:hAnsi="Arial" w:cs="Arial"/>
                <w:color w:val="0068B5"/>
                <w:sz w:val="18"/>
                <w:szCs w:val="18"/>
              </w:rPr>
              <w:t>26 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6A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A9"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6AA" w14:textId="77777777" w:rsidR="00960BB8" w:rsidRDefault="00C06650">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6AB" w14:textId="77777777" w:rsidR="00960BB8" w:rsidRDefault="00C06650">
            <w:pPr>
              <w:jc w:val="right"/>
              <w:textAlignment w:val="bottom"/>
            </w:pPr>
            <w:r>
              <w:rPr>
                <w:rFonts w:ascii="Arial" w:eastAsia="宋体" w:hAnsi="Arial" w:cs="Arial"/>
                <w:color w:val="0068B5"/>
                <w:sz w:val="18"/>
                <w:szCs w:val="18"/>
              </w:rPr>
              <w:t>28 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6A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AD" w14:textId="77777777" w:rsidR="00960BB8" w:rsidRDefault="00960BB8">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A1B36AE" w14:textId="77777777" w:rsidR="00960BB8" w:rsidRDefault="00C06650">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A1B36AF" w14:textId="77777777" w:rsidR="00960BB8" w:rsidRDefault="00C06650">
            <w:pPr>
              <w:jc w:val="right"/>
              <w:textAlignment w:val="bottom"/>
            </w:pPr>
            <w:r>
              <w:rPr>
                <w:rFonts w:ascii="Arial" w:eastAsia="宋体" w:hAnsi="Arial" w:cs="Arial"/>
                <w:b/>
                <w:bCs/>
                <w:color w:val="0068B5"/>
                <w:sz w:val="18"/>
                <w:szCs w:val="18"/>
              </w:rPr>
              <w:t>446</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A1B36B0" w14:textId="77777777" w:rsidR="00960BB8" w:rsidRDefault="00960BB8">
            <w:pPr>
              <w:jc w:val="right"/>
              <w:rPr>
                <w:rFonts w:ascii="宋体"/>
              </w:rPr>
            </w:pPr>
          </w:p>
        </w:tc>
      </w:tr>
      <w:tr w:rsidR="00960BB8" w14:paraId="5A1B36CF" w14:textId="77777777">
        <w:tc>
          <w:tcPr>
            <w:tcW w:w="0" w:type="auto"/>
            <w:gridSpan w:val="3"/>
            <w:shd w:val="clear" w:color="auto" w:fill="auto"/>
            <w:tcMar>
              <w:top w:w="40" w:type="dxa"/>
              <w:left w:w="20" w:type="dxa"/>
              <w:bottom w:w="40" w:type="dxa"/>
              <w:right w:w="20" w:type="dxa"/>
            </w:tcMar>
            <w:vAlign w:val="bottom"/>
          </w:tcPr>
          <w:p w14:paraId="5A1B36B2" w14:textId="77777777" w:rsidR="00960BB8" w:rsidRDefault="00C06650">
            <w:pPr>
              <w:textAlignment w:val="bottom"/>
            </w:pPr>
            <w:r>
              <w:rPr>
                <w:rFonts w:ascii="Arial" w:eastAsia="宋体" w:hAnsi="Arial" w:cs="Arial"/>
                <w:color w:val="262626"/>
                <w:sz w:val="18"/>
                <w:szCs w:val="18"/>
              </w:rPr>
              <w:t>Finance lease payments</w:t>
            </w:r>
          </w:p>
        </w:tc>
        <w:tc>
          <w:tcPr>
            <w:tcW w:w="0" w:type="auto"/>
            <w:gridSpan w:val="3"/>
            <w:shd w:val="clear" w:color="auto" w:fill="auto"/>
            <w:tcMar>
              <w:top w:w="0" w:type="dxa"/>
              <w:left w:w="20" w:type="dxa"/>
              <w:bottom w:w="0" w:type="dxa"/>
              <w:right w:w="20" w:type="dxa"/>
            </w:tcMar>
            <w:vAlign w:val="bottom"/>
          </w:tcPr>
          <w:p w14:paraId="5A1B36B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6B4"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6B5" w14:textId="77777777" w:rsidR="00960BB8" w:rsidRDefault="00C06650">
            <w:pPr>
              <w:jc w:val="right"/>
              <w:textAlignment w:val="bottom"/>
            </w:pPr>
            <w:r>
              <w:rPr>
                <w:rFonts w:ascii="Arial" w:eastAsia="宋体" w:hAnsi="Arial" w:cs="Arial"/>
                <w:color w:val="0068B5"/>
                <w:sz w:val="18"/>
                <w:szCs w:val="18"/>
              </w:rPr>
              <w:t>682 </w:t>
            </w:r>
          </w:p>
        </w:tc>
        <w:tc>
          <w:tcPr>
            <w:tcW w:w="0" w:type="auto"/>
            <w:shd w:val="clear" w:color="auto" w:fill="auto"/>
            <w:tcMar>
              <w:top w:w="40" w:type="dxa"/>
              <w:left w:w="0" w:type="dxa"/>
              <w:bottom w:w="40" w:type="dxa"/>
              <w:right w:w="20" w:type="dxa"/>
            </w:tcMar>
            <w:vAlign w:val="bottom"/>
          </w:tcPr>
          <w:p w14:paraId="5A1B36B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B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6B8"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6B9" w14:textId="77777777" w:rsidR="00960BB8" w:rsidRDefault="00C06650">
            <w:pPr>
              <w:jc w:val="right"/>
              <w:textAlignment w:val="bottom"/>
            </w:pPr>
            <w:r>
              <w:rPr>
                <w:rFonts w:ascii="Arial" w:eastAsia="宋体" w:hAnsi="Arial" w:cs="Arial"/>
                <w:color w:val="0068B5"/>
                <w:sz w:val="18"/>
                <w:szCs w:val="18"/>
              </w:rPr>
              <w:t>122 </w:t>
            </w:r>
          </w:p>
        </w:tc>
        <w:tc>
          <w:tcPr>
            <w:tcW w:w="0" w:type="auto"/>
            <w:shd w:val="clear" w:color="auto" w:fill="auto"/>
            <w:tcMar>
              <w:top w:w="40" w:type="dxa"/>
              <w:left w:w="0" w:type="dxa"/>
              <w:bottom w:w="40" w:type="dxa"/>
              <w:right w:w="20" w:type="dxa"/>
            </w:tcMar>
            <w:vAlign w:val="bottom"/>
          </w:tcPr>
          <w:p w14:paraId="5A1B36B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B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6BC" w14:textId="77777777" w:rsidR="00960BB8" w:rsidRDefault="00C06650">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A1B36BD" w14:textId="77777777" w:rsidR="00960BB8" w:rsidRDefault="00C06650">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5A1B36B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BF"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6C0"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6C1"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6C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C3"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6C4"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6C5"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6C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C7"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6C8" w14:textId="77777777" w:rsidR="00960BB8" w:rsidRDefault="00C06650">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A1B36C9" w14:textId="77777777" w:rsidR="00960BB8" w:rsidRDefault="00C06650">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A1B36C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6CB"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6CC" w14:textId="77777777" w:rsidR="00960BB8" w:rsidRDefault="00C06650">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A1B36CD" w14:textId="77777777" w:rsidR="00960BB8" w:rsidRDefault="00C06650">
            <w:pPr>
              <w:jc w:val="right"/>
              <w:textAlignment w:val="bottom"/>
            </w:pPr>
            <w:r>
              <w:rPr>
                <w:rFonts w:ascii="Arial" w:eastAsia="宋体" w:hAnsi="Arial" w:cs="Arial"/>
                <w:b/>
                <w:bCs/>
                <w:color w:val="0068B5"/>
                <w:sz w:val="18"/>
                <w:szCs w:val="18"/>
              </w:rPr>
              <w:t>809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36CE" w14:textId="77777777" w:rsidR="00960BB8" w:rsidRDefault="00960BB8">
            <w:pPr>
              <w:jc w:val="right"/>
              <w:rPr>
                <w:rFonts w:ascii="宋体"/>
              </w:rPr>
            </w:pPr>
          </w:p>
        </w:tc>
      </w:tr>
      <w:tr w:rsidR="00960BB8" w14:paraId="5A1B36E1" w14:textId="77777777">
        <w:tc>
          <w:tcPr>
            <w:tcW w:w="0" w:type="auto"/>
            <w:gridSpan w:val="3"/>
            <w:shd w:val="clear" w:color="auto" w:fill="auto"/>
            <w:tcMar>
              <w:top w:w="40" w:type="dxa"/>
              <w:left w:w="20" w:type="dxa"/>
              <w:bottom w:w="40" w:type="dxa"/>
              <w:right w:w="20" w:type="dxa"/>
            </w:tcMar>
            <w:vAlign w:val="bottom"/>
          </w:tcPr>
          <w:p w14:paraId="5A1B36D0" w14:textId="77777777" w:rsidR="00960BB8" w:rsidRDefault="00C06650">
            <w:pPr>
              <w:textAlignment w:val="bottom"/>
            </w:pPr>
            <w:r>
              <w:rPr>
                <w:rFonts w:ascii="Arial" w:eastAsia="宋体" w:hAnsi="Arial" w:cs="Arial"/>
                <w:color w:val="262626"/>
                <w:sz w:val="18"/>
                <w:szCs w:val="18"/>
              </w:rPr>
              <w:t>Present value of lease payments</w:t>
            </w:r>
          </w:p>
        </w:tc>
        <w:tc>
          <w:tcPr>
            <w:tcW w:w="0" w:type="auto"/>
            <w:gridSpan w:val="3"/>
            <w:shd w:val="clear" w:color="auto" w:fill="auto"/>
            <w:tcMar>
              <w:top w:w="0" w:type="dxa"/>
              <w:left w:w="20" w:type="dxa"/>
              <w:bottom w:w="0" w:type="dxa"/>
              <w:right w:w="20" w:type="dxa"/>
            </w:tcMar>
            <w:vAlign w:val="bottom"/>
          </w:tcPr>
          <w:p w14:paraId="5A1B36D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6DD" w14:textId="77777777" w:rsidR="00960BB8" w:rsidRDefault="00960BB8">
            <w:pPr>
              <w:rPr>
                <w:rFonts w:ascii="宋体"/>
              </w:rPr>
            </w:pPr>
          </w:p>
        </w:tc>
        <w:tc>
          <w:tcPr>
            <w:tcW w:w="0" w:type="auto"/>
            <w:shd w:val="clear" w:color="auto" w:fill="auto"/>
            <w:tcMar>
              <w:top w:w="40" w:type="dxa"/>
              <w:left w:w="20" w:type="dxa"/>
              <w:bottom w:w="40" w:type="dxa"/>
              <w:right w:w="0" w:type="dxa"/>
            </w:tcMar>
            <w:vAlign w:val="bottom"/>
          </w:tcPr>
          <w:p w14:paraId="5A1B36DE" w14:textId="77777777" w:rsidR="00960BB8" w:rsidRDefault="00C06650">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A1B36DF" w14:textId="77777777" w:rsidR="00960BB8" w:rsidRDefault="00C06650">
            <w:pPr>
              <w:jc w:val="right"/>
              <w:textAlignment w:val="bottom"/>
            </w:pPr>
            <w:r>
              <w:rPr>
                <w:rFonts w:ascii="Arial" w:eastAsia="宋体" w:hAnsi="Arial" w:cs="Arial"/>
                <w:b/>
                <w:bCs/>
                <w:color w:val="0068B5"/>
                <w:sz w:val="18"/>
                <w:szCs w:val="18"/>
              </w:rPr>
              <w:t>1,218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A1B36E0" w14:textId="77777777" w:rsidR="00960BB8" w:rsidRDefault="00960BB8">
            <w:pPr>
              <w:jc w:val="right"/>
              <w:rPr>
                <w:rFonts w:ascii="宋体"/>
              </w:rPr>
            </w:pPr>
          </w:p>
        </w:tc>
      </w:tr>
    </w:tbl>
    <w:p w14:paraId="5A1B36E2" w14:textId="77777777" w:rsidR="00960BB8" w:rsidRDefault="00C06650">
      <w:pPr>
        <w:spacing w:after="180"/>
      </w:pPr>
      <w:r>
        <w:rPr>
          <w:rFonts w:ascii="Arial" w:eastAsia="宋体" w:hAnsi="Arial" w:cs="Arial"/>
          <w:color w:val="0068B5"/>
          <w:sz w:val="28"/>
          <w:szCs w:val="28"/>
        </w:rPr>
        <w:t>Commitments</w:t>
      </w:r>
    </w:p>
    <w:p w14:paraId="5A1B36E3" w14:textId="77777777" w:rsidR="00960BB8" w:rsidRDefault="00C06650">
      <w:pPr>
        <w:spacing w:after="180"/>
      </w:pPr>
      <w:r>
        <w:rPr>
          <w:rFonts w:ascii="Arial" w:eastAsia="宋体" w:hAnsi="Arial" w:cs="Arial"/>
          <w:color w:val="262626"/>
          <w:sz w:val="18"/>
          <w:szCs w:val="18"/>
        </w:rPr>
        <w:t>Commitments for capital expenditures totaled $31.0 billion as of December 31, 2022, ($27.0 billion as of December 25, 2021) a majority of which will be due within the next 12 months. Other purchase obligations and commitments totaled approximately $10.7 bi</w:t>
      </w:r>
      <w:r>
        <w:rPr>
          <w:rFonts w:ascii="Arial" w:eastAsia="宋体" w:hAnsi="Arial" w:cs="Arial"/>
          <w:color w:val="262626"/>
          <w:sz w:val="18"/>
          <w:szCs w:val="18"/>
        </w:rPr>
        <w:t xml:space="preserve">llion as of December 31, 2022 (approximately $12.4 billion as of December 25, 2021). </w:t>
      </w:r>
    </w:p>
    <w:p w14:paraId="5A1B36E4" w14:textId="77777777" w:rsidR="00960BB8" w:rsidRDefault="00C06650">
      <w:pPr>
        <w:spacing w:after="180"/>
      </w:pPr>
      <w:r>
        <w:rPr>
          <w:rFonts w:ascii="Arial" w:eastAsia="宋体" w:hAnsi="Arial" w:cs="Arial"/>
          <w:color w:val="262626"/>
          <w:sz w:val="18"/>
          <w:szCs w:val="18"/>
        </w:rPr>
        <w:t>Other purchase obligations and commitments include payments due under supply agreements and various types of licenses and agreements to purchase goods or services. Contra</w:t>
      </w:r>
      <w:r>
        <w:rPr>
          <w:rFonts w:ascii="Arial" w:eastAsia="宋体" w:hAnsi="Arial" w:cs="Arial"/>
          <w:color w:val="262626"/>
          <w:sz w:val="18"/>
          <w:szCs w:val="18"/>
        </w:rPr>
        <w:t>ctual obligations for purchases of goods or services relate to agreements that are enforceable and legally binding and that specify all significant terms, including fixed or minimum quantities; fixed, minimum, or variable price provisions; and the approxim</w:t>
      </w:r>
      <w:r>
        <w:rPr>
          <w:rFonts w:ascii="Arial" w:eastAsia="宋体" w:hAnsi="Arial" w:cs="Arial"/>
          <w:color w:val="262626"/>
          <w:sz w:val="18"/>
          <w:szCs w:val="18"/>
        </w:rPr>
        <w:t xml:space="preserve">ate timing of the transaction. Other purchase obligations reflect the non-cancelable portion or the minimum cancellation fee under the agreement. </w:t>
      </w:r>
    </w:p>
    <w:p w14:paraId="5A1B36E5" w14:textId="77777777" w:rsidR="00960BB8" w:rsidRDefault="00C06650">
      <w:pPr>
        <w:spacing w:before="180" w:after="180"/>
      </w:pPr>
      <w:r>
        <w:rPr>
          <w:rFonts w:ascii="Arial" w:eastAsia="宋体" w:hAnsi="Arial" w:cs="Arial"/>
          <w:color w:val="262626"/>
          <w:sz w:val="18"/>
          <w:szCs w:val="18"/>
        </w:rPr>
        <w:t xml:space="preserve">Other commitments include a </w:t>
      </w:r>
      <w:r>
        <w:rPr>
          <w:rFonts w:ascii="Arial" w:eastAsia="宋体" w:hAnsi="Arial" w:cs="Arial"/>
          <w:color w:val="333333"/>
          <w:sz w:val="18"/>
          <w:szCs w:val="18"/>
        </w:rPr>
        <w:t>$5.4 billion</w:t>
      </w:r>
      <w:r>
        <w:rPr>
          <w:rFonts w:ascii="Arial" w:eastAsia="宋体" w:hAnsi="Arial" w:cs="Arial"/>
          <w:color w:val="262626"/>
          <w:sz w:val="18"/>
          <w:szCs w:val="18"/>
        </w:rPr>
        <w:t xml:space="preserve"> commitment associated with our pending acquisition of Tower and our </w:t>
      </w:r>
      <w:r>
        <w:rPr>
          <w:rFonts w:ascii="Arial" w:eastAsia="宋体" w:hAnsi="Arial" w:cs="Arial"/>
          <w:color w:val="262626"/>
          <w:sz w:val="18"/>
          <w:szCs w:val="18"/>
        </w:rPr>
        <w:t xml:space="preserve">unrecognized commitment to fund our respective share of the total construction costs of </w:t>
      </w:r>
      <w:r>
        <w:rPr>
          <w:rFonts w:ascii="Arial" w:eastAsia="宋体" w:hAnsi="Arial" w:cs="Arial"/>
          <w:color w:val="000000"/>
          <w:sz w:val="18"/>
          <w:szCs w:val="18"/>
        </w:rPr>
        <w:t>$29.0 billion</w:t>
      </w:r>
      <w:r>
        <w:rPr>
          <w:rFonts w:ascii="Arial" w:eastAsia="宋体" w:hAnsi="Arial" w:cs="Arial"/>
          <w:color w:val="262626"/>
          <w:sz w:val="18"/>
          <w:szCs w:val="18"/>
        </w:rPr>
        <w:t xml:space="preserve"> of Arizona Fab in connection with the definitive agreement entered into with Brookfield. Our remaining unfunded contribution was </w:t>
      </w:r>
      <w:r>
        <w:rPr>
          <w:rFonts w:ascii="Arial" w:eastAsia="宋体" w:hAnsi="Arial" w:cs="Arial"/>
          <w:color w:val="000000"/>
          <w:sz w:val="18"/>
          <w:szCs w:val="18"/>
        </w:rPr>
        <w:t>$13.5 billion</w:t>
      </w:r>
      <w:r>
        <w:rPr>
          <w:rFonts w:ascii="Arial" w:eastAsia="宋体" w:hAnsi="Arial" w:cs="Arial"/>
          <w:color w:val="262626"/>
          <w:sz w:val="18"/>
          <w:szCs w:val="18"/>
        </w:rPr>
        <w:t xml:space="preserve"> as of Decem</w:t>
      </w:r>
      <w:r>
        <w:rPr>
          <w:rFonts w:ascii="Arial" w:eastAsia="宋体" w:hAnsi="Arial" w:cs="Arial"/>
          <w:color w:val="262626"/>
          <w:sz w:val="18"/>
          <w:szCs w:val="18"/>
        </w:rPr>
        <w:t xml:space="preserve">ber 31, 2022. </w:t>
      </w:r>
    </w:p>
    <w:p w14:paraId="5A1B36E6" w14:textId="77777777" w:rsidR="00960BB8" w:rsidRDefault="00C06650">
      <w:pPr>
        <w:spacing w:after="180"/>
      </w:pPr>
      <w:r>
        <w:rPr>
          <w:rFonts w:ascii="Arial" w:eastAsia="宋体" w:hAnsi="Arial" w:cs="Arial"/>
          <w:color w:val="0068B5"/>
          <w:sz w:val="28"/>
          <w:szCs w:val="28"/>
        </w:rPr>
        <w:t>Legal Proceedings</w:t>
      </w:r>
    </w:p>
    <w:p w14:paraId="5A1B36E7" w14:textId="77777777" w:rsidR="00960BB8" w:rsidRDefault="00C06650">
      <w:pPr>
        <w:spacing w:after="180"/>
      </w:pPr>
      <w:r>
        <w:rPr>
          <w:rFonts w:ascii="Arial" w:eastAsia="宋体" w:hAnsi="Arial" w:cs="Arial"/>
          <w:color w:val="262626"/>
          <w:sz w:val="18"/>
          <w:szCs w:val="18"/>
        </w:rPr>
        <w:t>We are regularly party to various ongoing claims, litigation, and other proceedings, including those noted in this section. We have accrued a charge of $2.2 billion related to litigation involving VLSI, described below. Exc</w:t>
      </w:r>
      <w:r>
        <w:rPr>
          <w:rFonts w:ascii="Arial" w:eastAsia="宋体" w:hAnsi="Arial" w:cs="Arial"/>
          <w:color w:val="262626"/>
          <w:sz w:val="18"/>
          <w:szCs w:val="18"/>
        </w:rPr>
        <w:t>luding the VLSI claims described below, management at present believes that the ultimate outcome of these proceedings, individually and in the aggregate, will not materially harm our financial position, results of operations, cash flows, or overall trends;</w:t>
      </w:r>
      <w:r>
        <w:rPr>
          <w:rFonts w:ascii="Arial" w:eastAsia="宋体" w:hAnsi="Arial" w:cs="Arial"/>
          <w:color w:val="262626"/>
          <w:sz w:val="18"/>
          <w:szCs w:val="18"/>
        </w:rPr>
        <w:t xml:space="preserve"> however, legal proceedings and related government investigations are subject to inherent uncertainties, and unfavorable rulings, excessive verdicts, or other events could occur. Unfavorable resolutions could include substantial monetary damages, fines, or</w:t>
      </w:r>
      <w:r>
        <w:rPr>
          <w:rFonts w:ascii="Arial" w:eastAsia="宋体" w:hAnsi="Arial" w:cs="Arial"/>
          <w:color w:val="262626"/>
          <w:sz w:val="18"/>
          <w:szCs w:val="18"/>
        </w:rPr>
        <w:t xml:space="preserve"> penalties. Certain of these outstanding matters include speculative, substantial, or indeterminate monetary awards. In addition, in matters for which injunctive relief or other conduct remedies are sought, unfavorable resolutions could include an injuncti</w:t>
      </w:r>
      <w:r>
        <w:rPr>
          <w:rFonts w:ascii="Arial" w:eastAsia="宋体" w:hAnsi="Arial" w:cs="Arial"/>
          <w:color w:val="262626"/>
          <w:sz w:val="18"/>
          <w:szCs w:val="18"/>
        </w:rPr>
        <w:t xml:space="preserve">on or other order prohibiting us from selling one or more products at all or in particular ways, precluding particular business practices, or requiring other remedies. An unfavorable outcome may result in a material adverse impact on our business, results </w:t>
      </w:r>
      <w:r>
        <w:rPr>
          <w:rFonts w:ascii="Arial" w:eastAsia="宋体" w:hAnsi="Arial" w:cs="Arial"/>
          <w:color w:val="262626"/>
          <w:sz w:val="18"/>
          <w:szCs w:val="18"/>
        </w:rPr>
        <w:t xml:space="preserve">of operations, financial position, and overall trends. We might also conclude that settling one or more such matters is in the best interests of our stockholders, employees, and customers, and any such settlement could include substantial payments. Except </w:t>
      </w:r>
      <w:r>
        <w:rPr>
          <w:rFonts w:ascii="Arial" w:eastAsia="宋体" w:hAnsi="Arial" w:cs="Arial"/>
          <w:color w:val="262626"/>
          <w:sz w:val="18"/>
          <w:szCs w:val="18"/>
        </w:rPr>
        <w:t xml:space="preserve">as specifically described below, we have not concluded that settlement of any of the legal proceedings noted in this section is appropriate at this time. </w:t>
      </w:r>
    </w:p>
    <w:p w14:paraId="5A1B36E8" w14:textId="77777777" w:rsidR="00960BB8" w:rsidRDefault="00C06650">
      <w:pPr>
        <w:spacing w:after="120"/>
      </w:pPr>
      <w:r>
        <w:rPr>
          <w:rFonts w:ascii="Arial" w:eastAsia="宋体" w:hAnsi="Arial" w:cs="Arial"/>
          <w:color w:val="0068B5"/>
          <w:sz w:val="20"/>
          <w:szCs w:val="20"/>
        </w:rPr>
        <w:t>European Commission Competition Matter</w:t>
      </w:r>
    </w:p>
    <w:p w14:paraId="5A1B36E9" w14:textId="77777777" w:rsidR="00960BB8" w:rsidRDefault="00C06650">
      <w:pPr>
        <w:spacing w:after="180"/>
      </w:pPr>
      <w:r>
        <w:rPr>
          <w:rFonts w:ascii="Arial" w:eastAsia="宋体" w:hAnsi="Arial" w:cs="Arial"/>
          <w:color w:val="000000"/>
          <w:sz w:val="20"/>
          <w:szCs w:val="20"/>
        </w:rPr>
        <w:t>I</w:t>
      </w:r>
      <w:r>
        <w:rPr>
          <w:rFonts w:ascii="Arial" w:eastAsia="宋体" w:hAnsi="Arial" w:cs="Arial"/>
          <w:color w:val="000000"/>
          <w:sz w:val="18"/>
          <w:szCs w:val="18"/>
        </w:rPr>
        <w:t>n 2009, the European Commission (EC) found that Intel had use</w:t>
      </w:r>
      <w:r>
        <w:rPr>
          <w:rFonts w:ascii="Arial" w:eastAsia="宋体" w:hAnsi="Arial" w:cs="Arial"/>
          <w:color w:val="000000"/>
          <w:sz w:val="18"/>
          <w:szCs w:val="18"/>
        </w:rPr>
        <w:t>d unfair business practices to persuade customers to buy microprocessors in violation of Article 82 of the EC Treaty (later renumbered Article 102) and Article 54 of the European Economic Area Agreement. In general, the EC found that we violated Article 82</w:t>
      </w:r>
      <w:r>
        <w:rPr>
          <w:rFonts w:ascii="Arial" w:eastAsia="宋体" w:hAnsi="Arial" w:cs="Arial"/>
          <w:color w:val="000000"/>
          <w:sz w:val="18"/>
          <w:szCs w:val="18"/>
        </w:rPr>
        <w:t xml:space="preserve"> by offering alleged “conditional rebates and payments” that required customers to purchase all or most of their x86 microprocessors from us and by making alleged “payments to prevent sales of specific rival products.” The EC ordered us to end the alleged </w:t>
      </w:r>
      <w:r>
        <w:rPr>
          <w:rFonts w:ascii="Arial" w:eastAsia="宋体" w:hAnsi="Arial" w:cs="Arial"/>
          <w:color w:val="000000"/>
          <w:sz w:val="18"/>
          <w:szCs w:val="18"/>
        </w:rPr>
        <w:t xml:space="preserve">infringement referred to in its decision and imposed a €1.1 billion fine, which we paid in the third quarter of 2009.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36F6" w14:textId="77777777">
        <w:tc>
          <w:tcPr>
            <w:tcW w:w="50" w:type="pct"/>
            <w:shd w:val="clear" w:color="auto" w:fill="auto"/>
            <w:vAlign w:val="bottom"/>
          </w:tcPr>
          <w:p w14:paraId="5A1B36EA" w14:textId="77777777" w:rsidR="00960BB8" w:rsidRDefault="00960BB8">
            <w:pPr>
              <w:rPr>
                <w:rFonts w:ascii="宋体"/>
              </w:rPr>
            </w:pPr>
          </w:p>
        </w:tc>
        <w:tc>
          <w:tcPr>
            <w:tcW w:w="276" w:type="pct"/>
            <w:shd w:val="clear" w:color="auto" w:fill="auto"/>
            <w:vAlign w:val="bottom"/>
          </w:tcPr>
          <w:p w14:paraId="5A1B36EB" w14:textId="77777777" w:rsidR="00960BB8" w:rsidRDefault="00960BB8">
            <w:pPr>
              <w:rPr>
                <w:rFonts w:ascii="宋体"/>
              </w:rPr>
            </w:pPr>
          </w:p>
        </w:tc>
        <w:tc>
          <w:tcPr>
            <w:tcW w:w="5" w:type="pct"/>
            <w:shd w:val="clear" w:color="auto" w:fill="auto"/>
            <w:vAlign w:val="bottom"/>
          </w:tcPr>
          <w:p w14:paraId="5A1B36EC" w14:textId="77777777" w:rsidR="00960BB8" w:rsidRDefault="00960BB8">
            <w:pPr>
              <w:rPr>
                <w:rFonts w:ascii="宋体"/>
              </w:rPr>
            </w:pPr>
          </w:p>
        </w:tc>
        <w:tc>
          <w:tcPr>
            <w:tcW w:w="50" w:type="pct"/>
            <w:shd w:val="clear" w:color="auto" w:fill="auto"/>
            <w:vAlign w:val="bottom"/>
          </w:tcPr>
          <w:p w14:paraId="5A1B36ED" w14:textId="77777777" w:rsidR="00960BB8" w:rsidRDefault="00960BB8">
            <w:pPr>
              <w:rPr>
                <w:rFonts w:ascii="宋体"/>
              </w:rPr>
            </w:pPr>
          </w:p>
        </w:tc>
        <w:tc>
          <w:tcPr>
            <w:tcW w:w="940" w:type="pct"/>
            <w:shd w:val="clear" w:color="auto" w:fill="auto"/>
            <w:vAlign w:val="bottom"/>
          </w:tcPr>
          <w:p w14:paraId="5A1B36EE" w14:textId="77777777" w:rsidR="00960BB8" w:rsidRDefault="00960BB8">
            <w:pPr>
              <w:rPr>
                <w:rFonts w:ascii="宋体"/>
              </w:rPr>
            </w:pPr>
          </w:p>
        </w:tc>
        <w:tc>
          <w:tcPr>
            <w:tcW w:w="5" w:type="pct"/>
            <w:shd w:val="clear" w:color="auto" w:fill="auto"/>
            <w:vAlign w:val="bottom"/>
          </w:tcPr>
          <w:p w14:paraId="5A1B36EF" w14:textId="77777777" w:rsidR="00960BB8" w:rsidRDefault="00960BB8">
            <w:pPr>
              <w:rPr>
                <w:rFonts w:ascii="宋体"/>
              </w:rPr>
            </w:pPr>
          </w:p>
        </w:tc>
        <w:tc>
          <w:tcPr>
            <w:tcW w:w="50" w:type="pct"/>
            <w:shd w:val="clear" w:color="auto" w:fill="auto"/>
            <w:vAlign w:val="bottom"/>
          </w:tcPr>
          <w:p w14:paraId="5A1B36F0" w14:textId="77777777" w:rsidR="00960BB8" w:rsidRDefault="00960BB8">
            <w:pPr>
              <w:rPr>
                <w:rFonts w:ascii="宋体"/>
              </w:rPr>
            </w:pPr>
          </w:p>
        </w:tc>
        <w:tc>
          <w:tcPr>
            <w:tcW w:w="1837" w:type="pct"/>
            <w:shd w:val="clear" w:color="auto" w:fill="auto"/>
            <w:vAlign w:val="bottom"/>
          </w:tcPr>
          <w:p w14:paraId="5A1B36F1" w14:textId="77777777" w:rsidR="00960BB8" w:rsidRDefault="00960BB8">
            <w:pPr>
              <w:rPr>
                <w:rFonts w:ascii="宋体"/>
              </w:rPr>
            </w:pPr>
          </w:p>
        </w:tc>
        <w:tc>
          <w:tcPr>
            <w:tcW w:w="5" w:type="pct"/>
            <w:shd w:val="clear" w:color="auto" w:fill="auto"/>
            <w:vAlign w:val="bottom"/>
          </w:tcPr>
          <w:p w14:paraId="5A1B36F2" w14:textId="77777777" w:rsidR="00960BB8" w:rsidRDefault="00960BB8">
            <w:pPr>
              <w:rPr>
                <w:rFonts w:ascii="宋体"/>
              </w:rPr>
            </w:pPr>
          </w:p>
        </w:tc>
        <w:tc>
          <w:tcPr>
            <w:tcW w:w="50" w:type="pct"/>
            <w:shd w:val="clear" w:color="auto" w:fill="auto"/>
            <w:vAlign w:val="bottom"/>
          </w:tcPr>
          <w:p w14:paraId="5A1B36F3" w14:textId="77777777" w:rsidR="00960BB8" w:rsidRDefault="00960BB8">
            <w:pPr>
              <w:rPr>
                <w:rFonts w:ascii="宋体"/>
              </w:rPr>
            </w:pPr>
          </w:p>
        </w:tc>
        <w:tc>
          <w:tcPr>
            <w:tcW w:w="1724" w:type="pct"/>
            <w:shd w:val="clear" w:color="auto" w:fill="auto"/>
            <w:vAlign w:val="bottom"/>
          </w:tcPr>
          <w:p w14:paraId="5A1B36F4" w14:textId="77777777" w:rsidR="00960BB8" w:rsidRDefault="00960BB8">
            <w:pPr>
              <w:rPr>
                <w:rFonts w:ascii="宋体"/>
              </w:rPr>
            </w:pPr>
          </w:p>
        </w:tc>
        <w:tc>
          <w:tcPr>
            <w:tcW w:w="5" w:type="pct"/>
            <w:shd w:val="clear" w:color="auto" w:fill="auto"/>
            <w:vAlign w:val="bottom"/>
          </w:tcPr>
          <w:p w14:paraId="5A1B36F5" w14:textId="77777777" w:rsidR="00960BB8" w:rsidRDefault="00960BB8">
            <w:pPr>
              <w:rPr>
                <w:rFonts w:ascii="宋体"/>
              </w:rPr>
            </w:pPr>
          </w:p>
        </w:tc>
      </w:tr>
      <w:tr w:rsidR="00960BB8" w14:paraId="5A1B36FB"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6F7"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D2" wp14:editId="5A1B44D3">
                  <wp:extent cx="304800" cy="304800"/>
                  <wp:effectExtent l="0" t="0" r="0" b="0"/>
                  <wp:docPr id="162" name="图片 31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313"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6F8"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36F9"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6FA" w14:textId="77777777" w:rsidR="00960BB8" w:rsidRDefault="00C06650">
            <w:pPr>
              <w:jc w:val="right"/>
              <w:textAlignment w:val="center"/>
            </w:pPr>
            <w:r>
              <w:rPr>
                <w:rFonts w:ascii="Arial" w:eastAsia="宋体" w:hAnsi="Arial" w:cs="Arial"/>
                <w:color w:val="262626"/>
                <w:sz w:val="16"/>
                <w:szCs w:val="16"/>
              </w:rPr>
              <w:t>112</w:t>
            </w:r>
          </w:p>
        </w:tc>
      </w:tr>
    </w:tbl>
    <w:p w14:paraId="5A1B36FC" w14:textId="77777777" w:rsidR="00960BB8" w:rsidRDefault="00C06650">
      <w:r>
        <w:pict w14:anchorId="5A1B44D4">
          <v:rect id="_x0000_i1138" style="width:415.3pt;height:1.5pt" o:hralign="center" o:hrstd="t" o:hr="t" fillcolor="#a0a0a0" stroked="f"/>
        </w:pict>
      </w:r>
    </w:p>
    <w:p w14:paraId="5A1B36FD" w14:textId="77777777" w:rsidR="00960BB8" w:rsidRDefault="00C06650">
      <w:pPr>
        <w:jc w:val="right"/>
      </w:pPr>
      <w:hyperlink r:id="rId161" w:anchor="i8aaa7b4dbd2e419ca0f5c30af85a11aa_16" w:history="1">
        <w:r>
          <w:rPr>
            <w:rStyle w:val="a5"/>
            <w:rFonts w:ascii="Arial" w:eastAsia="宋体" w:hAnsi="Arial" w:cs="Arial"/>
            <w:b/>
            <w:bCs/>
            <w:sz w:val="16"/>
            <w:szCs w:val="16"/>
          </w:rPr>
          <w:t>Table of Contents</w:t>
        </w:r>
      </w:hyperlink>
    </w:p>
    <w:p w14:paraId="5A1B36FE" w14:textId="77777777" w:rsidR="00960BB8" w:rsidRDefault="00960BB8">
      <w:pPr>
        <w:jc w:val="right"/>
      </w:pPr>
    </w:p>
    <w:p w14:paraId="5A1B36FF" w14:textId="77777777" w:rsidR="00960BB8" w:rsidRDefault="00C06650">
      <w:pPr>
        <w:spacing w:after="180"/>
      </w:pPr>
      <w:r>
        <w:rPr>
          <w:rFonts w:ascii="Arial" w:eastAsia="宋体" w:hAnsi="Arial" w:cs="Arial"/>
          <w:color w:val="000000"/>
          <w:sz w:val="18"/>
          <w:szCs w:val="18"/>
        </w:rPr>
        <w:t>We appealed the EC decision to the European Court of Justice in 2014, after the Gen</w:t>
      </w:r>
      <w:r>
        <w:rPr>
          <w:rFonts w:ascii="Arial" w:eastAsia="宋体" w:hAnsi="Arial" w:cs="Arial"/>
          <w:color w:val="000000"/>
          <w:sz w:val="18"/>
          <w:szCs w:val="18"/>
        </w:rPr>
        <w:t>eral Court (then called the Court of First Instance) rejected our appeal of the EC decision in its entirety. In September 2017, the Court of Justice sent the case back to the General Court to examine whether the rebates at issue were capable of restricting</w:t>
      </w:r>
      <w:r>
        <w:rPr>
          <w:rFonts w:ascii="Arial" w:eastAsia="宋体" w:hAnsi="Arial" w:cs="Arial"/>
          <w:color w:val="000000"/>
          <w:sz w:val="18"/>
          <w:szCs w:val="18"/>
        </w:rPr>
        <w:t xml:space="preserve"> competition. </w:t>
      </w:r>
    </w:p>
    <w:p w14:paraId="5A1B3700" w14:textId="77777777" w:rsidR="00960BB8" w:rsidRDefault="00C06650">
      <w:r>
        <w:rPr>
          <w:rFonts w:ascii="Arial" w:eastAsia="宋体" w:hAnsi="Arial" w:cs="Arial"/>
          <w:color w:val="000000"/>
          <w:sz w:val="18"/>
          <w:szCs w:val="18"/>
        </w:rPr>
        <w:t xml:space="preserve">In January 2022, the General Court annulled the EC’s 2009 findings against us regarding rebates, as well as the fine imposed on Intel, which was returned to us in February 2022. In April 2022, the EC appealed the General Court’s decision to </w:t>
      </w:r>
      <w:r>
        <w:rPr>
          <w:rFonts w:ascii="Arial" w:eastAsia="宋体" w:hAnsi="Arial" w:cs="Arial"/>
          <w:color w:val="000000"/>
          <w:sz w:val="18"/>
          <w:szCs w:val="18"/>
        </w:rPr>
        <w:t>the Court of Justice. A hearing date on the appeal has not been scheduled. The General Court’s January 2022 decision did not annul the EC’s 2009 finding that Intel made payments to prevent sales of specific rival products, and in January 2023 the EC reopen</w:t>
      </w:r>
      <w:r>
        <w:rPr>
          <w:rFonts w:ascii="Arial" w:eastAsia="宋体" w:hAnsi="Arial" w:cs="Arial"/>
          <w:color w:val="000000"/>
          <w:sz w:val="18"/>
          <w:szCs w:val="18"/>
        </w:rPr>
        <w:t>ed its administrative procedure to determine a fine against Intel based on that alleged conduct. Given the procedural posture and the nature of this proceeding, we are unable to make a reasonable estimate of the potential loss or range of losses, if any, t</w:t>
      </w:r>
      <w:r>
        <w:rPr>
          <w:rFonts w:ascii="Arial" w:eastAsia="宋体" w:hAnsi="Arial" w:cs="Arial"/>
          <w:color w:val="000000"/>
          <w:sz w:val="18"/>
          <w:szCs w:val="18"/>
        </w:rPr>
        <w:t xml:space="preserve">hat might arise from this matter. </w:t>
      </w:r>
    </w:p>
    <w:p w14:paraId="5A1B3701" w14:textId="77777777" w:rsidR="00960BB8" w:rsidRDefault="00C06650">
      <w:pPr>
        <w:spacing w:after="180"/>
      </w:pPr>
      <w:r>
        <w:rPr>
          <w:rFonts w:ascii="Arial" w:eastAsia="宋体" w:hAnsi="Arial" w:cs="Arial"/>
          <w:color w:val="000000"/>
          <w:sz w:val="18"/>
          <w:szCs w:val="18"/>
        </w:rPr>
        <w:t>In a related matter, we filed applications with the General Court in April 2022 seeking an order requiring the EC to pay Intel approximately €593 million in default interest.</w:t>
      </w:r>
    </w:p>
    <w:p w14:paraId="5A1B3702" w14:textId="77777777" w:rsidR="00960BB8" w:rsidRDefault="00C06650">
      <w:pPr>
        <w:spacing w:after="120"/>
      </w:pPr>
      <w:r>
        <w:rPr>
          <w:rFonts w:ascii="Arial" w:eastAsia="宋体" w:hAnsi="Arial" w:cs="Arial"/>
          <w:color w:val="0068B5"/>
          <w:sz w:val="20"/>
          <w:szCs w:val="20"/>
        </w:rPr>
        <w:t>Litigation Related to Security Vulnerabilities</w:t>
      </w:r>
    </w:p>
    <w:p w14:paraId="5A1B3703" w14:textId="77777777" w:rsidR="00960BB8" w:rsidRDefault="00C06650">
      <w:pPr>
        <w:spacing w:after="180"/>
      </w:pPr>
      <w:r>
        <w:rPr>
          <w:rFonts w:ascii="Arial" w:eastAsia="宋体" w:hAnsi="Arial" w:cs="Arial"/>
          <w:color w:val="000000"/>
          <w:sz w:val="18"/>
          <w:szCs w:val="18"/>
        </w:rPr>
        <w:t>In June 2017, a Google research team notified Intel and other companies that it had identified security vulnerabilities, now commonly referred to as “Spectre” and “Meltdown,” that affect many types of microprocessors, including our products. As is standar</w:t>
      </w:r>
      <w:r>
        <w:rPr>
          <w:rFonts w:ascii="Arial" w:eastAsia="宋体" w:hAnsi="Arial" w:cs="Arial"/>
          <w:color w:val="000000"/>
          <w:sz w:val="18"/>
          <w:szCs w:val="18"/>
        </w:rPr>
        <w:t>d when findings like these are presented, we worked together with other companies in the industry to verify the research and develop and validate software and firmware updates for impacted technologies. In January 2018, information on the security vulnerab</w:t>
      </w:r>
      <w:r>
        <w:rPr>
          <w:rFonts w:ascii="Arial" w:eastAsia="宋体" w:hAnsi="Arial" w:cs="Arial"/>
          <w:color w:val="000000"/>
          <w:sz w:val="18"/>
          <w:szCs w:val="18"/>
        </w:rPr>
        <w:t>ilities was publicly reported, before software and firmware updates to address the vulnerabilities were made widely available.</w:t>
      </w:r>
    </w:p>
    <w:p w14:paraId="5A1B3704" w14:textId="77777777" w:rsidR="00960BB8" w:rsidRDefault="00C06650">
      <w:pPr>
        <w:spacing w:after="180"/>
      </w:pPr>
      <w:r>
        <w:rPr>
          <w:rFonts w:ascii="Arial" w:eastAsia="宋体" w:hAnsi="Arial" w:cs="Arial"/>
          <w:color w:val="000000"/>
          <w:sz w:val="18"/>
          <w:szCs w:val="18"/>
        </w:rPr>
        <w:t>Numerous lawsuits have been filed against Intel relating to Spectre, Meltdown, and other variants of the security vulnerabilities that have been identified since 2018. As of January 25, 2023, consumer class action lawsuits against Intel were pending in the</w:t>
      </w:r>
      <w:r>
        <w:rPr>
          <w:rFonts w:ascii="Arial" w:eastAsia="宋体" w:hAnsi="Arial" w:cs="Arial"/>
          <w:color w:val="000000"/>
          <w:sz w:val="18"/>
          <w:szCs w:val="18"/>
        </w:rPr>
        <w:t xml:space="preserve"> United States, Canada, and Argentina. The plaintiffs, who purport to represent various classes of purchasers of our products, generally claim to have been harmed by Intel's actions and/or omissions in connection with the security vulnerabilities and asser</w:t>
      </w:r>
      <w:r>
        <w:rPr>
          <w:rFonts w:ascii="Arial" w:eastAsia="宋体" w:hAnsi="Arial" w:cs="Arial"/>
          <w:color w:val="000000"/>
          <w:sz w:val="18"/>
          <w:szCs w:val="18"/>
        </w:rPr>
        <w:t>t a variety of common law and statutory claims seeking monetary damages and equitable relief. In the United States, class action suits filed in various jurisdictions were consolidated for all pretrial proceedings in the United States District Court for the</w:t>
      </w:r>
      <w:r>
        <w:rPr>
          <w:rFonts w:ascii="Arial" w:eastAsia="宋体" w:hAnsi="Arial" w:cs="Arial"/>
          <w:color w:val="000000"/>
          <w:sz w:val="18"/>
          <w:szCs w:val="18"/>
        </w:rPr>
        <w:t xml:space="preserve"> District of Oregon, which entered final judgment in favor of Intel in July 2022 based on plaintiffs’ failure to plead a viable claim. Plaintiffs have appealed that decision to the Ninth Circuit Court of Appeals. In Canada, an initial status conference has</w:t>
      </w:r>
      <w:r>
        <w:rPr>
          <w:rFonts w:ascii="Arial" w:eastAsia="宋体" w:hAnsi="Arial" w:cs="Arial"/>
          <w:color w:val="000000"/>
          <w:sz w:val="18"/>
          <w:szCs w:val="18"/>
        </w:rPr>
        <w:t xml:space="preserve"> not yet been scheduled in one case pending in the Superior Court of Justice of Ontario, and a stay of a second case pending in the Superior Court of Justice of Quebec is in effect. In Argentina, Intel Argentina was served with, and responded to, a class a</w:t>
      </w:r>
      <w:r>
        <w:rPr>
          <w:rFonts w:ascii="Arial" w:eastAsia="宋体" w:hAnsi="Arial" w:cs="Arial"/>
          <w:color w:val="000000"/>
          <w:sz w:val="18"/>
          <w:szCs w:val="18"/>
        </w:rPr>
        <w:t>ction complaint in June 2022. Additional lawsuits and claims may be asserted seeking monetary damages or other related relief. We dispute the pending claims described above and intend to defend those lawsuits vigorously. Given the procedural posture and th</w:t>
      </w:r>
      <w:r>
        <w:rPr>
          <w:rFonts w:ascii="Arial" w:eastAsia="宋体" w:hAnsi="Arial" w:cs="Arial"/>
          <w:color w:val="000000"/>
          <w:sz w:val="18"/>
          <w:szCs w:val="18"/>
        </w:rPr>
        <w:t>e nature of those cases, including that the pending proceedings are in the early stages, that alleged damages have not been specified, that uncertainty exists as to the likelihood of a class or classes being certified or the ultimate size of any class or c</w:t>
      </w:r>
      <w:r>
        <w:rPr>
          <w:rFonts w:ascii="Arial" w:eastAsia="宋体" w:hAnsi="Arial" w:cs="Arial"/>
          <w:color w:val="000000"/>
          <w:sz w:val="18"/>
          <w:szCs w:val="18"/>
        </w:rPr>
        <w:t xml:space="preserve">lasses if certified, and that there are significant factual and legal issues to be resolved, we are unable to make a reasonable estimate of the potential loss or range of losses, if any, that might arise from those matters. </w:t>
      </w:r>
    </w:p>
    <w:p w14:paraId="5A1B3705" w14:textId="77777777" w:rsidR="00960BB8" w:rsidRDefault="00C06650">
      <w:pPr>
        <w:spacing w:after="120"/>
      </w:pPr>
      <w:r>
        <w:rPr>
          <w:rFonts w:ascii="Arial" w:eastAsia="宋体" w:hAnsi="Arial" w:cs="Arial"/>
          <w:color w:val="0068B5"/>
          <w:sz w:val="20"/>
          <w:szCs w:val="20"/>
        </w:rPr>
        <w:t>Litigation Related to 7nm Produ</w:t>
      </w:r>
      <w:r>
        <w:rPr>
          <w:rFonts w:ascii="Arial" w:eastAsia="宋体" w:hAnsi="Arial" w:cs="Arial"/>
          <w:color w:val="0068B5"/>
          <w:sz w:val="20"/>
          <w:szCs w:val="20"/>
        </w:rPr>
        <w:t>ct Delay Announcement</w:t>
      </w:r>
    </w:p>
    <w:p w14:paraId="5A1B3706" w14:textId="77777777" w:rsidR="00960BB8" w:rsidRDefault="00C06650">
      <w:pPr>
        <w:spacing w:after="180"/>
      </w:pPr>
      <w:r>
        <w:rPr>
          <w:rFonts w:ascii="Arial" w:eastAsia="宋体" w:hAnsi="Arial" w:cs="Arial"/>
          <w:color w:val="000000"/>
          <w:sz w:val="18"/>
          <w:szCs w:val="18"/>
        </w:rPr>
        <w:t xml:space="preserve">Starting in July 2020, five securities class action lawsuits were filed in the U. S. District Court for the Northern District of California against Intel and certain current and former officers based on Intel’s July 2020 announcement </w:t>
      </w:r>
      <w:r>
        <w:rPr>
          <w:rFonts w:ascii="Arial" w:eastAsia="宋体" w:hAnsi="Arial" w:cs="Arial"/>
          <w:color w:val="000000"/>
          <w:sz w:val="18"/>
          <w:szCs w:val="18"/>
        </w:rPr>
        <w:t>of 7nm product delays. The plaintiffs, who purport to represent classes of acquirers of Intel stock between October 2019 and July 2020, generally allege that the defendants violated securities laws by making false or misleading statements about the timelin</w:t>
      </w:r>
      <w:r>
        <w:rPr>
          <w:rFonts w:ascii="Arial" w:eastAsia="宋体" w:hAnsi="Arial" w:cs="Arial"/>
          <w:color w:val="000000"/>
          <w:sz w:val="18"/>
          <w:szCs w:val="18"/>
        </w:rPr>
        <w:t>e for 7nm products in light of subsequently announced delays. In October 2020, the court consolidated the lawsuits, appointed lead plaintiffs, and in January 2021 the lead plaintiffs filed a consolidated complaint. Defendants moved to dismiss the consolida</w:t>
      </w:r>
      <w:r>
        <w:rPr>
          <w:rFonts w:ascii="Arial" w:eastAsia="宋体" w:hAnsi="Arial" w:cs="Arial"/>
          <w:color w:val="000000"/>
          <w:sz w:val="18"/>
          <w:szCs w:val="18"/>
        </w:rPr>
        <w:t>ted complaint in March 2021. We dispute the claims described above and intend to defend the lawsuits vigorously. Given the procedural posture and the nature of those cases, including that the pending proceedings are in the early stages, that alleged damage</w:t>
      </w:r>
      <w:r>
        <w:rPr>
          <w:rFonts w:ascii="Arial" w:eastAsia="宋体" w:hAnsi="Arial" w:cs="Arial"/>
          <w:color w:val="000000"/>
          <w:sz w:val="18"/>
          <w:szCs w:val="18"/>
        </w:rPr>
        <w:t>s have not been specified, that uncertainty exists as to the likelihood of a class or classes being certified or the ultimate size of any class or classes if certified, and that there are significant factual and legal issues to be resolved, we are unable t</w:t>
      </w:r>
      <w:r>
        <w:rPr>
          <w:rFonts w:ascii="Arial" w:eastAsia="宋体" w:hAnsi="Arial" w:cs="Arial"/>
          <w:color w:val="000000"/>
          <w:sz w:val="18"/>
          <w:szCs w:val="18"/>
        </w:rPr>
        <w:t>o make a reasonable estimate of the potential loss or range of losses, if any, that might arise from those matters. In July 2021, Intel introduced a new process node naming structure, and the 7nm process is now Intel 4.</w:t>
      </w:r>
    </w:p>
    <w:p w14:paraId="5A1B3707" w14:textId="77777777" w:rsidR="00960BB8" w:rsidRDefault="00C06650">
      <w:pPr>
        <w:spacing w:after="180"/>
      </w:pPr>
      <w:r>
        <w:rPr>
          <w:rFonts w:ascii="Arial" w:eastAsia="宋体" w:hAnsi="Arial" w:cs="Arial"/>
          <w:color w:val="0068B5"/>
        </w:rPr>
        <w:t xml:space="preserve">Litigation Related to Patent and IP </w:t>
      </w:r>
      <w:r>
        <w:rPr>
          <w:rFonts w:ascii="Arial" w:eastAsia="宋体" w:hAnsi="Arial" w:cs="Arial"/>
          <w:color w:val="0068B5"/>
        </w:rPr>
        <w:t>Claims</w:t>
      </w:r>
    </w:p>
    <w:p w14:paraId="5A1B3708" w14:textId="77777777" w:rsidR="00960BB8" w:rsidRDefault="00C06650">
      <w:pPr>
        <w:spacing w:after="180"/>
      </w:pPr>
      <w:r>
        <w:rPr>
          <w:rFonts w:ascii="Arial" w:eastAsia="宋体" w:hAnsi="Arial" w:cs="Arial"/>
          <w:color w:val="262626"/>
          <w:sz w:val="18"/>
          <w:szCs w:val="18"/>
        </w:rPr>
        <w:t>We have had IP infringement lawsuits filed against us, including but not limited to those discussed below. Most involve claims that certain of our products, services, and technologies infringe others' IP rights. Adverse results in these lawsuits may</w:t>
      </w:r>
      <w:r>
        <w:rPr>
          <w:rFonts w:ascii="Arial" w:eastAsia="宋体" w:hAnsi="Arial" w:cs="Arial"/>
          <w:color w:val="262626"/>
          <w:sz w:val="18"/>
          <w:szCs w:val="18"/>
        </w:rPr>
        <w:t xml:space="preserve"> include awards of substantial fines and penalties, costly royalty or licensing agreements, or orders preventing us from offering certain features, functionalities, products, or services. As a result, we may have to change our business practices, and devel</w:t>
      </w:r>
      <w:r>
        <w:rPr>
          <w:rFonts w:ascii="Arial" w:eastAsia="宋体" w:hAnsi="Arial" w:cs="Arial"/>
          <w:color w:val="262626"/>
          <w:sz w:val="18"/>
          <w:szCs w:val="18"/>
        </w:rPr>
        <w:t>op non-infringing products or technologies, which could result in a loss of revenue for us and otherwise harm our business. In addition, certain agreements with our customers require us to indemnify them against certain IP infringement claims, which can in</w:t>
      </w:r>
      <w:r>
        <w:rPr>
          <w:rFonts w:ascii="Arial" w:eastAsia="宋体" w:hAnsi="Arial" w:cs="Arial"/>
          <w:color w:val="262626"/>
          <w:sz w:val="18"/>
          <w:szCs w:val="18"/>
        </w:rPr>
        <w:t>crease our costs as a result of defending such claims, and may require that we pay significant damages, accept product returns, or supply our customers with non-infringing products if there were an adverse ruling in any such claims. In addition, our custom</w:t>
      </w:r>
      <w:r>
        <w:rPr>
          <w:rFonts w:ascii="Arial" w:eastAsia="宋体" w:hAnsi="Arial" w:cs="Arial"/>
          <w:color w:val="262626"/>
          <w:sz w:val="18"/>
          <w:szCs w:val="18"/>
        </w:rPr>
        <w:t>ers and partners may discontinue the use of our products, services, and technologies, as a result of injunctions or otherwise, which could result in loss of revenue and adversely affect our business.</w:t>
      </w:r>
    </w:p>
    <w:p w14:paraId="5A1B3709" w14:textId="77777777" w:rsidR="00960BB8" w:rsidRDefault="00C06650">
      <w:pPr>
        <w:spacing w:after="120"/>
      </w:pPr>
      <w:r>
        <w:rPr>
          <w:rFonts w:ascii="Arial" w:eastAsia="宋体" w:hAnsi="Arial" w:cs="Arial"/>
          <w:color w:val="0068B5"/>
          <w:sz w:val="20"/>
          <w:szCs w:val="20"/>
        </w:rPr>
        <w:t>VLSI Technology LLC v. Intel</w:t>
      </w:r>
      <w:r>
        <w:rPr>
          <w:rFonts w:ascii="Arial" w:eastAsia="宋体" w:hAnsi="Arial" w:cs="Arial"/>
          <w:b/>
          <w:bCs/>
          <w:i/>
          <w:iCs/>
          <w:color w:val="262626"/>
          <w:sz w:val="18"/>
          <w:szCs w:val="18"/>
        </w:rPr>
        <w:t xml:space="preserve"> </w:t>
      </w:r>
    </w:p>
    <w:p w14:paraId="5A1B370A" w14:textId="77777777" w:rsidR="00960BB8" w:rsidRDefault="00C06650">
      <w:r>
        <w:rPr>
          <w:rFonts w:ascii="Arial" w:eastAsia="宋体" w:hAnsi="Arial" w:cs="Arial"/>
          <w:color w:val="000000"/>
          <w:sz w:val="20"/>
          <w:szCs w:val="20"/>
        </w:rPr>
        <w:t>I</w:t>
      </w:r>
      <w:r>
        <w:rPr>
          <w:rFonts w:ascii="Arial" w:eastAsia="宋体" w:hAnsi="Arial" w:cs="Arial"/>
          <w:color w:val="000000"/>
          <w:sz w:val="18"/>
          <w:szCs w:val="18"/>
        </w:rPr>
        <w:t>n October 2017, VLSI Technology LLC (VLSI) filed a complaint against Intel in the U.S. District Court for the Northern District of California alleging that various Intel FPGA and processor products infringe eight patents that VLSI acquired from NXP Semicon</w:t>
      </w:r>
      <w:r>
        <w:rPr>
          <w:rFonts w:ascii="Arial" w:eastAsia="宋体" w:hAnsi="Arial" w:cs="Arial"/>
          <w:color w:val="000000"/>
          <w:sz w:val="18"/>
          <w:szCs w:val="18"/>
        </w:rPr>
        <w:t xml:space="preserve">ductors, N.V. (NXP). VLSI estimates its damages to be at least $5.5 billion, and seeks enhanced damages, future royalties, attorneys’ fees, costs, and interest.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3717" w14:textId="77777777">
        <w:tc>
          <w:tcPr>
            <w:tcW w:w="50" w:type="pct"/>
            <w:shd w:val="clear" w:color="auto" w:fill="auto"/>
            <w:vAlign w:val="bottom"/>
          </w:tcPr>
          <w:p w14:paraId="5A1B370B" w14:textId="77777777" w:rsidR="00960BB8" w:rsidRDefault="00960BB8">
            <w:pPr>
              <w:rPr>
                <w:rFonts w:ascii="宋体"/>
              </w:rPr>
            </w:pPr>
          </w:p>
        </w:tc>
        <w:tc>
          <w:tcPr>
            <w:tcW w:w="276" w:type="pct"/>
            <w:shd w:val="clear" w:color="auto" w:fill="auto"/>
            <w:vAlign w:val="bottom"/>
          </w:tcPr>
          <w:p w14:paraId="5A1B370C" w14:textId="77777777" w:rsidR="00960BB8" w:rsidRDefault="00960BB8">
            <w:pPr>
              <w:rPr>
                <w:rFonts w:ascii="宋体"/>
              </w:rPr>
            </w:pPr>
          </w:p>
        </w:tc>
        <w:tc>
          <w:tcPr>
            <w:tcW w:w="5" w:type="pct"/>
            <w:shd w:val="clear" w:color="auto" w:fill="auto"/>
            <w:vAlign w:val="bottom"/>
          </w:tcPr>
          <w:p w14:paraId="5A1B370D" w14:textId="77777777" w:rsidR="00960BB8" w:rsidRDefault="00960BB8">
            <w:pPr>
              <w:rPr>
                <w:rFonts w:ascii="宋体"/>
              </w:rPr>
            </w:pPr>
          </w:p>
        </w:tc>
        <w:tc>
          <w:tcPr>
            <w:tcW w:w="50" w:type="pct"/>
            <w:shd w:val="clear" w:color="auto" w:fill="auto"/>
            <w:vAlign w:val="bottom"/>
          </w:tcPr>
          <w:p w14:paraId="5A1B370E" w14:textId="77777777" w:rsidR="00960BB8" w:rsidRDefault="00960BB8">
            <w:pPr>
              <w:rPr>
                <w:rFonts w:ascii="宋体"/>
              </w:rPr>
            </w:pPr>
          </w:p>
        </w:tc>
        <w:tc>
          <w:tcPr>
            <w:tcW w:w="940" w:type="pct"/>
            <w:shd w:val="clear" w:color="auto" w:fill="auto"/>
            <w:vAlign w:val="bottom"/>
          </w:tcPr>
          <w:p w14:paraId="5A1B370F" w14:textId="77777777" w:rsidR="00960BB8" w:rsidRDefault="00960BB8">
            <w:pPr>
              <w:rPr>
                <w:rFonts w:ascii="宋体"/>
              </w:rPr>
            </w:pPr>
          </w:p>
        </w:tc>
        <w:tc>
          <w:tcPr>
            <w:tcW w:w="5" w:type="pct"/>
            <w:shd w:val="clear" w:color="auto" w:fill="auto"/>
            <w:vAlign w:val="bottom"/>
          </w:tcPr>
          <w:p w14:paraId="5A1B3710" w14:textId="77777777" w:rsidR="00960BB8" w:rsidRDefault="00960BB8">
            <w:pPr>
              <w:rPr>
                <w:rFonts w:ascii="宋体"/>
              </w:rPr>
            </w:pPr>
          </w:p>
        </w:tc>
        <w:tc>
          <w:tcPr>
            <w:tcW w:w="50" w:type="pct"/>
            <w:shd w:val="clear" w:color="auto" w:fill="auto"/>
            <w:vAlign w:val="bottom"/>
          </w:tcPr>
          <w:p w14:paraId="5A1B3711" w14:textId="77777777" w:rsidR="00960BB8" w:rsidRDefault="00960BB8">
            <w:pPr>
              <w:rPr>
                <w:rFonts w:ascii="宋体"/>
              </w:rPr>
            </w:pPr>
          </w:p>
        </w:tc>
        <w:tc>
          <w:tcPr>
            <w:tcW w:w="1837" w:type="pct"/>
            <w:shd w:val="clear" w:color="auto" w:fill="auto"/>
            <w:vAlign w:val="bottom"/>
          </w:tcPr>
          <w:p w14:paraId="5A1B3712" w14:textId="77777777" w:rsidR="00960BB8" w:rsidRDefault="00960BB8">
            <w:pPr>
              <w:rPr>
                <w:rFonts w:ascii="宋体"/>
              </w:rPr>
            </w:pPr>
          </w:p>
        </w:tc>
        <w:tc>
          <w:tcPr>
            <w:tcW w:w="5" w:type="pct"/>
            <w:shd w:val="clear" w:color="auto" w:fill="auto"/>
            <w:vAlign w:val="bottom"/>
          </w:tcPr>
          <w:p w14:paraId="5A1B3713" w14:textId="77777777" w:rsidR="00960BB8" w:rsidRDefault="00960BB8">
            <w:pPr>
              <w:rPr>
                <w:rFonts w:ascii="宋体"/>
              </w:rPr>
            </w:pPr>
          </w:p>
        </w:tc>
        <w:tc>
          <w:tcPr>
            <w:tcW w:w="50" w:type="pct"/>
            <w:shd w:val="clear" w:color="auto" w:fill="auto"/>
            <w:vAlign w:val="bottom"/>
          </w:tcPr>
          <w:p w14:paraId="5A1B3714" w14:textId="77777777" w:rsidR="00960BB8" w:rsidRDefault="00960BB8">
            <w:pPr>
              <w:rPr>
                <w:rFonts w:ascii="宋体"/>
              </w:rPr>
            </w:pPr>
          </w:p>
        </w:tc>
        <w:tc>
          <w:tcPr>
            <w:tcW w:w="1724" w:type="pct"/>
            <w:shd w:val="clear" w:color="auto" w:fill="auto"/>
            <w:vAlign w:val="bottom"/>
          </w:tcPr>
          <w:p w14:paraId="5A1B3715" w14:textId="77777777" w:rsidR="00960BB8" w:rsidRDefault="00960BB8">
            <w:pPr>
              <w:rPr>
                <w:rFonts w:ascii="宋体"/>
              </w:rPr>
            </w:pPr>
          </w:p>
        </w:tc>
        <w:tc>
          <w:tcPr>
            <w:tcW w:w="5" w:type="pct"/>
            <w:shd w:val="clear" w:color="auto" w:fill="auto"/>
            <w:vAlign w:val="bottom"/>
          </w:tcPr>
          <w:p w14:paraId="5A1B3716" w14:textId="77777777" w:rsidR="00960BB8" w:rsidRDefault="00960BB8">
            <w:pPr>
              <w:rPr>
                <w:rFonts w:ascii="宋体"/>
              </w:rPr>
            </w:pPr>
          </w:p>
        </w:tc>
      </w:tr>
      <w:tr w:rsidR="00960BB8" w14:paraId="5A1B371C"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718"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D5" wp14:editId="5A1B44D6">
                  <wp:extent cx="304800" cy="304800"/>
                  <wp:effectExtent l="0" t="0" r="0" b="0"/>
                  <wp:docPr id="170" name="图片 31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31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719"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371A"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71B" w14:textId="77777777" w:rsidR="00960BB8" w:rsidRDefault="00C06650">
            <w:pPr>
              <w:jc w:val="right"/>
              <w:textAlignment w:val="center"/>
            </w:pPr>
            <w:r>
              <w:rPr>
                <w:rFonts w:ascii="Arial" w:eastAsia="宋体" w:hAnsi="Arial" w:cs="Arial"/>
                <w:color w:val="262626"/>
                <w:sz w:val="16"/>
                <w:szCs w:val="16"/>
              </w:rPr>
              <w:t>113</w:t>
            </w:r>
          </w:p>
        </w:tc>
      </w:tr>
    </w:tbl>
    <w:p w14:paraId="5A1B371D" w14:textId="77777777" w:rsidR="00960BB8" w:rsidRDefault="00C06650">
      <w:r>
        <w:pict w14:anchorId="5A1B44D7">
          <v:rect id="_x0000_i1139" style="width:415.3pt;height:1.5pt" o:hralign="center" o:hrstd="t" o:hr="t" fillcolor="#a0a0a0" stroked="f"/>
        </w:pict>
      </w:r>
    </w:p>
    <w:p w14:paraId="5A1B371E" w14:textId="77777777" w:rsidR="00960BB8" w:rsidRDefault="00C06650">
      <w:pPr>
        <w:jc w:val="right"/>
      </w:pPr>
      <w:hyperlink r:id="rId162" w:anchor="i8aaa7b4dbd2e419ca0f5c30af85a11aa_16" w:history="1">
        <w:r>
          <w:rPr>
            <w:rStyle w:val="a5"/>
            <w:rFonts w:ascii="Arial" w:eastAsia="宋体" w:hAnsi="Arial" w:cs="Arial"/>
            <w:b/>
            <w:bCs/>
            <w:sz w:val="16"/>
            <w:szCs w:val="16"/>
          </w:rPr>
          <w:t>Table of Contents</w:t>
        </w:r>
      </w:hyperlink>
    </w:p>
    <w:p w14:paraId="5A1B371F" w14:textId="77777777" w:rsidR="00960BB8" w:rsidRDefault="00960BB8">
      <w:pPr>
        <w:jc w:val="right"/>
      </w:pPr>
    </w:p>
    <w:p w14:paraId="5A1B3720" w14:textId="77777777" w:rsidR="00960BB8" w:rsidRDefault="00C06650">
      <w:r>
        <w:rPr>
          <w:rFonts w:ascii="Arial" w:eastAsia="宋体" w:hAnsi="Arial" w:cs="Arial"/>
          <w:color w:val="000000"/>
          <w:sz w:val="18"/>
          <w:szCs w:val="18"/>
        </w:rPr>
        <w:t>Intel filed Inter Partes Review (IPR) petitions with the Patent Trial and Appeal Bo</w:t>
      </w:r>
      <w:r>
        <w:rPr>
          <w:rFonts w:ascii="Arial" w:eastAsia="宋体" w:hAnsi="Arial" w:cs="Arial"/>
          <w:color w:val="000000"/>
          <w:sz w:val="18"/>
          <w:szCs w:val="18"/>
        </w:rPr>
        <w:t>ard (PTAB) in 2018 challenging patentability, and the parties stipulated to stay the district court action pending the PTAB's review. The PTAB subsequently found all claims of two patents, and some claims of two other patents, to be unpatentable. The distr</w:t>
      </w:r>
      <w:r>
        <w:rPr>
          <w:rFonts w:ascii="Arial" w:eastAsia="宋体" w:hAnsi="Arial" w:cs="Arial"/>
          <w:color w:val="000000"/>
          <w:sz w:val="18"/>
          <w:szCs w:val="18"/>
        </w:rPr>
        <w:t>ict court lifted the stay in September 2021 and scheduled trial for March 2024 on the claims that were found patentable by the PTAB.</w:t>
      </w:r>
    </w:p>
    <w:p w14:paraId="5A1B3721" w14:textId="77777777" w:rsidR="00960BB8" w:rsidRDefault="00960BB8"/>
    <w:p w14:paraId="5A1B3722" w14:textId="77777777" w:rsidR="00960BB8" w:rsidRDefault="00C06650">
      <w:pPr>
        <w:spacing w:after="180"/>
      </w:pPr>
      <w:r>
        <w:rPr>
          <w:rFonts w:ascii="Arial" w:eastAsia="宋体" w:hAnsi="Arial" w:cs="Arial"/>
          <w:color w:val="000000"/>
          <w:sz w:val="18"/>
          <w:szCs w:val="18"/>
        </w:rPr>
        <w:t>In June 2018, VLSI filed a second suit against Intel, in U.S. District Court for the District of Delaware, seeking $4.4 bi</w:t>
      </w:r>
      <w:r>
        <w:rPr>
          <w:rFonts w:ascii="Arial" w:eastAsia="宋体" w:hAnsi="Arial" w:cs="Arial"/>
          <w:color w:val="000000"/>
          <w:sz w:val="18"/>
          <w:szCs w:val="18"/>
        </w:rPr>
        <w:t xml:space="preserve">llion in damages for the alleged infringement by various Intel processors of five additional patents that VLSI acquired from NXP. </w:t>
      </w:r>
      <w:r>
        <w:rPr>
          <w:rFonts w:ascii="Arial" w:eastAsia="宋体" w:hAnsi="Arial" w:cs="Arial"/>
          <w:color w:val="262626"/>
          <w:sz w:val="18"/>
          <w:szCs w:val="18"/>
        </w:rPr>
        <w:t xml:space="preserve">In December 2022, VLSI stipulated to dismiss with prejudice its claims, for which Intel paid nothing. The court dismissed the </w:t>
      </w:r>
      <w:r>
        <w:rPr>
          <w:rFonts w:ascii="Arial" w:eastAsia="宋体" w:hAnsi="Arial" w:cs="Arial"/>
          <w:color w:val="262626"/>
          <w:sz w:val="18"/>
          <w:szCs w:val="18"/>
        </w:rPr>
        <w:t>case in January 2023.</w:t>
      </w:r>
    </w:p>
    <w:p w14:paraId="5A1B3723" w14:textId="77777777" w:rsidR="00960BB8" w:rsidRDefault="00C06650">
      <w:r>
        <w:rPr>
          <w:rFonts w:ascii="Arial" w:eastAsia="宋体" w:hAnsi="Arial" w:cs="Arial"/>
          <w:color w:val="000000"/>
          <w:sz w:val="18"/>
          <w:szCs w:val="18"/>
        </w:rPr>
        <w:t>In April 2019, VLSI filed three infringement suits against Intel in the Western District of Texas (WDTX) accusing various Intel processors of infringement of eight additional patents it had acquired from NXP. The first Texas case went</w:t>
      </w:r>
      <w:r>
        <w:rPr>
          <w:rFonts w:ascii="Arial" w:eastAsia="宋体" w:hAnsi="Arial" w:cs="Arial"/>
          <w:color w:val="000000"/>
          <w:sz w:val="18"/>
          <w:szCs w:val="18"/>
        </w:rPr>
        <w:t xml:space="preserve"> to trial in February 2021, and the jury awarded VLSI $1.5 billion for literal infringement of one patent and $675 million for infringement of another patent under the doctrine of equivalents. In April 2022, the court entered final judgment, awarding VLSI </w:t>
      </w:r>
      <w:r>
        <w:rPr>
          <w:rFonts w:ascii="Arial" w:eastAsia="宋体" w:hAnsi="Arial" w:cs="Arial"/>
          <w:color w:val="000000"/>
          <w:sz w:val="18"/>
          <w:szCs w:val="18"/>
        </w:rPr>
        <w:t>$2.2 billion in damages and approximately $162.3 million in pre-judgment and post-judgment interest. Intel has appealed the judgment to the Federal Circuit Court of Appeals, including its claim to have a license from Fortress Investment Group’s acquisition</w:t>
      </w:r>
      <w:r>
        <w:rPr>
          <w:rFonts w:ascii="Arial" w:eastAsia="宋体" w:hAnsi="Arial" w:cs="Arial"/>
          <w:color w:val="000000"/>
          <w:sz w:val="18"/>
          <w:szCs w:val="18"/>
        </w:rPr>
        <w:t xml:space="preserve"> of Finjan. In December 2021 and January 2022 the PTAB instituted IPRs on the claims found to have been infringed in the first Texas case, but it has not yet issued a final written decision on either petition.</w:t>
      </w:r>
    </w:p>
    <w:p w14:paraId="5A1B3724" w14:textId="77777777" w:rsidR="00960BB8" w:rsidRDefault="00C06650">
      <w:pPr>
        <w:spacing w:after="180"/>
      </w:pPr>
      <w:r>
        <w:rPr>
          <w:rFonts w:ascii="Arial" w:eastAsia="宋体" w:hAnsi="Arial" w:cs="Arial"/>
          <w:color w:val="000000"/>
          <w:sz w:val="18"/>
          <w:szCs w:val="18"/>
        </w:rPr>
        <w:t>The second Texas case went to trial in April 2</w:t>
      </w:r>
      <w:r>
        <w:rPr>
          <w:rFonts w:ascii="Arial" w:eastAsia="宋体" w:hAnsi="Arial" w:cs="Arial"/>
          <w:color w:val="000000"/>
          <w:sz w:val="18"/>
          <w:szCs w:val="18"/>
        </w:rPr>
        <w:t>021, and the jury found that Intel does not infringe the asserted patents. VLSI had sought approximately $3.0 billion for alleged infringement, plus enhanced damages for willful infringement. The court has not yet entered final judgment following the secon</w:t>
      </w:r>
      <w:r>
        <w:rPr>
          <w:rFonts w:ascii="Arial" w:eastAsia="宋体" w:hAnsi="Arial" w:cs="Arial"/>
          <w:color w:val="000000"/>
          <w:sz w:val="18"/>
          <w:szCs w:val="18"/>
        </w:rPr>
        <w:t>d trial in Texas. The third Texas case went to trial in November 2022, with VLSI asserting one remaining patent. The jury found the patent valid and infringed, and awarded VLSI nearly $949 million in damages, plus a running royalty. The court has not yet e</w:t>
      </w:r>
      <w:r>
        <w:rPr>
          <w:rFonts w:ascii="Arial" w:eastAsia="宋体" w:hAnsi="Arial" w:cs="Arial"/>
          <w:color w:val="000000"/>
          <w:sz w:val="18"/>
          <w:szCs w:val="18"/>
        </w:rPr>
        <w:t>ntered final judgment following the third trial in Texas. We intend to file motions for a judgment notwithstanding the verdict, and further appeals are possible.</w:t>
      </w:r>
    </w:p>
    <w:p w14:paraId="5A1B3725" w14:textId="77777777" w:rsidR="00960BB8" w:rsidRDefault="00C06650">
      <w:pPr>
        <w:spacing w:after="180"/>
      </w:pPr>
      <w:r>
        <w:rPr>
          <w:rFonts w:ascii="Arial" w:eastAsia="宋体" w:hAnsi="Arial" w:cs="Arial"/>
          <w:color w:val="000000"/>
          <w:sz w:val="18"/>
          <w:szCs w:val="18"/>
        </w:rPr>
        <w:t>In May 2019, VLSI filed a case in Shenzhen Intermediate People’s Court against Intel, Intel (C</w:t>
      </w:r>
      <w:r>
        <w:rPr>
          <w:rFonts w:ascii="Arial" w:eastAsia="宋体" w:hAnsi="Arial" w:cs="Arial"/>
          <w:color w:val="000000"/>
          <w:sz w:val="18"/>
          <w:szCs w:val="18"/>
        </w:rPr>
        <w:t>hina) Co., Ltd., Intel Trading (Shanghai) Co., Ltd., and Intel Products (Chengdu) Co., Ltd. VLSI asserts one patent against certain Intel Core processors. Defendants filed an invalidation petition in October 2019 with the China National Intellectual Proper</w:t>
      </w:r>
      <w:r>
        <w:rPr>
          <w:rFonts w:ascii="Arial" w:eastAsia="宋体" w:hAnsi="Arial" w:cs="Arial"/>
          <w:color w:val="000000"/>
          <w:sz w:val="18"/>
          <w:szCs w:val="18"/>
        </w:rPr>
        <w:t>ty Administration (CNIPA) which held a hearing in September 2021. CNIPA has not yet issued a decision. The Shenzhen court held trial proceedings in July 2021 and indicated that further trial proceedings were needed but would be stayed pending the outcome o</w:t>
      </w:r>
      <w:r>
        <w:rPr>
          <w:rFonts w:ascii="Arial" w:eastAsia="宋体" w:hAnsi="Arial" w:cs="Arial"/>
          <w:color w:val="000000"/>
          <w:sz w:val="18"/>
          <w:szCs w:val="18"/>
        </w:rPr>
        <w:t xml:space="preserve">f defendants’ invalidity challenge at the CNIPA. VLSI seeks an injunction as well as RMB 1.3 million in costs and expenses, but no damages. </w:t>
      </w:r>
    </w:p>
    <w:p w14:paraId="5A1B3726" w14:textId="77777777" w:rsidR="00960BB8" w:rsidRDefault="00C06650">
      <w:pPr>
        <w:spacing w:after="180"/>
      </w:pPr>
      <w:r>
        <w:rPr>
          <w:rFonts w:ascii="Arial" w:eastAsia="宋体" w:hAnsi="Arial" w:cs="Arial"/>
          <w:color w:val="000000"/>
          <w:sz w:val="18"/>
          <w:szCs w:val="18"/>
        </w:rPr>
        <w:t>In May 2019, VLSI filed a case in Shanghai Intellectual Property Court against Intel (China) Co., Ltd., Intel Tradi</w:t>
      </w:r>
      <w:r>
        <w:rPr>
          <w:rFonts w:ascii="Arial" w:eastAsia="宋体" w:hAnsi="Arial" w:cs="Arial"/>
          <w:color w:val="000000"/>
          <w:sz w:val="18"/>
          <w:szCs w:val="18"/>
        </w:rPr>
        <w:t xml:space="preserve">ng (Shanghai) Co., Ltd., and Intel Products (Chengdu) Co., Ltd. asserting one patent against certain Intel core processors. The court held a trial hearing in December 2020, where VLSI requested expenses (RMB 300 thousand) and an injunction. The court held </w:t>
      </w:r>
      <w:r>
        <w:rPr>
          <w:rFonts w:ascii="Arial" w:eastAsia="宋体" w:hAnsi="Arial" w:cs="Arial"/>
          <w:color w:val="000000"/>
          <w:sz w:val="18"/>
          <w:szCs w:val="18"/>
        </w:rPr>
        <w:t>a second trial hearing in May 2022, but has yet to issue its final decision. In December 2022, Intel filed a second petition to invalidate the patent at issue.</w:t>
      </w:r>
    </w:p>
    <w:p w14:paraId="5A1B3727" w14:textId="77777777" w:rsidR="00960BB8" w:rsidRDefault="00C06650">
      <w:pPr>
        <w:spacing w:after="180"/>
      </w:pPr>
      <w:r>
        <w:rPr>
          <w:rFonts w:ascii="Arial" w:eastAsia="宋体" w:hAnsi="Arial" w:cs="Arial"/>
          <w:color w:val="000000"/>
          <w:sz w:val="18"/>
          <w:szCs w:val="18"/>
        </w:rPr>
        <w:t>In November 2019, Intel, along with Apple Inc., filed a complaint against Fortress Investment Gr</w:t>
      </w:r>
      <w:r>
        <w:rPr>
          <w:rFonts w:ascii="Arial" w:eastAsia="宋体" w:hAnsi="Arial" w:cs="Arial"/>
          <w:color w:val="000000"/>
          <w:sz w:val="18"/>
          <w:szCs w:val="18"/>
        </w:rPr>
        <w:t>oup LLC, Fortress Credit Co. LLC, Uniloc 2017 LLC, Uniloc USA, Inc., Uniloc Luxembourg S.A.R.L., VLSI, INVT SPE LLC, Inventergy Global, Inc., DSS Technology Management, Inc., IXI IP, LLC, and Seven Networks, LLC. Plaintiffs allege violations of Section 1 o</w:t>
      </w:r>
      <w:r>
        <w:rPr>
          <w:rFonts w:ascii="Arial" w:eastAsia="宋体" w:hAnsi="Arial" w:cs="Arial"/>
          <w:color w:val="000000"/>
          <w:sz w:val="18"/>
          <w:szCs w:val="18"/>
        </w:rPr>
        <w:t xml:space="preserve">f the Sherman Act by certain defendants, Section 7 of the Clayton Act by certain defendants, and California Business and Professions Code section 17200 by all defendants based on defendants’ unlawful aggregation of patents. In September 2021, the district </w:t>
      </w:r>
      <w:r>
        <w:rPr>
          <w:rFonts w:ascii="Arial" w:eastAsia="宋体" w:hAnsi="Arial" w:cs="Arial"/>
          <w:color w:val="000000"/>
          <w:sz w:val="18"/>
          <w:szCs w:val="18"/>
        </w:rPr>
        <w:t>court dismissed the claims with prejudice, entering judgment in favor of defendants. In November 2022 the Ninth Circuit affirmed the district court’s decision.</w:t>
      </w:r>
    </w:p>
    <w:p w14:paraId="5A1B3728" w14:textId="77777777" w:rsidR="00960BB8" w:rsidRDefault="00C06650">
      <w:pPr>
        <w:spacing w:after="180"/>
      </w:pPr>
      <w:r>
        <w:rPr>
          <w:rFonts w:ascii="Arial" w:eastAsia="宋体" w:hAnsi="Arial" w:cs="Arial"/>
          <w:color w:val="262626"/>
          <w:sz w:val="18"/>
          <w:szCs w:val="18"/>
        </w:rPr>
        <w:t>Intel has accrued a charge of approximately $2.2 billion related to the VLSI litigation. While w</w:t>
      </w:r>
      <w:r>
        <w:rPr>
          <w:rFonts w:ascii="Arial" w:eastAsia="宋体" w:hAnsi="Arial" w:cs="Arial"/>
          <w:color w:val="262626"/>
          <w:sz w:val="18"/>
          <w:szCs w:val="18"/>
        </w:rPr>
        <w:t>e dispute VLSI’s claims and intend to vigorously defend against them, we are unable to make a reasonable estimate of losses in excess of recorded amounts given recent developments and future proceedings.</w:t>
      </w:r>
    </w:p>
    <w:p w14:paraId="5A1B3729" w14:textId="77777777" w:rsidR="00960BB8" w:rsidRDefault="00C06650">
      <w:pPr>
        <w:spacing w:after="180"/>
      </w:pPr>
      <w:r>
        <w:rPr>
          <w:rFonts w:ascii="Arial" w:eastAsia="宋体" w:hAnsi="Arial" w:cs="Arial"/>
          <w:color w:val="0068B5"/>
        </w:rPr>
        <w:t>Business Interruption Insurance Proceeds</w:t>
      </w:r>
    </w:p>
    <w:p w14:paraId="5A1B372A" w14:textId="77777777" w:rsidR="00960BB8" w:rsidRDefault="00C06650">
      <w:pPr>
        <w:spacing w:after="180"/>
      </w:pPr>
      <w:r>
        <w:rPr>
          <w:rFonts w:ascii="Arial" w:eastAsia="宋体" w:hAnsi="Arial" w:cs="Arial"/>
          <w:color w:val="262626"/>
          <w:sz w:val="18"/>
          <w:szCs w:val="18"/>
        </w:rPr>
        <w:t>We received $484 million of insurance proceeds, primarily in the fourth quarter of 2022, to compensate for business interruption and property damage from a temporary electrical breakdown that occurred at one of our facilities in 2020. We recognized these r</w:t>
      </w:r>
      <w:r>
        <w:rPr>
          <w:rFonts w:ascii="Arial" w:eastAsia="宋体" w:hAnsi="Arial" w:cs="Arial"/>
          <w:color w:val="262626"/>
          <w:sz w:val="18"/>
          <w:szCs w:val="18"/>
        </w:rPr>
        <w:t xml:space="preserve">eceipts as a reduction of </w:t>
      </w:r>
      <w:r>
        <w:rPr>
          <w:rFonts w:ascii="Arial" w:eastAsia="宋体" w:hAnsi="Arial" w:cs="Arial"/>
          <w:i/>
          <w:iCs/>
          <w:color w:val="262626"/>
          <w:sz w:val="18"/>
          <w:szCs w:val="18"/>
        </w:rPr>
        <w:t>Cost of sales</w:t>
      </w:r>
      <w:r>
        <w:rPr>
          <w:rFonts w:ascii="Arial" w:eastAsia="宋体" w:hAnsi="Arial" w:cs="Arial"/>
          <w:color w:val="262626"/>
          <w:sz w:val="18"/>
          <w:szCs w:val="18"/>
        </w:rPr>
        <w:t xml:space="preserve">. </w:t>
      </w:r>
    </w:p>
    <w:p w14:paraId="5A1B372B" w14:textId="77777777" w:rsidR="00960BB8" w:rsidRDefault="00960BB8">
      <w:pPr>
        <w:spacing w:after="180"/>
      </w:pPr>
    </w:p>
    <w:p w14:paraId="5A1B372C" w14:textId="77777777" w:rsidR="00960BB8" w:rsidRDefault="00960BB8"/>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960BB8" w14:paraId="5A1B3739" w14:textId="77777777">
        <w:tc>
          <w:tcPr>
            <w:tcW w:w="50" w:type="pct"/>
            <w:shd w:val="clear" w:color="auto" w:fill="auto"/>
            <w:vAlign w:val="bottom"/>
          </w:tcPr>
          <w:p w14:paraId="5A1B372D" w14:textId="77777777" w:rsidR="00960BB8" w:rsidRDefault="00960BB8">
            <w:pPr>
              <w:rPr>
                <w:rFonts w:ascii="宋体"/>
              </w:rPr>
            </w:pPr>
          </w:p>
        </w:tc>
        <w:tc>
          <w:tcPr>
            <w:tcW w:w="276" w:type="pct"/>
            <w:shd w:val="clear" w:color="auto" w:fill="auto"/>
            <w:vAlign w:val="bottom"/>
          </w:tcPr>
          <w:p w14:paraId="5A1B372E" w14:textId="77777777" w:rsidR="00960BB8" w:rsidRDefault="00960BB8">
            <w:pPr>
              <w:rPr>
                <w:rFonts w:ascii="宋体"/>
              </w:rPr>
            </w:pPr>
          </w:p>
        </w:tc>
        <w:tc>
          <w:tcPr>
            <w:tcW w:w="5" w:type="pct"/>
            <w:shd w:val="clear" w:color="auto" w:fill="auto"/>
            <w:vAlign w:val="bottom"/>
          </w:tcPr>
          <w:p w14:paraId="5A1B372F" w14:textId="77777777" w:rsidR="00960BB8" w:rsidRDefault="00960BB8">
            <w:pPr>
              <w:rPr>
                <w:rFonts w:ascii="宋体"/>
              </w:rPr>
            </w:pPr>
          </w:p>
        </w:tc>
        <w:tc>
          <w:tcPr>
            <w:tcW w:w="50" w:type="pct"/>
            <w:shd w:val="clear" w:color="auto" w:fill="auto"/>
            <w:vAlign w:val="bottom"/>
          </w:tcPr>
          <w:p w14:paraId="5A1B3730" w14:textId="77777777" w:rsidR="00960BB8" w:rsidRDefault="00960BB8">
            <w:pPr>
              <w:rPr>
                <w:rFonts w:ascii="宋体"/>
              </w:rPr>
            </w:pPr>
          </w:p>
        </w:tc>
        <w:tc>
          <w:tcPr>
            <w:tcW w:w="940" w:type="pct"/>
            <w:shd w:val="clear" w:color="auto" w:fill="auto"/>
            <w:vAlign w:val="bottom"/>
          </w:tcPr>
          <w:p w14:paraId="5A1B3731" w14:textId="77777777" w:rsidR="00960BB8" w:rsidRDefault="00960BB8">
            <w:pPr>
              <w:rPr>
                <w:rFonts w:ascii="宋体"/>
              </w:rPr>
            </w:pPr>
          </w:p>
        </w:tc>
        <w:tc>
          <w:tcPr>
            <w:tcW w:w="5" w:type="pct"/>
            <w:shd w:val="clear" w:color="auto" w:fill="auto"/>
            <w:vAlign w:val="bottom"/>
          </w:tcPr>
          <w:p w14:paraId="5A1B3732" w14:textId="77777777" w:rsidR="00960BB8" w:rsidRDefault="00960BB8">
            <w:pPr>
              <w:rPr>
                <w:rFonts w:ascii="宋体"/>
              </w:rPr>
            </w:pPr>
          </w:p>
        </w:tc>
        <w:tc>
          <w:tcPr>
            <w:tcW w:w="50" w:type="pct"/>
            <w:shd w:val="clear" w:color="auto" w:fill="auto"/>
            <w:vAlign w:val="bottom"/>
          </w:tcPr>
          <w:p w14:paraId="5A1B3733" w14:textId="77777777" w:rsidR="00960BB8" w:rsidRDefault="00960BB8">
            <w:pPr>
              <w:rPr>
                <w:rFonts w:ascii="宋体"/>
              </w:rPr>
            </w:pPr>
          </w:p>
        </w:tc>
        <w:tc>
          <w:tcPr>
            <w:tcW w:w="1837" w:type="pct"/>
            <w:shd w:val="clear" w:color="auto" w:fill="auto"/>
            <w:vAlign w:val="bottom"/>
          </w:tcPr>
          <w:p w14:paraId="5A1B3734" w14:textId="77777777" w:rsidR="00960BB8" w:rsidRDefault="00960BB8">
            <w:pPr>
              <w:rPr>
                <w:rFonts w:ascii="宋体"/>
              </w:rPr>
            </w:pPr>
          </w:p>
        </w:tc>
        <w:tc>
          <w:tcPr>
            <w:tcW w:w="5" w:type="pct"/>
            <w:shd w:val="clear" w:color="auto" w:fill="auto"/>
            <w:vAlign w:val="bottom"/>
          </w:tcPr>
          <w:p w14:paraId="5A1B3735" w14:textId="77777777" w:rsidR="00960BB8" w:rsidRDefault="00960BB8">
            <w:pPr>
              <w:rPr>
                <w:rFonts w:ascii="宋体"/>
              </w:rPr>
            </w:pPr>
          </w:p>
        </w:tc>
        <w:tc>
          <w:tcPr>
            <w:tcW w:w="50" w:type="pct"/>
            <w:shd w:val="clear" w:color="auto" w:fill="auto"/>
            <w:vAlign w:val="bottom"/>
          </w:tcPr>
          <w:p w14:paraId="5A1B3736" w14:textId="77777777" w:rsidR="00960BB8" w:rsidRDefault="00960BB8">
            <w:pPr>
              <w:rPr>
                <w:rFonts w:ascii="宋体"/>
              </w:rPr>
            </w:pPr>
          </w:p>
        </w:tc>
        <w:tc>
          <w:tcPr>
            <w:tcW w:w="1724" w:type="pct"/>
            <w:shd w:val="clear" w:color="auto" w:fill="auto"/>
            <w:vAlign w:val="bottom"/>
          </w:tcPr>
          <w:p w14:paraId="5A1B3737" w14:textId="77777777" w:rsidR="00960BB8" w:rsidRDefault="00960BB8">
            <w:pPr>
              <w:rPr>
                <w:rFonts w:ascii="宋体"/>
              </w:rPr>
            </w:pPr>
          </w:p>
        </w:tc>
        <w:tc>
          <w:tcPr>
            <w:tcW w:w="5" w:type="pct"/>
            <w:shd w:val="clear" w:color="auto" w:fill="auto"/>
            <w:vAlign w:val="bottom"/>
          </w:tcPr>
          <w:p w14:paraId="5A1B3738" w14:textId="77777777" w:rsidR="00960BB8" w:rsidRDefault="00960BB8">
            <w:pPr>
              <w:rPr>
                <w:rFonts w:ascii="宋体"/>
              </w:rPr>
            </w:pPr>
          </w:p>
        </w:tc>
      </w:tr>
      <w:tr w:rsidR="00960BB8" w14:paraId="5A1B373E"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73A" w14:textId="77777777" w:rsidR="00960BB8" w:rsidRDefault="00C06650">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D8" wp14:editId="5A1B44D9">
                  <wp:extent cx="304800" cy="304800"/>
                  <wp:effectExtent l="0" t="0" r="0" b="0"/>
                  <wp:docPr id="165" name="图片 31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31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73B" w14:textId="77777777" w:rsidR="00960BB8" w:rsidRDefault="00C06650">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5A1B373C" w14:textId="77777777" w:rsidR="00960BB8" w:rsidRDefault="00C06650">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73D" w14:textId="77777777" w:rsidR="00960BB8" w:rsidRDefault="00C06650">
            <w:pPr>
              <w:jc w:val="right"/>
              <w:textAlignment w:val="center"/>
            </w:pPr>
            <w:r>
              <w:rPr>
                <w:rFonts w:ascii="Arial" w:eastAsia="宋体" w:hAnsi="Arial" w:cs="Arial"/>
                <w:color w:val="262626"/>
                <w:sz w:val="16"/>
                <w:szCs w:val="16"/>
              </w:rPr>
              <w:t>114</w:t>
            </w:r>
          </w:p>
        </w:tc>
      </w:tr>
    </w:tbl>
    <w:p w14:paraId="5A1B373F" w14:textId="77777777" w:rsidR="00960BB8" w:rsidRDefault="00C06650">
      <w:r>
        <w:pict w14:anchorId="5A1B44DA">
          <v:rect id="_x0000_i1140" style="width:415.3pt;height:1.5pt" o:hralign="center" o:hrstd="t" o:hr="t" fillcolor="#a0a0a0" stroked="f"/>
        </w:pict>
      </w:r>
    </w:p>
    <w:p w14:paraId="5A1B3740" w14:textId="77777777" w:rsidR="00960BB8" w:rsidRDefault="00C06650">
      <w:pPr>
        <w:jc w:val="right"/>
      </w:pPr>
      <w:hyperlink r:id="rId163" w:anchor="i8aaa7b4dbd2e419ca0f5c30af85a11aa_16" w:history="1">
        <w:r>
          <w:rPr>
            <w:rStyle w:val="a5"/>
            <w:rFonts w:ascii="Arial" w:eastAsia="宋体" w:hAnsi="Arial" w:cs="Arial"/>
            <w:b/>
            <w:bCs/>
            <w:sz w:val="16"/>
            <w:szCs w:val="16"/>
          </w:rPr>
          <w:t>Table of Contents</w:t>
        </w:r>
      </w:hyperlink>
    </w:p>
    <w:p w14:paraId="5A1B3741"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3748" w14:textId="77777777">
        <w:tc>
          <w:tcPr>
            <w:tcW w:w="50" w:type="pct"/>
            <w:shd w:val="clear" w:color="auto" w:fill="auto"/>
            <w:vAlign w:val="bottom"/>
          </w:tcPr>
          <w:p w14:paraId="5A1B3742" w14:textId="77777777" w:rsidR="00960BB8" w:rsidRDefault="00960BB8">
            <w:pPr>
              <w:rPr>
                <w:rFonts w:ascii="宋体"/>
              </w:rPr>
            </w:pPr>
          </w:p>
        </w:tc>
        <w:tc>
          <w:tcPr>
            <w:tcW w:w="4870" w:type="pct"/>
            <w:shd w:val="clear" w:color="auto" w:fill="auto"/>
            <w:vAlign w:val="bottom"/>
          </w:tcPr>
          <w:p w14:paraId="5A1B3743" w14:textId="77777777" w:rsidR="00960BB8" w:rsidRDefault="00960BB8">
            <w:pPr>
              <w:rPr>
                <w:rFonts w:ascii="宋体"/>
              </w:rPr>
            </w:pPr>
          </w:p>
        </w:tc>
        <w:tc>
          <w:tcPr>
            <w:tcW w:w="5" w:type="pct"/>
            <w:shd w:val="clear" w:color="auto" w:fill="auto"/>
            <w:vAlign w:val="bottom"/>
          </w:tcPr>
          <w:p w14:paraId="5A1B3744" w14:textId="77777777" w:rsidR="00960BB8" w:rsidRDefault="00960BB8">
            <w:pPr>
              <w:rPr>
                <w:rFonts w:ascii="宋体"/>
              </w:rPr>
            </w:pPr>
          </w:p>
        </w:tc>
        <w:tc>
          <w:tcPr>
            <w:tcW w:w="5" w:type="pct"/>
            <w:shd w:val="clear" w:color="auto" w:fill="auto"/>
            <w:vAlign w:val="bottom"/>
          </w:tcPr>
          <w:p w14:paraId="5A1B3745" w14:textId="77777777" w:rsidR="00960BB8" w:rsidRDefault="00960BB8">
            <w:pPr>
              <w:rPr>
                <w:rFonts w:ascii="宋体"/>
              </w:rPr>
            </w:pPr>
          </w:p>
        </w:tc>
        <w:tc>
          <w:tcPr>
            <w:tcW w:w="64" w:type="pct"/>
            <w:shd w:val="clear" w:color="auto" w:fill="auto"/>
            <w:vAlign w:val="bottom"/>
          </w:tcPr>
          <w:p w14:paraId="5A1B3746" w14:textId="77777777" w:rsidR="00960BB8" w:rsidRDefault="00960BB8">
            <w:pPr>
              <w:rPr>
                <w:rFonts w:ascii="宋体"/>
              </w:rPr>
            </w:pPr>
          </w:p>
        </w:tc>
        <w:tc>
          <w:tcPr>
            <w:tcW w:w="5" w:type="pct"/>
            <w:shd w:val="clear" w:color="auto" w:fill="auto"/>
            <w:vAlign w:val="bottom"/>
          </w:tcPr>
          <w:p w14:paraId="5A1B3747" w14:textId="77777777" w:rsidR="00960BB8" w:rsidRDefault="00960BB8">
            <w:pPr>
              <w:rPr>
                <w:rFonts w:ascii="宋体"/>
              </w:rPr>
            </w:pPr>
          </w:p>
        </w:tc>
      </w:tr>
      <w:tr w:rsidR="00960BB8" w14:paraId="5A1B374B" w14:textId="77777777">
        <w:tc>
          <w:tcPr>
            <w:tcW w:w="0" w:type="auto"/>
            <w:gridSpan w:val="3"/>
            <w:shd w:val="clear" w:color="auto" w:fill="004A86"/>
            <w:tcMar>
              <w:top w:w="40" w:type="dxa"/>
              <w:left w:w="20" w:type="dxa"/>
              <w:bottom w:w="40" w:type="dxa"/>
              <w:right w:w="20" w:type="dxa"/>
            </w:tcMar>
            <w:vAlign w:val="center"/>
          </w:tcPr>
          <w:p w14:paraId="5A1B3749" w14:textId="77777777" w:rsidR="00960BB8" w:rsidRDefault="00C06650">
            <w:pPr>
              <w:textAlignment w:val="center"/>
            </w:pPr>
            <w:r>
              <w:rPr>
                <w:rFonts w:ascii="Arial" w:eastAsia="宋体" w:hAnsi="Arial" w:cs="Arial"/>
                <w:color w:val="FFFFFF"/>
                <w:sz w:val="36"/>
                <w:szCs w:val="36"/>
              </w:rPr>
              <w:t>Key Terms</w:t>
            </w:r>
          </w:p>
        </w:tc>
        <w:tc>
          <w:tcPr>
            <w:tcW w:w="0" w:type="auto"/>
            <w:gridSpan w:val="3"/>
            <w:shd w:val="clear" w:color="auto" w:fill="auto"/>
            <w:tcMar>
              <w:top w:w="0" w:type="dxa"/>
              <w:left w:w="20" w:type="dxa"/>
              <w:bottom w:w="0" w:type="dxa"/>
              <w:right w:w="20" w:type="dxa"/>
            </w:tcMar>
            <w:vAlign w:val="bottom"/>
          </w:tcPr>
          <w:p w14:paraId="5A1B374A" w14:textId="77777777" w:rsidR="00960BB8" w:rsidRDefault="00960BB8">
            <w:pPr>
              <w:rPr>
                <w:rFonts w:ascii="宋体"/>
              </w:rPr>
            </w:pPr>
          </w:p>
        </w:tc>
      </w:tr>
      <w:tr w:rsidR="00960BB8" w14:paraId="5A1B374E" w14:textId="77777777">
        <w:trPr>
          <w:trHeight w:val="160"/>
        </w:trPr>
        <w:tc>
          <w:tcPr>
            <w:tcW w:w="0" w:type="auto"/>
            <w:gridSpan w:val="3"/>
            <w:shd w:val="clear" w:color="auto" w:fill="auto"/>
            <w:tcMar>
              <w:top w:w="0" w:type="dxa"/>
              <w:left w:w="20" w:type="dxa"/>
              <w:bottom w:w="0" w:type="dxa"/>
              <w:right w:w="20" w:type="dxa"/>
            </w:tcMar>
            <w:vAlign w:val="bottom"/>
          </w:tcPr>
          <w:p w14:paraId="5A1B374C"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374D" w14:textId="77777777" w:rsidR="00960BB8" w:rsidRDefault="00960BB8">
            <w:pPr>
              <w:rPr>
                <w:rFonts w:ascii="宋体"/>
              </w:rPr>
            </w:pPr>
          </w:p>
        </w:tc>
      </w:tr>
    </w:tbl>
    <w:p w14:paraId="5A1B374F" w14:textId="77777777" w:rsidR="00960BB8" w:rsidRDefault="00C06650">
      <w:pPr>
        <w:spacing w:after="60"/>
      </w:pPr>
      <w:r>
        <w:rPr>
          <w:rFonts w:ascii="Arial" w:eastAsia="宋体" w:hAnsi="Arial" w:cs="Arial"/>
          <w:color w:val="262626"/>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top w:w="15" w:type="dxa"/>
          <w:left w:w="15" w:type="dxa"/>
          <w:bottom w:w="15" w:type="dxa"/>
          <w:right w:w="15" w:type="dxa"/>
        </w:tblCellMar>
        <w:tblLook w:val="04A0" w:firstRow="1" w:lastRow="0" w:firstColumn="1" w:lastColumn="0" w:noHBand="0" w:noVBand="1"/>
      </w:tblPr>
      <w:tblGrid>
        <w:gridCol w:w="56"/>
        <w:gridCol w:w="1182"/>
        <w:gridCol w:w="38"/>
        <w:gridCol w:w="36"/>
        <w:gridCol w:w="36"/>
        <w:gridCol w:w="36"/>
        <w:gridCol w:w="52"/>
        <w:gridCol w:w="6860"/>
        <w:gridCol w:w="40"/>
      </w:tblGrid>
      <w:tr w:rsidR="00960BB8" w14:paraId="5A1B3759" w14:textId="77777777">
        <w:tc>
          <w:tcPr>
            <w:tcW w:w="50" w:type="pct"/>
            <w:shd w:val="clear" w:color="auto" w:fill="auto"/>
            <w:vAlign w:val="bottom"/>
          </w:tcPr>
          <w:p w14:paraId="5A1B3750" w14:textId="77777777" w:rsidR="00960BB8" w:rsidRDefault="00960BB8">
            <w:pPr>
              <w:rPr>
                <w:rFonts w:ascii="宋体"/>
              </w:rPr>
            </w:pPr>
          </w:p>
        </w:tc>
        <w:tc>
          <w:tcPr>
            <w:tcW w:w="730" w:type="pct"/>
            <w:shd w:val="clear" w:color="auto" w:fill="auto"/>
            <w:vAlign w:val="bottom"/>
          </w:tcPr>
          <w:p w14:paraId="5A1B3751" w14:textId="77777777" w:rsidR="00960BB8" w:rsidRDefault="00960BB8">
            <w:pPr>
              <w:rPr>
                <w:rFonts w:ascii="宋体"/>
              </w:rPr>
            </w:pPr>
          </w:p>
        </w:tc>
        <w:tc>
          <w:tcPr>
            <w:tcW w:w="5" w:type="pct"/>
            <w:shd w:val="clear" w:color="auto" w:fill="auto"/>
            <w:vAlign w:val="bottom"/>
          </w:tcPr>
          <w:p w14:paraId="5A1B3752" w14:textId="77777777" w:rsidR="00960BB8" w:rsidRDefault="00960BB8">
            <w:pPr>
              <w:rPr>
                <w:rFonts w:ascii="宋体"/>
              </w:rPr>
            </w:pPr>
          </w:p>
        </w:tc>
        <w:tc>
          <w:tcPr>
            <w:tcW w:w="5" w:type="pct"/>
            <w:shd w:val="clear" w:color="auto" w:fill="auto"/>
            <w:vAlign w:val="bottom"/>
          </w:tcPr>
          <w:p w14:paraId="5A1B3753" w14:textId="77777777" w:rsidR="00960BB8" w:rsidRDefault="00960BB8">
            <w:pPr>
              <w:rPr>
                <w:rFonts w:ascii="宋体"/>
              </w:rPr>
            </w:pPr>
          </w:p>
        </w:tc>
        <w:tc>
          <w:tcPr>
            <w:tcW w:w="17" w:type="pct"/>
            <w:shd w:val="clear" w:color="auto" w:fill="auto"/>
            <w:vAlign w:val="bottom"/>
          </w:tcPr>
          <w:p w14:paraId="5A1B3754" w14:textId="77777777" w:rsidR="00960BB8" w:rsidRDefault="00960BB8">
            <w:pPr>
              <w:rPr>
                <w:rFonts w:ascii="宋体"/>
              </w:rPr>
            </w:pPr>
          </w:p>
        </w:tc>
        <w:tc>
          <w:tcPr>
            <w:tcW w:w="5" w:type="pct"/>
            <w:shd w:val="clear" w:color="auto" w:fill="auto"/>
            <w:vAlign w:val="bottom"/>
          </w:tcPr>
          <w:p w14:paraId="5A1B3755" w14:textId="77777777" w:rsidR="00960BB8" w:rsidRDefault="00960BB8">
            <w:pPr>
              <w:rPr>
                <w:rFonts w:ascii="宋体"/>
              </w:rPr>
            </w:pPr>
          </w:p>
        </w:tc>
        <w:tc>
          <w:tcPr>
            <w:tcW w:w="50" w:type="pct"/>
            <w:shd w:val="clear" w:color="auto" w:fill="auto"/>
            <w:vAlign w:val="bottom"/>
          </w:tcPr>
          <w:p w14:paraId="5A1B3756" w14:textId="77777777" w:rsidR="00960BB8" w:rsidRDefault="00960BB8">
            <w:pPr>
              <w:rPr>
                <w:rFonts w:ascii="宋体"/>
              </w:rPr>
            </w:pPr>
          </w:p>
        </w:tc>
        <w:tc>
          <w:tcPr>
            <w:tcW w:w="4132" w:type="pct"/>
            <w:shd w:val="clear" w:color="auto" w:fill="auto"/>
            <w:vAlign w:val="bottom"/>
          </w:tcPr>
          <w:p w14:paraId="5A1B3757" w14:textId="77777777" w:rsidR="00960BB8" w:rsidRDefault="00960BB8">
            <w:pPr>
              <w:rPr>
                <w:rFonts w:ascii="宋体"/>
              </w:rPr>
            </w:pPr>
          </w:p>
        </w:tc>
        <w:tc>
          <w:tcPr>
            <w:tcW w:w="5" w:type="pct"/>
            <w:shd w:val="clear" w:color="auto" w:fill="auto"/>
            <w:vAlign w:val="bottom"/>
          </w:tcPr>
          <w:p w14:paraId="5A1B3758" w14:textId="77777777" w:rsidR="00960BB8" w:rsidRDefault="00960BB8">
            <w:pPr>
              <w:rPr>
                <w:rFonts w:ascii="宋体"/>
              </w:rPr>
            </w:pPr>
          </w:p>
        </w:tc>
      </w:tr>
      <w:tr w:rsidR="00960BB8" w14:paraId="5A1B375D" w14:textId="77777777">
        <w:tc>
          <w:tcPr>
            <w:tcW w:w="0" w:type="auto"/>
            <w:gridSpan w:val="3"/>
            <w:shd w:val="clear" w:color="auto" w:fill="auto"/>
            <w:tcMar>
              <w:top w:w="40" w:type="dxa"/>
              <w:left w:w="20" w:type="dxa"/>
              <w:bottom w:w="40" w:type="dxa"/>
              <w:right w:w="20" w:type="dxa"/>
            </w:tcMar>
          </w:tcPr>
          <w:p w14:paraId="5A1B375A" w14:textId="77777777" w:rsidR="00960BB8" w:rsidRDefault="00C06650">
            <w:pPr>
              <w:jc w:val="center"/>
              <w:textAlignment w:val="top"/>
            </w:pPr>
            <w:r>
              <w:rPr>
                <w:rFonts w:ascii="Arial" w:eastAsia="宋体" w:hAnsi="Arial" w:cs="Arial"/>
                <w:color w:val="0068B5"/>
                <w:sz w:val="18"/>
                <w:szCs w:val="18"/>
              </w:rPr>
              <w:t>Term</w:t>
            </w:r>
          </w:p>
        </w:tc>
        <w:tc>
          <w:tcPr>
            <w:tcW w:w="0" w:type="auto"/>
            <w:gridSpan w:val="3"/>
            <w:shd w:val="clear" w:color="auto" w:fill="auto"/>
            <w:tcMar>
              <w:top w:w="0" w:type="dxa"/>
              <w:left w:w="20" w:type="dxa"/>
              <w:bottom w:w="0" w:type="dxa"/>
              <w:right w:w="20" w:type="dxa"/>
            </w:tcMar>
            <w:vAlign w:val="bottom"/>
          </w:tcPr>
          <w:p w14:paraId="5A1B375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5C" w14:textId="77777777" w:rsidR="00960BB8" w:rsidRDefault="00C06650">
            <w:pPr>
              <w:jc w:val="center"/>
              <w:textAlignment w:val="top"/>
            </w:pPr>
            <w:r>
              <w:rPr>
                <w:rFonts w:ascii="Arial" w:eastAsia="宋体" w:hAnsi="Arial" w:cs="Arial"/>
                <w:color w:val="0068B5"/>
                <w:sz w:val="18"/>
                <w:szCs w:val="18"/>
              </w:rPr>
              <w:t>Definition</w:t>
            </w:r>
          </w:p>
        </w:tc>
      </w:tr>
      <w:tr w:rsidR="00960BB8" w14:paraId="5A1B3761" w14:textId="77777777">
        <w:trPr>
          <w:hidden/>
        </w:trPr>
        <w:tc>
          <w:tcPr>
            <w:tcW w:w="0" w:type="auto"/>
            <w:gridSpan w:val="3"/>
            <w:shd w:val="clear" w:color="auto" w:fill="auto"/>
            <w:vAlign w:val="bottom"/>
          </w:tcPr>
          <w:p w14:paraId="5A1B375E" w14:textId="77777777" w:rsidR="00960BB8" w:rsidRDefault="00960BB8">
            <w:pPr>
              <w:rPr>
                <w:rFonts w:ascii="宋体"/>
                <w:vanish/>
              </w:rPr>
            </w:pPr>
          </w:p>
        </w:tc>
        <w:tc>
          <w:tcPr>
            <w:tcW w:w="0" w:type="auto"/>
            <w:gridSpan w:val="3"/>
            <w:shd w:val="clear" w:color="auto" w:fill="auto"/>
            <w:vAlign w:val="bottom"/>
          </w:tcPr>
          <w:p w14:paraId="5A1B375F" w14:textId="77777777" w:rsidR="00960BB8" w:rsidRDefault="00960BB8">
            <w:pPr>
              <w:rPr>
                <w:rFonts w:ascii="宋体"/>
                <w:vanish/>
              </w:rPr>
            </w:pPr>
          </w:p>
        </w:tc>
        <w:tc>
          <w:tcPr>
            <w:tcW w:w="0" w:type="auto"/>
            <w:gridSpan w:val="3"/>
            <w:shd w:val="clear" w:color="auto" w:fill="auto"/>
            <w:vAlign w:val="bottom"/>
          </w:tcPr>
          <w:p w14:paraId="5A1B3760" w14:textId="77777777" w:rsidR="00960BB8" w:rsidRDefault="00960BB8">
            <w:pPr>
              <w:rPr>
                <w:rFonts w:ascii="宋体"/>
                <w:vanish/>
              </w:rPr>
            </w:pPr>
          </w:p>
        </w:tc>
      </w:tr>
      <w:tr w:rsidR="00960BB8" w14:paraId="5A1B3765" w14:textId="77777777">
        <w:tc>
          <w:tcPr>
            <w:tcW w:w="0" w:type="auto"/>
            <w:gridSpan w:val="3"/>
            <w:tcBorders>
              <w:top w:val="single" w:sz="8" w:space="0" w:color="0068B5"/>
            </w:tcBorders>
            <w:shd w:val="clear" w:color="auto" w:fill="auto"/>
            <w:tcMar>
              <w:top w:w="40" w:type="dxa"/>
              <w:left w:w="20" w:type="dxa"/>
              <w:bottom w:w="40" w:type="dxa"/>
              <w:right w:w="20" w:type="dxa"/>
            </w:tcMar>
          </w:tcPr>
          <w:p w14:paraId="5A1B3762" w14:textId="77777777" w:rsidR="00960BB8" w:rsidRDefault="00C06650">
            <w:pPr>
              <w:textAlignment w:val="top"/>
            </w:pPr>
            <w:r>
              <w:rPr>
                <w:rFonts w:ascii="Arial" w:eastAsia="宋体" w:hAnsi="Arial" w:cs="Arial"/>
                <w:color w:val="0068B5"/>
                <w:sz w:val="18"/>
                <w:szCs w:val="18"/>
              </w:rPr>
              <w:t>2006 ESPP</w:t>
            </w:r>
          </w:p>
        </w:tc>
        <w:tc>
          <w:tcPr>
            <w:tcW w:w="0" w:type="auto"/>
            <w:gridSpan w:val="3"/>
            <w:shd w:val="clear" w:color="auto" w:fill="auto"/>
            <w:tcMar>
              <w:top w:w="0" w:type="dxa"/>
              <w:left w:w="20" w:type="dxa"/>
              <w:bottom w:w="0" w:type="dxa"/>
              <w:right w:w="20" w:type="dxa"/>
            </w:tcMar>
            <w:vAlign w:val="bottom"/>
          </w:tcPr>
          <w:p w14:paraId="5A1B3763"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A1B3764" w14:textId="77777777" w:rsidR="00960BB8" w:rsidRDefault="00C06650">
            <w:pPr>
              <w:textAlignment w:val="top"/>
            </w:pPr>
            <w:r>
              <w:rPr>
                <w:rFonts w:ascii="Arial" w:eastAsia="宋体" w:hAnsi="Arial" w:cs="Arial"/>
                <w:color w:val="262626"/>
                <w:sz w:val="18"/>
                <w:szCs w:val="18"/>
              </w:rPr>
              <w:t xml:space="preserve">2006 Employee Stock </w:t>
            </w:r>
            <w:r>
              <w:rPr>
                <w:rFonts w:ascii="Arial" w:eastAsia="宋体" w:hAnsi="Arial" w:cs="Arial"/>
                <w:color w:val="262626"/>
                <w:sz w:val="18"/>
                <w:szCs w:val="18"/>
              </w:rPr>
              <w:t>Purchase Plan</w:t>
            </w:r>
          </w:p>
        </w:tc>
      </w:tr>
      <w:tr w:rsidR="00960BB8" w14:paraId="5A1B3769" w14:textId="77777777">
        <w:tc>
          <w:tcPr>
            <w:tcW w:w="0" w:type="auto"/>
            <w:gridSpan w:val="3"/>
            <w:shd w:val="clear" w:color="auto" w:fill="auto"/>
            <w:tcMar>
              <w:top w:w="40" w:type="dxa"/>
              <w:left w:w="20" w:type="dxa"/>
              <w:bottom w:w="40" w:type="dxa"/>
              <w:right w:w="20" w:type="dxa"/>
            </w:tcMar>
          </w:tcPr>
          <w:p w14:paraId="5A1B3766" w14:textId="77777777" w:rsidR="00960BB8" w:rsidRDefault="00C06650">
            <w:pPr>
              <w:textAlignment w:val="top"/>
            </w:pPr>
            <w:r>
              <w:rPr>
                <w:rFonts w:ascii="Arial" w:eastAsia="宋体" w:hAnsi="Arial" w:cs="Arial"/>
                <w:color w:val="0068B5"/>
                <w:sz w:val="18"/>
                <w:szCs w:val="18"/>
              </w:rPr>
              <w:t>2006 Plan</w:t>
            </w:r>
          </w:p>
        </w:tc>
        <w:tc>
          <w:tcPr>
            <w:tcW w:w="0" w:type="auto"/>
            <w:gridSpan w:val="3"/>
            <w:shd w:val="clear" w:color="auto" w:fill="auto"/>
            <w:tcMar>
              <w:top w:w="0" w:type="dxa"/>
              <w:left w:w="20" w:type="dxa"/>
              <w:bottom w:w="0" w:type="dxa"/>
              <w:right w:w="20" w:type="dxa"/>
            </w:tcMar>
            <w:vAlign w:val="bottom"/>
          </w:tcPr>
          <w:p w14:paraId="5A1B376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68" w14:textId="77777777" w:rsidR="00960BB8" w:rsidRDefault="00C06650">
            <w:pPr>
              <w:textAlignment w:val="top"/>
            </w:pPr>
            <w:r>
              <w:rPr>
                <w:rFonts w:ascii="Arial" w:eastAsia="宋体" w:hAnsi="Arial" w:cs="Arial"/>
                <w:color w:val="262626"/>
                <w:sz w:val="18"/>
                <w:szCs w:val="18"/>
              </w:rPr>
              <w:t>2006 Equity Incentive Plan</w:t>
            </w:r>
          </w:p>
        </w:tc>
      </w:tr>
      <w:tr w:rsidR="00960BB8" w14:paraId="5A1B376D" w14:textId="77777777">
        <w:trPr>
          <w:hidden/>
        </w:trPr>
        <w:tc>
          <w:tcPr>
            <w:tcW w:w="0" w:type="auto"/>
            <w:gridSpan w:val="3"/>
            <w:shd w:val="clear" w:color="auto" w:fill="auto"/>
            <w:vAlign w:val="bottom"/>
          </w:tcPr>
          <w:p w14:paraId="5A1B376A" w14:textId="77777777" w:rsidR="00960BB8" w:rsidRDefault="00960BB8">
            <w:pPr>
              <w:rPr>
                <w:rFonts w:ascii="宋体"/>
                <w:vanish/>
              </w:rPr>
            </w:pPr>
          </w:p>
        </w:tc>
        <w:tc>
          <w:tcPr>
            <w:tcW w:w="0" w:type="auto"/>
            <w:gridSpan w:val="3"/>
            <w:shd w:val="clear" w:color="auto" w:fill="auto"/>
            <w:vAlign w:val="bottom"/>
          </w:tcPr>
          <w:p w14:paraId="5A1B376B" w14:textId="77777777" w:rsidR="00960BB8" w:rsidRDefault="00960BB8">
            <w:pPr>
              <w:rPr>
                <w:rFonts w:ascii="宋体"/>
                <w:vanish/>
              </w:rPr>
            </w:pPr>
          </w:p>
        </w:tc>
        <w:tc>
          <w:tcPr>
            <w:tcW w:w="0" w:type="auto"/>
            <w:gridSpan w:val="3"/>
            <w:shd w:val="clear" w:color="auto" w:fill="auto"/>
            <w:vAlign w:val="bottom"/>
          </w:tcPr>
          <w:p w14:paraId="5A1B376C" w14:textId="77777777" w:rsidR="00960BB8" w:rsidRDefault="00960BB8">
            <w:pPr>
              <w:rPr>
                <w:rFonts w:ascii="宋体"/>
                <w:vanish/>
              </w:rPr>
            </w:pPr>
          </w:p>
        </w:tc>
      </w:tr>
      <w:tr w:rsidR="00960BB8" w14:paraId="5A1B3771" w14:textId="77777777">
        <w:trPr>
          <w:hidden/>
        </w:trPr>
        <w:tc>
          <w:tcPr>
            <w:tcW w:w="0" w:type="auto"/>
            <w:gridSpan w:val="3"/>
            <w:shd w:val="clear" w:color="auto" w:fill="auto"/>
            <w:vAlign w:val="bottom"/>
          </w:tcPr>
          <w:p w14:paraId="5A1B376E" w14:textId="77777777" w:rsidR="00960BB8" w:rsidRDefault="00960BB8">
            <w:pPr>
              <w:rPr>
                <w:rFonts w:ascii="宋体"/>
                <w:vanish/>
              </w:rPr>
            </w:pPr>
          </w:p>
        </w:tc>
        <w:tc>
          <w:tcPr>
            <w:tcW w:w="0" w:type="auto"/>
            <w:gridSpan w:val="3"/>
            <w:shd w:val="clear" w:color="auto" w:fill="auto"/>
            <w:vAlign w:val="bottom"/>
          </w:tcPr>
          <w:p w14:paraId="5A1B376F" w14:textId="77777777" w:rsidR="00960BB8" w:rsidRDefault="00960BB8">
            <w:pPr>
              <w:rPr>
                <w:rFonts w:ascii="宋体"/>
                <w:vanish/>
              </w:rPr>
            </w:pPr>
          </w:p>
        </w:tc>
        <w:tc>
          <w:tcPr>
            <w:tcW w:w="0" w:type="auto"/>
            <w:gridSpan w:val="3"/>
            <w:shd w:val="clear" w:color="auto" w:fill="auto"/>
            <w:vAlign w:val="bottom"/>
          </w:tcPr>
          <w:p w14:paraId="5A1B3770" w14:textId="77777777" w:rsidR="00960BB8" w:rsidRDefault="00960BB8">
            <w:pPr>
              <w:rPr>
                <w:rFonts w:ascii="宋体"/>
                <w:vanish/>
              </w:rPr>
            </w:pPr>
          </w:p>
        </w:tc>
      </w:tr>
      <w:tr w:rsidR="00960BB8" w14:paraId="5A1B3775" w14:textId="77777777">
        <w:trPr>
          <w:hidden/>
        </w:trPr>
        <w:tc>
          <w:tcPr>
            <w:tcW w:w="0" w:type="auto"/>
            <w:gridSpan w:val="3"/>
            <w:shd w:val="clear" w:color="auto" w:fill="auto"/>
            <w:vAlign w:val="bottom"/>
          </w:tcPr>
          <w:p w14:paraId="5A1B3772" w14:textId="77777777" w:rsidR="00960BB8" w:rsidRDefault="00960BB8">
            <w:pPr>
              <w:rPr>
                <w:rFonts w:ascii="宋体"/>
                <w:vanish/>
              </w:rPr>
            </w:pPr>
          </w:p>
        </w:tc>
        <w:tc>
          <w:tcPr>
            <w:tcW w:w="0" w:type="auto"/>
            <w:gridSpan w:val="3"/>
            <w:shd w:val="clear" w:color="auto" w:fill="auto"/>
            <w:vAlign w:val="bottom"/>
          </w:tcPr>
          <w:p w14:paraId="5A1B3773" w14:textId="77777777" w:rsidR="00960BB8" w:rsidRDefault="00960BB8">
            <w:pPr>
              <w:rPr>
                <w:rFonts w:ascii="宋体"/>
                <w:vanish/>
              </w:rPr>
            </w:pPr>
          </w:p>
        </w:tc>
        <w:tc>
          <w:tcPr>
            <w:tcW w:w="0" w:type="auto"/>
            <w:gridSpan w:val="3"/>
            <w:shd w:val="clear" w:color="auto" w:fill="auto"/>
            <w:vAlign w:val="bottom"/>
          </w:tcPr>
          <w:p w14:paraId="5A1B3774" w14:textId="77777777" w:rsidR="00960BB8" w:rsidRDefault="00960BB8">
            <w:pPr>
              <w:rPr>
                <w:rFonts w:ascii="宋体"/>
                <w:vanish/>
              </w:rPr>
            </w:pPr>
          </w:p>
        </w:tc>
      </w:tr>
      <w:tr w:rsidR="00960BB8" w14:paraId="5A1B3779" w14:textId="77777777">
        <w:trPr>
          <w:hidden/>
        </w:trPr>
        <w:tc>
          <w:tcPr>
            <w:tcW w:w="0" w:type="auto"/>
            <w:gridSpan w:val="3"/>
            <w:shd w:val="clear" w:color="auto" w:fill="auto"/>
            <w:vAlign w:val="bottom"/>
          </w:tcPr>
          <w:p w14:paraId="5A1B3776" w14:textId="77777777" w:rsidR="00960BB8" w:rsidRDefault="00960BB8">
            <w:pPr>
              <w:rPr>
                <w:rFonts w:ascii="宋体"/>
                <w:vanish/>
              </w:rPr>
            </w:pPr>
          </w:p>
        </w:tc>
        <w:tc>
          <w:tcPr>
            <w:tcW w:w="0" w:type="auto"/>
            <w:gridSpan w:val="3"/>
            <w:shd w:val="clear" w:color="auto" w:fill="auto"/>
            <w:vAlign w:val="bottom"/>
          </w:tcPr>
          <w:p w14:paraId="5A1B3777" w14:textId="77777777" w:rsidR="00960BB8" w:rsidRDefault="00960BB8">
            <w:pPr>
              <w:rPr>
                <w:rFonts w:ascii="宋体"/>
                <w:vanish/>
              </w:rPr>
            </w:pPr>
          </w:p>
        </w:tc>
        <w:tc>
          <w:tcPr>
            <w:tcW w:w="0" w:type="auto"/>
            <w:gridSpan w:val="3"/>
            <w:shd w:val="clear" w:color="auto" w:fill="auto"/>
            <w:vAlign w:val="bottom"/>
          </w:tcPr>
          <w:p w14:paraId="5A1B3778" w14:textId="77777777" w:rsidR="00960BB8" w:rsidRDefault="00960BB8">
            <w:pPr>
              <w:rPr>
                <w:rFonts w:ascii="宋体"/>
                <w:vanish/>
              </w:rPr>
            </w:pPr>
          </w:p>
        </w:tc>
      </w:tr>
      <w:tr w:rsidR="00960BB8" w14:paraId="5A1B377D" w14:textId="77777777">
        <w:trPr>
          <w:hidden/>
        </w:trPr>
        <w:tc>
          <w:tcPr>
            <w:tcW w:w="0" w:type="auto"/>
            <w:gridSpan w:val="3"/>
            <w:shd w:val="clear" w:color="auto" w:fill="auto"/>
            <w:vAlign w:val="bottom"/>
          </w:tcPr>
          <w:p w14:paraId="5A1B377A" w14:textId="77777777" w:rsidR="00960BB8" w:rsidRDefault="00960BB8">
            <w:pPr>
              <w:rPr>
                <w:rFonts w:ascii="宋体"/>
                <w:vanish/>
              </w:rPr>
            </w:pPr>
          </w:p>
        </w:tc>
        <w:tc>
          <w:tcPr>
            <w:tcW w:w="0" w:type="auto"/>
            <w:gridSpan w:val="3"/>
            <w:shd w:val="clear" w:color="auto" w:fill="auto"/>
            <w:vAlign w:val="bottom"/>
          </w:tcPr>
          <w:p w14:paraId="5A1B377B" w14:textId="77777777" w:rsidR="00960BB8" w:rsidRDefault="00960BB8">
            <w:pPr>
              <w:rPr>
                <w:rFonts w:ascii="宋体"/>
                <w:vanish/>
              </w:rPr>
            </w:pPr>
          </w:p>
        </w:tc>
        <w:tc>
          <w:tcPr>
            <w:tcW w:w="0" w:type="auto"/>
            <w:gridSpan w:val="3"/>
            <w:shd w:val="clear" w:color="auto" w:fill="auto"/>
            <w:vAlign w:val="bottom"/>
          </w:tcPr>
          <w:p w14:paraId="5A1B377C" w14:textId="77777777" w:rsidR="00960BB8" w:rsidRDefault="00960BB8">
            <w:pPr>
              <w:rPr>
                <w:rFonts w:ascii="宋体"/>
                <w:vanish/>
              </w:rPr>
            </w:pPr>
          </w:p>
        </w:tc>
      </w:tr>
      <w:tr w:rsidR="00960BB8" w14:paraId="5A1B3781" w14:textId="77777777">
        <w:trPr>
          <w:hidden/>
        </w:trPr>
        <w:tc>
          <w:tcPr>
            <w:tcW w:w="0" w:type="auto"/>
            <w:gridSpan w:val="3"/>
            <w:shd w:val="clear" w:color="auto" w:fill="auto"/>
            <w:vAlign w:val="bottom"/>
          </w:tcPr>
          <w:p w14:paraId="5A1B377E" w14:textId="77777777" w:rsidR="00960BB8" w:rsidRDefault="00960BB8">
            <w:pPr>
              <w:rPr>
                <w:rFonts w:ascii="宋体"/>
                <w:vanish/>
              </w:rPr>
            </w:pPr>
          </w:p>
        </w:tc>
        <w:tc>
          <w:tcPr>
            <w:tcW w:w="0" w:type="auto"/>
            <w:gridSpan w:val="3"/>
            <w:shd w:val="clear" w:color="auto" w:fill="auto"/>
            <w:vAlign w:val="bottom"/>
          </w:tcPr>
          <w:p w14:paraId="5A1B377F" w14:textId="77777777" w:rsidR="00960BB8" w:rsidRDefault="00960BB8">
            <w:pPr>
              <w:rPr>
                <w:rFonts w:ascii="宋体"/>
                <w:vanish/>
              </w:rPr>
            </w:pPr>
          </w:p>
        </w:tc>
        <w:tc>
          <w:tcPr>
            <w:tcW w:w="0" w:type="auto"/>
            <w:gridSpan w:val="3"/>
            <w:shd w:val="clear" w:color="auto" w:fill="auto"/>
            <w:vAlign w:val="bottom"/>
          </w:tcPr>
          <w:p w14:paraId="5A1B3780" w14:textId="77777777" w:rsidR="00960BB8" w:rsidRDefault="00960BB8">
            <w:pPr>
              <w:rPr>
                <w:rFonts w:ascii="宋体"/>
                <w:vanish/>
              </w:rPr>
            </w:pPr>
          </w:p>
        </w:tc>
      </w:tr>
      <w:tr w:rsidR="00960BB8" w14:paraId="5A1B3785" w14:textId="77777777">
        <w:tc>
          <w:tcPr>
            <w:tcW w:w="0" w:type="auto"/>
            <w:gridSpan w:val="3"/>
            <w:shd w:val="clear" w:color="auto" w:fill="auto"/>
            <w:tcMar>
              <w:top w:w="40" w:type="dxa"/>
              <w:left w:w="20" w:type="dxa"/>
              <w:bottom w:w="40" w:type="dxa"/>
              <w:right w:w="20" w:type="dxa"/>
            </w:tcMar>
          </w:tcPr>
          <w:p w14:paraId="5A1B3782" w14:textId="77777777" w:rsidR="00960BB8" w:rsidRDefault="00C06650">
            <w:pPr>
              <w:textAlignment w:val="top"/>
            </w:pPr>
            <w:r>
              <w:rPr>
                <w:rFonts w:ascii="Arial" w:eastAsia="宋体" w:hAnsi="Arial" w:cs="Arial"/>
                <w:color w:val="0068B5"/>
                <w:sz w:val="18"/>
                <w:szCs w:val="18"/>
              </w:rPr>
              <w:t>5G</w:t>
            </w:r>
          </w:p>
        </w:tc>
        <w:tc>
          <w:tcPr>
            <w:tcW w:w="0" w:type="auto"/>
            <w:gridSpan w:val="3"/>
            <w:shd w:val="clear" w:color="auto" w:fill="auto"/>
            <w:tcMar>
              <w:top w:w="0" w:type="dxa"/>
              <w:left w:w="20" w:type="dxa"/>
              <w:bottom w:w="0" w:type="dxa"/>
              <w:right w:w="20" w:type="dxa"/>
            </w:tcMar>
            <w:vAlign w:val="bottom"/>
          </w:tcPr>
          <w:p w14:paraId="5A1B378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84" w14:textId="77777777" w:rsidR="00960BB8" w:rsidRDefault="00C06650">
            <w:pPr>
              <w:textAlignment w:val="top"/>
            </w:pPr>
            <w:r>
              <w:rPr>
                <w:rFonts w:ascii="Arial" w:eastAsia="宋体" w:hAnsi="Arial" w:cs="Arial"/>
                <w:color w:val="262626"/>
                <w:sz w:val="18"/>
                <w:szCs w:val="18"/>
              </w:rPr>
              <w:t xml:space="preserve">The fifth-generation mobile network, which brings dramatic improvements in network speeds and latency, and which we view as a transformative technology and </w:t>
            </w:r>
            <w:r>
              <w:rPr>
                <w:rFonts w:ascii="Arial" w:eastAsia="宋体" w:hAnsi="Arial" w:cs="Arial"/>
                <w:color w:val="262626"/>
                <w:sz w:val="18"/>
                <w:szCs w:val="18"/>
              </w:rPr>
              <w:t>opportunity for many industries</w:t>
            </w:r>
          </w:p>
        </w:tc>
      </w:tr>
      <w:tr w:rsidR="00960BB8" w14:paraId="5A1B3789" w14:textId="77777777">
        <w:trPr>
          <w:hidden/>
        </w:trPr>
        <w:tc>
          <w:tcPr>
            <w:tcW w:w="0" w:type="auto"/>
            <w:gridSpan w:val="3"/>
            <w:shd w:val="clear" w:color="auto" w:fill="auto"/>
            <w:vAlign w:val="bottom"/>
          </w:tcPr>
          <w:p w14:paraId="5A1B3786" w14:textId="77777777" w:rsidR="00960BB8" w:rsidRDefault="00960BB8">
            <w:pPr>
              <w:rPr>
                <w:rFonts w:ascii="宋体"/>
                <w:vanish/>
              </w:rPr>
            </w:pPr>
          </w:p>
        </w:tc>
        <w:tc>
          <w:tcPr>
            <w:tcW w:w="0" w:type="auto"/>
            <w:gridSpan w:val="3"/>
            <w:shd w:val="clear" w:color="auto" w:fill="auto"/>
            <w:vAlign w:val="bottom"/>
          </w:tcPr>
          <w:p w14:paraId="5A1B3787" w14:textId="77777777" w:rsidR="00960BB8" w:rsidRDefault="00960BB8">
            <w:pPr>
              <w:rPr>
                <w:rFonts w:ascii="宋体"/>
                <w:vanish/>
              </w:rPr>
            </w:pPr>
          </w:p>
        </w:tc>
        <w:tc>
          <w:tcPr>
            <w:tcW w:w="0" w:type="auto"/>
            <w:gridSpan w:val="3"/>
            <w:shd w:val="clear" w:color="auto" w:fill="auto"/>
            <w:vAlign w:val="bottom"/>
          </w:tcPr>
          <w:p w14:paraId="5A1B3788" w14:textId="77777777" w:rsidR="00960BB8" w:rsidRDefault="00960BB8">
            <w:pPr>
              <w:rPr>
                <w:rFonts w:ascii="宋体"/>
                <w:vanish/>
              </w:rPr>
            </w:pPr>
          </w:p>
        </w:tc>
      </w:tr>
      <w:tr w:rsidR="00960BB8" w14:paraId="5A1B378D" w14:textId="77777777">
        <w:tc>
          <w:tcPr>
            <w:tcW w:w="0" w:type="auto"/>
            <w:gridSpan w:val="3"/>
            <w:shd w:val="clear" w:color="auto" w:fill="auto"/>
            <w:tcMar>
              <w:top w:w="40" w:type="dxa"/>
              <w:left w:w="20" w:type="dxa"/>
              <w:bottom w:w="40" w:type="dxa"/>
              <w:right w:w="20" w:type="dxa"/>
            </w:tcMar>
          </w:tcPr>
          <w:p w14:paraId="5A1B378A" w14:textId="77777777" w:rsidR="00960BB8" w:rsidRDefault="00C06650">
            <w:pPr>
              <w:textAlignment w:val="top"/>
            </w:pPr>
            <w:r>
              <w:rPr>
                <w:rFonts w:ascii="Arial" w:eastAsia="宋体" w:hAnsi="Arial" w:cs="Arial"/>
                <w:color w:val="0068B5"/>
                <w:sz w:val="18"/>
                <w:szCs w:val="18"/>
              </w:rPr>
              <w:t>ADAS</w:t>
            </w:r>
          </w:p>
        </w:tc>
        <w:tc>
          <w:tcPr>
            <w:tcW w:w="0" w:type="auto"/>
            <w:gridSpan w:val="3"/>
            <w:shd w:val="clear" w:color="auto" w:fill="auto"/>
            <w:tcMar>
              <w:top w:w="0" w:type="dxa"/>
              <w:left w:w="20" w:type="dxa"/>
              <w:bottom w:w="0" w:type="dxa"/>
              <w:right w:w="20" w:type="dxa"/>
            </w:tcMar>
            <w:vAlign w:val="bottom"/>
          </w:tcPr>
          <w:p w14:paraId="5A1B378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8C" w14:textId="77777777" w:rsidR="00960BB8" w:rsidRDefault="00C06650">
            <w:pPr>
              <w:textAlignment w:val="top"/>
            </w:pPr>
            <w:r>
              <w:rPr>
                <w:rFonts w:ascii="Arial" w:eastAsia="宋体" w:hAnsi="Arial" w:cs="Arial"/>
                <w:color w:val="262626"/>
                <w:sz w:val="18"/>
                <w:szCs w:val="18"/>
              </w:rPr>
              <w:t>Advanced driver-assistance systems</w:t>
            </w:r>
          </w:p>
        </w:tc>
      </w:tr>
      <w:tr w:rsidR="00960BB8" w14:paraId="5A1B3791" w14:textId="77777777">
        <w:tc>
          <w:tcPr>
            <w:tcW w:w="0" w:type="auto"/>
            <w:gridSpan w:val="3"/>
            <w:shd w:val="clear" w:color="auto" w:fill="auto"/>
            <w:tcMar>
              <w:top w:w="40" w:type="dxa"/>
              <w:left w:w="20" w:type="dxa"/>
              <w:bottom w:w="40" w:type="dxa"/>
              <w:right w:w="20" w:type="dxa"/>
            </w:tcMar>
          </w:tcPr>
          <w:p w14:paraId="5A1B378E" w14:textId="77777777" w:rsidR="00960BB8" w:rsidRDefault="00C06650">
            <w:pPr>
              <w:textAlignment w:val="top"/>
            </w:pPr>
            <w:r>
              <w:rPr>
                <w:rFonts w:ascii="Arial" w:eastAsia="宋体" w:hAnsi="Arial" w:cs="Arial"/>
                <w:color w:val="0068B5"/>
                <w:sz w:val="18"/>
                <w:szCs w:val="18"/>
              </w:rPr>
              <w:t>AI</w:t>
            </w:r>
          </w:p>
        </w:tc>
        <w:tc>
          <w:tcPr>
            <w:tcW w:w="0" w:type="auto"/>
            <w:gridSpan w:val="3"/>
            <w:shd w:val="clear" w:color="auto" w:fill="auto"/>
            <w:tcMar>
              <w:top w:w="0" w:type="dxa"/>
              <w:left w:w="20" w:type="dxa"/>
              <w:bottom w:w="0" w:type="dxa"/>
              <w:right w:w="20" w:type="dxa"/>
            </w:tcMar>
            <w:vAlign w:val="bottom"/>
          </w:tcPr>
          <w:p w14:paraId="5A1B378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90" w14:textId="77777777" w:rsidR="00960BB8" w:rsidRDefault="00C06650">
            <w:pPr>
              <w:textAlignment w:val="top"/>
            </w:pPr>
            <w:r>
              <w:rPr>
                <w:rFonts w:ascii="Arial" w:eastAsia="宋体" w:hAnsi="Arial" w:cs="Arial"/>
                <w:color w:val="262626"/>
                <w:sz w:val="18"/>
                <w:szCs w:val="18"/>
              </w:rPr>
              <w:t>Artificial intelligence</w:t>
            </w:r>
          </w:p>
        </w:tc>
      </w:tr>
      <w:tr w:rsidR="00960BB8" w14:paraId="5A1B3795" w14:textId="77777777">
        <w:trPr>
          <w:hidden/>
        </w:trPr>
        <w:tc>
          <w:tcPr>
            <w:tcW w:w="0" w:type="auto"/>
            <w:gridSpan w:val="3"/>
            <w:shd w:val="clear" w:color="auto" w:fill="auto"/>
            <w:vAlign w:val="bottom"/>
          </w:tcPr>
          <w:p w14:paraId="5A1B3792" w14:textId="77777777" w:rsidR="00960BB8" w:rsidRDefault="00960BB8">
            <w:pPr>
              <w:rPr>
                <w:rFonts w:ascii="宋体"/>
                <w:vanish/>
              </w:rPr>
            </w:pPr>
          </w:p>
        </w:tc>
        <w:tc>
          <w:tcPr>
            <w:tcW w:w="0" w:type="auto"/>
            <w:gridSpan w:val="3"/>
            <w:shd w:val="clear" w:color="auto" w:fill="auto"/>
            <w:vAlign w:val="bottom"/>
          </w:tcPr>
          <w:p w14:paraId="5A1B3793" w14:textId="77777777" w:rsidR="00960BB8" w:rsidRDefault="00960BB8">
            <w:pPr>
              <w:rPr>
                <w:rFonts w:ascii="宋体"/>
                <w:vanish/>
              </w:rPr>
            </w:pPr>
          </w:p>
        </w:tc>
        <w:tc>
          <w:tcPr>
            <w:tcW w:w="0" w:type="auto"/>
            <w:gridSpan w:val="3"/>
            <w:shd w:val="clear" w:color="auto" w:fill="auto"/>
            <w:vAlign w:val="bottom"/>
          </w:tcPr>
          <w:p w14:paraId="5A1B3794" w14:textId="77777777" w:rsidR="00960BB8" w:rsidRDefault="00960BB8">
            <w:pPr>
              <w:rPr>
                <w:rFonts w:ascii="宋体"/>
                <w:vanish/>
              </w:rPr>
            </w:pPr>
          </w:p>
        </w:tc>
      </w:tr>
      <w:tr w:rsidR="00960BB8" w14:paraId="5A1B3799" w14:textId="77777777">
        <w:tc>
          <w:tcPr>
            <w:tcW w:w="0" w:type="auto"/>
            <w:gridSpan w:val="3"/>
            <w:shd w:val="clear" w:color="auto" w:fill="auto"/>
            <w:tcMar>
              <w:top w:w="40" w:type="dxa"/>
              <w:left w:w="20" w:type="dxa"/>
              <w:bottom w:w="40" w:type="dxa"/>
              <w:right w:w="20" w:type="dxa"/>
            </w:tcMar>
          </w:tcPr>
          <w:p w14:paraId="5A1B3796" w14:textId="77777777" w:rsidR="00960BB8" w:rsidRDefault="00C06650">
            <w:pPr>
              <w:textAlignment w:val="top"/>
            </w:pPr>
            <w:r>
              <w:rPr>
                <w:rFonts w:ascii="Arial" w:eastAsia="宋体" w:hAnsi="Arial" w:cs="Arial"/>
                <w:color w:val="0068B5"/>
                <w:sz w:val="18"/>
                <w:szCs w:val="18"/>
              </w:rPr>
              <w:t>AMaaS</w:t>
            </w:r>
          </w:p>
        </w:tc>
        <w:tc>
          <w:tcPr>
            <w:tcW w:w="0" w:type="auto"/>
            <w:gridSpan w:val="3"/>
            <w:shd w:val="clear" w:color="auto" w:fill="auto"/>
            <w:tcMar>
              <w:top w:w="0" w:type="dxa"/>
              <w:left w:w="20" w:type="dxa"/>
              <w:bottom w:w="0" w:type="dxa"/>
              <w:right w:w="20" w:type="dxa"/>
            </w:tcMar>
            <w:vAlign w:val="bottom"/>
          </w:tcPr>
          <w:p w14:paraId="5A1B379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98" w14:textId="77777777" w:rsidR="00960BB8" w:rsidRDefault="00C06650">
            <w:pPr>
              <w:textAlignment w:val="top"/>
            </w:pPr>
            <w:r>
              <w:rPr>
                <w:rFonts w:ascii="Arial" w:eastAsia="宋体" w:hAnsi="Arial" w:cs="Arial"/>
                <w:color w:val="262626"/>
                <w:sz w:val="18"/>
                <w:szCs w:val="18"/>
              </w:rPr>
              <w:t xml:space="preserve">Autonomous Mobility as a Service </w:t>
            </w:r>
          </w:p>
        </w:tc>
      </w:tr>
      <w:tr w:rsidR="00960BB8" w14:paraId="5A1B379D" w14:textId="77777777">
        <w:tc>
          <w:tcPr>
            <w:tcW w:w="0" w:type="auto"/>
            <w:gridSpan w:val="3"/>
            <w:shd w:val="clear" w:color="auto" w:fill="auto"/>
            <w:tcMar>
              <w:top w:w="40" w:type="dxa"/>
              <w:left w:w="20" w:type="dxa"/>
              <w:bottom w:w="40" w:type="dxa"/>
              <w:right w:w="20" w:type="dxa"/>
            </w:tcMar>
          </w:tcPr>
          <w:p w14:paraId="5A1B379A" w14:textId="77777777" w:rsidR="00960BB8" w:rsidRDefault="00C06650">
            <w:pPr>
              <w:textAlignment w:val="top"/>
            </w:pPr>
            <w:r>
              <w:rPr>
                <w:rFonts w:ascii="Arial" w:eastAsia="宋体" w:hAnsi="Arial" w:cs="Arial"/>
                <w:color w:val="0068B5"/>
                <w:sz w:val="18"/>
                <w:szCs w:val="18"/>
              </w:rPr>
              <w:t>ARM</w:t>
            </w:r>
          </w:p>
        </w:tc>
        <w:tc>
          <w:tcPr>
            <w:tcW w:w="0" w:type="auto"/>
            <w:gridSpan w:val="3"/>
            <w:shd w:val="clear" w:color="auto" w:fill="auto"/>
            <w:tcMar>
              <w:top w:w="0" w:type="dxa"/>
              <w:left w:w="20" w:type="dxa"/>
              <w:bottom w:w="0" w:type="dxa"/>
              <w:right w:w="20" w:type="dxa"/>
            </w:tcMar>
            <w:vAlign w:val="bottom"/>
          </w:tcPr>
          <w:p w14:paraId="5A1B379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9C" w14:textId="77777777" w:rsidR="00960BB8" w:rsidRDefault="00C06650">
            <w:pPr>
              <w:textAlignment w:val="top"/>
            </w:pPr>
            <w:r>
              <w:rPr>
                <w:rFonts w:ascii="Arial" w:eastAsia="宋体" w:hAnsi="Arial" w:cs="Arial"/>
                <w:color w:val="262626"/>
                <w:sz w:val="18"/>
                <w:szCs w:val="18"/>
              </w:rPr>
              <w:t>Advanced RISC machine</w:t>
            </w:r>
          </w:p>
        </w:tc>
      </w:tr>
      <w:tr w:rsidR="00960BB8" w14:paraId="5A1B37A1" w14:textId="77777777">
        <w:tc>
          <w:tcPr>
            <w:tcW w:w="0" w:type="auto"/>
            <w:gridSpan w:val="3"/>
            <w:shd w:val="clear" w:color="auto" w:fill="auto"/>
            <w:tcMar>
              <w:top w:w="40" w:type="dxa"/>
              <w:left w:w="20" w:type="dxa"/>
              <w:bottom w:w="40" w:type="dxa"/>
              <w:right w:w="20" w:type="dxa"/>
            </w:tcMar>
          </w:tcPr>
          <w:p w14:paraId="5A1B379E" w14:textId="77777777" w:rsidR="00960BB8" w:rsidRDefault="00C06650">
            <w:pPr>
              <w:textAlignment w:val="top"/>
            </w:pPr>
            <w:r>
              <w:rPr>
                <w:rFonts w:ascii="Arial" w:eastAsia="宋体" w:hAnsi="Arial" w:cs="Arial"/>
                <w:color w:val="0068B5"/>
                <w:sz w:val="18"/>
                <w:szCs w:val="18"/>
              </w:rPr>
              <w:t>ASIC</w:t>
            </w:r>
          </w:p>
        </w:tc>
        <w:tc>
          <w:tcPr>
            <w:tcW w:w="0" w:type="auto"/>
            <w:gridSpan w:val="3"/>
            <w:shd w:val="clear" w:color="auto" w:fill="auto"/>
            <w:tcMar>
              <w:top w:w="0" w:type="dxa"/>
              <w:left w:w="20" w:type="dxa"/>
              <w:bottom w:w="0" w:type="dxa"/>
              <w:right w:w="20" w:type="dxa"/>
            </w:tcMar>
            <w:vAlign w:val="bottom"/>
          </w:tcPr>
          <w:p w14:paraId="5A1B379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A0" w14:textId="77777777" w:rsidR="00960BB8" w:rsidRDefault="00C06650">
            <w:pPr>
              <w:textAlignment w:val="top"/>
            </w:pPr>
            <w:r>
              <w:rPr>
                <w:rFonts w:ascii="Arial" w:eastAsia="宋体" w:hAnsi="Arial" w:cs="Arial"/>
                <w:color w:val="262626"/>
                <w:sz w:val="18"/>
                <w:szCs w:val="18"/>
              </w:rPr>
              <w:t>Application-specific integrated circuit</w:t>
            </w:r>
          </w:p>
        </w:tc>
      </w:tr>
      <w:tr w:rsidR="00960BB8" w14:paraId="5A1B37A5" w14:textId="77777777">
        <w:trPr>
          <w:hidden/>
        </w:trPr>
        <w:tc>
          <w:tcPr>
            <w:tcW w:w="0" w:type="auto"/>
            <w:gridSpan w:val="3"/>
            <w:shd w:val="clear" w:color="auto" w:fill="auto"/>
            <w:vAlign w:val="bottom"/>
          </w:tcPr>
          <w:p w14:paraId="5A1B37A2" w14:textId="77777777" w:rsidR="00960BB8" w:rsidRDefault="00960BB8">
            <w:pPr>
              <w:rPr>
                <w:rFonts w:ascii="宋体"/>
                <w:vanish/>
              </w:rPr>
            </w:pPr>
          </w:p>
        </w:tc>
        <w:tc>
          <w:tcPr>
            <w:tcW w:w="0" w:type="auto"/>
            <w:gridSpan w:val="3"/>
            <w:shd w:val="clear" w:color="auto" w:fill="auto"/>
            <w:vAlign w:val="bottom"/>
          </w:tcPr>
          <w:p w14:paraId="5A1B37A3" w14:textId="77777777" w:rsidR="00960BB8" w:rsidRDefault="00960BB8">
            <w:pPr>
              <w:rPr>
                <w:rFonts w:ascii="宋体"/>
                <w:vanish/>
              </w:rPr>
            </w:pPr>
          </w:p>
        </w:tc>
        <w:tc>
          <w:tcPr>
            <w:tcW w:w="0" w:type="auto"/>
            <w:gridSpan w:val="3"/>
            <w:shd w:val="clear" w:color="auto" w:fill="auto"/>
            <w:vAlign w:val="bottom"/>
          </w:tcPr>
          <w:p w14:paraId="5A1B37A4" w14:textId="77777777" w:rsidR="00960BB8" w:rsidRDefault="00960BB8">
            <w:pPr>
              <w:rPr>
                <w:rFonts w:ascii="宋体"/>
                <w:vanish/>
              </w:rPr>
            </w:pPr>
          </w:p>
        </w:tc>
      </w:tr>
      <w:tr w:rsidR="00960BB8" w14:paraId="5A1B37A9" w14:textId="77777777">
        <w:tc>
          <w:tcPr>
            <w:tcW w:w="0" w:type="auto"/>
            <w:gridSpan w:val="3"/>
            <w:shd w:val="clear" w:color="auto" w:fill="auto"/>
            <w:tcMar>
              <w:top w:w="40" w:type="dxa"/>
              <w:left w:w="20" w:type="dxa"/>
              <w:bottom w:w="40" w:type="dxa"/>
              <w:right w:w="20" w:type="dxa"/>
            </w:tcMar>
          </w:tcPr>
          <w:p w14:paraId="5A1B37A6" w14:textId="77777777" w:rsidR="00960BB8" w:rsidRDefault="00C06650">
            <w:pPr>
              <w:textAlignment w:val="top"/>
            </w:pPr>
            <w:r>
              <w:rPr>
                <w:rFonts w:ascii="Arial" w:eastAsia="宋体" w:hAnsi="Arial" w:cs="Arial"/>
                <w:color w:val="0068B5"/>
                <w:sz w:val="18"/>
                <w:szCs w:val="18"/>
              </w:rPr>
              <w:t>ASP</w:t>
            </w:r>
          </w:p>
        </w:tc>
        <w:tc>
          <w:tcPr>
            <w:tcW w:w="0" w:type="auto"/>
            <w:gridSpan w:val="3"/>
            <w:shd w:val="clear" w:color="auto" w:fill="auto"/>
            <w:tcMar>
              <w:top w:w="0" w:type="dxa"/>
              <w:left w:w="20" w:type="dxa"/>
              <w:bottom w:w="0" w:type="dxa"/>
              <w:right w:w="20" w:type="dxa"/>
            </w:tcMar>
            <w:vAlign w:val="bottom"/>
          </w:tcPr>
          <w:p w14:paraId="5A1B37A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7A8" w14:textId="77777777" w:rsidR="00960BB8" w:rsidRDefault="00C06650">
            <w:pPr>
              <w:textAlignment w:val="bottom"/>
            </w:pPr>
            <w:r>
              <w:rPr>
                <w:rFonts w:ascii="Arial" w:eastAsia="宋体" w:hAnsi="Arial" w:cs="Arial"/>
                <w:color w:val="262626"/>
                <w:sz w:val="18"/>
                <w:szCs w:val="18"/>
              </w:rPr>
              <w:t xml:space="preserve">Average </w:t>
            </w:r>
            <w:r>
              <w:rPr>
                <w:rFonts w:ascii="Arial" w:eastAsia="宋体" w:hAnsi="Arial" w:cs="Arial"/>
                <w:color w:val="262626"/>
                <w:sz w:val="18"/>
                <w:szCs w:val="18"/>
              </w:rPr>
              <w:t>selling price</w:t>
            </w:r>
          </w:p>
        </w:tc>
      </w:tr>
      <w:tr w:rsidR="00960BB8" w14:paraId="5A1B37AD" w14:textId="77777777">
        <w:tc>
          <w:tcPr>
            <w:tcW w:w="0" w:type="auto"/>
            <w:gridSpan w:val="3"/>
            <w:shd w:val="clear" w:color="auto" w:fill="auto"/>
            <w:tcMar>
              <w:top w:w="40" w:type="dxa"/>
              <w:left w:w="20" w:type="dxa"/>
              <w:bottom w:w="40" w:type="dxa"/>
              <w:right w:w="20" w:type="dxa"/>
            </w:tcMar>
          </w:tcPr>
          <w:p w14:paraId="5A1B37AA" w14:textId="77777777" w:rsidR="00960BB8" w:rsidRDefault="00C06650">
            <w:pPr>
              <w:textAlignment w:val="top"/>
            </w:pPr>
            <w:r>
              <w:rPr>
                <w:rFonts w:ascii="Arial" w:eastAsia="宋体" w:hAnsi="Arial" w:cs="Arial"/>
                <w:color w:val="0068B5"/>
                <w:sz w:val="18"/>
                <w:szCs w:val="18"/>
              </w:rPr>
              <w:t>AV</w:t>
            </w:r>
          </w:p>
        </w:tc>
        <w:tc>
          <w:tcPr>
            <w:tcW w:w="0" w:type="auto"/>
            <w:gridSpan w:val="3"/>
            <w:shd w:val="clear" w:color="auto" w:fill="auto"/>
            <w:tcMar>
              <w:top w:w="0" w:type="dxa"/>
              <w:left w:w="20" w:type="dxa"/>
              <w:bottom w:w="0" w:type="dxa"/>
              <w:right w:w="20" w:type="dxa"/>
            </w:tcMar>
            <w:vAlign w:val="bottom"/>
          </w:tcPr>
          <w:p w14:paraId="5A1B37A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7AC" w14:textId="77777777" w:rsidR="00960BB8" w:rsidRDefault="00C06650">
            <w:pPr>
              <w:textAlignment w:val="bottom"/>
            </w:pPr>
            <w:r>
              <w:rPr>
                <w:rFonts w:ascii="Arial" w:eastAsia="宋体" w:hAnsi="Arial" w:cs="Arial"/>
                <w:color w:val="262626"/>
                <w:sz w:val="18"/>
                <w:szCs w:val="18"/>
              </w:rPr>
              <w:t>Autonomous vehicle</w:t>
            </w:r>
          </w:p>
        </w:tc>
      </w:tr>
      <w:tr w:rsidR="00960BB8" w14:paraId="5A1B37B1" w14:textId="77777777">
        <w:tc>
          <w:tcPr>
            <w:tcW w:w="0" w:type="auto"/>
            <w:gridSpan w:val="3"/>
            <w:shd w:val="clear" w:color="auto" w:fill="auto"/>
            <w:tcMar>
              <w:top w:w="40" w:type="dxa"/>
              <w:left w:w="20" w:type="dxa"/>
              <w:bottom w:w="40" w:type="dxa"/>
              <w:right w:w="20" w:type="dxa"/>
            </w:tcMar>
          </w:tcPr>
          <w:p w14:paraId="5A1B37AE" w14:textId="77777777" w:rsidR="00960BB8" w:rsidRDefault="00C06650">
            <w:pPr>
              <w:textAlignment w:val="top"/>
            </w:pPr>
            <w:r>
              <w:rPr>
                <w:rFonts w:ascii="Arial" w:eastAsia="宋体" w:hAnsi="Arial" w:cs="Arial"/>
                <w:color w:val="0068B5"/>
                <w:sz w:val="18"/>
                <w:szCs w:val="18"/>
              </w:rPr>
              <w:t>AXG</w:t>
            </w:r>
          </w:p>
        </w:tc>
        <w:tc>
          <w:tcPr>
            <w:tcW w:w="0" w:type="auto"/>
            <w:gridSpan w:val="3"/>
            <w:shd w:val="clear" w:color="auto" w:fill="auto"/>
            <w:tcMar>
              <w:top w:w="0" w:type="dxa"/>
              <w:left w:w="20" w:type="dxa"/>
              <w:bottom w:w="0" w:type="dxa"/>
              <w:right w:w="20" w:type="dxa"/>
            </w:tcMar>
            <w:vAlign w:val="bottom"/>
          </w:tcPr>
          <w:p w14:paraId="5A1B37A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7B0" w14:textId="77777777" w:rsidR="00960BB8" w:rsidRDefault="00C06650">
            <w:pPr>
              <w:textAlignment w:val="bottom"/>
            </w:pPr>
            <w:r>
              <w:rPr>
                <w:rFonts w:ascii="Arial" w:eastAsia="宋体" w:hAnsi="Arial" w:cs="Arial"/>
                <w:color w:val="262626"/>
                <w:sz w:val="18"/>
                <w:szCs w:val="18"/>
              </w:rPr>
              <w:t>Advanced Computing and Graphics operating segment</w:t>
            </w:r>
          </w:p>
        </w:tc>
      </w:tr>
      <w:tr w:rsidR="00960BB8" w14:paraId="5A1B37B5" w14:textId="77777777">
        <w:trPr>
          <w:hidden/>
        </w:trPr>
        <w:tc>
          <w:tcPr>
            <w:tcW w:w="0" w:type="auto"/>
            <w:gridSpan w:val="3"/>
            <w:shd w:val="clear" w:color="auto" w:fill="auto"/>
            <w:vAlign w:val="bottom"/>
          </w:tcPr>
          <w:p w14:paraId="5A1B37B2" w14:textId="77777777" w:rsidR="00960BB8" w:rsidRDefault="00960BB8">
            <w:pPr>
              <w:rPr>
                <w:rFonts w:ascii="宋体"/>
                <w:vanish/>
              </w:rPr>
            </w:pPr>
          </w:p>
        </w:tc>
        <w:tc>
          <w:tcPr>
            <w:tcW w:w="0" w:type="auto"/>
            <w:gridSpan w:val="3"/>
            <w:shd w:val="clear" w:color="auto" w:fill="auto"/>
            <w:vAlign w:val="bottom"/>
          </w:tcPr>
          <w:p w14:paraId="5A1B37B3" w14:textId="77777777" w:rsidR="00960BB8" w:rsidRDefault="00960BB8">
            <w:pPr>
              <w:rPr>
                <w:rFonts w:ascii="宋体"/>
                <w:vanish/>
              </w:rPr>
            </w:pPr>
          </w:p>
        </w:tc>
        <w:tc>
          <w:tcPr>
            <w:tcW w:w="0" w:type="auto"/>
            <w:gridSpan w:val="3"/>
            <w:shd w:val="clear" w:color="auto" w:fill="auto"/>
            <w:vAlign w:val="bottom"/>
          </w:tcPr>
          <w:p w14:paraId="5A1B37B4" w14:textId="77777777" w:rsidR="00960BB8" w:rsidRDefault="00960BB8">
            <w:pPr>
              <w:rPr>
                <w:rFonts w:ascii="宋体"/>
                <w:vanish/>
              </w:rPr>
            </w:pPr>
          </w:p>
        </w:tc>
      </w:tr>
      <w:tr w:rsidR="00960BB8" w14:paraId="5A1B37B9" w14:textId="77777777">
        <w:tc>
          <w:tcPr>
            <w:tcW w:w="0" w:type="auto"/>
            <w:gridSpan w:val="3"/>
            <w:shd w:val="clear" w:color="auto" w:fill="auto"/>
            <w:tcMar>
              <w:top w:w="40" w:type="dxa"/>
              <w:left w:w="20" w:type="dxa"/>
              <w:bottom w:w="40" w:type="dxa"/>
              <w:right w:w="20" w:type="dxa"/>
            </w:tcMar>
          </w:tcPr>
          <w:p w14:paraId="5A1B37B6" w14:textId="77777777" w:rsidR="00960BB8" w:rsidRDefault="00C06650">
            <w:pPr>
              <w:textAlignment w:val="top"/>
            </w:pPr>
            <w:r>
              <w:rPr>
                <w:rFonts w:ascii="Arial" w:eastAsia="宋体" w:hAnsi="Arial" w:cs="Arial"/>
                <w:color w:val="0068B5"/>
                <w:sz w:val="18"/>
                <w:szCs w:val="18"/>
              </w:rPr>
              <w:t>BIOS</w:t>
            </w:r>
          </w:p>
        </w:tc>
        <w:tc>
          <w:tcPr>
            <w:tcW w:w="0" w:type="auto"/>
            <w:gridSpan w:val="3"/>
            <w:shd w:val="clear" w:color="auto" w:fill="auto"/>
            <w:tcMar>
              <w:top w:w="0" w:type="dxa"/>
              <w:left w:w="20" w:type="dxa"/>
              <w:bottom w:w="0" w:type="dxa"/>
              <w:right w:w="20" w:type="dxa"/>
            </w:tcMar>
            <w:vAlign w:val="bottom"/>
          </w:tcPr>
          <w:p w14:paraId="5A1B37B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7B8" w14:textId="77777777" w:rsidR="00960BB8" w:rsidRDefault="00C06650">
            <w:pPr>
              <w:textAlignment w:val="bottom"/>
            </w:pPr>
            <w:r>
              <w:rPr>
                <w:rFonts w:ascii="Arial" w:eastAsia="宋体" w:hAnsi="Arial" w:cs="Arial"/>
                <w:color w:val="262626"/>
                <w:sz w:val="18"/>
                <w:szCs w:val="18"/>
              </w:rPr>
              <w:t>Basic input/output system</w:t>
            </w:r>
          </w:p>
        </w:tc>
      </w:tr>
      <w:tr w:rsidR="00960BB8" w14:paraId="5A1B37BD" w14:textId="77777777">
        <w:tc>
          <w:tcPr>
            <w:tcW w:w="0" w:type="auto"/>
            <w:gridSpan w:val="3"/>
            <w:shd w:val="clear" w:color="auto" w:fill="auto"/>
            <w:tcMar>
              <w:top w:w="40" w:type="dxa"/>
              <w:left w:w="20" w:type="dxa"/>
              <w:bottom w:w="40" w:type="dxa"/>
              <w:right w:w="20" w:type="dxa"/>
            </w:tcMar>
          </w:tcPr>
          <w:p w14:paraId="5A1B37BA" w14:textId="77777777" w:rsidR="00960BB8" w:rsidRDefault="00C06650">
            <w:pPr>
              <w:textAlignment w:val="top"/>
            </w:pPr>
            <w:r>
              <w:rPr>
                <w:rFonts w:ascii="Arial" w:eastAsia="宋体" w:hAnsi="Arial" w:cs="Arial"/>
                <w:color w:val="0068B5"/>
                <w:sz w:val="18"/>
                <w:szCs w:val="18"/>
              </w:rPr>
              <w:t>CAGR</w:t>
            </w:r>
          </w:p>
        </w:tc>
        <w:tc>
          <w:tcPr>
            <w:tcW w:w="0" w:type="auto"/>
            <w:gridSpan w:val="3"/>
            <w:shd w:val="clear" w:color="auto" w:fill="auto"/>
            <w:tcMar>
              <w:top w:w="0" w:type="dxa"/>
              <w:left w:w="20" w:type="dxa"/>
              <w:bottom w:w="0" w:type="dxa"/>
              <w:right w:w="20" w:type="dxa"/>
            </w:tcMar>
            <w:vAlign w:val="bottom"/>
          </w:tcPr>
          <w:p w14:paraId="5A1B37B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BC" w14:textId="77777777" w:rsidR="00960BB8" w:rsidRDefault="00C06650">
            <w:pPr>
              <w:textAlignment w:val="top"/>
            </w:pPr>
            <w:r>
              <w:rPr>
                <w:rFonts w:ascii="Arial" w:eastAsia="宋体" w:hAnsi="Arial" w:cs="Arial"/>
                <w:color w:val="262626"/>
                <w:sz w:val="18"/>
                <w:szCs w:val="18"/>
              </w:rPr>
              <w:t>Compound annual growth rate</w:t>
            </w:r>
          </w:p>
        </w:tc>
      </w:tr>
      <w:tr w:rsidR="00960BB8" w14:paraId="5A1B37C1" w14:textId="77777777">
        <w:tc>
          <w:tcPr>
            <w:tcW w:w="0" w:type="auto"/>
            <w:gridSpan w:val="3"/>
            <w:shd w:val="clear" w:color="auto" w:fill="auto"/>
            <w:tcMar>
              <w:top w:w="40" w:type="dxa"/>
              <w:left w:w="20" w:type="dxa"/>
              <w:bottom w:w="40" w:type="dxa"/>
              <w:right w:w="20" w:type="dxa"/>
            </w:tcMar>
          </w:tcPr>
          <w:p w14:paraId="5A1B37BE" w14:textId="77777777" w:rsidR="00960BB8" w:rsidRDefault="00C06650">
            <w:pPr>
              <w:textAlignment w:val="top"/>
            </w:pPr>
            <w:r>
              <w:rPr>
                <w:rFonts w:ascii="Arial" w:eastAsia="宋体" w:hAnsi="Arial" w:cs="Arial"/>
                <w:color w:val="0068B5"/>
                <w:sz w:val="18"/>
                <w:szCs w:val="18"/>
              </w:rPr>
              <w:t>CCG</w:t>
            </w:r>
          </w:p>
        </w:tc>
        <w:tc>
          <w:tcPr>
            <w:tcW w:w="0" w:type="auto"/>
            <w:gridSpan w:val="3"/>
            <w:shd w:val="clear" w:color="auto" w:fill="auto"/>
            <w:tcMar>
              <w:top w:w="0" w:type="dxa"/>
              <w:left w:w="20" w:type="dxa"/>
              <w:bottom w:w="0" w:type="dxa"/>
              <w:right w:w="20" w:type="dxa"/>
            </w:tcMar>
            <w:vAlign w:val="bottom"/>
          </w:tcPr>
          <w:p w14:paraId="5A1B37B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C0" w14:textId="77777777" w:rsidR="00960BB8" w:rsidRDefault="00C06650">
            <w:pPr>
              <w:textAlignment w:val="top"/>
            </w:pPr>
            <w:r>
              <w:rPr>
                <w:rFonts w:ascii="Arial" w:eastAsia="宋体" w:hAnsi="Arial" w:cs="Arial"/>
                <w:color w:val="262626"/>
                <w:sz w:val="18"/>
                <w:szCs w:val="18"/>
              </w:rPr>
              <w:t>Client Computing Group operating segment</w:t>
            </w:r>
          </w:p>
        </w:tc>
      </w:tr>
      <w:tr w:rsidR="00960BB8" w14:paraId="5A1B37C5" w14:textId="77777777">
        <w:tc>
          <w:tcPr>
            <w:tcW w:w="0" w:type="auto"/>
            <w:gridSpan w:val="3"/>
            <w:shd w:val="clear" w:color="auto" w:fill="auto"/>
            <w:tcMar>
              <w:top w:w="40" w:type="dxa"/>
              <w:left w:w="20" w:type="dxa"/>
              <w:bottom w:w="40" w:type="dxa"/>
              <w:right w:w="20" w:type="dxa"/>
            </w:tcMar>
          </w:tcPr>
          <w:p w14:paraId="5A1B37C2" w14:textId="77777777" w:rsidR="00960BB8" w:rsidRDefault="00C06650">
            <w:pPr>
              <w:textAlignment w:val="top"/>
            </w:pPr>
            <w:r>
              <w:rPr>
                <w:rFonts w:ascii="Arial" w:eastAsia="宋体" w:hAnsi="Arial" w:cs="Arial"/>
                <w:color w:val="0068B5"/>
                <w:sz w:val="18"/>
                <w:szCs w:val="18"/>
              </w:rPr>
              <w:t>CDP</w:t>
            </w:r>
          </w:p>
        </w:tc>
        <w:tc>
          <w:tcPr>
            <w:tcW w:w="0" w:type="auto"/>
            <w:gridSpan w:val="3"/>
            <w:shd w:val="clear" w:color="auto" w:fill="auto"/>
            <w:tcMar>
              <w:top w:w="0" w:type="dxa"/>
              <w:left w:w="20" w:type="dxa"/>
              <w:bottom w:w="0" w:type="dxa"/>
              <w:right w:w="20" w:type="dxa"/>
            </w:tcMar>
            <w:vAlign w:val="bottom"/>
          </w:tcPr>
          <w:p w14:paraId="5A1B37C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C4" w14:textId="77777777" w:rsidR="00960BB8" w:rsidRDefault="00C06650">
            <w:pPr>
              <w:textAlignment w:val="top"/>
            </w:pPr>
            <w:r>
              <w:rPr>
                <w:rFonts w:ascii="Arial" w:eastAsia="宋体" w:hAnsi="Arial" w:cs="Arial"/>
                <w:color w:val="262626"/>
                <w:sz w:val="18"/>
                <w:szCs w:val="18"/>
              </w:rPr>
              <w:t xml:space="preserve">A nonprofit organization that </w:t>
            </w:r>
            <w:r>
              <w:rPr>
                <w:rFonts w:ascii="Arial" w:eastAsia="宋体" w:hAnsi="Arial" w:cs="Arial"/>
                <w:color w:val="262626"/>
                <w:sz w:val="18"/>
                <w:szCs w:val="18"/>
              </w:rPr>
              <w:t>runs a global disclosure system for investors, companies, cities, states, and regions to manage their environmental impacts</w:t>
            </w:r>
          </w:p>
        </w:tc>
      </w:tr>
      <w:tr w:rsidR="00960BB8" w14:paraId="5A1B37C9" w14:textId="77777777">
        <w:trPr>
          <w:hidden/>
        </w:trPr>
        <w:tc>
          <w:tcPr>
            <w:tcW w:w="0" w:type="auto"/>
            <w:gridSpan w:val="3"/>
            <w:shd w:val="clear" w:color="auto" w:fill="auto"/>
            <w:vAlign w:val="bottom"/>
          </w:tcPr>
          <w:p w14:paraId="5A1B37C6" w14:textId="77777777" w:rsidR="00960BB8" w:rsidRDefault="00960BB8">
            <w:pPr>
              <w:rPr>
                <w:rFonts w:ascii="宋体"/>
                <w:vanish/>
              </w:rPr>
            </w:pPr>
          </w:p>
        </w:tc>
        <w:tc>
          <w:tcPr>
            <w:tcW w:w="0" w:type="auto"/>
            <w:gridSpan w:val="3"/>
            <w:shd w:val="clear" w:color="auto" w:fill="auto"/>
            <w:vAlign w:val="bottom"/>
          </w:tcPr>
          <w:p w14:paraId="5A1B37C7" w14:textId="77777777" w:rsidR="00960BB8" w:rsidRDefault="00960BB8">
            <w:pPr>
              <w:rPr>
                <w:rFonts w:ascii="宋体"/>
                <w:vanish/>
              </w:rPr>
            </w:pPr>
          </w:p>
        </w:tc>
        <w:tc>
          <w:tcPr>
            <w:tcW w:w="0" w:type="auto"/>
            <w:gridSpan w:val="3"/>
            <w:shd w:val="clear" w:color="auto" w:fill="auto"/>
            <w:vAlign w:val="bottom"/>
          </w:tcPr>
          <w:p w14:paraId="5A1B37C8" w14:textId="77777777" w:rsidR="00960BB8" w:rsidRDefault="00960BB8">
            <w:pPr>
              <w:rPr>
                <w:rFonts w:ascii="宋体"/>
                <w:vanish/>
              </w:rPr>
            </w:pPr>
          </w:p>
        </w:tc>
      </w:tr>
      <w:tr w:rsidR="00960BB8" w14:paraId="5A1B37CD" w14:textId="77777777">
        <w:trPr>
          <w:hidden/>
        </w:trPr>
        <w:tc>
          <w:tcPr>
            <w:tcW w:w="0" w:type="auto"/>
            <w:gridSpan w:val="3"/>
            <w:shd w:val="clear" w:color="auto" w:fill="auto"/>
            <w:vAlign w:val="bottom"/>
          </w:tcPr>
          <w:p w14:paraId="5A1B37CA" w14:textId="77777777" w:rsidR="00960BB8" w:rsidRDefault="00960BB8">
            <w:pPr>
              <w:rPr>
                <w:rFonts w:ascii="宋体"/>
                <w:vanish/>
              </w:rPr>
            </w:pPr>
          </w:p>
        </w:tc>
        <w:tc>
          <w:tcPr>
            <w:tcW w:w="0" w:type="auto"/>
            <w:gridSpan w:val="3"/>
            <w:shd w:val="clear" w:color="auto" w:fill="auto"/>
            <w:vAlign w:val="bottom"/>
          </w:tcPr>
          <w:p w14:paraId="5A1B37CB" w14:textId="77777777" w:rsidR="00960BB8" w:rsidRDefault="00960BB8">
            <w:pPr>
              <w:rPr>
                <w:rFonts w:ascii="宋体"/>
                <w:vanish/>
              </w:rPr>
            </w:pPr>
          </w:p>
        </w:tc>
        <w:tc>
          <w:tcPr>
            <w:tcW w:w="0" w:type="auto"/>
            <w:gridSpan w:val="3"/>
            <w:shd w:val="clear" w:color="auto" w:fill="auto"/>
            <w:vAlign w:val="bottom"/>
          </w:tcPr>
          <w:p w14:paraId="5A1B37CC" w14:textId="77777777" w:rsidR="00960BB8" w:rsidRDefault="00960BB8">
            <w:pPr>
              <w:rPr>
                <w:rFonts w:ascii="宋体"/>
                <w:vanish/>
              </w:rPr>
            </w:pPr>
          </w:p>
        </w:tc>
      </w:tr>
      <w:tr w:rsidR="00960BB8" w14:paraId="5A1B37D1" w14:textId="77777777">
        <w:tc>
          <w:tcPr>
            <w:tcW w:w="0" w:type="auto"/>
            <w:gridSpan w:val="3"/>
            <w:shd w:val="clear" w:color="auto" w:fill="auto"/>
            <w:tcMar>
              <w:top w:w="40" w:type="dxa"/>
              <w:left w:w="20" w:type="dxa"/>
              <w:bottom w:w="40" w:type="dxa"/>
              <w:right w:w="20" w:type="dxa"/>
            </w:tcMar>
          </w:tcPr>
          <w:p w14:paraId="5A1B37CE" w14:textId="77777777" w:rsidR="00960BB8" w:rsidRDefault="00C06650">
            <w:pPr>
              <w:textAlignment w:val="top"/>
            </w:pPr>
            <w:r>
              <w:rPr>
                <w:rFonts w:ascii="Arial" w:eastAsia="宋体" w:hAnsi="Arial" w:cs="Arial"/>
                <w:color w:val="0068B5"/>
                <w:sz w:val="18"/>
                <w:szCs w:val="18"/>
              </w:rPr>
              <w:t>CODM</w:t>
            </w:r>
          </w:p>
        </w:tc>
        <w:tc>
          <w:tcPr>
            <w:tcW w:w="0" w:type="auto"/>
            <w:gridSpan w:val="3"/>
            <w:shd w:val="clear" w:color="auto" w:fill="auto"/>
            <w:tcMar>
              <w:top w:w="0" w:type="dxa"/>
              <w:left w:w="20" w:type="dxa"/>
              <w:bottom w:w="0" w:type="dxa"/>
              <w:right w:w="20" w:type="dxa"/>
            </w:tcMar>
            <w:vAlign w:val="bottom"/>
          </w:tcPr>
          <w:p w14:paraId="5A1B37C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D0" w14:textId="77777777" w:rsidR="00960BB8" w:rsidRDefault="00C06650">
            <w:pPr>
              <w:textAlignment w:val="top"/>
            </w:pPr>
            <w:r>
              <w:rPr>
                <w:rFonts w:ascii="Arial" w:eastAsia="宋体" w:hAnsi="Arial" w:cs="Arial"/>
                <w:color w:val="262626"/>
                <w:sz w:val="18"/>
                <w:szCs w:val="18"/>
              </w:rPr>
              <w:t>Chief operating decision maker</w:t>
            </w:r>
          </w:p>
        </w:tc>
      </w:tr>
      <w:tr w:rsidR="00960BB8" w14:paraId="5A1B37D5" w14:textId="77777777">
        <w:trPr>
          <w:hidden/>
        </w:trPr>
        <w:tc>
          <w:tcPr>
            <w:tcW w:w="0" w:type="auto"/>
            <w:gridSpan w:val="3"/>
            <w:shd w:val="clear" w:color="auto" w:fill="auto"/>
            <w:vAlign w:val="bottom"/>
          </w:tcPr>
          <w:p w14:paraId="5A1B37D2" w14:textId="77777777" w:rsidR="00960BB8" w:rsidRDefault="00960BB8">
            <w:pPr>
              <w:rPr>
                <w:rFonts w:ascii="宋体"/>
                <w:vanish/>
              </w:rPr>
            </w:pPr>
          </w:p>
        </w:tc>
        <w:tc>
          <w:tcPr>
            <w:tcW w:w="0" w:type="auto"/>
            <w:gridSpan w:val="3"/>
            <w:shd w:val="clear" w:color="auto" w:fill="auto"/>
            <w:vAlign w:val="bottom"/>
          </w:tcPr>
          <w:p w14:paraId="5A1B37D3" w14:textId="77777777" w:rsidR="00960BB8" w:rsidRDefault="00960BB8">
            <w:pPr>
              <w:rPr>
                <w:rFonts w:ascii="宋体"/>
                <w:vanish/>
              </w:rPr>
            </w:pPr>
          </w:p>
        </w:tc>
        <w:tc>
          <w:tcPr>
            <w:tcW w:w="0" w:type="auto"/>
            <w:gridSpan w:val="3"/>
            <w:shd w:val="clear" w:color="auto" w:fill="auto"/>
            <w:vAlign w:val="bottom"/>
          </w:tcPr>
          <w:p w14:paraId="5A1B37D4" w14:textId="77777777" w:rsidR="00960BB8" w:rsidRDefault="00960BB8">
            <w:pPr>
              <w:rPr>
                <w:rFonts w:ascii="宋体"/>
                <w:vanish/>
              </w:rPr>
            </w:pPr>
          </w:p>
        </w:tc>
      </w:tr>
      <w:tr w:rsidR="00960BB8" w14:paraId="5A1B37D9" w14:textId="77777777">
        <w:trPr>
          <w:hidden/>
        </w:trPr>
        <w:tc>
          <w:tcPr>
            <w:tcW w:w="0" w:type="auto"/>
            <w:gridSpan w:val="3"/>
            <w:shd w:val="clear" w:color="auto" w:fill="auto"/>
            <w:vAlign w:val="bottom"/>
          </w:tcPr>
          <w:p w14:paraId="5A1B37D6" w14:textId="77777777" w:rsidR="00960BB8" w:rsidRDefault="00960BB8">
            <w:pPr>
              <w:rPr>
                <w:rFonts w:ascii="宋体"/>
                <w:vanish/>
              </w:rPr>
            </w:pPr>
          </w:p>
        </w:tc>
        <w:tc>
          <w:tcPr>
            <w:tcW w:w="0" w:type="auto"/>
            <w:gridSpan w:val="3"/>
            <w:shd w:val="clear" w:color="auto" w:fill="auto"/>
            <w:vAlign w:val="bottom"/>
          </w:tcPr>
          <w:p w14:paraId="5A1B37D7" w14:textId="77777777" w:rsidR="00960BB8" w:rsidRDefault="00960BB8">
            <w:pPr>
              <w:rPr>
                <w:rFonts w:ascii="宋体"/>
                <w:vanish/>
              </w:rPr>
            </w:pPr>
          </w:p>
        </w:tc>
        <w:tc>
          <w:tcPr>
            <w:tcW w:w="0" w:type="auto"/>
            <w:gridSpan w:val="3"/>
            <w:shd w:val="clear" w:color="auto" w:fill="auto"/>
            <w:vAlign w:val="bottom"/>
          </w:tcPr>
          <w:p w14:paraId="5A1B37D8" w14:textId="77777777" w:rsidR="00960BB8" w:rsidRDefault="00960BB8">
            <w:pPr>
              <w:rPr>
                <w:rFonts w:ascii="宋体"/>
                <w:vanish/>
              </w:rPr>
            </w:pPr>
          </w:p>
        </w:tc>
      </w:tr>
      <w:tr w:rsidR="00960BB8" w14:paraId="5A1B37DD" w14:textId="77777777">
        <w:tc>
          <w:tcPr>
            <w:tcW w:w="0" w:type="auto"/>
            <w:gridSpan w:val="3"/>
            <w:shd w:val="clear" w:color="auto" w:fill="auto"/>
            <w:tcMar>
              <w:top w:w="40" w:type="dxa"/>
              <w:left w:w="20" w:type="dxa"/>
              <w:bottom w:w="40" w:type="dxa"/>
              <w:right w:w="20" w:type="dxa"/>
            </w:tcMar>
          </w:tcPr>
          <w:p w14:paraId="5A1B37DA" w14:textId="77777777" w:rsidR="00960BB8" w:rsidRDefault="00C06650">
            <w:pPr>
              <w:textAlignment w:val="top"/>
            </w:pPr>
            <w:r>
              <w:rPr>
                <w:rFonts w:ascii="Arial" w:eastAsia="宋体" w:hAnsi="Arial" w:cs="Arial"/>
                <w:color w:val="0068B5"/>
                <w:sz w:val="18"/>
                <w:szCs w:val="18"/>
              </w:rPr>
              <w:t>CoSP</w:t>
            </w:r>
          </w:p>
        </w:tc>
        <w:tc>
          <w:tcPr>
            <w:tcW w:w="0" w:type="auto"/>
            <w:gridSpan w:val="3"/>
            <w:shd w:val="clear" w:color="auto" w:fill="auto"/>
            <w:tcMar>
              <w:top w:w="0" w:type="dxa"/>
              <w:left w:w="20" w:type="dxa"/>
              <w:bottom w:w="0" w:type="dxa"/>
              <w:right w:w="20" w:type="dxa"/>
            </w:tcMar>
            <w:vAlign w:val="bottom"/>
          </w:tcPr>
          <w:p w14:paraId="5A1B37D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DC" w14:textId="77777777" w:rsidR="00960BB8" w:rsidRDefault="00C06650">
            <w:pPr>
              <w:textAlignment w:val="top"/>
            </w:pPr>
            <w:r>
              <w:rPr>
                <w:rFonts w:ascii="Arial" w:eastAsia="宋体" w:hAnsi="Arial" w:cs="Arial"/>
                <w:color w:val="262626"/>
                <w:sz w:val="18"/>
                <w:szCs w:val="18"/>
              </w:rPr>
              <w:t>Communication service provider</w:t>
            </w:r>
          </w:p>
        </w:tc>
      </w:tr>
      <w:tr w:rsidR="00960BB8" w14:paraId="5A1B37E1" w14:textId="77777777">
        <w:tc>
          <w:tcPr>
            <w:tcW w:w="0" w:type="auto"/>
            <w:gridSpan w:val="3"/>
            <w:shd w:val="clear" w:color="auto" w:fill="auto"/>
            <w:tcMar>
              <w:top w:w="40" w:type="dxa"/>
              <w:left w:w="20" w:type="dxa"/>
              <w:bottom w:w="40" w:type="dxa"/>
              <w:right w:w="20" w:type="dxa"/>
            </w:tcMar>
          </w:tcPr>
          <w:p w14:paraId="5A1B37DE" w14:textId="77777777" w:rsidR="00960BB8" w:rsidRDefault="00C06650">
            <w:pPr>
              <w:textAlignment w:val="top"/>
            </w:pPr>
            <w:r>
              <w:rPr>
                <w:rFonts w:ascii="Arial" w:eastAsia="宋体" w:hAnsi="Arial" w:cs="Arial"/>
                <w:color w:val="0068B5"/>
                <w:sz w:val="18"/>
                <w:szCs w:val="18"/>
              </w:rPr>
              <w:t>COVID-19</w:t>
            </w:r>
          </w:p>
        </w:tc>
        <w:tc>
          <w:tcPr>
            <w:tcW w:w="0" w:type="auto"/>
            <w:gridSpan w:val="3"/>
            <w:shd w:val="clear" w:color="auto" w:fill="auto"/>
            <w:tcMar>
              <w:top w:w="0" w:type="dxa"/>
              <w:left w:w="20" w:type="dxa"/>
              <w:bottom w:w="0" w:type="dxa"/>
              <w:right w:w="20" w:type="dxa"/>
            </w:tcMar>
            <w:vAlign w:val="bottom"/>
          </w:tcPr>
          <w:p w14:paraId="5A1B37D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E0" w14:textId="77777777" w:rsidR="00960BB8" w:rsidRDefault="00C06650">
            <w:pPr>
              <w:textAlignment w:val="top"/>
            </w:pPr>
            <w:r>
              <w:rPr>
                <w:rFonts w:ascii="Arial" w:eastAsia="宋体" w:hAnsi="Arial" w:cs="Arial"/>
                <w:color w:val="262626"/>
                <w:sz w:val="18"/>
                <w:szCs w:val="18"/>
              </w:rPr>
              <w:t xml:space="preserve">The infectious disease </w:t>
            </w:r>
            <w:r>
              <w:rPr>
                <w:rFonts w:ascii="Arial" w:eastAsia="宋体" w:hAnsi="Arial" w:cs="Arial"/>
                <w:color w:val="262626"/>
                <w:sz w:val="18"/>
                <w:szCs w:val="18"/>
              </w:rPr>
              <w:t>caused by the most recently discovered coronavirus (aka SARS-CoV-2), which was declared a global pandemic by the World Health Organization</w:t>
            </w:r>
          </w:p>
        </w:tc>
      </w:tr>
      <w:tr w:rsidR="00960BB8" w14:paraId="5A1B37E5" w14:textId="77777777">
        <w:tc>
          <w:tcPr>
            <w:tcW w:w="0" w:type="auto"/>
            <w:gridSpan w:val="3"/>
            <w:shd w:val="clear" w:color="auto" w:fill="auto"/>
            <w:tcMar>
              <w:top w:w="40" w:type="dxa"/>
              <w:left w:w="20" w:type="dxa"/>
              <w:bottom w:w="40" w:type="dxa"/>
              <w:right w:w="20" w:type="dxa"/>
            </w:tcMar>
          </w:tcPr>
          <w:p w14:paraId="5A1B37E2" w14:textId="77777777" w:rsidR="00960BB8" w:rsidRDefault="00C06650">
            <w:pPr>
              <w:textAlignment w:val="top"/>
            </w:pPr>
            <w:r>
              <w:rPr>
                <w:rFonts w:ascii="Arial" w:eastAsia="宋体" w:hAnsi="Arial" w:cs="Arial"/>
                <w:color w:val="0068B5"/>
                <w:sz w:val="18"/>
                <w:szCs w:val="18"/>
              </w:rPr>
              <w:t>CPU</w:t>
            </w:r>
          </w:p>
        </w:tc>
        <w:tc>
          <w:tcPr>
            <w:tcW w:w="0" w:type="auto"/>
            <w:gridSpan w:val="3"/>
            <w:shd w:val="clear" w:color="auto" w:fill="auto"/>
            <w:tcMar>
              <w:top w:w="0" w:type="dxa"/>
              <w:left w:w="20" w:type="dxa"/>
              <w:bottom w:w="0" w:type="dxa"/>
              <w:right w:w="20" w:type="dxa"/>
            </w:tcMar>
            <w:vAlign w:val="bottom"/>
          </w:tcPr>
          <w:p w14:paraId="5A1B37E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E4" w14:textId="77777777" w:rsidR="00960BB8" w:rsidRDefault="00C06650">
            <w:pPr>
              <w:textAlignment w:val="top"/>
            </w:pPr>
            <w:r>
              <w:rPr>
                <w:rFonts w:ascii="Arial" w:eastAsia="宋体" w:hAnsi="Arial" w:cs="Arial"/>
                <w:color w:val="262626"/>
                <w:sz w:val="18"/>
                <w:szCs w:val="18"/>
              </w:rPr>
              <w:t>Processor or central processing unit</w:t>
            </w:r>
          </w:p>
        </w:tc>
      </w:tr>
      <w:tr w:rsidR="00960BB8" w14:paraId="5A1B37E9" w14:textId="77777777">
        <w:trPr>
          <w:hidden/>
        </w:trPr>
        <w:tc>
          <w:tcPr>
            <w:tcW w:w="0" w:type="auto"/>
            <w:gridSpan w:val="3"/>
            <w:shd w:val="clear" w:color="auto" w:fill="auto"/>
            <w:vAlign w:val="bottom"/>
          </w:tcPr>
          <w:p w14:paraId="5A1B37E6" w14:textId="77777777" w:rsidR="00960BB8" w:rsidRDefault="00960BB8">
            <w:pPr>
              <w:rPr>
                <w:rFonts w:ascii="宋体"/>
                <w:vanish/>
              </w:rPr>
            </w:pPr>
          </w:p>
        </w:tc>
        <w:tc>
          <w:tcPr>
            <w:tcW w:w="0" w:type="auto"/>
            <w:gridSpan w:val="3"/>
            <w:shd w:val="clear" w:color="auto" w:fill="auto"/>
            <w:vAlign w:val="bottom"/>
          </w:tcPr>
          <w:p w14:paraId="5A1B37E7" w14:textId="77777777" w:rsidR="00960BB8" w:rsidRDefault="00960BB8">
            <w:pPr>
              <w:rPr>
                <w:rFonts w:ascii="宋体"/>
                <w:vanish/>
              </w:rPr>
            </w:pPr>
          </w:p>
        </w:tc>
        <w:tc>
          <w:tcPr>
            <w:tcW w:w="0" w:type="auto"/>
            <w:gridSpan w:val="3"/>
            <w:shd w:val="clear" w:color="auto" w:fill="auto"/>
            <w:vAlign w:val="bottom"/>
          </w:tcPr>
          <w:p w14:paraId="5A1B37E8" w14:textId="77777777" w:rsidR="00960BB8" w:rsidRDefault="00960BB8">
            <w:pPr>
              <w:rPr>
                <w:rFonts w:ascii="宋体"/>
                <w:vanish/>
              </w:rPr>
            </w:pPr>
          </w:p>
        </w:tc>
      </w:tr>
      <w:tr w:rsidR="00960BB8" w14:paraId="5A1B37ED" w14:textId="77777777">
        <w:trPr>
          <w:hidden/>
        </w:trPr>
        <w:tc>
          <w:tcPr>
            <w:tcW w:w="0" w:type="auto"/>
            <w:gridSpan w:val="3"/>
            <w:shd w:val="clear" w:color="auto" w:fill="auto"/>
            <w:vAlign w:val="bottom"/>
          </w:tcPr>
          <w:p w14:paraId="5A1B37EA" w14:textId="77777777" w:rsidR="00960BB8" w:rsidRDefault="00960BB8">
            <w:pPr>
              <w:rPr>
                <w:rFonts w:ascii="宋体"/>
                <w:vanish/>
              </w:rPr>
            </w:pPr>
          </w:p>
        </w:tc>
        <w:tc>
          <w:tcPr>
            <w:tcW w:w="0" w:type="auto"/>
            <w:gridSpan w:val="3"/>
            <w:shd w:val="clear" w:color="auto" w:fill="auto"/>
            <w:vAlign w:val="bottom"/>
          </w:tcPr>
          <w:p w14:paraId="5A1B37EB" w14:textId="77777777" w:rsidR="00960BB8" w:rsidRDefault="00960BB8">
            <w:pPr>
              <w:rPr>
                <w:rFonts w:ascii="宋体"/>
                <w:vanish/>
              </w:rPr>
            </w:pPr>
          </w:p>
        </w:tc>
        <w:tc>
          <w:tcPr>
            <w:tcW w:w="0" w:type="auto"/>
            <w:gridSpan w:val="3"/>
            <w:shd w:val="clear" w:color="auto" w:fill="auto"/>
            <w:vAlign w:val="bottom"/>
          </w:tcPr>
          <w:p w14:paraId="5A1B37EC" w14:textId="77777777" w:rsidR="00960BB8" w:rsidRDefault="00960BB8">
            <w:pPr>
              <w:rPr>
                <w:rFonts w:ascii="宋体"/>
                <w:vanish/>
              </w:rPr>
            </w:pPr>
          </w:p>
        </w:tc>
      </w:tr>
      <w:tr w:rsidR="00960BB8" w14:paraId="5A1B37F1" w14:textId="77777777">
        <w:trPr>
          <w:hidden/>
        </w:trPr>
        <w:tc>
          <w:tcPr>
            <w:tcW w:w="0" w:type="auto"/>
            <w:gridSpan w:val="3"/>
            <w:shd w:val="clear" w:color="auto" w:fill="auto"/>
            <w:vAlign w:val="bottom"/>
          </w:tcPr>
          <w:p w14:paraId="5A1B37EE" w14:textId="77777777" w:rsidR="00960BB8" w:rsidRDefault="00960BB8">
            <w:pPr>
              <w:rPr>
                <w:rFonts w:ascii="宋体"/>
                <w:vanish/>
              </w:rPr>
            </w:pPr>
          </w:p>
        </w:tc>
        <w:tc>
          <w:tcPr>
            <w:tcW w:w="0" w:type="auto"/>
            <w:gridSpan w:val="3"/>
            <w:shd w:val="clear" w:color="auto" w:fill="auto"/>
            <w:vAlign w:val="bottom"/>
          </w:tcPr>
          <w:p w14:paraId="5A1B37EF" w14:textId="77777777" w:rsidR="00960BB8" w:rsidRDefault="00960BB8">
            <w:pPr>
              <w:rPr>
                <w:rFonts w:ascii="宋体"/>
                <w:vanish/>
              </w:rPr>
            </w:pPr>
          </w:p>
        </w:tc>
        <w:tc>
          <w:tcPr>
            <w:tcW w:w="0" w:type="auto"/>
            <w:gridSpan w:val="3"/>
            <w:shd w:val="clear" w:color="auto" w:fill="auto"/>
            <w:vAlign w:val="bottom"/>
          </w:tcPr>
          <w:p w14:paraId="5A1B37F0" w14:textId="77777777" w:rsidR="00960BB8" w:rsidRDefault="00960BB8">
            <w:pPr>
              <w:rPr>
                <w:rFonts w:ascii="宋体"/>
                <w:vanish/>
              </w:rPr>
            </w:pPr>
          </w:p>
        </w:tc>
      </w:tr>
      <w:tr w:rsidR="00960BB8" w14:paraId="5A1B37F5" w14:textId="77777777">
        <w:tc>
          <w:tcPr>
            <w:tcW w:w="0" w:type="auto"/>
            <w:gridSpan w:val="3"/>
            <w:shd w:val="clear" w:color="auto" w:fill="auto"/>
            <w:tcMar>
              <w:top w:w="40" w:type="dxa"/>
              <w:left w:w="20" w:type="dxa"/>
              <w:bottom w:w="40" w:type="dxa"/>
              <w:right w:w="20" w:type="dxa"/>
            </w:tcMar>
          </w:tcPr>
          <w:p w14:paraId="5A1B37F2" w14:textId="77777777" w:rsidR="00960BB8" w:rsidRDefault="00C06650">
            <w:pPr>
              <w:textAlignment w:val="top"/>
            </w:pPr>
            <w:r>
              <w:rPr>
                <w:rFonts w:ascii="Arial" w:eastAsia="宋体" w:hAnsi="Arial" w:cs="Arial"/>
                <w:color w:val="0068B5"/>
                <w:sz w:val="18"/>
                <w:szCs w:val="18"/>
              </w:rPr>
              <w:t>CSP</w:t>
            </w:r>
          </w:p>
        </w:tc>
        <w:tc>
          <w:tcPr>
            <w:tcW w:w="0" w:type="auto"/>
            <w:gridSpan w:val="3"/>
            <w:shd w:val="clear" w:color="auto" w:fill="auto"/>
            <w:tcMar>
              <w:top w:w="0" w:type="dxa"/>
              <w:left w:w="20" w:type="dxa"/>
              <w:bottom w:w="0" w:type="dxa"/>
              <w:right w:w="20" w:type="dxa"/>
            </w:tcMar>
            <w:vAlign w:val="bottom"/>
          </w:tcPr>
          <w:p w14:paraId="5A1B37F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F4" w14:textId="77777777" w:rsidR="00960BB8" w:rsidRDefault="00C06650">
            <w:pPr>
              <w:textAlignment w:val="top"/>
            </w:pPr>
            <w:r>
              <w:rPr>
                <w:rFonts w:ascii="Arial" w:eastAsia="宋体" w:hAnsi="Arial" w:cs="Arial"/>
                <w:color w:val="262626"/>
                <w:sz w:val="18"/>
                <w:szCs w:val="18"/>
              </w:rPr>
              <w:t>Cloud service provider</w:t>
            </w:r>
          </w:p>
        </w:tc>
      </w:tr>
      <w:tr w:rsidR="00960BB8" w14:paraId="5A1B37F9" w14:textId="77777777">
        <w:tc>
          <w:tcPr>
            <w:tcW w:w="0" w:type="auto"/>
            <w:gridSpan w:val="3"/>
            <w:shd w:val="clear" w:color="auto" w:fill="auto"/>
            <w:tcMar>
              <w:top w:w="40" w:type="dxa"/>
              <w:left w:w="20" w:type="dxa"/>
              <w:bottom w:w="40" w:type="dxa"/>
              <w:right w:w="20" w:type="dxa"/>
            </w:tcMar>
          </w:tcPr>
          <w:p w14:paraId="5A1B37F6" w14:textId="77777777" w:rsidR="00960BB8" w:rsidRDefault="00C06650">
            <w:pPr>
              <w:textAlignment w:val="top"/>
            </w:pPr>
            <w:r>
              <w:rPr>
                <w:rFonts w:ascii="Arial" w:eastAsia="宋体" w:hAnsi="Arial" w:cs="Arial"/>
                <w:color w:val="0068B5"/>
                <w:sz w:val="18"/>
                <w:szCs w:val="18"/>
              </w:rPr>
              <w:t>CXL</w:t>
            </w:r>
          </w:p>
        </w:tc>
        <w:tc>
          <w:tcPr>
            <w:tcW w:w="0" w:type="auto"/>
            <w:gridSpan w:val="3"/>
            <w:shd w:val="clear" w:color="auto" w:fill="auto"/>
            <w:tcMar>
              <w:top w:w="0" w:type="dxa"/>
              <w:left w:w="20" w:type="dxa"/>
              <w:bottom w:w="0" w:type="dxa"/>
              <w:right w:w="20" w:type="dxa"/>
            </w:tcMar>
            <w:vAlign w:val="bottom"/>
          </w:tcPr>
          <w:p w14:paraId="5A1B37F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F8" w14:textId="77777777" w:rsidR="00960BB8" w:rsidRDefault="00C06650">
            <w:pPr>
              <w:textAlignment w:val="top"/>
            </w:pPr>
            <w:r>
              <w:rPr>
                <w:rFonts w:ascii="Arial" w:eastAsia="宋体" w:hAnsi="Arial" w:cs="Arial"/>
                <w:color w:val="262626"/>
                <w:sz w:val="18"/>
                <w:szCs w:val="18"/>
              </w:rPr>
              <w:t xml:space="preserve">Compute Express Link; an </w:t>
            </w:r>
            <w:r>
              <w:rPr>
                <w:rFonts w:ascii="Arial" w:eastAsia="宋体" w:hAnsi="Arial" w:cs="Arial"/>
                <w:color w:val="262626"/>
                <w:sz w:val="18"/>
                <w:szCs w:val="18"/>
              </w:rPr>
              <w:t>open standard for high-speed CPU-to-device and CPU-to-memory connections</w:t>
            </w:r>
          </w:p>
        </w:tc>
      </w:tr>
      <w:tr w:rsidR="00960BB8" w14:paraId="5A1B37FD" w14:textId="77777777">
        <w:tc>
          <w:tcPr>
            <w:tcW w:w="0" w:type="auto"/>
            <w:gridSpan w:val="3"/>
            <w:shd w:val="clear" w:color="auto" w:fill="auto"/>
            <w:tcMar>
              <w:top w:w="40" w:type="dxa"/>
              <w:left w:w="20" w:type="dxa"/>
              <w:bottom w:w="40" w:type="dxa"/>
              <w:right w:w="20" w:type="dxa"/>
            </w:tcMar>
          </w:tcPr>
          <w:p w14:paraId="5A1B37FA" w14:textId="77777777" w:rsidR="00960BB8" w:rsidRDefault="00C06650">
            <w:pPr>
              <w:textAlignment w:val="top"/>
            </w:pPr>
            <w:r>
              <w:rPr>
                <w:rFonts w:ascii="Arial" w:eastAsia="宋体" w:hAnsi="Arial" w:cs="Arial"/>
                <w:color w:val="0068B5"/>
                <w:sz w:val="18"/>
                <w:szCs w:val="18"/>
              </w:rPr>
              <w:t>DCAI</w:t>
            </w:r>
          </w:p>
        </w:tc>
        <w:tc>
          <w:tcPr>
            <w:tcW w:w="0" w:type="auto"/>
            <w:gridSpan w:val="3"/>
            <w:shd w:val="clear" w:color="auto" w:fill="auto"/>
            <w:tcMar>
              <w:top w:w="0" w:type="dxa"/>
              <w:left w:w="20" w:type="dxa"/>
              <w:bottom w:w="0" w:type="dxa"/>
              <w:right w:w="20" w:type="dxa"/>
            </w:tcMar>
            <w:vAlign w:val="bottom"/>
          </w:tcPr>
          <w:p w14:paraId="5A1B37F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7FC" w14:textId="77777777" w:rsidR="00960BB8" w:rsidRDefault="00C06650">
            <w:pPr>
              <w:textAlignment w:val="top"/>
            </w:pPr>
            <w:r>
              <w:rPr>
                <w:rFonts w:ascii="Arial" w:eastAsia="宋体" w:hAnsi="Arial" w:cs="Arial"/>
                <w:color w:val="262626"/>
                <w:sz w:val="18"/>
                <w:szCs w:val="18"/>
              </w:rPr>
              <w:t>Data Center and AI operating segment</w:t>
            </w:r>
          </w:p>
        </w:tc>
      </w:tr>
      <w:tr w:rsidR="00960BB8" w14:paraId="5A1B3801" w14:textId="77777777">
        <w:tc>
          <w:tcPr>
            <w:tcW w:w="0" w:type="auto"/>
            <w:gridSpan w:val="3"/>
            <w:shd w:val="clear" w:color="auto" w:fill="auto"/>
            <w:tcMar>
              <w:top w:w="40" w:type="dxa"/>
              <w:left w:w="20" w:type="dxa"/>
              <w:bottom w:w="40" w:type="dxa"/>
              <w:right w:w="20" w:type="dxa"/>
            </w:tcMar>
          </w:tcPr>
          <w:p w14:paraId="5A1B37FE" w14:textId="77777777" w:rsidR="00960BB8" w:rsidRDefault="00C06650">
            <w:pPr>
              <w:textAlignment w:val="top"/>
            </w:pPr>
            <w:r>
              <w:rPr>
                <w:rFonts w:ascii="Arial" w:eastAsia="宋体" w:hAnsi="Arial" w:cs="Arial"/>
                <w:color w:val="0068B5"/>
                <w:sz w:val="18"/>
                <w:szCs w:val="18"/>
              </w:rPr>
              <w:t>eASIC</w:t>
            </w:r>
          </w:p>
        </w:tc>
        <w:tc>
          <w:tcPr>
            <w:tcW w:w="0" w:type="auto"/>
            <w:gridSpan w:val="3"/>
            <w:shd w:val="clear" w:color="auto" w:fill="auto"/>
            <w:tcMar>
              <w:top w:w="0" w:type="dxa"/>
              <w:left w:w="20" w:type="dxa"/>
              <w:bottom w:w="0" w:type="dxa"/>
              <w:right w:w="20" w:type="dxa"/>
            </w:tcMar>
            <w:vAlign w:val="bottom"/>
          </w:tcPr>
          <w:p w14:paraId="5A1B37F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00" w14:textId="77777777" w:rsidR="00960BB8" w:rsidRDefault="00C06650">
            <w:pPr>
              <w:textAlignment w:val="top"/>
            </w:pPr>
            <w:r>
              <w:rPr>
                <w:rFonts w:ascii="Arial" w:eastAsia="宋体" w:hAnsi="Arial" w:cs="Arial"/>
                <w:color w:val="262626"/>
                <w:sz w:val="18"/>
                <w:szCs w:val="18"/>
              </w:rPr>
              <w:t>An Intel line of structured ASICs that are an intermediary technology between FPGAs and standard-cell ASICs</w:t>
            </w:r>
          </w:p>
        </w:tc>
      </w:tr>
      <w:tr w:rsidR="00960BB8" w14:paraId="5A1B3805" w14:textId="77777777">
        <w:tc>
          <w:tcPr>
            <w:tcW w:w="0" w:type="auto"/>
            <w:gridSpan w:val="3"/>
            <w:shd w:val="clear" w:color="auto" w:fill="auto"/>
            <w:tcMar>
              <w:top w:w="40" w:type="dxa"/>
              <w:left w:w="20" w:type="dxa"/>
              <w:bottom w:w="40" w:type="dxa"/>
              <w:right w:w="20" w:type="dxa"/>
            </w:tcMar>
          </w:tcPr>
          <w:p w14:paraId="5A1B3802" w14:textId="77777777" w:rsidR="00960BB8" w:rsidRDefault="00C06650">
            <w:pPr>
              <w:textAlignment w:val="top"/>
            </w:pPr>
            <w:r>
              <w:rPr>
                <w:rFonts w:ascii="Arial" w:eastAsia="宋体" w:hAnsi="Arial" w:cs="Arial"/>
                <w:color w:val="0068B5"/>
                <w:sz w:val="18"/>
                <w:szCs w:val="18"/>
              </w:rPr>
              <w:t>EC</w:t>
            </w:r>
          </w:p>
        </w:tc>
        <w:tc>
          <w:tcPr>
            <w:tcW w:w="0" w:type="auto"/>
            <w:gridSpan w:val="3"/>
            <w:shd w:val="clear" w:color="auto" w:fill="auto"/>
            <w:tcMar>
              <w:top w:w="0" w:type="dxa"/>
              <w:left w:w="20" w:type="dxa"/>
              <w:bottom w:w="0" w:type="dxa"/>
              <w:right w:w="20" w:type="dxa"/>
            </w:tcMar>
            <w:vAlign w:val="bottom"/>
          </w:tcPr>
          <w:p w14:paraId="5A1B380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04" w14:textId="77777777" w:rsidR="00960BB8" w:rsidRDefault="00C06650">
            <w:pPr>
              <w:textAlignment w:val="top"/>
            </w:pPr>
            <w:r>
              <w:rPr>
                <w:rFonts w:ascii="Arial" w:eastAsia="宋体" w:hAnsi="Arial" w:cs="Arial"/>
                <w:color w:val="262626"/>
                <w:sz w:val="18"/>
                <w:szCs w:val="18"/>
              </w:rPr>
              <w:t>European Commissio</w:t>
            </w:r>
            <w:r>
              <w:rPr>
                <w:rFonts w:ascii="Arial" w:eastAsia="宋体" w:hAnsi="Arial" w:cs="Arial"/>
                <w:color w:val="262626"/>
                <w:sz w:val="18"/>
                <w:szCs w:val="18"/>
              </w:rPr>
              <w:t>n</w:t>
            </w:r>
          </w:p>
        </w:tc>
      </w:tr>
      <w:tr w:rsidR="00960BB8" w14:paraId="5A1B3809" w14:textId="77777777">
        <w:trPr>
          <w:hidden/>
        </w:trPr>
        <w:tc>
          <w:tcPr>
            <w:tcW w:w="0" w:type="auto"/>
            <w:gridSpan w:val="3"/>
            <w:shd w:val="clear" w:color="auto" w:fill="auto"/>
            <w:vAlign w:val="bottom"/>
          </w:tcPr>
          <w:p w14:paraId="5A1B3806" w14:textId="77777777" w:rsidR="00960BB8" w:rsidRDefault="00960BB8">
            <w:pPr>
              <w:rPr>
                <w:rFonts w:ascii="宋体"/>
                <w:vanish/>
              </w:rPr>
            </w:pPr>
          </w:p>
        </w:tc>
        <w:tc>
          <w:tcPr>
            <w:tcW w:w="0" w:type="auto"/>
            <w:gridSpan w:val="3"/>
            <w:shd w:val="clear" w:color="auto" w:fill="auto"/>
            <w:vAlign w:val="bottom"/>
          </w:tcPr>
          <w:p w14:paraId="5A1B3807" w14:textId="77777777" w:rsidR="00960BB8" w:rsidRDefault="00960BB8">
            <w:pPr>
              <w:rPr>
                <w:rFonts w:ascii="宋体"/>
                <w:vanish/>
              </w:rPr>
            </w:pPr>
          </w:p>
        </w:tc>
        <w:tc>
          <w:tcPr>
            <w:tcW w:w="0" w:type="auto"/>
            <w:gridSpan w:val="3"/>
            <w:shd w:val="clear" w:color="auto" w:fill="auto"/>
            <w:vAlign w:val="bottom"/>
          </w:tcPr>
          <w:p w14:paraId="5A1B3808" w14:textId="77777777" w:rsidR="00960BB8" w:rsidRDefault="00960BB8">
            <w:pPr>
              <w:rPr>
                <w:rFonts w:ascii="宋体"/>
                <w:vanish/>
              </w:rPr>
            </w:pPr>
          </w:p>
        </w:tc>
      </w:tr>
      <w:tr w:rsidR="00960BB8" w14:paraId="5A1B380D" w14:textId="77777777">
        <w:tc>
          <w:tcPr>
            <w:tcW w:w="0" w:type="auto"/>
            <w:gridSpan w:val="3"/>
            <w:shd w:val="clear" w:color="auto" w:fill="auto"/>
            <w:tcMar>
              <w:top w:w="40" w:type="dxa"/>
              <w:left w:w="20" w:type="dxa"/>
              <w:bottom w:w="40" w:type="dxa"/>
              <w:right w:w="20" w:type="dxa"/>
            </w:tcMar>
          </w:tcPr>
          <w:p w14:paraId="5A1B380A" w14:textId="77777777" w:rsidR="00960BB8" w:rsidRDefault="00C06650">
            <w:pPr>
              <w:textAlignment w:val="top"/>
            </w:pPr>
            <w:r>
              <w:rPr>
                <w:rFonts w:ascii="Arial" w:eastAsia="宋体" w:hAnsi="Arial" w:cs="Arial"/>
                <w:color w:val="0068B5"/>
                <w:sz w:val="18"/>
                <w:szCs w:val="18"/>
              </w:rPr>
              <w:t>EDA</w:t>
            </w:r>
          </w:p>
        </w:tc>
        <w:tc>
          <w:tcPr>
            <w:tcW w:w="0" w:type="auto"/>
            <w:gridSpan w:val="3"/>
            <w:shd w:val="clear" w:color="auto" w:fill="auto"/>
            <w:tcMar>
              <w:top w:w="0" w:type="dxa"/>
              <w:left w:w="20" w:type="dxa"/>
              <w:bottom w:w="0" w:type="dxa"/>
              <w:right w:w="20" w:type="dxa"/>
            </w:tcMar>
            <w:vAlign w:val="bottom"/>
          </w:tcPr>
          <w:p w14:paraId="5A1B380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0C" w14:textId="77777777" w:rsidR="00960BB8" w:rsidRDefault="00C06650">
            <w:pPr>
              <w:textAlignment w:val="top"/>
            </w:pPr>
            <w:r>
              <w:rPr>
                <w:rFonts w:ascii="Arial" w:eastAsia="宋体" w:hAnsi="Arial" w:cs="Arial"/>
                <w:color w:val="262626"/>
                <w:sz w:val="18"/>
                <w:szCs w:val="18"/>
              </w:rPr>
              <w:t>Electronic design automation, tools used to design and verify electronic systems, such as integrated circuits and printed circuit boards</w:t>
            </w:r>
          </w:p>
        </w:tc>
      </w:tr>
      <w:tr w:rsidR="00960BB8" w14:paraId="5A1B3811" w14:textId="77777777">
        <w:tc>
          <w:tcPr>
            <w:tcW w:w="0" w:type="auto"/>
            <w:gridSpan w:val="3"/>
            <w:shd w:val="clear" w:color="auto" w:fill="auto"/>
            <w:tcMar>
              <w:top w:w="40" w:type="dxa"/>
              <w:left w:w="20" w:type="dxa"/>
              <w:bottom w:w="40" w:type="dxa"/>
              <w:right w:w="20" w:type="dxa"/>
            </w:tcMar>
          </w:tcPr>
          <w:p w14:paraId="5A1B380E" w14:textId="77777777" w:rsidR="00960BB8" w:rsidRDefault="00C06650">
            <w:pPr>
              <w:textAlignment w:val="top"/>
            </w:pPr>
            <w:r>
              <w:rPr>
                <w:rFonts w:ascii="Arial" w:eastAsia="宋体" w:hAnsi="Arial" w:cs="Arial"/>
                <w:color w:val="0068B5"/>
                <w:sz w:val="18"/>
                <w:szCs w:val="18"/>
              </w:rPr>
              <w:t>Edge computing or intelligent edge</w:t>
            </w:r>
          </w:p>
        </w:tc>
        <w:tc>
          <w:tcPr>
            <w:tcW w:w="0" w:type="auto"/>
            <w:gridSpan w:val="3"/>
            <w:shd w:val="clear" w:color="auto" w:fill="auto"/>
            <w:tcMar>
              <w:top w:w="0" w:type="dxa"/>
              <w:left w:w="20" w:type="dxa"/>
              <w:bottom w:w="0" w:type="dxa"/>
              <w:right w:w="20" w:type="dxa"/>
            </w:tcMar>
            <w:vAlign w:val="bottom"/>
          </w:tcPr>
          <w:p w14:paraId="5A1B380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10" w14:textId="77777777" w:rsidR="00960BB8" w:rsidRDefault="00C06650">
            <w:pPr>
              <w:textAlignment w:val="top"/>
            </w:pPr>
            <w:r>
              <w:rPr>
                <w:rFonts w:ascii="Arial" w:eastAsia="宋体" w:hAnsi="Arial" w:cs="Arial"/>
                <w:color w:val="262626"/>
                <w:sz w:val="18"/>
                <w:szCs w:val="18"/>
              </w:rPr>
              <w:t xml:space="preserve">The placement of resources to move, store, and process data </w:t>
            </w:r>
            <w:r>
              <w:rPr>
                <w:rFonts w:ascii="Arial" w:eastAsia="宋体" w:hAnsi="Arial" w:cs="Arial"/>
                <w:color w:val="262626"/>
                <w:sz w:val="18"/>
                <w:szCs w:val="18"/>
              </w:rPr>
              <w:t>closer to where data is generated and consumed</w:t>
            </w:r>
          </w:p>
        </w:tc>
      </w:tr>
      <w:tr w:rsidR="00960BB8" w14:paraId="5A1B3815" w14:textId="77777777">
        <w:tc>
          <w:tcPr>
            <w:tcW w:w="0" w:type="auto"/>
            <w:gridSpan w:val="3"/>
            <w:shd w:val="clear" w:color="auto" w:fill="auto"/>
            <w:tcMar>
              <w:top w:w="40" w:type="dxa"/>
              <w:left w:w="20" w:type="dxa"/>
              <w:bottom w:w="40" w:type="dxa"/>
              <w:right w:w="20" w:type="dxa"/>
            </w:tcMar>
          </w:tcPr>
          <w:p w14:paraId="5A1B3812" w14:textId="77777777" w:rsidR="00960BB8" w:rsidRDefault="00C06650">
            <w:pPr>
              <w:textAlignment w:val="top"/>
            </w:pPr>
            <w:r>
              <w:rPr>
                <w:rFonts w:ascii="Arial" w:eastAsia="宋体" w:hAnsi="Arial" w:cs="Arial"/>
                <w:color w:val="0068B5"/>
                <w:sz w:val="18"/>
                <w:szCs w:val="18"/>
              </w:rPr>
              <w:t>EEO-1</w:t>
            </w:r>
          </w:p>
        </w:tc>
        <w:tc>
          <w:tcPr>
            <w:tcW w:w="0" w:type="auto"/>
            <w:gridSpan w:val="3"/>
            <w:shd w:val="clear" w:color="auto" w:fill="auto"/>
            <w:tcMar>
              <w:top w:w="0" w:type="dxa"/>
              <w:left w:w="20" w:type="dxa"/>
              <w:bottom w:w="0" w:type="dxa"/>
              <w:right w:w="20" w:type="dxa"/>
            </w:tcMar>
            <w:vAlign w:val="bottom"/>
          </w:tcPr>
          <w:p w14:paraId="5A1B381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14" w14:textId="77777777" w:rsidR="00960BB8" w:rsidRDefault="00C06650">
            <w:pPr>
              <w:textAlignment w:val="top"/>
            </w:pPr>
            <w:r>
              <w:rPr>
                <w:rFonts w:ascii="Arial" w:eastAsia="宋体" w:hAnsi="Arial" w:cs="Arial"/>
                <w:color w:val="262626"/>
                <w:sz w:val="18"/>
                <w:szCs w:val="18"/>
              </w:rPr>
              <w:t>EEO-1 Component 1 report; a mandatory annual data collection that requires employers meeting certain criteria to submit demographic workforce data, including data by race/ethnicity, sex, and job catego</w:t>
            </w:r>
            <w:r>
              <w:rPr>
                <w:rFonts w:ascii="Arial" w:eastAsia="宋体" w:hAnsi="Arial" w:cs="Arial"/>
                <w:color w:val="262626"/>
                <w:sz w:val="18"/>
                <w:szCs w:val="18"/>
              </w:rPr>
              <w:t xml:space="preserve">ries. </w:t>
            </w:r>
          </w:p>
        </w:tc>
      </w:tr>
      <w:tr w:rsidR="00960BB8" w14:paraId="5A1B3819" w14:textId="77777777">
        <w:trPr>
          <w:hidden/>
        </w:trPr>
        <w:tc>
          <w:tcPr>
            <w:tcW w:w="0" w:type="auto"/>
            <w:gridSpan w:val="3"/>
            <w:shd w:val="clear" w:color="auto" w:fill="auto"/>
            <w:vAlign w:val="bottom"/>
          </w:tcPr>
          <w:p w14:paraId="5A1B3816" w14:textId="77777777" w:rsidR="00960BB8" w:rsidRDefault="00960BB8">
            <w:pPr>
              <w:rPr>
                <w:rFonts w:ascii="宋体"/>
                <w:vanish/>
              </w:rPr>
            </w:pPr>
          </w:p>
        </w:tc>
        <w:tc>
          <w:tcPr>
            <w:tcW w:w="0" w:type="auto"/>
            <w:gridSpan w:val="3"/>
            <w:shd w:val="clear" w:color="auto" w:fill="auto"/>
            <w:vAlign w:val="bottom"/>
          </w:tcPr>
          <w:p w14:paraId="5A1B3817" w14:textId="77777777" w:rsidR="00960BB8" w:rsidRDefault="00960BB8">
            <w:pPr>
              <w:rPr>
                <w:rFonts w:ascii="宋体"/>
                <w:vanish/>
              </w:rPr>
            </w:pPr>
          </w:p>
        </w:tc>
        <w:tc>
          <w:tcPr>
            <w:tcW w:w="0" w:type="auto"/>
            <w:gridSpan w:val="3"/>
            <w:shd w:val="clear" w:color="auto" w:fill="auto"/>
            <w:vAlign w:val="bottom"/>
          </w:tcPr>
          <w:p w14:paraId="5A1B3818" w14:textId="77777777" w:rsidR="00960BB8" w:rsidRDefault="00960BB8">
            <w:pPr>
              <w:rPr>
                <w:rFonts w:ascii="宋体"/>
                <w:vanish/>
              </w:rPr>
            </w:pPr>
          </w:p>
        </w:tc>
      </w:tr>
      <w:tr w:rsidR="00960BB8" w14:paraId="5A1B381D" w14:textId="77777777">
        <w:tc>
          <w:tcPr>
            <w:tcW w:w="0" w:type="auto"/>
            <w:gridSpan w:val="3"/>
            <w:shd w:val="clear" w:color="auto" w:fill="auto"/>
            <w:tcMar>
              <w:top w:w="40" w:type="dxa"/>
              <w:left w:w="20" w:type="dxa"/>
              <w:bottom w:w="40" w:type="dxa"/>
              <w:right w:w="20" w:type="dxa"/>
            </w:tcMar>
          </w:tcPr>
          <w:p w14:paraId="5A1B381A" w14:textId="77777777" w:rsidR="00960BB8" w:rsidRDefault="00C06650">
            <w:pPr>
              <w:textAlignment w:val="top"/>
            </w:pPr>
            <w:r>
              <w:rPr>
                <w:rFonts w:ascii="Arial" w:eastAsia="宋体" w:hAnsi="Arial" w:cs="Arial"/>
                <w:color w:val="0068B5"/>
                <w:sz w:val="18"/>
                <w:szCs w:val="18"/>
              </w:rPr>
              <w:t>EMIB</w:t>
            </w:r>
          </w:p>
        </w:tc>
        <w:tc>
          <w:tcPr>
            <w:tcW w:w="0" w:type="auto"/>
            <w:gridSpan w:val="3"/>
            <w:shd w:val="clear" w:color="auto" w:fill="auto"/>
            <w:tcMar>
              <w:top w:w="0" w:type="dxa"/>
              <w:left w:w="20" w:type="dxa"/>
              <w:bottom w:w="0" w:type="dxa"/>
              <w:right w:w="20" w:type="dxa"/>
            </w:tcMar>
            <w:vAlign w:val="bottom"/>
          </w:tcPr>
          <w:p w14:paraId="5A1B381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1C" w14:textId="77777777" w:rsidR="00960BB8" w:rsidRDefault="00C06650">
            <w:pPr>
              <w:textAlignment w:val="top"/>
            </w:pPr>
            <w:r>
              <w:rPr>
                <w:rFonts w:ascii="Arial" w:eastAsia="宋体" w:hAnsi="Arial" w:cs="Arial"/>
                <w:color w:val="262626"/>
                <w:sz w:val="18"/>
                <w:szCs w:val="18"/>
              </w:rPr>
              <w:t>Embedded multi-die interconnect bridge, a form of "2.5D" packaging technology developed by Intel that enables high-density interconnect of heterogeneous chips</w:t>
            </w:r>
          </w:p>
        </w:tc>
      </w:tr>
      <w:tr w:rsidR="00960BB8" w14:paraId="5A1B3821" w14:textId="77777777">
        <w:tc>
          <w:tcPr>
            <w:tcW w:w="0" w:type="auto"/>
            <w:gridSpan w:val="3"/>
            <w:shd w:val="clear" w:color="auto" w:fill="auto"/>
            <w:tcMar>
              <w:top w:w="40" w:type="dxa"/>
              <w:left w:w="20" w:type="dxa"/>
              <w:bottom w:w="40" w:type="dxa"/>
              <w:right w:w="20" w:type="dxa"/>
            </w:tcMar>
          </w:tcPr>
          <w:p w14:paraId="5A1B381E" w14:textId="77777777" w:rsidR="00960BB8" w:rsidRDefault="00C06650">
            <w:pPr>
              <w:textAlignment w:val="top"/>
            </w:pPr>
            <w:r>
              <w:rPr>
                <w:rFonts w:ascii="Arial" w:eastAsia="宋体" w:hAnsi="Arial" w:cs="Arial"/>
                <w:color w:val="0068B5"/>
                <w:sz w:val="18"/>
                <w:szCs w:val="18"/>
              </w:rPr>
              <w:t>EPS</w:t>
            </w:r>
          </w:p>
        </w:tc>
        <w:tc>
          <w:tcPr>
            <w:tcW w:w="0" w:type="auto"/>
            <w:gridSpan w:val="3"/>
            <w:shd w:val="clear" w:color="auto" w:fill="auto"/>
            <w:tcMar>
              <w:top w:w="0" w:type="dxa"/>
              <w:left w:w="20" w:type="dxa"/>
              <w:bottom w:w="0" w:type="dxa"/>
              <w:right w:w="20" w:type="dxa"/>
            </w:tcMar>
            <w:vAlign w:val="bottom"/>
          </w:tcPr>
          <w:p w14:paraId="5A1B381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20" w14:textId="77777777" w:rsidR="00960BB8" w:rsidRDefault="00C06650">
            <w:pPr>
              <w:textAlignment w:val="top"/>
            </w:pPr>
            <w:r>
              <w:rPr>
                <w:rFonts w:ascii="Arial" w:eastAsia="宋体" w:hAnsi="Arial" w:cs="Arial"/>
                <w:color w:val="262626"/>
                <w:sz w:val="18"/>
                <w:szCs w:val="18"/>
              </w:rPr>
              <w:t>Earnings per share</w:t>
            </w:r>
          </w:p>
        </w:tc>
      </w:tr>
      <w:tr w:rsidR="00960BB8" w14:paraId="5A1B3825" w14:textId="77777777">
        <w:tc>
          <w:tcPr>
            <w:tcW w:w="0" w:type="auto"/>
            <w:gridSpan w:val="3"/>
            <w:shd w:val="clear" w:color="auto" w:fill="auto"/>
            <w:tcMar>
              <w:top w:w="40" w:type="dxa"/>
              <w:left w:w="20" w:type="dxa"/>
              <w:bottom w:w="40" w:type="dxa"/>
              <w:right w:w="20" w:type="dxa"/>
            </w:tcMar>
          </w:tcPr>
          <w:p w14:paraId="5A1B3822" w14:textId="77777777" w:rsidR="00960BB8" w:rsidRDefault="00C06650">
            <w:pPr>
              <w:textAlignment w:val="top"/>
            </w:pPr>
            <w:r>
              <w:rPr>
                <w:rFonts w:ascii="Arial" w:eastAsia="宋体" w:hAnsi="Arial" w:cs="Arial"/>
                <w:color w:val="0068B5"/>
                <w:sz w:val="18"/>
                <w:szCs w:val="18"/>
              </w:rPr>
              <w:t>ERISA</w:t>
            </w:r>
          </w:p>
        </w:tc>
        <w:tc>
          <w:tcPr>
            <w:tcW w:w="0" w:type="auto"/>
            <w:gridSpan w:val="3"/>
            <w:shd w:val="clear" w:color="auto" w:fill="auto"/>
            <w:tcMar>
              <w:top w:w="0" w:type="dxa"/>
              <w:left w:w="20" w:type="dxa"/>
              <w:bottom w:w="0" w:type="dxa"/>
              <w:right w:w="20" w:type="dxa"/>
            </w:tcMar>
            <w:vAlign w:val="bottom"/>
          </w:tcPr>
          <w:p w14:paraId="5A1B382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824" w14:textId="77777777" w:rsidR="00960BB8" w:rsidRDefault="00C06650">
            <w:pPr>
              <w:textAlignment w:val="bottom"/>
            </w:pPr>
            <w:r>
              <w:rPr>
                <w:rFonts w:ascii="Arial" w:eastAsia="宋体" w:hAnsi="Arial" w:cs="Arial"/>
                <w:color w:val="262626"/>
                <w:sz w:val="18"/>
                <w:szCs w:val="18"/>
              </w:rPr>
              <w:t>Employee Retirement Income Security Act</w:t>
            </w:r>
          </w:p>
        </w:tc>
      </w:tr>
      <w:tr w:rsidR="00960BB8" w14:paraId="5A1B3829" w14:textId="77777777">
        <w:tc>
          <w:tcPr>
            <w:tcW w:w="0" w:type="auto"/>
            <w:gridSpan w:val="3"/>
            <w:shd w:val="clear" w:color="auto" w:fill="auto"/>
            <w:tcMar>
              <w:top w:w="40" w:type="dxa"/>
              <w:left w:w="20" w:type="dxa"/>
              <w:bottom w:w="40" w:type="dxa"/>
              <w:right w:w="20" w:type="dxa"/>
            </w:tcMar>
          </w:tcPr>
          <w:p w14:paraId="5A1B3826" w14:textId="77777777" w:rsidR="00960BB8" w:rsidRDefault="00C06650">
            <w:pPr>
              <w:textAlignment w:val="top"/>
            </w:pPr>
            <w:r>
              <w:rPr>
                <w:rFonts w:ascii="Arial" w:eastAsia="宋体" w:hAnsi="Arial" w:cs="Arial"/>
                <w:color w:val="0068B5"/>
                <w:sz w:val="18"/>
                <w:szCs w:val="18"/>
              </w:rPr>
              <w:t>ESG</w:t>
            </w:r>
          </w:p>
        </w:tc>
        <w:tc>
          <w:tcPr>
            <w:tcW w:w="0" w:type="auto"/>
            <w:gridSpan w:val="3"/>
            <w:shd w:val="clear" w:color="auto" w:fill="auto"/>
            <w:tcMar>
              <w:top w:w="0" w:type="dxa"/>
              <w:left w:w="20" w:type="dxa"/>
              <w:bottom w:w="0" w:type="dxa"/>
              <w:right w:w="20" w:type="dxa"/>
            </w:tcMar>
            <w:vAlign w:val="bottom"/>
          </w:tcPr>
          <w:p w14:paraId="5A1B382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828" w14:textId="77777777" w:rsidR="00960BB8" w:rsidRDefault="00C06650">
            <w:pPr>
              <w:textAlignment w:val="bottom"/>
            </w:pPr>
            <w:r>
              <w:rPr>
                <w:rFonts w:ascii="Arial" w:eastAsia="宋体" w:hAnsi="Arial" w:cs="Arial"/>
                <w:color w:val="262626"/>
                <w:sz w:val="18"/>
                <w:szCs w:val="18"/>
              </w:rPr>
              <w:t>Environmental, social, and governance</w:t>
            </w:r>
          </w:p>
        </w:tc>
      </w:tr>
      <w:tr w:rsidR="00960BB8" w14:paraId="5A1B382D" w14:textId="77777777">
        <w:trPr>
          <w:hidden/>
        </w:trPr>
        <w:tc>
          <w:tcPr>
            <w:tcW w:w="0" w:type="auto"/>
            <w:gridSpan w:val="3"/>
            <w:shd w:val="clear" w:color="auto" w:fill="auto"/>
            <w:vAlign w:val="bottom"/>
          </w:tcPr>
          <w:p w14:paraId="5A1B382A" w14:textId="77777777" w:rsidR="00960BB8" w:rsidRDefault="00960BB8">
            <w:pPr>
              <w:rPr>
                <w:rFonts w:ascii="宋体"/>
                <w:vanish/>
              </w:rPr>
            </w:pPr>
          </w:p>
        </w:tc>
        <w:tc>
          <w:tcPr>
            <w:tcW w:w="0" w:type="auto"/>
            <w:gridSpan w:val="3"/>
            <w:shd w:val="clear" w:color="auto" w:fill="auto"/>
            <w:vAlign w:val="bottom"/>
          </w:tcPr>
          <w:p w14:paraId="5A1B382B" w14:textId="77777777" w:rsidR="00960BB8" w:rsidRDefault="00960BB8">
            <w:pPr>
              <w:rPr>
                <w:rFonts w:ascii="宋体"/>
                <w:vanish/>
              </w:rPr>
            </w:pPr>
          </w:p>
        </w:tc>
        <w:tc>
          <w:tcPr>
            <w:tcW w:w="0" w:type="auto"/>
            <w:gridSpan w:val="3"/>
            <w:shd w:val="clear" w:color="auto" w:fill="auto"/>
            <w:vAlign w:val="bottom"/>
          </w:tcPr>
          <w:p w14:paraId="5A1B382C" w14:textId="77777777" w:rsidR="00960BB8" w:rsidRDefault="00960BB8">
            <w:pPr>
              <w:rPr>
                <w:rFonts w:ascii="宋体"/>
                <w:vanish/>
              </w:rPr>
            </w:pPr>
          </w:p>
        </w:tc>
      </w:tr>
      <w:tr w:rsidR="00960BB8" w14:paraId="5A1B3831" w14:textId="77777777">
        <w:trPr>
          <w:hidden/>
        </w:trPr>
        <w:tc>
          <w:tcPr>
            <w:tcW w:w="0" w:type="auto"/>
            <w:gridSpan w:val="3"/>
            <w:shd w:val="clear" w:color="auto" w:fill="auto"/>
            <w:vAlign w:val="bottom"/>
          </w:tcPr>
          <w:p w14:paraId="5A1B382E" w14:textId="77777777" w:rsidR="00960BB8" w:rsidRDefault="00960BB8">
            <w:pPr>
              <w:rPr>
                <w:rFonts w:ascii="宋体"/>
                <w:vanish/>
              </w:rPr>
            </w:pPr>
          </w:p>
        </w:tc>
        <w:tc>
          <w:tcPr>
            <w:tcW w:w="0" w:type="auto"/>
            <w:gridSpan w:val="3"/>
            <w:shd w:val="clear" w:color="auto" w:fill="auto"/>
            <w:vAlign w:val="bottom"/>
          </w:tcPr>
          <w:p w14:paraId="5A1B382F" w14:textId="77777777" w:rsidR="00960BB8" w:rsidRDefault="00960BB8">
            <w:pPr>
              <w:rPr>
                <w:rFonts w:ascii="宋体"/>
                <w:vanish/>
              </w:rPr>
            </w:pPr>
          </w:p>
        </w:tc>
        <w:tc>
          <w:tcPr>
            <w:tcW w:w="0" w:type="auto"/>
            <w:gridSpan w:val="3"/>
            <w:shd w:val="clear" w:color="auto" w:fill="auto"/>
            <w:vAlign w:val="bottom"/>
          </w:tcPr>
          <w:p w14:paraId="5A1B3830" w14:textId="77777777" w:rsidR="00960BB8" w:rsidRDefault="00960BB8">
            <w:pPr>
              <w:rPr>
                <w:rFonts w:ascii="宋体"/>
                <w:vanish/>
              </w:rPr>
            </w:pPr>
          </w:p>
        </w:tc>
      </w:tr>
      <w:tr w:rsidR="00960BB8" w14:paraId="5A1B3835" w14:textId="77777777">
        <w:tc>
          <w:tcPr>
            <w:tcW w:w="0" w:type="auto"/>
            <w:gridSpan w:val="3"/>
            <w:shd w:val="clear" w:color="auto" w:fill="auto"/>
            <w:tcMar>
              <w:top w:w="40" w:type="dxa"/>
              <w:left w:w="20" w:type="dxa"/>
              <w:bottom w:w="40" w:type="dxa"/>
              <w:right w:w="20" w:type="dxa"/>
            </w:tcMar>
          </w:tcPr>
          <w:p w14:paraId="5A1B3832" w14:textId="77777777" w:rsidR="00960BB8" w:rsidRDefault="00C06650">
            <w:pPr>
              <w:textAlignment w:val="top"/>
            </w:pPr>
            <w:r>
              <w:rPr>
                <w:rFonts w:ascii="Arial" w:eastAsia="宋体" w:hAnsi="Arial" w:cs="Arial"/>
                <w:color w:val="0068B5"/>
                <w:sz w:val="18"/>
                <w:szCs w:val="18"/>
              </w:rPr>
              <w:t>EUV</w:t>
            </w:r>
          </w:p>
        </w:tc>
        <w:tc>
          <w:tcPr>
            <w:tcW w:w="0" w:type="auto"/>
            <w:gridSpan w:val="3"/>
            <w:shd w:val="clear" w:color="auto" w:fill="auto"/>
            <w:tcMar>
              <w:top w:w="0" w:type="dxa"/>
              <w:left w:w="20" w:type="dxa"/>
              <w:bottom w:w="0" w:type="dxa"/>
              <w:right w:w="20" w:type="dxa"/>
            </w:tcMar>
            <w:vAlign w:val="bottom"/>
          </w:tcPr>
          <w:p w14:paraId="5A1B383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34" w14:textId="77777777" w:rsidR="00960BB8" w:rsidRDefault="00C06650">
            <w:pPr>
              <w:textAlignment w:val="top"/>
            </w:pPr>
            <w:r>
              <w:rPr>
                <w:rFonts w:ascii="Arial" w:eastAsia="宋体" w:hAnsi="Arial" w:cs="Arial"/>
                <w:color w:val="262626"/>
                <w:sz w:val="18"/>
                <w:szCs w:val="18"/>
              </w:rPr>
              <w:t>Extreme ultraviolet lithography</w:t>
            </w:r>
          </w:p>
        </w:tc>
      </w:tr>
      <w:tr w:rsidR="00960BB8" w14:paraId="5A1B3839" w14:textId="77777777">
        <w:tc>
          <w:tcPr>
            <w:tcW w:w="0" w:type="auto"/>
            <w:gridSpan w:val="3"/>
            <w:shd w:val="clear" w:color="auto" w:fill="auto"/>
            <w:tcMar>
              <w:top w:w="40" w:type="dxa"/>
              <w:left w:w="20" w:type="dxa"/>
              <w:bottom w:w="40" w:type="dxa"/>
              <w:right w:w="20" w:type="dxa"/>
            </w:tcMar>
          </w:tcPr>
          <w:p w14:paraId="5A1B3836" w14:textId="77777777" w:rsidR="00960BB8" w:rsidRDefault="00C06650">
            <w:pPr>
              <w:textAlignment w:val="top"/>
            </w:pPr>
            <w:r>
              <w:rPr>
                <w:rFonts w:ascii="Arial" w:eastAsia="宋体" w:hAnsi="Arial" w:cs="Arial"/>
                <w:color w:val="0068B5"/>
                <w:sz w:val="18"/>
                <w:szCs w:val="18"/>
              </w:rPr>
              <w:t>Exchange Act</w:t>
            </w:r>
          </w:p>
        </w:tc>
        <w:tc>
          <w:tcPr>
            <w:tcW w:w="0" w:type="auto"/>
            <w:gridSpan w:val="3"/>
            <w:shd w:val="clear" w:color="auto" w:fill="auto"/>
            <w:tcMar>
              <w:top w:w="0" w:type="dxa"/>
              <w:left w:w="20" w:type="dxa"/>
              <w:bottom w:w="0" w:type="dxa"/>
              <w:right w:w="20" w:type="dxa"/>
            </w:tcMar>
            <w:vAlign w:val="bottom"/>
          </w:tcPr>
          <w:p w14:paraId="5A1B383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38" w14:textId="77777777" w:rsidR="00960BB8" w:rsidRDefault="00C06650">
            <w:pPr>
              <w:textAlignment w:val="top"/>
            </w:pPr>
            <w:r>
              <w:rPr>
                <w:rFonts w:ascii="Arial" w:eastAsia="宋体" w:hAnsi="Arial" w:cs="Arial"/>
                <w:color w:val="262626"/>
                <w:sz w:val="18"/>
                <w:szCs w:val="18"/>
              </w:rPr>
              <w:t>Securities Exchange Act of 1934</w:t>
            </w:r>
          </w:p>
        </w:tc>
      </w:tr>
      <w:tr w:rsidR="00960BB8" w14:paraId="5A1B383D" w14:textId="77777777">
        <w:tc>
          <w:tcPr>
            <w:tcW w:w="0" w:type="auto"/>
            <w:gridSpan w:val="3"/>
            <w:shd w:val="clear" w:color="auto" w:fill="auto"/>
            <w:tcMar>
              <w:top w:w="40" w:type="dxa"/>
              <w:left w:w="20" w:type="dxa"/>
              <w:bottom w:w="40" w:type="dxa"/>
              <w:right w:w="20" w:type="dxa"/>
            </w:tcMar>
          </w:tcPr>
          <w:p w14:paraId="5A1B383A" w14:textId="77777777" w:rsidR="00960BB8" w:rsidRDefault="00C06650">
            <w:pPr>
              <w:textAlignment w:val="top"/>
            </w:pPr>
            <w:r>
              <w:rPr>
                <w:rFonts w:ascii="Arial" w:eastAsia="宋体" w:hAnsi="Arial" w:cs="Arial"/>
                <w:color w:val="0068B5"/>
                <w:sz w:val="18"/>
                <w:szCs w:val="18"/>
              </w:rPr>
              <w:t>Form 10-K</w:t>
            </w:r>
          </w:p>
        </w:tc>
        <w:tc>
          <w:tcPr>
            <w:tcW w:w="0" w:type="auto"/>
            <w:gridSpan w:val="3"/>
            <w:shd w:val="clear" w:color="auto" w:fill="auto"/>
            <w:tcMar>
              <w:top w:w="0" w:type="dxa"/>
              <w:left w:w="20" w:type="dxa"/>
              <w:bottom w:w="0" w:type="dxa"/>
              <w:right w:w="20" w:type="dxa"/>
            </w:tcMar>
            <w:vAlign w:val="bottom"/>
          </w:tcPr>
          <w:p w14:paraId="5A1B383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3C" w14:textId="77777777" w:rsidR="00960BB8" w:rsidRDefault="00C06650">
            <w:pPr>
              <w:textAlignment w:val="top"/>
            </w:pPr>
            <w:r>
              <w:rPr>
                <w:rFonts w:ascii="Arial" w:eastAsia="宋体" w:hAnsi="Arial" w:cs="Arial"/>
                <w:color w:val="262626"/>
                <w:sz w:val="18"/>
                <w:szCs w:val="18"/>
              </w:rPr>
              <w:t>Annual Report on Form 10-K</w:t>
            </w:r>
          </w:p>
        </w:tc>
      </w:tr>
      <w:tr w:rsidR="00960BB8" w14:paraId="5A1B3841" w14:textId="77777777">
        <w:tc>
          <w:tcPr>
            <w:tcW w:w="0" w:type="auto"/>
            <w:gridSpan w:val="3"/>
            <w:shd w:val="clear" w:color="auto" w:fill="auto"/>
            <w:tcMar>
              <w:top w:w="40" w:type="dxa"/>
              <w:left w:w="20" w:type="dxa"/>
              <w:bottom w:w="40" w:type="dxa"/>
              <w:right w:w="20" w:type="dxa"/>
            </w:tcMar>
          </w:tcPr>
          <w:p w14:paraId="5A1B383E" w14:textId="77777777" w:rsidR="00960BB8" w:rsidRDefault="00C06650">
            <w:pPr>
              <w:textAlignment w:val="top"/>
            </w:pPr>
            <w:r>
              <w:rPr>
                <w:rFonts w:ascii="Arial" w:eastAsia="宋体" w:hAnsi="Arial" w:cs="Arial"/>
                <w:color w:val="0068B5"/>
                <w:sz w:val="18"/>
                <w:szCs w:val="18"/>
              </w:rPr>
              <w:t>Foveros</w:t>
            </w:r>
          </w:p>
        </w:tc>
        <w:tc>
          <w:tcPr>
            <w:tcW w:w="0" w:type="auto"/>
            <w:gridSpan w:val="3"/>
            <w:shd w:val="clear" w:color="auto" w:fill="auto"/>
            <w:tcMar>
              <w:top w:w="0" w:type="dxa"/>
              <w:left w:w="20" w:type="dxa"/>
              <w:bottom w:w="0" w:type="dxa"/>
              <w:right w:w="20" w:type="dxa"/>
            </w:tcMar>
            <w:vAlign w:val="bottom"/>
          </w:tcPr>
          <w:p w14:paraId="5A1B383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840" w14:textId="77777777" w:rsidR="00960BB8" w:rsidRDefault="00C06650">
            <w:pPr>
              <w:textAlignment w:val="bottom"/>
            </w:pPr>
            <w:r>
              <w:rPr>
                <w:rFonts w:ascii="Arial" w:eastAsia="宋体" w:hAnsi="Arial" w:cs="Arial"/>
                <w:color w:val="262626"/>
                <w:sz w:val="18"/>
                <w:szCs w:val="18"/>
              </w:rPr>
              <w:t xml:space="preserve">Intel's high-performance three-dimensional stacked chip </w:t>
            </w:r>
            <w:r>
              <w:rPr>
                <w:rFonts w:ascii="Arial" w:eastAsia="宋体" w:hAnsi="Arial" w:cs="Arial"/>
                <w:color w:val="262626"/>
                <w:sz w:val="18"/>
                <w:szCs w:val="18"/>
              </w:rPr>
              <w:t>architecture</w:t>
            </w:r>
          </w:p>
        </w:tc>
      </w:tr>
      <w:tr w:rsidR="00960BB8" w14:paraId="5A1B3845" w14:textId="77777777">
        <w:tc>
          <w:tcPr>
            <w:tcW w:w="0" w:type="auto"/>
            <w:gridSpan w:val="3"/>
            <w:shd w:val="clear" w:color="auto" w:fill="auto"/>
            <w:tcMar>
              <w:top w:w="40" w:type="dxa"/>
              <w:left w:w="20" w:type="dxa"/>
              <w:bottom w:w="40" w:type="dxa"/>
              <w:right w:w="20" w:type="dxa"/>
            </w:tcMar>
          </w:tcPr>
          <w:p w14:paraId="5A1B3842" w14:textId="77777777" w:rsidR="00960BB8" w:rsidRDefault="00C06650">
            <w:pPr>
              <w:textAlignment w:val="top"/>
            </w:pPr>
            <w:r>
              <w:rPr>
                <w:rFonts w:ascii="Arial" w:eastAsia="宋体" w:hAnsi="Arial" w:cs="Arial"/>
                <w:color w:val="0068B5"/>
                <w:sz w:val="18"/>
                <w:szCs w:val="18"/>
              </w:rPr>
              <w:t>FPGA</w:t>
            </w:r>
          </w:p>
        </w:tc>
        <w:tc>
          <w:tcPr>
            <w:tcW w:w="0" w:type="auto"/>
            <w:gridSpan w:val="3"/>
            <w:shd w:val="clear" w:color="auto" w:fill="auto"/>
            <w:tcMar>
              <w:top w:w="0" w:type="dxa"/>
              <w:left w:w="20" w:type="dxa"/>
              <w:bottom w:w="0" w:type="dxa"/>
              <w:right w:w="20" w:type="dxa"/>
            </w:tcMar>
            <w:vAlign w:val="bottom"/>
          </w:tcPr>
          <w:p w14:paraId="5A1B384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44" w14:textId="77777777" w:rsidR="00960BB8" w:rsidRDefault="00C06650">
            <w:pPr>
              <w:textAlignment w:val="top"/>
            </w:pPr>
            <w:r>
              <w:rPr>
                <w:rFonts w:ascii="Arial" w:eastAsia="宋体" w:hAnsi="Arial" w:cs="Arial"/>
                <w:color w:val="262626"/>
                <w:sz w:val="18"/>
                <w:szCs w:val="18"/>
              </w:rPr>
              <w:t>Field-programmable gate array</w:t>
            </w:r>
          </w:p>
        </w:tc>
      </w:tr>
      <w:tr w:rsidR="00960BB8" w14:paraId="5A1B3849" w14:textId="77777777">
        <w:trPr>
          <w:hidden/>
        </w:trPr>
        <w:tc>
          <w:tcPr>
            <w:tcW w:w="0" w:type="auto"/>
            <w:gridSpan w:val="3"/>
            <w:shd w:val="clear" w:color="auto" w:fill="auto"/>
            <w:vAlign w:val="bottom"/>
          </w:tcPr>
          <w:p w14:paraId="5A1B3846" w14:textId="77777777" w:rsidR="00960BB8" w:rsidRDefault="00960BB8">
            <w:pPr>
              <w:rPr>
                <w:rFonts w:ascii="宋体"/>
                <w:vanish/>
              </w:rPr>
            </w:pPr>
          </w:p>
        </w:tc>
        <w:tc>
          <w:tcPr>
            <w:tcW w:w="0" w:type="auto"/>
            <w:gridSpan w:val="3"/>
            <w:shd w:val="clear" w:color="auto" w:fill="auto"/>
            <w:vAlign w:val="bottom"/>
          </w:tcPr>
          <w:p w14:paraId="5A1B3847" w14:textId="77777777" w:rsidR="00960BB8" w:rsidRDefault="00960BB8">
            <w:pPr>
              <w:rPr>
                <w:rFonts w:ascii="宋体"/>
                <w:vanish/>
              </w:rPr>
            </w:pPr>
          </w:p>
        </w:tc>
        <w:tc>
          <w:tcPr>
            <w:tcW w:w="0" w:type="auto"/>
            <w:gridSpan w:val="3"/>
            <w:shd w:val="clear" w:color="auto" w:fill="auto"/>
            <w:vAlign w:val="bottom"/>
          </w:tcPr>
          <w:p w14:paraId="5A1B3848" w14:textId="77777777" w:rsidR="00960BB8" w:rsidRDefault="00960BB8">
            <w:pPr>
              <w:rPr>
                <w:rFonts w:ascii="宋体"/>
                <w:vanish/>
              </w:rPr>
            </w:pPr>
          </w:p>
        </w:tc>
      </w:tr>
      <w:tr w:rsidR="00960BB8" w14:paraId="5A1B384D" w14:textId="77777777">
        <w:tc>
          <w:tcPr>
            <w:tcW w:w="0" w:type="auto"/>
            <w:gridSpan w:val="3"/>
            <w:shd w:val="clear" w:color="auto" w:fill="auto"/>
            <w:tcMar>
              <w:top w:w="40" w:type="dxa"/>
              <w:left w:w="20" w:type="dxa"/>
              <w:bottom w:w="40" w:type="dxa"/>
              <w:right w:w="20" w:type="dxa"/>
            </w:tcMar>
          </w:tcPr>
          <w:p w14:paraId="5A1B384A" w14:textId="77777777" w:rsidR="00960BB8" w:rsidRDefault="00C06650">
            <w:pPr>
              <w:textAlignment w:val="top"/>
            </w:pPr>
            <w:r>
              <w:rPr>
                <w:rFonts w:ascii="Arial" w:eastAsia="宋体" w:hAnsi="Arial" w:cs="Arial"/>
                <w:color w:val="0068B5"/>
                <w:sz w:val="18"/>
                <w:szCs w:val="18"/>
              </w:rPr>
              <w:t>GPU</w:t>
            </w:r>
          </w:p>
        </w:tc>
        <w:tc>
          <w:tcPr>
            <w:tcW w:w="0" w:type="auto"/>
            <w:gridSpan w:val="3"/>
            <w:shd w:val="clear" w:color="auto" w:fill="auto"/>
            <w:tcMar>
              <w:top w:w="0" w:type="dxa"/>
              <w:left w:w="20" w:type="dxa"/>
              <w:bottom w:w="0" w:type="dxa"/>
              <w:right w:w="20" w:type="dxa"/>
            </w:tcMar>
            <w:vAlign w:val="bottom"/>
          </w:tcPr>
          <w:p w14:paraId="5A1B384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4C" w14:textId="77777777" w:rsidR="00960BB8" w:rsidRDefault="00C06650">
            <w:pPr>
              <w:textAlignment w:val="top"/>
            </w:pPr>
            <w:r>
              <w:rPr>
                <w:rFonts w:ascii="Arial" w:eastAsia="宋体" w:hAnsi="Arial" w:cs="Arial"/>
                <w:color w:val="262626"/>
                <w:sz w:val="18"/>
                <w:szCs w:val="18"/>
              </w:rPr>
              <w:t>Graphics processing unit</w:t>
            </w:r>
          </w:p>
        </w:tc>
      </w:tr>
      <w:tr w:rsidR="00960BB8" w14:paraId="5A1B3851" w14:textId="77777777">
        <w:trPr>
          <w:hidden/>
        </w:trPr>
        <w:tc>
          <w:tcPr>
            <w:tcW w:w="0" w:type="auto"/>
            <w:gridSpan w:val="3"/>
            <w:shd w:val="clear" w:color="auto" w:fill="auto"/>
            <w:vAlign w:val="bottom"/>
          </w:tcPr>
          <w:p w14:paraId="5A1B384E" w14:textId="77777777" w:rsidR="00960BB8" w:rsidRDefault="00960BB8">
            <w:pPr>
              <w:rPr>
                <w:rFonts w:ascii="宋体"/>
                <w:vanish/>
              </w:rPr>
            </w:pPr>
          </w:p>
        </w:tc>
        <w:tc>
          <w:tcPr>
            <w:tcW w:w="0" w:type="auto"/>
            <w:gridSpan w:val="3"/>
            <w:shd w:val="clear" w:color="auto" w:fill="auto"/>
            <w:vAlign w:val="bottom"/>
          </w:tcPr>
          <w:p w14:paraId="5A1B384F" w14:textId="77777777" w:rsidR="00960BB8" w:rsidRDefault="00960BB8">
            <w:pPr>
              <w:rPr>
                <w:rFonts w:ascii="宋体"/>
                <w:vanish/>
              </w:rPr>
            </w:pPr>
          </w:p>
        </w:tc>
        <w:tc>
          <w:tcPr>
            <w:tcW w:w="0" w:type="auto"/>
            <w:gridSpan w:val="3"/>
            <w:shd w:val="clear" w:color="auto" w:fill="auto"/>
            <w:vAlign w:val="bottom"/>
          </w:tcPr>
          <w:p w14:paraId="5A1B3850" w14:textId="77777777" w:rsidR="00960BB8" w:rsidRDefault="00960BB8">
            <w:pPr>
              <w:rPr>
                <w:rFonts w:ascii="宋体"/>
                <w:vanish/>
              </w:rPr>
            </w:pPr>
          </w:p>
        </w:tc>
      </w:tr>
      <w:tr w:rsidR="00960BB8" w14:paraId="5A1B3855" w14:textId="77777777">
        <w:tc>
          <w:tcPr>
            <w:tcW w:w="0" w:type="auto"/>
            <w:gridSpan w:val="3"/>
            <w:shd w:val="clear" w:color="auto" w:fill="auto"/>
            <w:tcMar>
              <w:top w:w="40" w:type="dxa"/>
              <w:left w:w="20" w:type="dxa"/>
              <w:bottom w:w="40" w:type="dxa"/>
              <w:right w:w="20" w:type="dxa"/>
            </w:tcMar>
          </w:tcPr>
          <w:p w14:paraId="5A1B3852" w14:textId="77777777" w:rsidR="00960BB8" w:rsidRDefault="00C06650">
            <w:pPr>
              <w:textAlignment w:val="top"/>
            </w:pPr>
            <w:r>
              <w:rPr>
                <w:rFonts w:ascii="Arial" w:eastAsia="宋体" w:hAnsi="Arial" w:cs="Arial"/>
                <w:color w:val="0068B5"/>
                <w:sz w:val="18"/>
                <w:szCs w:val="18"/>
              </w:rPr>
              <w:t>HBM</w:t>
            </w:r>
          </w:p>
        </w:tc>
        <w:tc>
          <w:tcPr>
            <w:tcW w:w="0" w:type="auto"/>
            <w:gridSpan w:val="3"/>
            <w:shd w:val="clear" w:color="auto" w:fill="auto"/>
            <w:tcMar>
              <w:top w:w="0" w:type="dxa"/>
              <w:left w:w="20" w:type="dxa"/>
              <w:bottom w:w="0" w:type="dxa"/>
              <w:right w:w="20" w:type="dxa"/>
            </w:tcMar>
            <w:vAlign w:val="bottom"/>
          </w:tcPr>
          <w:p w14:paraId="5A1B385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54" w14:textId="77777777" w:rsidR="00960BB8" w:rsidRDefault="00C06650">
            <w:pPr>
              <w:textAlignment w:val="top"/>
            </w:pPr>
            <w:r>
              <w:rPr>
                <w:rFonts w:ascii="Arial" w:eastAsia="宋体" w:hAnsi="Arial" w:cs="Arial"/>
                <w:color w:val="262626"/>
                <w:sz w:val="18"/>
                <w:szCs w:val="18"/>
              </w:rPr>
              <w:t>High-bandwidth memory</w:t>
            </w:r>
          </w:p>
        </w:tc>
      </w:tr>
      <w:tr w:rsidR="00960BB8" w14:paraId="5A1B3859" w14:textId="77777777">
        <w:tc>
          <w:tcPr>
            <w:tcW w:w="0" w:type="auto"/>
            <w:gridSpan w:val="3"/>
            <w:shd w:val="clear" w:color="auto" w:fill="auto"/>
            <w:tcMar>
              <w:top w:w="40" w:type="dxa"/>
              <w:left w:w="20" w:type="dxa"/>
              <w:bottom w:w="40" w:type="dxa"/>
              <w:right w:w="20" w:type="dxa"/>
            </w:tcMar>
          </w:tcPr>
          <w:p w14:paraId="5A1B3856" w14:textId="77777777" w:rsidR="00960BB8" w:rsidRDefault="00C06650">
            <w:pPr>
              <w:textAlignment w:val="top"/>
            </w:pPr>
            <w:r>
              <w:rPr>
                <w:rFonts w:ascii="Arial" w:eastAsia="宋体" w:hAnsi="Arial" w:cs="Arial"/>
                <w:color w:val="0068B5"/>
                <w:sz w:val="18"/>
                <w:szCs w:val="18"/>
              </w:rPr>
              <w:t>HPC</w:t>
            </w:r>
          </w:p>
        </w:tc>
        <w:tc>
          <w:tcPr>
            <w:tcW w:w="0" w:type="auto"/>
            <w:gridSpan w:val="3"/>
            <w:shd w:val="clear" w:color="auto" w:fill="auto"/>
            <w:tcMar>
              <w:top w:w="0" w:type="dxa"/>
              <w:left w:w="20" w:type="dxa"/>
              <w:bottom w:w="0" w:type="dxa"/>
              <w:right w:w="20" w:type="dxa"/>
            </w:tcMar>
            <w:vAlign w:val="bottom"/>
          </w:tcPr>
          <w:p w14:paraId="5A1B385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58" w14:textId="77777777" w:rsidR="00960BB8" w:rsidRDefault="00C06650">
            <w:pPr>
              <w:textAlignment w:val="top"/>
            </w:pPr>
            <w:r>
              <w:rPr>
                <w:rFonts w:ascii="Arial" w:eastAsia="宋体" w:hAnsi="Arial" w:cs="Arial"/>
                <w:color w:val="262626"/>
                <w:sz w:val="18"/>
                <w:szCs w:val="18"/>
              </w:rPr>
              <w:t>High-performance computing</w:t>
            </w:r>
          </w:p>
        </w:tc>
      </w:tr>
      <w:tr w:rsidR="00960BB8" w14:paraId="5A1B385D" w14:textId="77777777">
        <w:tc>
          <w:tcPr>
            <w:tcW w:w="0" w:type="auto"/>
            <w:gridSpan w:val="3"/>
            <w:shd w:val="clear" w:color="auto" w:fill="auto"/>
            <w:tcMar>
              <w:top w:w="40" w:type="dxa"/>
              <w:left w:w="20" w:type="dxa"/>
              <w:bottom w:w="40" w:type="dxa"/>
              <w:right w:w="20" w:type="dxa"/>
            </w:tcMar>
          </w:tcPr>
          <w:p w14:paraId="5A1B385A" w14:textId="77777777" w:rsidR="00960BB8" w:rsidRDefault="00C06650">
            <w:pPr>
              <w:textAlignment w:val="top"/>
            </w:pPr>
            <w:r>
              <w:rPr>
                <w:rFonts w:ascii="Arial" w:eastAsia="宋体" w:hAnsi="Arial" w:cs="Arial"/>
                <w:color w:val="0068B5"/>
                <w:sz w:val="18"/>
                <w:szCs w:val="18"/>
              </w:rPr>
              <w:t>IDM</w:t>
            </w:r>
          </w:p>
        </w:tc>
        <w:tc>
          <w:tcPr>
            <w:tcW w:w="0" w:type="auto"/>
            <w:gridSpan w:val="3"/>
            <w:shd w:val="clear" w:color="auto" w:fill="auto"/>
            <w:tcMar>
              <w:top w:w="0" w:type="dxa"/>
              <w:left w:w="20" w:type="dxa"/>
              <w:bottom w:w="0" w:type="dxa"/>
              <w:right w:w="20" w:type="dxa"/>
            </w:tcMar>
            <w:vAlign w:val="bottom"/>
          </w:tcPr>
          <w:p w14:paraId="5A1B385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5C" w14:textId="77777777" w:rsidR="00960BB8" w:rsidRDefault="00C06650">
            <w:pPr>
              <w:textAlignment w:val="top"/>
            </w:pPr>
            <w:r>
              <w:rPr>
                <w:rFonts w:ascii="Arial" w:eastAsia="宋体" w:hAnsi="Arial" w:cs="Arial"/>
                <w:color w:val="262626"/>
                <w:sz w:val="18"/>
                <w:szCs w:val="18"/>
              </w:rPr>
              <w:t>Integrated device manufacturer, a semiconductor company that both designs and builds chips</w:t>
            </w:r>
          </w:p>
        </w:tc>
      </w:tr>
      <w:tr w:rsidR="00960BB8" w14:paraId="5A1B3861" w14:textId="77777777">
        <w:trPr>
          <w:hidden/>
        </w:trPr>
        <w:tc>
          <w:tcPr>
            <w:tcW w:w="0" w:type="auto"/>
            <w:gridSpan w:val="3"/>
            <w:shd w:val="clear" w:color="auto" w:fill="auto"/>
            <w:vAlign w:val="bottom"/>
          </w:tcPr>
          <w:p w14:paraId="5A1B385E" w14:textId="77777777" w:rsidR="00960BB8" w:rsidRDefault="00960BB8">
            <w:pPr>
              <w:rPr>
                <w:rFonts w:ascii="宋体"/>
                <w:vanish/>
              </w:rPr>
            </w:pPr>
          </w:p>
        </w:tc>
        <w:tc>
          <w:tcPr>
            <w:tcW w:w="0" w:type="auto"/>
            <w:gridSpan w:val="3"/>
            <w:shd w:val="clear" w:color="auto" w:fill="auto"/>
            <w:vAlign w:val="bottom"/>
          </w:tcPr>
          <w:p w14:paraId="5A1B385F" w14:textId="77777777" w:rsidR="00960BB8" w:rsidRDefault="00960BB8">
            <w:pPr>
              <w:rPr>
                <w:rFonts w:ascii="宋体"/>
                <w:vanish/>
              </w:rPr>
            </w:pPr>
          </w:p>
        </w:tc>
        <w:tc>
          <w:tcPr>
            <w:tcW w:w="0" w:type="auto"/>
            <w:gridSpan w:val="3"/>
            <w:shd w:val="clear" w:color="auto" w:fill="auto"/>
            <w:vAlign w:val="bottom"/>
          </w:tcPr>
          <w:p w14:paraId="5A1B3860" w14:textId="77777777" w:rsidR="00960BB8" w:rsidRDefault="00960BB8">
            <w:pPr>
              <w:rPr>
                <w:rFonts w:ascii="宋体"/>
                <w:vanish/>
              </w:rPr>
            </w:pPr>
          </w:p>
        </w:tc>
      </w:tr>
      <w:tr w:rsidR="00960BB8" w14:paraId="5A1B3865" w14:textId="77777777">
        <w:tc>
          <w:tcPr>
            <w:tcW w:w="0" w:type="auto"/>
            <w:gridSpan w:val="3"/>
            <w:shd w:val="clear" w:color="auto" w:fill="auto"/>
            <w:tcMar>
              <w:top w:w="40" w:type="dxa"/>
              <w:left w:w="20" w:type="dxa"/>
              <w:bottom w:w="40" w:type="dxa"/>
              <w:right w:w="20" w:type="dxa"/>
            </w:tcMar>
          </w:tcPr>
          <w:p w14:paraId="5A1B3862" w14:textId="77777777" w:rsidR="00960BB8" w:rsidRDefault="00C06650">
            <w:pPr>
              <w:textAlignment w:val="top"/>
            </w:pPr>
            <w:r>
              <w:rPr>
                <w:rFonts w:ascii="Arial" w:eastAsia="宋体" w:hAnsi="Arial" w:cs="Arial"/>
                <w:color w:val="0068B5"/>
                <w:sz w:val="18"/>
                <w:szCs w:val="18"/>
              </w:rPr>
              <w:t>IFS</w:t>
            </w:r>
          </w:p>
        </w:tc>
        <w:tc>
          <w:tcPr>
            <w:tcW w:w="0" w:type="auto"/>
            <w:gridSpan w:val="3"/>
            <w:shd w:val="clear" w:color="auto" w:fill="auto"/>
            <w:tcMar>
              <w:top w:w="0" w:type="dxa"/>
              <w:left w:w="20" w:type="dxa"/>
              <w:bottom w:w="0" w:type="dxa"/>
              <w:right w:w="20" w:type="dxa"/>
            </w:tcMar>
            <w:vAlign w:val="bottom"/>
          </w:tcPr>
          <w:p w14:paraId="5A1B386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64" w14:textId="77777777" w:rsidR="00960BB8" w:rsidRDefault="00C06650">
            <w:pPr>
              <w:textAlignment w:val="top"/>
            </w:pPr>
            <w:r>
              <w:rPr>
                <w:rFonts w:ascii="Arial" w:eastAsia="宋体" w:hAnsi="Arial" w:cs="Arial"/>
                <w:color w:val="262626"/>
                <w:sz w:val="18"/>
                <w:szCs w:val="18"/>
              </w:rPr>
              <w:t>Intel Foundry Services operating segment</w:t>
            </w:r>
          </w:p>
        </w:tc>
      </w:tr>
      <w:tr w:rsidR="00960BB8" w14:paraId="5A1B3869" w14:textId="77777777">
        <w:trPr>
          <w:hidden/>
        </w:trPr>
        <w:tc>
          <w:tcPr>
            <w:tcW w:w="0" w:type="auto"/>
            <w:gridSpan w:val="3"/>
            <w:shd w:val="clear" w:color="auto" w:fill="auto"/>
            <w:vAlign w:val="bottom"/>
          </w:tcPr>
          <w:p w14:paraId="5A1B3866" w14:textId="77777777" w:rsidR="00960BB8" w:rsidRDefault="00960BB8">
            <w:pPr>
              <w:rPr>
                <w:rFonts w:ascii="宋体"/>
                <w:vanish/>
              </w:rPr>
            </w:pPr>
          </w:p>
        </w:tc>
        <w:tc>
          <w:tcPr>
            <w:tcW w:w="0" w:type="auto"/>
            <w:gridSpan w:val="3"/>
            <w:shd w:val="clear" w:color="auto" w:fill="auto"/>
            <w:vAlign w:val="bottom"/>
          </w:tcPr>
          <w:p w14:paraId="5A1B3867" w14:textId="77777777" w:rsidR="00960BB8" w:rsidRDefault="00960BB8">
            <w:pPr>
              <w:rPr>
                <w:rFonts w:ascii="宋体"/>
                <w:vanish/>
              </w:rPr>
            </w:pPr>
          </w:p>
        </w:tc>
        <w:tc>
          <w:tcPr>
            <w:tcW w:w="0" w:type="auto"/>
            <w:gridSpan w:val="3"/>
            <w:shd w:val="clear" w:color="auto" w:fill="auto"/>
            <w:vAlign w:val="bottom"/>
          </w:tcPr>
          <w:p w14:paraId="5A1B3868" w14:textId="77777777" w:rsidR="00960BB8" w:rsidRDefault="00960BB8">
            <w:pPr>
              <w:rPr>
                <w:rFonts w:ascii="宋体"/>
                <w:vanish/>
              </w:rPr>
            </w:pPr>
          </w:p>
        </w:tc>
      </w:tr>
      <w:tr w:rsidR="00960BB8" w14:paraId="5A1B386D" w14:textId="77777777">
        <w:trPr>
          <w:hidden/>
        </w:trPr>
        <w:tc>
          <w:tcPr>
            <w:tcW w:w="0" w:type="auto"/>
            <w:gridSpan w:val="3"/>
            <w:shd w:val="clear" w:color="auto" w:fill="auto"/>
            <w:vAlign w:val="bottom"/>
          </w:tcPr>
          <w:p w14:paraId="5A1B386A" w14:textId="77777777" w:rsidR="00960BB8" w:rsidRDefault="00960BB8">
            <w:pPr>
              <w:rPr>
                <w:rFonts w:ascii="宋体"/>
                <w:vanish/>
              </w:rPr>
            </w:pPr>
          </w:p>
        </w:tc>
        <w:tc>
          <w:tcPr>
            <w:tcW w:w="0" w:type="auto"/>
            <w:gridSpan w:val="3"/>
            <w:shd w:val="clear" w:color="auto" w:fill="auto"/>
            <w:vAlign w:val="bottom"/>
          </w:tcPr>
          <w:p w14:paraId="5A1B386B" w14:textId="77777777" w:rsidR="00960BB8" w:rsidRDefault="00960BB8">
            <w:pPr>
              <w:rPr>
                <w:rFonts w:ascii="宋体"/>
                <w:vanish/>
              </w:rPr>
            </w:pPr>
          </w:p>
        </w:tc>
        <w:tc>
          <w:tcPr>
            <w:tcW w:w="0" w:type="auto"/>
            <w:gridSpan w:val="3"/>
            <w:shd w:val="clear" w:color="auto" w:fill="auto"/>
            <w:vAlign w:val="bottom"/>
          </w:tcPr>
          <w:p w14:paraId="5A1B386C" w14:textId="77777777" w:rsidR="00960BB8" w:rsidRDefault="00960BB8">
            <w:pPr>
              <w:rPr>
                <w:rFonts w:ascii="宋体"/>
                <w:vanish/>
              </w:rPr>
            </w:pPr>
          </w:p>
        </w:tc>
      </w:tr>
      <w:tr w:rsidR="00960BB8" w14:paraId="5A1B3871" w14:textId="77777777">
        <w:trPr>
          <w:hidden/>
        </w:trPr>
        <w:tc>
          <w:tcPr>
            <w:tcW w:w="0" w:type="auto"/>
            <w:gridSpan w:val="3"/>
            <w:shd w:val="clear" w:color="auto" w:fill="auto"/>
            <w:vAlign w:val="bottom"/>
          </w:tcPr>
          <w:p w14:paraId="5A1B386E" w14:textId="77777777" w:rsidR="00960BB8" w:rsidRDefault="00960BB8">
            <w:pPr>
              <w:rPr>
                <w:rFonts w:ascii="宋体"/>
                <w:vanish/>
              </w:rPr>
            </w:pPr>
          </w:p>
        </w:tc>
        <w:tc>
          <w:tcPr>
            <w:tcW w:w="0" w:type="auto"/>
            <w:gridSpan w:val="3"/>
            <w:shd w:val="clear" w:color="auto" w:fill="auto"/>
            <w:vAlign w:val="bottom"/>
          </w:tcPr>
          <w:p w14:paraId="5A1B386F" w14:textId="77777777" w:rsidR="00960BB8" w:rsidRDefault="00960BB8">
            <w:pPr>
              <w:rPr>
                <w:rFonts w:ascii="宋体"/>
                <w:vanish/>
              </w:rPr>
            </w:pPr>
          </w:p>
        </w:tc>
        <w:tc>
          <w:tcPr>
            <w:tcW w:w="0" w:type="auto"/>
            <w:gridSpan w:val="3"/>
            <w:shd w:val="clear" w:color="auto" w:fill="auto"/>
            <w:vAlign w:val="bottom"/>
          </w:tcPr>
          <w:p w14:paraId="5A1B3870" w14:textId="77777777" w:rsidR="00960BB8" w:rsidRDefault="00960BB8">
            <w:pPr>
              <w:rPr>
                <w:rFonts w:ascii="宋体"/>
                <w:vanish/>
              </w:rPr>
            </w:pPr>
          </w:p>
        </w:tc>
      </w:tr>
      <w:tr w:rsidR="00960BB8" w14:paraId="5A1B3875" w14:textId="77777777">
        <w:trPr>
          <w:hidden/>
        </w:trPr>
        <w:tc>
          <w:tcPr>
            <w:tcW w:w="0" w:type="auto"/>
            <w:gridSpan w:val="3"/>
            <w:shd w:val="clear" w:color="auto" w:fill="auto"/>
            <w:vAlign w:val="bottom"/>
          </w:tcPr>
          <w:p w14:paraId="5A1B3872" w14:textId="77777777" w:rsidR="00960BB8" w:rsidRDefault="00960BB8">
            <w:pPr>
              <w:rPr>
                <w:rFonts w:ascii="宋体"/>
                <w:vanish/>
              </w:rPr>
            </w:pPr>
          </w:p>
        </w:tc>
        <w:tc>
          <w:tcPr>
            <w:tcW w:w="0" w:type="auto"/>
            <w:gridSpan w:val="3"/>
            <w:shd w:val="clear" w:color="auto" w:fill="auto"/>
            <w:vAlign w:val="bottom"/>
          </w:tcPr>
          <w:p w14:paraId="5A1B3873" w14:textId="77777777" w:rsidR="00960BB8" w:rsidRDefault="00960BB8">
            <w:pPr>
              <w:rPr>
                <w:rFonts w:ascii="宋体"/>
                <w:vanish/>
              </w:rPr>
            </w:pPr>
          </w:p>
        </w:tc>
        <w:tc>
          <w:tcPr>
            <w:tcW w:w="0" w:type="auto"/>
            <w:gridSpan w:val="3"/>
            <w:shd w:val="clear" w:color="auto" w:fill="auto"/>
            <w:vAlign w:val="bottom"/>
          </w:tcPr>
          <w:p w14:paraId="5A1B3874" w14:textId="77777777" w:rsidR="00960BB8" w:rsidRDefault="00960BB8">
            <w:pPr>
              <w:rPr>
                <w:rFonts w:ascii="宋体"/>
                <w:vanish/>
              </w:rPr>
            </w:pPr>
          </w:p>
        </w:tc>
      </w:tr>
      <w:tr w:rsidR="00960BB8" w14:paraId="5A1B3879" w14:textId="77777777">
        <w:trPr>
          <w:hidden/>
        </w:trPr>
        <w:tc>
          <w:tcPr>
            <w:tcW w:w="0" w:type="auto"/>
            <w:gridSpan w:val="3"/>
            <w:shd w:val="clear" w:color="auto" w:fill="auto"/>
            <w:vAlign w:val="bottom"/>
          </w:tcPr>
          <w:p w14:paraId="5A1B3876" w14:textId="77777777" w:rsidR="00960BB8" w:rsidRDefault="00960BB8">
            <w:pPr>
              <w:rPr>
                <w:rFonts w:ascii="宋体"/>
                <w:vanish/>
              </w:rPr>
            </w:pPr>
          </w:p>
        </w:tc>
        <w:tc>
          <w:tcPr>
            <w:tcW w:w="0" w:type="auto"/>
            <w:gridSpan w:val="3"/>
            <w:shd w:val="clear" w:color="auto" w:fill="auto"/>
            <w:vAlign w:val="bottom"/>
          </w:tcPr>
          <w:p w14:paraId="5A1B3877" w14:textId="77777777" w:rsidR="00960BB8" w:rsidRDefault="00960BB8">
            <w:pPr>
              <w:rPr>
                <w:rFonts w:ascii="宋体"/>
                <w:vanish/>
              </w:rPr>
            </w:pPr>
          </w:p>
        </w:tc>
        <w:tc>
          <w:tcPr>
            <w:tcW w:w="0" w:type="auto"/>
            <w:gridSpan w:val="3"/>
            <w:shd w:val="clear" w:color="auto" w:fill="auto"/>
            <w:vAlign w:val="bottom"/>
          </w:tcPr>
          <w:p w14:paraId="5A1B3878" w14:textId="77777777" w:rsidR="00960BB8" w:rsidRDefault="00960BB8">
            <w:pPr>
              <w:rPr>
                <w:rFonts w:ascii="宋体"/>
                <w:vanish/>
              </w:rPr>
            </w:pPr>
          </w:p>
        </w:tc>
      </w:tr>
      <w:tr w:rsidR="00960BB8" w14:paraId="5A1B387D" w14:textId="77777777">
        <w:trPr>
          <w:hidden/>
        </w:trPr>
        <w:tc>
          <w:tcPr>
            <w:tcW w:w="0" w:type="auto"/>
            <w:gridSpan w:val="3"/>
            <w:shd w:val="clear" w:color="auto" w:fill="auto"/>
            <w:vAlign w:val="bottom"/>
          </w:tcPr>
          <w:p w14:paraId="5A1B387A" w14:textId="77777777" w:rsidR="00960BB8" w:rsidRDefault="00960BB8">
            <w:pPr>
              <w:rPr>
                <w:rFonts w:ascii="宋体"/>
                <w:vanish/>
              </w:rPr>
            </w:pPr>
          </w:p>
        </w:tc>
        <w:tc>
          <w:tcPr>
            <w:tcW w:w="0" w:type="auto"/>
            <w:gridSpan w:val="3"/>
            <w:shd w:val="clear" w:color="auto" w:fill="auto"/>
            <w:vAlign w:val="bottom"/>
          </w:tcPr>
          <w:p w14:paraId="5A1B387B" w14:textId="77777777" w:rsidR="00960BB8" w:rsidRDefault="00960BB8">
            <w:pPr>
              <w:rPr>
                <w:rFonts w:ascii="宋体"/>
                <w:vanish/>
              </w:rPr>
            </w:pPr>
          </w:p>
        </w:tc>
        <w:tc>
          <w:tcPr>
            <w:tcW w:w="0" w:type="auto"/>
            <w:gridSpan w:val="3"/>
            <w:shd w:val="clear" w:color="auto" w:fill="auto"/>
            <w:vAlign w:val="bottom"/>
          </w:tcPr>
          <w:p w14:paraId="5A1B387C" w14:textId="77777777" w:rsidR="00960BB8" w:rsidRDefault="00960BB8">
            <w:pPr>
              <w:rPr>
                <w:rFonts w:ascii="宋体"/>
                <w:vanish/>
              </w:rPr>
            </w:pPr>
          </w:p>
        </w:tc>
      </w:tr>
      <w:tr w:rsidR="00960BB8" w14:paraId="5A1B3881" w14:textId="77777777">
        <w:tc>
          <w:tcPr>
            <w:tcW w:w="0" w:type="auto"/>
            <w:gridSpan w:val="3"/>
            <w:shd w:val="clear" w:color="auto" w:fill="auto"/>
            <w:tcMar>
              <w:top w:w="40" w:type="dxa"/>
              <w:left w:w="20" w:type="dxa"/>
              <w:bottom w:w="40" w:type="dxa"/>
              <w:right w:w="20" w:type="dxa"/>
            </w:tcMar>
          </w:tcPr>
          <w:p w14:paraId="5A1B387E" w14:textId="77777777" w:rsidR="00960BB8" w:rsidRDefault="00C06650">
            <w:pPr>
              <w:textAlignment w:val="top"/>
            </w:pPr>
            <w:r>
              <w:rPr>
                <w:rFonts w:ascii="Arial" w:eastAsia="宋体" w:hAnsi="Arial" w:cs="Arial"/>
                <w:color w:val="0068B5"/>
                <w:sz w:val="18"/>
                <w:szCs w:val="18"/>
              </w:rPr>
              <w:t>Internet of Things</w:t>
            </w:r>
          </w:p>
        </w:tc>
        <w:tc>
          <w:tcPr>
            <w:tcW w:w="0" w:type="auto"/>
            <w:gridSpan w:val="3"/>
            <w:shd w:val="clear" w:color="auto" w:fill="auto"/>
            <w:tcMar>
              <w:top w:w="0" w:type="dxa"/>
              <w:left w:w="20" w:type="dxa"/>
              <w:bottom w:w="0" w:type="dxa"/>
              <w:right w:w="20" w:type="dxa"/>
            </w:tcMar>
            <w:vAlign w:val="bottom"/>
          </w:tcPr>
          <w:p w14:paraId="5A1B387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80" w14:textId="77777777" w:rsidR="00960BB8" w:rsidRDefault="00C06650">
            <w:pPr>
              <w:textAlignment w:val="top"/>
            </w:pPr>
            <w:r>
              <w:rPr>
                <w:rFonts w:ascii="Arial" w:eastAsia="宋体" w:hAnsi="Arial" w:cs="Arial"/>
                <w:color w:val="262626"/>
                <w:sz w:val="18"/>
                <w:szCs w:val="18"/>
              </w:rPr>
              <w:t>The Internet of Things market in which we sell our NEX and Mobileye products</w:t>
            </w:r>
          </w:p>
        </w:tc>
      </w:tr>
      <w:tr w:rsidR="00960BB8" w14:paraId="5A1B3885" w14:textId="77777777">
        <w:trPr>
          <w:hidden/>
        </w:trPr>
        <w:tc>
          <w:tcPr>
            <w:tcW w:w="0" w:type="auto"/>
            <w:gridSpan w:val="3"/>
            <w:shd w:val="clear" w:color="auto" w:fill="auto"/>
            <w:vAlign w:val="bottom"/>
          </w:tcPr>
          <w:p w14:paraId="5A1B3882" w14:textId="77777777" w:rsidR="00960BB8" w:rsidRDefault="00960BB8">
            <w:pPr>
              <w:rPr>
                <w:rFonts w:ascii="宋体"/>
                <w:vanish/>
              </w:rPr>
            </w:pPr>
          </w:p>
        </w:tc>
        <w:tc>
          <w:tcPr>
            <w:tcW w:w="0" w:type="auto"/>
            <w:gridSpan w:val="3"/>
            <w:shd w:val="clear" w:color="auto" w:fill="auto"/>
            <w:vAlign w:val="bottom"/>
          </w:tcPr>
          <w:p w14:paraId="5A1B3883" w14:textId="77777777" w:rsidR="00960BB8" w:rsidRDefault="00960BB8">
            <w:pPr>
              <w:rPr>
                <w:rFonts w:ascii="宋体"/>
                <w:vanish/>
              </w:rPr>
            </w:pPr>
          </w:p>
        </w:tc>
        <w:tc>
          <w:tcPr>
            <w:tcW w:w="0" w:type="auto"/>
            <w:gridSpan w:val="3"/>
            <w:shd w:val="clear" w:color="auto" w:fill="auto"/>
            <w:vAlign w:val="bottom"/>
          </w:tcPr>
          <w:p w14:paraId="5A1B3884" w14:textId="77777777" w:rsidR="00960BB8" w:rsidRDefault="00960BB8">
            <w:pPr>
              <w:rPr>
                <w:rFonts w:ascii="宋体"/>
                <w:vanish/>
              </w:rPr>
            </w:pPr>
          </w:p>
        </w:tc>
      </w:tr>
      <w:tr w:rsidR="00960BB8" w14:paraId="5A1B3889" w14:textId="77777777">
        <w:trPr>
          <w:hidden/>
        </w:trPr>
        <w:tc>
          <w:tcPr>
            <w:tcW w:w="0" w:type="auto"/>
            <w:gridSpan w:val="3"/>
            <w:shd w:val="clear" w:color="auto" w:fill="auto"/>
            <w:vAlign w:val="bottom"/>
          </w:tcPr>
          <w:p w14:paraId="5A1B3886" w14:textId="77777777" w:rsidR="00960BB8" w:rsidRDefault="00960BB8">
            <w:pPr>
              <w:rPr>
                <w:rFonts w:ascii="宋体"/>
                <w:vanish/>
              </w:rPr>
            </w:pPr>
          </w:p>
        </w:tc>
        <w:tc>
          <w:tcPr>
            <w:tcW w:w="0" w:type="auto"/>
            <w:gridSpan w:val="3"/>
            <w:shd w:val="clear" w:color="auto" w:fill="auto"/>
            <w:vAlign w:val="bottom"/>
          </w:tcPr>
          <w:p w14:paraId="5A1B3887" w14:textId="77777777" w:rsidR="00960BB8" w:rsidRDefault="00960BB8">
            <w:pPr>
              <w:rPr>
                <w:rFonts w:ascii="宋体"/>
                <w:vanish/>
              </w:rPr>
            </w:pPr>
          </w:p>
        </w:tc>
        <w:tc>
          <w:tcPr>
            <w:tcW w:w="0" w:type="auto"/>
            <w:gridSpan w:val="3"/>
            <w:shd w:val="clear" w:color="auto" w:fill="auto"/>
            <w:vAlign w:val="bottom"/>
          </w:tcPr>
          <w:p w14:paraId="5A1B3888" w14:textId="77777777" w:rsidR="00960BB8" w:rsidRDefault="00960BB8">
            <w:pPr>
              <w:rPr>
                <w:rFonts w:ascii="宋体"/>
                <w:vanish/>
              </w:rPr>
            </w:pPr>
          </w:p>
        </w:tc>
      </w:tr>
      <w:tr w:rsidR="00960BB8" w14:paraId="5A1B388D" w14:textId="77777777">
        <w:trPr>
          <w:hidden/>
        </w:trPr>
        <w:tc>
          <w:tcPr>
            <w:tcW w:w="0" w:type="auto"/>
            <w:gridSpan w:val="3"/>
            <w:shd w:val="clear" w:color="auto" w:fill="auto"/>
            <w:vAlign w:val="bottom"/>
          </w:tcPr>
          <w:p w14:paraId="5A1B388A" w14:textId="77777777" w:rsidR="00960BB8" w:rsidRDefault="00960BB8">
            <w:pPr>
              <w:rPr>
                <w:rFonts w:ascii="宋体"/>
                <w:vanish/>
              </w:rPr>
            </w:pPr>
          </w:p>
        </w:tc>
        <w:tc>
          <w:tcPr>
            <w:tcW w:w="0" w:type="auto"/>
            <w:gridSpan w:val="3"/>
            <w:shd w:val="clear" w:color="auto" w:fill="auto"/>
            <w:vAlign w:val="bottom"/>
          </w:tcPr>
          <w:p w14:paraId="5A1B388B" w14:textId="77777777" w:rsidR="00960BB8" w:rsidRDefault="00960BB8">
            <w:pPr>
              <w:rPr>
                <w:rFonts w:ascii="宋体"/>
                <w:vanish/>
              </w:rPr>
            </w:pPr>
          </w:p>
        </w:tc>
        <w:tc>
          <w:tcPr>
            <w:tcW w:w="0" w:type="auto"/>
            <w:gridSpan w:val="3"/>
            <w:shd w:val="clear" w:color="auto" w:fill="auto"/>
            <w:vAlign w:val="bottom"/>
          </w:tcPr>
          <w:p w14:paraId="5A1B388C" w14:textId="77777777" w:rsidR="00960BB8" w:rsidRDefault="00960BB8">
            <w:pPr>
              <w:rPr>
                <w:rFonts w:ascii="宋体"/>
                <w:vanish/>
              </w:rPr>
            </w:pPr>
          </w:p>
        </w:tc>
      </w:tr>
      <w:tr w:rsidR="00960BB8" w14:paraId="5A1B3891" w14:textId="77777777">
        <w:trPr>
          <w:hidden/>
        </w:trPr>
        <w:tc>
          <w:tcPr>
            <w:tcW w:w="0" w:type="auto"/>
            <w:gridSpan w:val="3"/>
            <w:shd w:val="clear" w:color="auto" w:fill="auto"/>
            <w:vAlign w:val="bottom"/>
          </w:tcPr>
          <w:p w14:paraId="5A1B388E" w14:textId="77777777" w:rsidR="00960BB8" w:rsidRDefault="00960BB8">
            <w:pPr>
              <w:rPr>
                <w:rFonts w:ascii="宋体"/>
                <w:vanish/>
              </w:rPr>
            </w:pPr>
          </w:p>
        </w:tc>
        <w:tc>
          <w:tcPr>
            <w:tcW w:w="0" w:type="auto"/>
            <w:gridSpan w:val="3"/>
            <w:shd w:val="clear" w:color="auto" w:fill="auto"/>
            <w:vAlign w:val="bottom"/>
          </w:tcPr>
          <w:p w14:paraId="5A1B388F" w14:textId="77777777" w:rsidR="00960BB8" w:rsidRDefault="00960BB8">
            <w:pPr>
              <w:rPr>
                <w:rFonts w:ascii="宋体"/>
                <w:vanish/>
              </w:rPr>
            </w:pPr>
          </w:p>
        </w:tc>
        <w:tc>
          <w:tcPr>
            <w:tcW w:w="0" w:type="auto"/>
            <w:gridSpan w:val="3"/>
            <w:shd w:val="clear" w:color="auto" w:fill="auto"/>
            <w:vAlign w:val="bottom"/>
          </w:tcPr>
          <w:p w14:paraId="5A1B3890" w14:textId="77777777" w:rsidR="00960BB8" w:rsidRDefault="00960BB8">
            <w:pPr>
              <w:rPr>
                <w:rFonts w:ascii="宋体"/>
                <w:vanish/>
              </w:rPr>
            </w:pPr>
          </w:p>
        </w:tc>
      </w:tr>
      <w:tr w:rsidR="00960BB8" w14:paraId="5A1B3895" w14:textId="77777777">
        <w:tc>
          <w:tcPr>
            <w:tcW w:w="0" w:type="auto"/>
            <w:gridSpan w:val="3"/>
            <w:shd w:val="clear" w:color="auto" w:fill="auto"/>
            <w:tcMar>
              <w:top w:w="40" w:type="dxa"/>
              <w:left w:w="20" w:type="dxa"/>
              <w:bottom w:w="40" w:type="dxa"/>
              <w:right w:w="20" w:type="dxa"/>
            </w:tcMar>
          </w:tcPr>
          <w:p w14:paraId="5A1B3892" w14:textId="77777777" w:rsidR="00960BB8" w:rsidRDefault="00C06650">
            <w:pPr>
              <w:textAlignment w:val="top"/>
            </w:pPr>
            <w:r>
              <w:rPr>
                <w:rFonts w:ascii="Arial" w:eastAsia="宋体" w:hAnsi="Arial" w:cs="Arial"/>
                <w:color w:val="0068B5"/>
                <w:sz w:val="18"/>
                <w:szCs w:val="18"/>
              </w:rPr>
              <w:t>IP</w:t>
            </w:r>
          </w:p>
        </w:tc>
        <w:tc>
          <w:tcPr>
            <w:tcW w:w="0" w:type="auto"/>
            <w:gridSpan w:val="3"/>
            <w:shd w:val="clear" w:color="auto" w:fill="auto"/>
            <w:tcMar>
              <w:top w:w="0" w:type="dxa"/>
              <w:left w:w="20" w:type="dxa"/>
              <w:bottom w:w="0" w:type="dxa"/>
              <w:right w:w="20" w:type="dxa"/>
            </w:tcMar>
            <w:vAlign w:val="bottom"/>
          </w:tcPr>
          <w:p w14:paraId="5A1B389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94" w14:textId="77777777" w:rsidR="00960BB8" w:rsidRDefault="00C06650">
            <w:pPr>
              <w:textAlignment w:val="top"/>
            </w:pPr>
            <w:r>
              <w:rPr>
                <w:rFonts w:ascii="Arial" w:eastAsia="宋体" w:hAnsi="Arial" w:cs="Arial"/>
                <w:color w:val="262626"/>
                <w:sz w:val="18"/>
                <w:szCs w:val="18"/>
              </w:rPr>
              <w:t>Intellectual property</w:t>
            </w:r>
          </w:p>
        </w:tc>
      </w:tr>
      <w:tr w:rsidR="00960BB8" w14:paraId="5A1B3899" w14:textId="77777777">
        <w:trPr>
          <w:hidden/>
        </w:trPr>
        <w:tc>
          <w:tcPr>
            <w:tcW w:w="0" w:type="auto"/>
            <w:gridSpan w:val="3"/>
            <w:shd w:val="clear" w:color="auto" w:fill="auto"/>
            <w:vAlign w:val="bottom"/>
          </w:tcPr>
          <w:p w14:paraId="5A1B3896" w14:textId="77777777" w:rsidR="00960BB8" w:rsidRDefault="00960BB8">
            <w:pPr>
              <w:rPr>
                <w:rFonts w:ascii="宋体"/>
                <w:vanish/>
              </w:rPr>
            </w:pPr>
          </w:p>
        </w:tc>
        <w:tc>
          <w:tcPr>
            <w:tcW w:w="0" w:type="auto"/>
            <w:gridSpan w:val="3"/>
            <w:shd w:val="clear" w:color="auto" w:fill="auto"/>
            <w:vAlign w:val="bottom"/>
          </w:tcPr>
          <w:p w14:paraId="5A1B3897" w14:textId="77777777" w:rsidR="00960BB8" w:rsidRDefault="00960BB8">
            <w:pPr>
              <w:rPr>
                <w:rFonts w:ascii="宋体"/>
                <w:vanish/>
              </w:rPr>
            </w:pPr>
          </w:p>
        </w:tc>
        <w:tc>
          <w:tcPr>
            <w:tcW w:w="0" w:type="auto"/>
            <w:gridSpan w:val="3"/>
            <w:shd w:val="clear" w:color="auto" w:fill="auto"/>
            <w:vAlign w:val="bottom"/>
          </w:tcPr>
          <w:p w14:paraId="5A1B3898" w14:textId="77777777" w:rsidR="00960BB8" w:rsidRDefault="00960BB8">
            <w:pPr>
              <w:rPr>
                <w:rFonts w:ascii="宋体"/>
                <w:vanish/>
              </w:rPr>
            </w:pPr>
          </w:p>
        </w:tc>
      </w:tr>
      <w:tr w:rsidR="00960BB8" w14:paraId="5A1B389D" w14:textId="77777777">
        <w:trPr>
          <w:hidden/>
        </w:trPr>
        <w:tc>
          <w:tcPr>
            <w:tcW w:w="0" w:type="auto"/>
            <w:gridSpan w:val="3"/>
            <w:shd w:val="clear" w:color="auto" w:fill="auto"/>
            <w:vAlign w:val="bottom"/>
          </w:tcPr>
          <w:p w14:paraId="5A1B389A" w14:textId="77777777" w:rsidR="00960BB8" w:rsidRDefault="00960BB8">
            <w:pPr>
              <w:rPr>
                <w:rFonts w:ascii="宋体"/>
                <w:vanish/>
              </w:rPr>
            </w:pPr>
          </w:p>
        </w:tc>
        <w:tc>
          <w:tcPr>
            <w:tcW w:w="0" w:type="auto"/>
            <w:gridSpan w:val="3"/>
            <w:shd w:val="clear" w:color="auto" w:fill="auto"/>
            <w:vAlign w:val="bottom"/>
          </w:tcPr>
          <w:p w14:paraId="5A1B389B" w14:textId="77777777" w:rsidR="00960BB8" w:rsidRDefault="00960BB8">
            <w:pPr>
              <w:rPr>
                <w:rFonts w:ascii="宋体"/>
                <w:vanish/>
              </w:rPr>
            </w:pPr>
          </w:p>
        </w:tc>
        <w:tc>
          <w:tcPr>
            <w:tcW w:w="0" w:type="auto"/>
            <w:gridSpan w:val="3"/>
            <w:shd w:val="clear" w:color="auto" w:fill="auto"/>
            <w:vAlign w:val="bottom"/>
          </w:tcPr>
          <w:p w14:paraId="5A1B389C" w14:textId="77777777" w:rsidR="00960BB8" w:rsidRDefault="00960BB8">
            <w:pPr>
              <w:rPr>
                <w:rFonts w:ascii="宋体"/>
                <w:vanish/>
              </w:rPr>
            </w:pPr>
          </w:p>
        </w:tc>
      </w:tr>
      <w:tr w:rsidR="00960BB8" w14:paraId="5A1B38A5" w14:textId="77777777">
        <w:trPr>
          <w:hidden/>
        </w:trPr>
        <w:tc>
          <w:tcPr>
            <w:tcW w:w="0" w:type="auto"/>
            <w:gridSpan w:val="3"/>
            <w:shd w:val="clear" w:color="auto" w:fill="auto"/>
            <w:vAlign w:val="bottom"/>
          </w:tcPr>
          <w:p w14:paraId="5A1B389E" w14:textId="77777777" w:rsidR="00960BB8" w:rsidRDefault="00960BB8">
            <w:pPr>
              <w:rPr>
                <w:rFonts w:ascii="宋体"/>
                <w:vanish/>
              </w:rPr>
            </w:pPr>
          </w:p>
        </w:tc>
        <w:tc>
          <w:tcPr>
            <w:tcW w:w="0" w:type="auto"/>
            <w:shd w:val="clear" w:color="auto" w:fill="auto"/>
            <w:vAlign w:val="bottom"/>
          </w:tcPr>
          <w:p w14:paraId="5A1B389F" w14:textId="77777777" w:rsidR="00960BB8" w:rsidRDefault="00960BB8">
            <w:pPr>
              <w:rPr>
                <w:rFonts w:ascii="宋体"/>
              </w:rPr>
            </w:pPr>
          </w:p>
        </w:tc>
        <w:tc>
          <w:tcPr>
            <w:tcW w:w="0" w:type="auto"/>
            <w:shd w:val="clear" w:color="auto" w:fill="auto"/>
            <w:vAlign w:val="bottom"/>
          </w:tcPr>
          <w:p w14:paraId="5A1B38A0" w14:textId="77777777" w:rsidR="00960BB8" w:rsidRDefault="00960BB8">
            <w:pPr>
              <w:rPr>
                <w:rFonts w:ascii="宋体"/>
              </w:rPr>
            </w:pPr>
          </w:p>
        </w:tc>
        <w:tc>
          <w:tcPr>
            <w:tcW w:w="0" w:type="auto"/>
            <w:shd w:val="clear" w:color="auto" w:fill="auto"/>
            <w:vAlign w:val="bottom"/>
          </w:tcPr>
          <w:p w14:paraId="5A1B38A1" w14:textId="77777777" w:rsidR="00960BB8" w:rsidRDefault="00960BB8">
            <w:pPr>
              <w:rPr>
                <w:rFonts w:ascii="宋体"/>
              </w:rPr>
            </w:pPr>
          </w:p>
        </w:tc>
        <w:tc>
          <w:tcPr>
            <w:tcW w:w="0" w:type="auto"/>
            <w:shd w:val="clear" w:color="auto" w:fill="auto"/>
            <w:vAlign w:val="bottom"/>
          </w:tcPr>
          <w:p w14:paraId="5A1B38A2" w14:textId="77777777" w:rsidR="00960BB8" w:rsidRDefault="00960BB8">
            <w:pPr>
              <w:rPr>
                <w:rFonts w:ascii="宋体"/>
              </w:rPr>
            </w:pPr>
          </w:p>
        </w:tc>
        <w:tc>
          <w:tcPr>
            <w:tcW w:w="0" w:type="auto"/>
            <w:shd w:val="clear" w:color="auto" w:fill="auto"/>
            <w:vAlign w:val="bottom"/>
          </w:tcPr>
          <w:p w14:paraId="5A1B38A3" w14:textId="77777777" w:rsidR="00960BB8" w:rsidRDefault="00960BB8">
            <w:pPr>
              <w:rPr>
                <w:rFonts w:ascii="宋体"/>
              </w:rPr>
            </w:pPr>
          </w:p>
        </w:tc>
        <w:tc>
          <w:tcPr>
            <w:tcW w:w="0" w:type="auto"/>
            <w:shd w:val="clear" w:color="auto" w:fill="auto"/>
            <w:vAlign w:val="bottom"/>
          </w:tcPr>
          <w:p w14:paraId="5A1B38A4" w14:textId="77777777" w:rsidR="00960BB8" w:rsidRDefault="00960BB8">
            <w:pPr>
              <w:rPr>
                <w:rFonts w:ascii="宋体"/>
              </w:rPr>
            </w:pPr>
          </w:p>
        </w:tc>
      </w:tr>
      <w:tr w:rsidR="00960BB8" w14:paraId="5A1B38A9" w14:textId="77777777">
        <w:trPr>
          <w:hidden/>
        </w:trPr>
        <w:tc>
          <w:tcPr>
            <w:tcW w:w="0" w:type="auto"/>
            <w:gridSpan w:val="3"/>
            <w:shd w:val="clear" w:color="auto" w:fill="auto"/>
            <w:vAlign w:val="bottom"/>
          </w:tcPr>
          <w:p w14:paraId="5A1B38A6" w14:textId="77777777" w:rsidR="00960BB8" w:rsidRDefault="00960BB8">
            <w:pPr>
              <w:rPr>
                <w:rFonts w:ascii="宋体"/>
                <w:vanish/>
              </w:rPr>
            </w:pPr>
          </w:p>
        </w:tc>
        <w:tc>
          <w:tcPr>
            <w:tcW w:w="0" w:type="auto"/>
            <w:gridSpan w:val="3"/>
            <w:shd w:val="clear" w:color="auto" w:fill="auto"/>
            <w:vAlign w:val="bottom"/>
          </w:tcPr>
          <w:p w14:paraId="5A1B38A7" w14:textId="77777777" w:rsidR="00960BB8" w:rsidRDefault="00960BB8">
            <w:pPr>
              <w:rPr>
                <w:rFonts w:ascii="宋体"/>
                <w:vanish/>
              </w:rPr>
            </w:pPr>
          </w:p>
        </w:tc>
        <w:tc>
          <w:tcPr>
            <w:tcW w:w="0" w:type="auto"/>
            <w:gridSpan w:val="3"/>
            <w:shd w:val="clear" w:color="auto" w:fill="auto"/>
            <w:vAlign w:val="bottom"/>
          </w:tcPr>
          <w:p w14:paraId="5A1B38A8" w14:textId="77777777" w:rsidR="00960BB8" w:rsidRDefault="00960BB8">
            <w:pPr>
              <w:rPr>
                <w:rFonts w:ascii="宋体"/>
                <w:vanish/>
              </w:rPr>
            </w:pPr>
          </w:p>
        </w:tc>
      </w:tr>
      <w:tr w:rsidR="00960BB8" w14:paraId="5A1B38AD" w14:textId="77777777">
        <w:trPr>
          <w:hidden/>
        </w:trPr>
        <w:tc>
          <w:tcPr>
            <w:tcW w:w="0" w:type="auto"/>
            <w:gridSpan w:val="3"/>
            <w:shd w:val="clear" w:color="auto" w:fill="auto"/>
            <w:vAlign w:val="bottom"/>
          </w:tcPr>
          <w:p w14:paraId="5A1B38AA" w14:textId="77777777" w:rsidR="00960BB8" w:rsidRDefault="00960BB8">
            <w:pPr>
              <w:rPr>
                <w:rFonts w:ascii="宋体"/>
                <w:vanish/>
              </w:rPr>
            </w:pPr>
          </w:p>
        </w:tc>
        <w:tc>
          <w:tcPr>
            <w:tcW w:w="0" w:type="auto"/>
            <w:gridSpan w:val="3"/>
            <w:shd w:val="clear" w:color="auto" w:fill="auto"/>
            <w:vAlign w:val="bottom"/>
          </w:tcPr>
          <w:p w14:paraId="5A1B38AB" w14:textId="77777777" w:rsidR="00960BB8" w:rsidRDefault="00960BB8">
            <w:pPr>
              <w:rPr>
                <w:rFonts w:ascii="宋体"/>
                <w:vanish/>
              </w:rPr>
            </w:pPr>
          </w:p>
        </w:tc>
        <w:tc>
          <w:tcPr>
            <w:tcW w:w="0" w:type="auto"/>
            <w:gridSpan w:val="3"/>
            <w:shd w:val="clear" w:color="auto" w:fill="auto"/>
            <w:vAlign w:val="bottom"/>
          </w:tcPr>
          <w:p w14:paraId="5A1B38AC" w14:textId="77777777" w:rsidR="00960BB8" w:rsidRDefault="00960BB8">
            <w:pPr>
              <w:rPr>
                <w:rFonts w:ascii="宋体"/>
                <w:vanish/>
              </w:rPr>
            </w:pPr>
          </w:p>
        </w:tc>
      </w:tr>
    </w:tbl>
    <w:p w14:paraId="5A1B38AE"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38B8" w14:textId="77777777">
        <w:tc>
          <w:tcPr>
            <w:tcW w:w="50" w:type="pct"/>
            <w:shd w:val="clear" w:color="auto" w:fill="auto"/>
            <w:vAlign w:val="bottom"/>
          </w:tcPr>
          <w:p w14:paraId="5A1B38AF" w14:textId="77777777" w:rsidR="00960BB8" w:rsidRDefault="00960BB8">
            <w:pPr>
              <w:rPr>
                <w:rFonts w:ascii="宋体"/>
              </w:rPr>
            </w:pPr>
          </w:p>
        </w:tc>
        <w:tc>
          <w:tcPr>
            <w:tcW w:w="283" w:type="pct"/>
            <w:shd w:val="clear" w:color="auto" w:fill="auto"/>
            <w:vAlign w:val="bottom"/>
          </w:tcPr>
          <w:p w14:paraId="5A1B38B0" w14:textId="77777777" w:rsidR="00960BB8" w:rsidRDefault="00960BB8">
            <w:pPr>
              <w:rPr>
                <w:rFonts w:ascii="宋体"/>
              </w:rPr>
            </w:pPr>
          </w:p>
        </w:tc>
        <w:tc>
          <w:tcPr>
            <w:tcW w:w="5" w:type="pct"/>
            <w:shd w:val="clear" w:color="auto" w:fill="auto"/>
            <w:vAlign w:val="bottom"/>
          </w:tcPr>
          <w:p w14:paraId="5A1B38B1" w14:textId="77777777" w:rsidR="00960BB8" w:rsidRDefault="00960BB8">
            <w:pPr>
              <w:rPr>
                <w:rFonts w:ascii="宋体"/>
              </w:rPr>
            </w:pPr>
          </w:p>
        </w:tc>
        <w:tc>
          <w:tcPr>
            <w:tcW w:w="50" w:type="pct"/>
            <w:shd w:val="clear" w:color="auto" w:fill="auto"/>
            <w:vAlign w:val="bottom"/>
          </w:tcPr>
          <w:p w14:paraId="5A1B38B2" w14:textId="77777777" w:rsidR="00960BB8" w:rsidRDefault="00960BB8">
            <w:pPr>
              <w:rPr>
                <w:rFonts w:ascii="宋体"/>
              </w:rPr>
            </w:pPr>
          </w:p>
        </w:tc>
        <w:tc>
          <w:tcPr>
            <w:tcW w:w="2656" w:type="pct"/>
            <w:shd w:val="clear" w:color="auto" w:fill="auto"/>
            <w:vAlign w:val="bottom"/>
          </w:tcPr>
          <w:p w14:paraId="5A1B38B3" w14:textId="77777777" w:rsidR="00960BB8" w:rsidRDefault="00960BB8">
            <w:pPr>
              <w:rPr>
                <w:rFonts w:ascii="宋体"/>
              </w:rPr>
            </w:pPr>
          </w:p>
        </w:tc>
        <w:tc>
          <w:tcPr>
            <w:tcW w:w="5" w:type="pct"/>
            <w:shd w:val="clear" w:color="auto" w:fill="auto"/>
            <w:vAlign w:val="bottom"/>
          </w:tcPr>
          <w:p w14:paraId="5A1B38B4" w14:textId="77777777" w:rsidR="00960BB8" w:rsidRDefault="00960BB8">
            <w:pPr>
              <w:rPr>
                <w:rFonts w:ascii="宋体"/>
              </w:rPr>
            </w:pPr>
          </w:p>
        </w:tc>
        <w:tc>
          <w:tcPr>
            <w:tcW w:w="50" w:type="pct"/>
            <w:shd w:val="clear" w:color="auto" w:fill="auto"/>
            <w:vAlign w:val="bottom"/>
          </w:tcPr>
          <w:p w14:paraId="5A1B38B5" w14:textId="77777777" w:rsidR="00960BB8" w:rsidRDefault="00960BB8">
            <w:pPr>
              <w:rPr>
                <w:rFonts w:ascii="宋体"/>
              </w:rPr>
            </w:pPr>
          </w:p>
        </w:tc>
        <w:tc>
          <w:tcPr>
            <w:tcW w:w="1894" w:type="pct"/>
            <w:shd w:val="clear" w:color="auto" w:fill="auto"/>
            <w:vAlign w:val="bottom"/>
          </w:tcPr>
          <w:p w14:paraId="5A1B38B6" w14:textId="77777777" w:rsidR="00960BB8" w:rsidRDefault="00960BB8">
            <w:pPr>
              <w:rPr>
                <w:rFonts w:ascii="宋体"/>
              </w:rPr>
            </w:pPr>
          </w:p>
        </w:tc>
        <w:tc>
          <w:tcPr>
            <w:tcW w:w="5" w:type="pct"/>
            <w:shd w:val="clear" w:color="auto" w:fill="auto"/>
            <w:vAlign w:val="bottom"/>
          </w:tcPr>
          <w:p w14:paraId="5A1B38B7" w14:textId="77777777" w:rsidR="00960BB8" w:rsidRDefault="00960BB8">
            <w:pPr>
              <w:rPr>
                <w:rFonts w:ascii="宋体"/>
              </w:rPr>
            </w:pPr>
          </w:p>
        </w:tc>
      </w:tr>
      <w:tr w:rsidR="00960BB8" w14:paraId="5A1B38B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8B9"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DB" wp14:editId="5A1B44DC">
                  <wp:extent cx="304800" cy="304800"/>
                  <wp:effectExtent l="0" t="0" r="0" b="0"/>
                  <wp:docPr id="155" name="图片 31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1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8BA" w14:textId="77777777" w:rsidR="00960BB8" w:rsidRDefault="00C06650">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8BB" w14:textId="77777777" w:rsidR="00960BB8" w:rsidRDefault="00C06650">
            <w:pPr>
              <w:jc w:val="right"/>
              <w:textAlignment w:val="center"/>
            </w:pPr>
            <w:r>
              <w:rPr>
                <w:rFonts w:ascii="Arial" w:eastAsia="宋体" w:hAnsi="Arial" w:cs="Arial"/>
                <w:color w:val="262626"/>
                <w:sz w:val="16"/>
                <w:szCs w:val="16"/>
              </w:rPr>
              <w:t>115</w:t>
            </w:r>
          </w:p>
        </w:tc>
      </w:tr>
    </w:tbl>
    <w:p w14:paraId="5A1B38BD" w14:textId="77777777" w:rsidR="00960BB8" w:rsidRDefault="00C06650">
      <w:r>
        <w:pict w14:anchorId="5A1B44DD">
          <v:rect id="_x0000_i1141" style="width:415.3pt;height:1.5pt" o:hralign="center" o:hrstd="t" o:hr="t" fillcolor="#a0a0a0" stroked="f"/>
        </w:pict>
      </w:r>
    </w:p>
    <w:p w14:paraId="5A1B38BE" w14:textId="77777777" w:rsidR="00960BB8" w:rsidRDefault="00C06650">
      <w:pPr>
        <w:jc w:val="right"/>
      </w:pPr>
      <w:hyperlink r:id="rId164" w:anchor="i8aaa7b4dbd2e419ca0f5c30af85a11aa_16" w:history="1">
        <w:r>
          <w:rPr>
            <w:rStyle w:val="a5"/>
            <w:rFonts w:ascii="Arial" w:eastAsia="宋体" w:hAnsi="Arial" w:cs="Arial"/>
            <w:b/>
            <w:bCs/>
            <w:sz w:val="16"/>
            <w:szCs w:val="16"/>
          </w:rPr>
          <w:t>Table of Contents</w:t>
        </w:r>
      </w:hyperlink>
    </w:p>
    <w:p w14:paraId="5A1B38BF"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2"/>
        <w:gridCol w:w="1186"/>
        <w:gridCol w:w="37"/>
        <w:gridCol w:w="36"/>
        <w:gridCol w:w="36"/>
        <w:gridCol w:w="36"/>
        <w:gridCol w:w="53"/>
        <w:gridCol w:w="6861"/>
        <w:gridCol w:w="39"/>
      </w:tblGrid>
      <w:tr w:rsidR="00960BB8" w14:paraId="5A1B38C9" w14:textId="77777777">
        <w:tc>
          <w:tcPr>
            <w:tcW w:w="50" w:type="pct"/>
            <w:shd w:val="clear" w:color="auto" w:fill="auto"/>
            <w:vAlign w:val="bottom"/>
          </w:tcPr>
          <w:p w14:paraId="5A1B38C0" w14:textId="77777777" w:rsidR="00960BB8" w:rsidRDefault="00960BB8">
            <w:pPr>
              <w:rPr>
                <w:rFonts w:ascii="宋体"/>
              </w:rPr>
            </w:pPr>
          </w:p>
        </w:tc>
        <w:tc>
          <w:tcPr>
            <w:tcW w:w="730" w:type="pct"/>
            <w:shd w:val="clear" w:color="auto" w:fill="auto"/>
            <w:vAlign w:val="bottom"/>
          </w:tcPr>
          <w:p w14:paraId="5A1B38C1" w14:textId="77777777" w:rsidR="00960BB8" w:rsidRDefault="00960BB8">
            <w:pPr>
              <w:rPr>
                <w:rFonts w:ascii="宋体"/>
              </w:rPr>
            </w:pPr>
          </w:p>
        </w:tc>
        <w:tc>
          <w:tcPr>
            <w:tcW w:w="5" w:type="pct"/>
            <w:shd w:val="clear" w:color="auto" w:fill="auto"/>
            <w:vAlign w:val="bottom"/>
          </w:tcPr>
          <w:p w14:paraId="5A1B38C2" w14:textId="77777777" w:rsidR="00960BB8" w:rsidRDefault="00960BB8">
            <w:pPr>
              <w:rPr>
                <w:rFonts w:ascii="宋体"/>
              </w:rPr>
            </w:pPr>
          </w:p>
        </w:tc>
        <w:tc>
          <w:tcPr>
            <w:tcW w:w="5" w:type="pct"/>
            <w:shd w:val="clear" w:color="auto" w:fill="auto"/>
            <w:vAlign w:val="bottom"/>
          </w:tcPr>
          <w:p w14:paraId="5A1B38C3" w14:textId="77777777" w:rsidR="00960BB8" w:rsidRDefault="00960BB8">
            <w:pPr>
              <w:rPr>
                <w:rFonts w:ascii="宋体"/>
              </w:rPr>
            </w:pPr>
          </w:p>
        </w:tc>
        <w:tc>
          <w:tcPr>
            <w:tcW w:w="17" w:type="pct"/>
            <w:shd w:val="clear" w:color="auto" w:fill="auto"/>
            <w:vAlign w:val="bottom"/>
          </w:tcPr>
          <w:p w14:paraId="5A1B38C4" w14:textId="77777777" w:rsidR="00960BB8" w:rsidRDefault="00960BB8">
            <w:pPr>
              <w:rPr>
                <w:rFonts w:ascii="宋体"/>
              </w:rPr>
            </w:pPr>
          </w:p>
        </w:tc>
        <w:tc>
          <w:tcPr>
            <w:tcW w:w="5" w:type="pct"/>
            <w:shd w:val="clear" w:color="auto" w:fill="auto"/>
            <w:vAlign w:val="bottom"/>
          </w:tcPr>
          <w:p w14:paraId="5A1B38C5" w14:textId="77777777" w:rsidR="00960BB8" w:rsidRDefault="00960BB8">
            <w:pPr>
              <w:rPr>
                <w:rFonts w:ascii="宋体"/>
              </w:rPr>
            </w:pPr>
          </w:p>
        </w:tc>
        <w:tc>
          <w:tcPr>
            <w:tcW w:w="50" w:type="pct"/>
            <w:shd w:val="clear" w:color="auto" w:fill="auto"/>
            <w:vAlign w:val="bottom"/>
          </w:tcPr>
          <w:p w14:paraId="5A1B38C6" w14:textId="77777777" w:rsidR="00960BB8" w:rsidRDefault="00960BB8">
            <w:pPr>
              <w:rPr>
                <w:rFonts w:ascii="宋体"/>
              </w:rPr>
            </w:pPr>
          </w:p>
        </w:tc>
        <w:tc>
          <w:tcPr>
            <w:tcW w:w="4132" w:type="pct"/>
            <w:shd w:val="clear" w:color="auto" w:fill="auto"/>
            <w:vAlign w:val="bottom"/>
          </w:tcPr>
          <w:p w14:paraId="5A1B38C7" w14:textId="77777777" w:rsidR="00960BB8" w:rsidRDefault="00960BB8">
            <w:pPr>
              <w:rPr>
                <w:rFonts w:ascii="宋体"/>
              </w:rPr>
            </w:pPr>
          </w:p>
        </w:tc>
        <w:tc>
          <w:tcPr>
            <w:tcW w:w="5" w:type="pct"/>
            <w:shd w:val="clear" w:color="auto" w:fill="auto"/>
            <w:vAlign w:val="bottom"/>
          </w:tcPr>
          <w:p w14:paraId="5A1B38C8" w14:textId="77777777" w:rsidR="00960BB8" w:rsidRDefault="00960BB8">
            <w:pPr>
              <w:rPr>
                <w:rFonts w:ascii="宋体"/>
              </w:rPr>
            </w:pPr>
          </w:p>
        </w:tc>
      </w:tr>
      <w:tr w:rsidR="00960BB8" w14:paraId="5A1B38CD" w14:textId="77777777">
        <w:tc>
          <w:tcPr>
            <w:tcW w:w="0" w:type="auto"/>
            <w:gridSpan w:val="3"/>
            <w:shd w:val="clear" w:color="auto" w:fill="auto"/>
            <w:tcMar>
              <w:top w:w="40" w:type="dxa"/>
              <w:left w:w="20" w:type="dxa"/>
              <w:bottom w:w="40" w:type="dxa"/>
              <w:right w:w="20" w:type="dxa"/>
            </w:tcMar>
          </w:tcPr>
          <w:p w14:paraId="5A1B38CA" w14:textId="77777777" w:rsidR="00960BB8" w:rsidRDefault="00C06650">
            <w:pPr>
              <w:textAlignment w:val="top"/>
            </w:pPr>
            <w:r>
              <w:rPr>
                <w:rFonts w:ascii="Arial" w:eastAsia="宋体" w:hAnsi="Arial" w:cs="Arial"/>
                <w:color w:val="0068B5"/>
                <w:sz w:val="18"/>
                <w:szCs w:val="18"/>
              </w:rPr>
              <w:t>IPO</w:t>
            </w:r>
          </w:p>
        </w:tc>
        <w:tc>
          <w:tcPr>
            <w:tcW w:w="0" w:type="auto"/>
            <w:gridSpan w:val="3"/>
            <w:shd w:val="clear" w:color="auto" w:fill="auto"/>
            <w:tcMar>
              <w:top w:w="0" w:type="dxa"/>
              <w:left w:w="20" w:type="dxa"/>
              <w:bottom w:w="0" w:type="dxa"/>
              <w:right w:w="20" w:type="dxa"/>
            </w:tcMar>
            <w:vAlign w:val="bottom"/>
          </w:tcPr>
          <w:p w14:paraId="5A1B38C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CC" w14:textId="77777777" w:rsidR="00960BB8" w:rsidRDefault="00C06650">
            <w:pPr>
              <w:textAlignment w:val="top"/>
            </w:pPr>
            <w:r>
              <w:rPr>
                <w:rFonts w:ascii="Arial" w:eastAsia="宋体" w:hAnsi="Arial" w:cs="Arial"/>
                <w:color w:val="262626"/>
                <w:sz w:val="18"/>
                <w:szCs w:val="18"/>
              </w:rPr>
              <w:t>Initial public offering</w:t>
            </w:r>
          </w:p>
        </w:tc>
      </w:tr>
      <w:tr w:rsidR="00960BB8" w14:paraId="5A1B38D1" w14:textId="77777777">
        <w:tc>
          <w:tcPr>
            <w:tcW w:w="0" w:type="auto"/>
            <w:gridSpan w:val="3"/>
            <w:shd w:val="clear" w:color="auto" w:fill="auto"/>
            <w:tcMar>
              <w:top w:w="40" w:type="dxa"/>
              <w:left w:w="20" w:type="dxa"/>
              <w:bottom w:w="40" w:type="dxa"/>
              <w:right w:w="20" w:type="dxa"/>
            </w:tcMar>
          </w:tcPr>
          <w:p w14:paraId="5A1B38CE" w14:textId="77777777" w:rsidR="00960BB8" w:rsidRDefault="00C06650">
            <w:pPr>
              <w:textAlignment w:val="top"/>
            </w:pPr>
            <w:r>
              <w:rPr>
                <w:rFonts w:ascii="Arial" w:eastAsia="宋体" w:hAnsi="Arial" w:cs="Arial"/>
                <w:color w:val="0068B5"/>
                <w:sz w:val="18"/>
                <w:szCs w:val="18"/>
              </w:rPr>
              <w:t>IPU</w:t>
            </w:r>
          </w:p>
        </w:tc>
        <w:tc>
          <w:tcPr>
            <w:tcW w:w="0" w:type="auto"/>
            <w:gridSpan w:val="3"/>
            <w:shd w:val="clear" w:color="auto" w:fill="auto"/>
            <w:tcMar>
              <w:top w:w="0" w:type="dxa"/>
              <w:left w:w="20" w:type="dxa"/>
              <w:bottom w:w="0" w:type="dxa"/>
              <w:right w:w="20" w:type="dxa"/>
            </w:tcMar>
            <w:vAlign w:val="bottom"/>
          </w:tcPr>
          <w:p w14:paraId="5A1B38C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D0" w14:textId="77777777" w:rsidR="00960BB8" w:rsidRDefault="00C06650">
            <w:pPr>
              <w:textAlignment w:val="top"/>
            </w:pPr>
            <w:r>
              <w:rPr>
                <w:rFonts w:ascii="Arial" w:eastAsia="宋体" w:hAnsi="Arial" w:cs="Arial"/>
                <w:color w:val="262626"/>
                <w:sz w:val="18"/>
                <w:szCs w:val="18"/>
              </w:rPr>
              <w:t xml:space="preserve">Infrastructure processing unit, a programmable networking device designed to enable cloud and communication service providers to reduce overhead and free up performance for CPUs </w:t>
            </w:r>
          </w:p>
        </w:tc>
      </w:tr>
      <w:tr w:rsidR="00960BB8" w14:paraId="5A1B38D5" w14:textId="77777777">
        <w:trPr>
          <w:hidden/>
        </w:trPr>
        <w:tc>
          <w:tcPr>
            <w:tcW w:w="0" w:type="auto"/>
            <w:gridSpan w:val="3"/>
            <w:shd w:val="clear" w:color="auto" w:fill="auto"/>
            <w:vAlign w:val="bottom"/>
          </w:tcPr>
          <w:p w14:paraId="5A1B38D2" w14:textId="77777777" w:rsidR="00960BB8" w:rsidRDefault="00960BB8">
            <w:pPr>
              <w:rPr>
                <w:rFonts w:ascii="宋体"/>
                <w:vanish/>
              </w:rPr>
            </w:pPr>
          </w:p>
        </w:tc>
        <w:tc>
          <w:tcPr>
            <w:tcW w:w="0" w:type="auto"/>
            <w:gridSpan w:val="3"/>
            <w:shd w:val="clear" w:color="auto" w:fill="auto"/>
            <w:vAlign w:val="bottom"/>
          </w:tcPr>
          <w:p w14:paraId="5A1B38D3" w14:textId="77777777" w:rsidR="00960BB8" w:rsidRDefault="00960BB8">
            <w:pPr>
              <w:rPr>
                <w:rFonts w:ascii="宋体"/>
                <w:vanish/>
              </w:rPr>
            </w:pPr>
          </w:p>
        </w:tc>
        <w:tc>
          <w:tcPr>
            <w:tcW w:w="0" w:type="auto"/>
            <w:gridSpan w:val="3"/>
            <w:shd w:val="clear" w:color="auto" w:fill="auto"/>
            <w:vAlign w:val="bottom"/>
          </w:tcPr>
          <w:p w14:paraId="5A1B38D4" w14:textId="77777777" w:rsidR="00960BB8" w:rsidRDefault="00960BB8">
            <w:pPr>
              <w:rPr>
                <w:rFonts w:ascii="宋体"/>
                <w:vanish/>
              </w:rPr>
            </w:pPr>
          </w:p>
        </w:tc>
      </w:tr>
      <w:tr w:rsidR="00960BB8" w14:paraId="5A1B38D9" w14:textId="77777777">
        <w:tc>
          <w:tcPr>
            <w:tcW w:w="0" w:type="auto"/>
            <w:gridSpan w:val="3"/>
            <w:shd w:val="clear" w:color="auto" w:fill="auto"/>
            <w:tcMar>
              <w:top w:w="40" w:type="dxa"/>
              <w:left w:w="20" w:type="dxa"/>
              <w:bottom w:w="40" w:type="dxa"/>
              <w:right w:w="20" w:type="dxa"/>
            </w:tcMar>
          </w:tcPr>
          <w:p w14:paraId="5A1B38D6" w14:textId="77777777" w:rsidR="00960BB8" w:rsidRDefault="00C06650">
            <w:pPr>
              <w:textAlignment w:val="top"/>
            </w:pPr>
            <w:r>
              <w:rPr>
                <w:rFonts w:ascii="Arial" w:eastAsia="宋体" w:hAnsi="Arial" w:cs="Arial"/>
                <w:color w:val="0068B5"/>
                <w:sz w:val="18"/>
                <w:szCs w:val="18"/>
              </w:rPr>
              <w:t>ISA</w:t>
            </w:r>
          </w:p>
        </w:tc>
        <w:tc>
          <w:tcPr>
            <w:tcW w:w="0" w:type="auto"/>
            <w:gridSpan w:val="3"/>
            <w:shd w:val="clear" w:color="auto" w:fill="auto"/>
            <w:tcMar>
              <w:top w:w="0" w:type="dxa"/>
              <w:left w:w="20" w:type="dxa"/>
              <w:bottom w:w="0" w:type="dxa"/>
              <w:right w:w="20" w:type="dxa"/>
            </w:tcMar>
            <w:vAlign w:val="bottom"/>
          </w:tcPr>
          <w:p w14:paraId="5A1B38D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D8" w14:textId="77777777" w:rsidR="00960BB8" w:rsidRDefault="00C06650">
            <w:pPr>
              <w:textAlignment w:val="top"/>
            </w:pPr>
            <w:r>
              <w:rPr>
                <w:rFonts w:ascii="Arial" w:eastAsia="宋体" w:hAnsi="Arial" w:cs="Arial"/>
                <w:color w:val="262626"/>
                <w:sz w:val="18"/>
                <w:szCs w:val="18"/>
              </w:rPr>
              <w:t>Intel system architecture</w:t>
            </w:r>
          </w:p>
        </w:tc>
      </w:tr>
      <w:tr w:rsidR="00960BB8" w14:paraId="5A1B38DD" w14:textId="77777777">
        <w:tc>
          <w:tcPr>
            <w:tcW w:w="0" w:type="auto"/>
            <w:gridSpan w:val="3"/>
            <w:shd w:val="clear" w:color="auto" w:fill="auto"/>
            <w:tcMar>
              <w:top w:w="40" w:type="dxa"/>
              <w:left w:w="20" w:type="dxa"/>
              <w:bottom w:w="40" w:type="dxa"/>
              <w:right w:w="20" w:type="dxa"/>
            </w:tcMar>
          </w:tcPr>
          <w:p w14:paraId="5A1B38DA" w14:textId="77777777" w:rsidR="00960BB8" w:rsidRDefault="00C06650">
            <w:pPr>
              <w:textAlignment w:val="top"/>
            </w:pPr>
            <w:r>
              <w:rPr>
                <w:rFonts w:ascii="Arial" w:eastAsia="宋体" w:hAnsi="Arial" w:cs="Arial"/>
                <w:color w:val="0068B5"/>
                <w:sz w:val="18"/>
                <w:szCs w:val="18"/>
              </w:rPr>
              <w:t>L1</w:t>
            </w:r>
          </w:p>
        </w:tc>
        <w:tc>
          <w:tcPr>
            <w:tcW w:w="0" w:type="auto"/>
            <w:gridSpan w:val="3"/>
            <w:shd w:val="clear" w:color="auto" w:fill="auto"/>
            <w:tcMar>
              <w:top w:w="0" w:type="dxa"/>
              <w:left w:w="20" w:type="dxa"/>
              <w:bottom w:w="0" w:type="dxa"/>
              <w:right w:w="20" w:type="dxa"/>
            </w:tcMar>
            <w:vAlign w:val="bottom"/>
          </w:tcPr>
          <w:p w14:paraId="5A1B38D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DC" w14:textId="77777777" w:rsidR="00960BB8" w:rsidRDefault="00C06650">
            <w:pPr>
              <w:textAlignment w:val="top"/>
            </w:pPr>
            <w:r>
              <w:rPr>
                <w:rFonts w:ascii="Arial" w:eastAsia="宋体" w:hAnsi="Arial" w:cs="Arial"/>
                <w:color w:val="262626"/>
                <w:sz w:val="18"/>
                <w:szCs w:val="18"/>
              </w:rPr>
              <w:t xml:space="preserve">Level 1 of autonomous </w:t>
            </w:r>
            <w:r>
              <w:rPr>
                <w:rFonts w:ascii="Arial" w:eastAsia="宋体" w:hAnsi="Arial" w:cs="Arial"/>
                <w:color w:val="262626"/>
                <w:sz w:val="18"/>
                <w:szCs w:val="18"/>
              </w:rPr>
              <w:t>driving; most functions are controlled by a human driver; certain functions (parking assist, acceleration, and limited steering) can be done automatically by the vehicle</w:t>
            </w:r>
          </w:p>
        </w:tc>
      </w:tr>
      <w:tr w:rsidR="00960BB8" w14:paraId="5A1B38E1" w14:textId="77777777">
        <w:tc>
          <w:tcPr>
            <w:tcW w:w="0" w:type="auto"/>
            <w:gridSpan w:val="3"/>
            <w:shd w:val="clear" w:color="auto" w:fill="auto"/>
            <w:tcMar>
              <w:top w:w="40" w:type="dxa"/>
              <w:left w:w="20" w:type="dxa"/>
              <w:bottom w:w="40" w:type="dxa"/>
              <w:right w:w="20" w:type="dxa"/>
            </w:tcMar>
          </w:tcPr>
          <w:p w14:paraId="5A1B38DE" w14:textId="77777777" w:rsidR="00960BB8" w:rsidRDefault="00C06650">
            <w:pPr>
              <w:textAlignment w:val="top"/>
            </w:pPr>
            <w:r>
              <w:rPr>
                <w:rFonts w:ascii="Arial" w:eastAsia="宋体" w:hAnsi="Arial" w:cs="Arial"/>
                <w:color w:val="0068B5"/>
                <w:sz w:val="18"/>
                <w:szCs w:val="18"/>
              </w:rPr>
              <w:t>L2</w:t>
            </w:r>
          </w:p>
        </w:tc>
        <w:tc>
          <w:tcPr>
            <w:tcW w:w="0" w:type="auto"/>
            <w:gridSpan w:val="3"/>
            <w:shd w:val="clear" w:color="auto" w:fill="auto"/>
            <w:tcMar>
              <w:top w:w="0" w:type="dxa"/>
              <w:left w:w="20" w:type="dxa"/>
              <w:bottom w:w="0" w:type="dxa"/>
              <w:right w:w="20" w:type="dxa"/>
            </w:tcMar>
            <w:vAlign w:val="bottom"/>
          </w:tcPr>
          <w:p w14:paraId="5A1B38D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E0" w14:textId="77777777" w:rsidR="00960BB8" w:rsidRDefault="00C06650">
            <w:pPr>
              <w:textAlignment w:val="top"/>
            </w:pPr>
            <w:r>
              <w:rPr>
                <w:rFonts w:ascii="Arial" w:eastAsia="宋体" w:hAnsi="Arial" w:cs="Arial"/>
                <w:color w:val="262626"/>
                <w:sz w:val="18"/>
                <w:szCs w:val="18"/>
              </w:rPr>
              <w:t xml:space="preserve">Level 2 of autonomous driving; the system controls both steering and </w:t>
            </w:r>
            <w:r>
              <w:rPr>
                <w:rFonts w:ascii="Arial" w:eastAsia="宋体" w:hAnsi="Arial" w:cs="Arial"/>
                <w:color w:val="262626"/>
                <w:sz w:val="18"/>
                <w:szCs w:val="18"/>
              </w:rPr>
              <w:t>acceleration using information about the driving environment, but with the expectation that a human will perform all remaining aspects of driving; the driver can have his or her hands off the steering wheel, but must monitor the "dynamic driving task" at a</w:t>
            </w:r>
            <w:r>
              <w:rPr>
                <w:rFonts w:ascii="Arial" w:eastAsia="宋体" w:hAnsi="Arial" w:cs="Arial"/>
                <w:color w:val="262626"/>
                <w:sz w:val="18"/>
                <w:szCs w:val="18"/>
              </w:rPr>
              <w:t>ll times</w:t>
            </w:r>
          </w:p>
        </w:tc>
      </w:tr>
      <w:tr w:rsidR="00960BB8" w14:paraId="5A1B38E5" w14:textId="77777777">
        <w:trPr>
          <w:hidden/>
        </w:trPr>
        <w:tc>
          <w:tcPr>
            <w:tcW w:w="0" w:type="auto"/>
            <w:gridSpan w:val="3"/>
            <w:shd w:val="clear" w:color="auto" w:fill="auto"/>
            <w:vAlign w:val="bottom"/>
          </w:tcPr>
          <w:p w14:paraId="5A1B38E2" w14:textId="77777777" w:rsidR="00960BB8" w:rsidRDefault="00960BB8">
            <w:pPr>
              <w:rPr>
                <w:rFonts w:ascii="宋体"/>
                <w:vanish/>
              </w:rPr>
            </w:pPr>
          </w:p>
        </w:tc>
        <w:tc>
          <w:tcPr>
            <w:tcW w:w="0" w:type="auto"/>
            <w:gridSpan w:val="3"/>
            <w:shd w:val="clear" w:color="auto" w:fill="auto"/>
            <w:vAlign w:val="bottom"/>
          </w:tcPr>
          <w:p w14:paraId="5A1B38E3" w14:textId="77777777" w:rsidR="00960BB8" w:rsidRDefault="00960BB8">
            <w:pPr>
              <w:rPr>
                <w:rFonts w:ascii="宋体"/>
                <w:vanish/>
              </w:rPr>
            </w:pPr>
          </w:p>
        </w:tc>
        <w:tc>
          <w:tcPr>
            <w:tcW w:w="0" w:type="auto"/>
            <w:gridSpan w:val="3"/>
            <w:shd w:val="clear" w:color="auto" w:fill="auto"/>
            <w:vAlign w:val="bottom"/>
          </w:tcPr>
          <w:p w14:paraId="5A1B38E4" w14:textId="77777777" w:rsidR="00960BB8" w:rsidRDefault="00960BB8">
            <w:pPr>
              <w:rPr>
                <w:rFonts w:ascii="宋体"/>
                <w:vanish/>
              </w:rPr>
            </w:pPr>
          </w:p>
        </w:tc>
      </w:tr>
      <w:tr w:rsidR="00960BB8" w14:paraId="5A1B38E9" w14:textId="77777777">
        <w:trPr>
          <w:hidden/>
        </w:trPr>
        <w:tc>
          <w:tcPr>
            <w:tcW w:w="0" w:type="auto"/>
            <w:gridSpan w:val="3"/>
            <w:shd w:val="clear" w:color="auto" w:fill="auto"/>
            <w:vAlign w:val="bottom"/>
          </w:tcPr>
          <w:p w14:paraId="5A1B38E6" w14:textId="77777777" w:rsidR="00960BB8" w:rsidRDefault="00960BB8">
            <w:pPr>
              <w:rPr>
                <w:rFonts w:ascii="宋体"/>
                <w:vanish/>
              </w:rPr>
            </w:pPr>
          </w:p>
        </w:tc>
        <w:tc>
          <w:tcPr>
            <w:tcW w:w="0" w:type="auto"/>
            <w:gridSpan w:val="3"/>
            <w:shd w:val="clear" w:color="auto" w:fill="auto"/>
            <w:vAlign w:val="bottom"/>
          </w:tcPr>
          <w:p w14:paraId="5A1B38E7" w14:textId="77777777" w:rsidR="00960BB8" w:rsidRDefault="00960BB8">
            <w:pPr>
              <w:rPr>
                <w:rFonts w:ascii="宋体"/>
                <w:vanish/>
              </w:rPr>
            </w:pPr>
          </w:p>
        </w:tc>
        <w:tc>
          <w:tcPr>
            <w:tcW w:w="0" w:type="auto"/>
            <w:gridSpan w:val="3"/>
            <w:shd w:val="clear" w:color="auto" w:fill="auto"/>
            <w:vAlign w:val="bottom"/>
          </w:tcPr>
          <w:p w14:paraId="5A1B38E8" w14:textId="77777777" w:rsidR="00960BB8" w:rsidRDefault="00960BB8">
            <w:pPr>
              <w:rPr>
                <w:rFonts w:ascii="宋体"/>
                <w:vanish/>
              </w:rPr>
            </w:pPr>
          </w:p>
        </w:tc>
      </w:tr>
      <w:tr w:rsidR="00960BB8" w14:paraId="5A1B38ED" w14:textId="77777777">
        <w:tc>
          <w:tcPr>
            <w:tcW w:w="0" w:type="auto"/>
            <w:gridSpan w:val="3"/>
            <w:shd w:val="clear" w:color="auto" w:fill="auto"/>
            <w:tcMar>
              <w:top w:w="40" w:type="dxa"/>
              <w:left w:w="20" w:type="dxa"/>
              <w:bottom w:w="40" w:type="dxa"/>
              <w:right w:w="20" w:type="dxa"/>
            </w:tcMar>
          </w:tcPr>
          <w:p w14:paraId="5A1B38EA" w14:textId="77777777" w:rsidR="00960BB8" w:rsidRDefault="00C06650">
            <w:pPr>
              <w:textAlignment w:val="top"/>
            </w:pPr>
            <w:r>
              <w:rPr>
                <w:rFonts w:ascii="Arial" w:eastAsia="宋体" w:hAnsi="Arial" w:cs="Arial"/>
                <w:color w:val="0068B5"/>
                <w:sz w:val="18"/>
                <w:szCs w:val="18"/>
              </w:rPr>
              <w:t>L4</w:t>
            </w:r>
          </w:p>
        </w:tc>
        <w:tc>
          <w:tcPr>
            <w:tcW w:w="0" w:type="auto"/>
            <w:gridSpan w:val="3"/>
            <w:shd w:val="clear" w:color="auto" w:fill="auto"/>
            <w:tcMar>
              <w:top w:w="0" w:type="dxa"/>
              <w:left w:w="20" w:type="dxa"/>
              <w:bottom w:w="0" w:type="dxa"/>
              <w:right w:w="20" w:type="dxa"/>
            </w:tcMar>
            <w:vAlign w:val="bottom"/>
          </w:tcPr>
          <w:p w14:paraId="5A1B38E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EC" w14:textId="77777777" w:rsidR="00960BB8" w:rsidRDefault="00C06650">
            <w:pPr>
              <w:textAlignment w:val="top"/>
            </w:pPr>
            <w:r>
              <w:rPr>
                <w:rFonts w:ascii="Arial" w:eastAsia="宋体" w:hAnsi="Arial" w:cs="Arial"/>
                <w:color w:val="262626"/>
                <w:sz w:val="18"/>
                <w:szCs w:val="18"/>
              </w:rPr>
              <w:t xml:space="preserve">Level 4 of autonomous driving; the system performs all aspects of the driving task even if the driver does not respond appropriately to a request for intervention, including all safety-critical driving functions and </w:t>
            </w:r>
            <w:r>
              <w:rPr>
                <w:rFonts w:ascii="Arial" w:eastAsia="宋体" w:hAnsi="Arial" w:cs="Arial"/>
                <w:color w:val="262626"/>
                <w:sz w:val="18"/>
                <w:szCs w:val="18"/>
              </w:rPr>
              <w:t>monitoring roadway conditions for an entire trip. For a defined use case, no driver intervention is required at all.</w:t>
            </w:r>
          </w:p>
        </w:tc>
      </w:tr>
      <w:tr w:rsidR="00960BB8" w14:paraId="5A1B38F1" w14:textId="77777777">
        <w:trPr>
          <w:hidden/>
        </w:trPr>
        <w:tc>
          <w:tcPr>
            <w:tcW w:w="0" w:type="auto"/>
            <w:gridSpan w:val="3"/>
            <w:shd w:val="clear" w:color="auto" w:fill="auto"/>
            <w:vAlign w:val="bottom"/>
          </w:tcPr>
          <w:p w14:paraId="5A1B38EE" w14:textId="77777777" w:rsidR="00960BB8" w:rsidRDefault="00960BB8">
            <w:pPr>
              <w:rPr>
                <w:rFonts w:ascii="宋体"/>
                <w:vanish/>
              </w:rPr>
            </w:pPr>
          </w:p>
        </w:tc>
        <w:tc>
          <w:tcPr>
            <w:tcW w:w="0" w:type="auto"/>
            <w:gridSpan w:val="3"/>
            <w:shd w:val="clear" w:color="auto" w:fill="auto"/>
            <w:vAlign w:val="bottom"/>
          </w:tcPr>
          <w:p w14:paraId="5A1B38EF" w14:textId="77777777" w:rsidR="00960BB8" w:rsidRDefault="00960BB8">
            <w:pPr>
              <w:rPr>
                <w:rFonts w:ascii="宋体"/>
                <w:vanish/>
              </w:rPr>
            </w:pPr>
          </w:p>
        </w:tc>
        <w:tc>
          <w:tcPr>
            <w:tcW w:w="0" w:type="auto"/>
            <w:gridSpan w:val="3"/>
            <w:shd w:val="clear" w:color="auto" w:fill="auto"/>
            <w:vAlign w:val="bottom"/>
          </w:tcPr>
          <w:p w14:paraId="5A1B38F0" w14:textId="77777777" w:rsidR="00960BB8" w:rsidRDefault="00960BB8">
            <w:pPr>
              <w:rPr>
                <w:rFonts w:ascii="宋体"/>
                <w:vanish/>
              </w:rPr>
            </w:pPr>
          </w:p>
        </w:tc>
      </w:tr>
      <w:tr w:rsidR="00960BB8" w14:paraId="5A1B38F5" w14:textId="77777777">
        <w:tc>
          <w:tcPr>
            <w:tcW w:w="0" w:type="auto"/>
            <w:gridSpan w:val="3"/>
            <w:shd w:val="clear" w:color="auto" w:fill="auto"/>
            <w:tcMar>
              <w:top w:w="40" w:type="dxa"/>
              <w:left w:w="20" w:type="dxa"/>
              <w:bottom w:w="40" w:type="dxa"/>
              <w:right w:w="20" w:type="dxa"/>
            </w:tcMar>
          </w:tcPr>
          <w:p w14:paraId="5A1B38F2" w14:textId="77777777" w:rsidR="00960BB8" w:rsidRDefault="00C06650">
            <w:pPr>
              <w:textAlignment w:val="top"/>
            </w:pPr>
            <w:r>
              <w:rPr>
                <w:rFonts w:ascii="Arial" w:eastAsia="宋体" w:hAnsi="Arial" w:cs="Arial"/>
                <w:color w:val="0068B5"/>
                <w:sz w:val="18"/>
                <w:szCs w:val="18"/>
              </w:rPr>
              <w:t>MaaS</w:t>
            </w:r>
          </w:p>
        </w:tc>
        <w:tc>
          <w:tcPr>
            <w:tcW w:w="0" w:type="auto"/>
            <w:gridSpan w:val="3"/>
            <w:shd w:val="clear" w:color="auto" w:fill="auto"/>
            <w:tcMar>
              <w:top w:w="0" w:type="dxa"/>
              <w:left w:w="20" w:type="dxa"/>
              <w:bottom w:w="0" w:type="dxa"/>
              <w:right w:w="20" w:type="dxa"/>
            </w:tcMar>
            <w:vAlign w:val="bottom"/>
          </w:tcPr>
          <w:p w14:paraId="5A1B38F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F4" w14:textId="77777777" w:rsidR="00960BB8" w:rsidRDefault="00C06650">
            <w:pPr>
              <w:textAlignment w:val="top"/>
            </w:pPr>
            <w:r>
              <w:rPr>
                <w:rFonts w:ascii="Arial" w:eastAsia="宋体" w:hAnsi="Arial" w:cs="Arial"/>
                <w:color w:val="262626"/>
                <w:sz w:val="18"/>
                <w:szCs w:val="18"/>
              </w:rPr>
              <w:t>Mobility as a service</w:t>
            </w:r>
          </w:p>
        </w:tc>
      </w:tr>
      <w:tr w:rsidR="00960BB8" w14:paraId="5A1B38F9" w14:textId="77777777">
        <w:trPr>
          <w:hidden/>
        </w:trPr>
        <w:tc>
          <w:tcPr>
            <w:tcW w:w="0" w:type="auto"/>
            <w:gridSpan w:val="3"/>
            <w:shd w:val="clear" w:color="auto" w:fill="auto"/>
            <w:vAlign w:val="bottom"/>
          </w:tcPr>
          <w:p w14:paraId="5A1B38F6" w14:textId="77777777" w:rsidR="00960BB8" w:rsidRDefault="00960BB8">
            <w:pPr>
              <w:rPr>
                <w:rFonts w:ascii="宋体"/>
                <w:vanish/>
              </w:rPr>
            </w:pPr>
          </w:p>
        </w:tc>
        <w:tc>
          <w:tcPr>
            <w:tcW w:w="0" w:type="auto"/>
            <w:gridSpan w:val="3"/>
            <w:shd w:val="clear" w:color="auto" w:fill="auto"/>
            <w:vAlign w:val="bottom"/>
          </w:tcPr>
          <w:p w14:paraId="5A1B38F7" w14:textId="77777777" w:rsidR="00960BB8" w:rsidRDefault="00960BB8">
            <w:pPr>
              <w:rPr>
                <w:rFonts w:ascii="宋体"/>
                <w:vanish/>
              </w:rPr>
            </w:pPr>
          </w:p>
        </w:tc>
        <w:tc>
          <w:tcPr>
            <w:tcW w:w="0" w:type="auto"/>
            <w:gridSpan w:val="3"/>
            <w:shd w:val="clear" w:color="auto" w:fill="auto"/>
            <w:vAlign w:val="bottom"/>
          </w:tcPr>
          <w:p w14:paraId="5A1B38F8" w14:textId="77777777" w:rsidR="00960BB8" w:rsidRDefault="00960BB8">
            <w:pPr>
              <w:rPr>
                <w:rFonts w:ascii="宋体"/>
                <w:vanish/>
              </w:rPr>
            </w:pPr>
          </w:p>
        </w:tc>
      </w:tr>
      <w:tr w:rsidR="00960BB8" w14:paraId="5A1B38FD" w14:textId="77777777">
        <w:tc>
          <w:tcPr>
            <w:tcW w:w="0" w:type="auto"/>
            <w:gridSpan w:val="3"/>
            <w:shd w:val="clear" w:color="auto" w:fill="auto"/>
            <w:tcMar>
              <w:top w:w="40" w:type="dxa"/>
              <w:left w:w="20" w:type="dxa"/>
              <w:bottom w:w="40" w:type="dxa"/>
              <w:right w:w="20" w:type="dxa"/>
            </w:tcMar>
          </w:tcPr>
          <w:p w14:paraId="5A1B38FA" w14:textId="77777777" w:rsidR="00960BB8" w:rsidRDefault="00C06650">
            <w:pPr>
              <w:textAlignment w:val="top"/>
            </w:pPr>
            <w:r>
              <w:rPr>
                <w:rFonts w:ascii="Arial" w:eastAsia="宋体" w:hAnsi="Arial" w:cs="Arial"/>
                <w:color w:val="0068B5"/>
                <w:sz w:val="18"/>
                <w:szCs w:val="18"/>
              </w:rPr>
              <w:t>MBMW</w:t>
            </w:r>
          </w:p>
        </w:tc>
        <w:tc>
          <w:tcPr>
            <w:tcW w:w="0" w:type="auto"/>
            <w:gridSpan w:val="3"/>
            <w:shd w:val="clear" w:color="auto" w:fill="auto"/>
            <w:tcMar>
              <w:top w:w="0" w:type="dxa"/>
              <w:left w:w="20" w:type="dxa"/>
              <w:bottom w:w="0" w:type="dxa"/>
              <w:right w:w="20" w:type="dxa"/>
            </w:tcMar>
            <w:vAlign w:val="bottom"/>
          </w:tcPr>
          <w:p w14:paraId="5A1B38F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8FC" w14:textId="77777777" w:rsidR="00960BB8" w:rsidRDefault="00C06650">
            <w:pPr>
              <w:textAlignment w:val="top"/>
            </w:pPr>
            <w:r>
              <w:rPr>
                <w:rFonts w:ascii="Arial" w:eastAsia="宋体" w:hAnsi="Arial" w:cs="Arial"/>
                <w:color w:val="262626"/>
                <w:sz w:val="18"/>
                <w:szCs w:val="18"/>
              </w:rPr>
              <w:t>Multi-beam mask writer</w:t>
            </w:r>
          </w:p>
        </w:tc>
      </w:tr>
      <w:tr w:rsidR="00960BB8" w14:paraId="5A1B3901" w14:textId="77777777">
        <w:tc>
          <w:tcPr>
            <w:tcW w:w="0" w:type="auto"/>
            <w:gridSpan w:val="3"/>
            <w:shd w:val="clear" w:color="auto" w:fill="auto"/>
            <w:tcMar>
              <w:top w:w="40" w:type="dxa"/>
              <w:left w:w="20" w:type="dxa"/>
              <w:bottom w:w="40" w:type="dxa"/>
              <w:right w:w="20" w:type="dxa"/>
            </w:tcMar>
          </w:tcPr>
          <w:p w14:paraId="5A1B38FE" w14:textId="77777777" w:rsidR="00960BB8" w:rsidRDefault="00C06650">
            <w:pPr>
              <w:textAlignment w:val="top"/>
            </w:pPr>
            <w:r>
              <w:rPr>
                <w:rFonts w:ascii="Arial" w:eastAsia="宋体" w:hAnsi="Arial" w:cs="Arial"/>
                <w:color w:val="0068B5"/>
                <w:sz w:val="18"/>
                <w:szCs w:val="18"/>
              </w:rPr>
              <w:t>MD&amp;A</w:t>
            </w:r>
          </w:p>
        </w:tc>
        <w:tc>
          <w:tcPr>
            <w:tcW w:w="0" w:type="auto"/>
            <w:gridSpan w:val="3"/>
            <w:shd w:val="clear" w:color="auto" w:fill="auto"/>
            <w:tcMar>
              <w:top w:w="0" w:type="dxa"/>
              <w:left w:w="20" w:type="dxa"/>
              <w:bottom w:w="0" w:type="dxa"/>
              <w:right w:w="20" w:type="dxa"/>
            </w:tcMar>
            <w:vAlign w:val="bottom"/>
          </w:tcPr>
          <w:p w14:paraId="5A1B38F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00" w14:textId="77777777" w:rsidR="00960BB8" w:rsidRDefault="00C06650">
            <w:pPr>
              <w:textAlignment w:val="top"/>
            </w:pPr>
            <w:r>
              <w:rPr>
                <w:rFonts w:ascii="Arial" w:eastAsia="宋体" w:hAnsi="Arial" w:cs="Arial"/>
                <w:color w:val="262626"/>
                <w:sz w:val="18"/>
                <w:szCs w:val="18"/>
              </w:rPr>
              <w:t>Management's Discussion and Analysis</w:t>
            </w:r>
          </w:p>
        </w:tc>
      </w:tr>
      <w:tr w:rsidR="00960BB8" w14:paraId="5A1B3905" w14:textId="77777777">
        <w:trPr>
          <w:hidden/>
        </w:trPr>
        <w:tc>
          <w:tcPr>
            <w:tcW w:w="0" w:type="auto"/>
            <w:gridSpan w:val="3"/>
            <w:shd w:val="clear" w:color="auto" w:fill="auto"/>
            <w:vAlign w:val="bottom"/>
          </w:tcPr>
          <w:p w14:paraId="5A1B3902" w14:textId="77777777" w:rsidR="00960BB8" w:rsidRDefault="00960BB8">
            <w:pPr>
              <w:rPr>
                <w:rFonts w:ascii="宋体"/>
                <w:vanish/>
              </w:rPr>
            </w:pPr>
          </w:p>
        </w:tc>
        <w:tc>
          <w:tcPr>
            <w:tcW w:w="0" w:type="auto"/>
            <w:gridSpan w:val="3"/>
            <w:shd w:val="clear" w:color="auto" w:fill="auto"/>
            <w:vAlign w:val="bottom"/>
          </w:tcPr>
          <w:p w14:paraId="5A1B3903" w14:textId="77777777" w:rsidR="00960BB8" w:rsidRDefault="00960BB8">
            <w:pPr>
              <w:rPr>
                <w:rFonts w:ascii="宋体"/>
                <w:vanish/>
              </w:rPr>
            </w:pPr>
          </w:p>
        </w:tc>
        <w:tc>
          <w:tcPr>
            <w:tcW w:w="0" w:type="auto"/>
            <w:gridSpan w:val="3"/>
            <w:shd w:val="clear" w:color="auto" w:fill="auto"/>
            <w:vAlign w:val="bottom"/>
          </w:tcPr>
          <w:p w14:paraId="5A1B3904" w14:textId="77777777" w:rsidR="00960BB8" w:rsidRDefault="00960BB8">
            <w:pPr>
              <w:rPr>
                <w:rFonts w:ascii="宋体"/>
                <w:vanish/>
              </w:rPr>
            </w:pPr>
          </w:p>
        </w:tc>
      </w:tr>
      <w:tr w:rsidR="00960BB8" w14:paraId="5A1B3909" w14:textId="77777777">
        <w:tc>
          <w:tcPr>
            <w:tcW w:w="0" w:type="auto"/>
            <w:gridSpan w:val="3"/>
            <w:shd w:val="clear" w:color="auto" w:fill="auto"/>
            <w:tcMar>
              <w:top w:w="40" w:type="dxa"/>
              <w:left w:w="20" w:type="dxa"/>
              <w:bottom w:w="40" w:type="dxa"/>
              <w:right w:w="20" w:type="dxa"/>
            </w:tcMar>
          </w:tcPr>
          <w:p w14:paraId="5A1B3906" w14:textId="77777777" w:rsidR="00960BB8" w:rsidRDefault="00C06650">
            <w:pPr>
              <w:textAlignment w:val="top"/>
            </w:pPr>
            <w:r>
              <w:rPr>
                <w:rFonts w:ascii="Arial" w:eastAsia="宋体" w:hAnsi="Arial" w:cs="Arial"/>
                <w:color w:val="0068B5"/>
                <w:sz w:val="18"/>
                <w:szCs w:val="18"/>
              </w:rPr>
              <w:t>MG&amp;A</w:t>
            </w:r>
          </w:p>
        </w:tc>
        <w:tc>
          <w:tcPr>
            <w:tcW w:w="0" w:type="auto"/>
            <w:gridSpan w:val="3"/>
            <w:shd w:val="clear" w:color="auto" w:fill="auto"/>
            <w:tcMar>
              <w:top w:w="0" w:type="dxa"/>
              <w:left w:w="20" w:type="dxa"/>
              <w:bottom w:w="0" w:type="dxa"/>
              <w:right w:w="20" w:type="dxa"/>
            </w:tcMar>
            <w:vAlign w:val="bottom"/>
          </w:tcPr>
          <w:p w14:paraId="5A1B390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08" w14:textId="77777777" w:rsidR="00960BB8" w:rsidRDefault="00C06650">
            <w:pPr>
              <w:textAlignment w:val="top"/>
            </w:pPr>
            <w:r>
              <w:rPr>
                <w:rFonts w:ascii="Arial" w:eastAsia="宋体" w:hAnsi="Arial" w:cs="Arial"/>
                <w:color w:val="262626"/>
                <w:sz w:val="18"/>
                <w:szCs w:val="18"/>
              </w:rPr>
              <w:t>Marketing, general and administrative</w:t>
            </w:r>
          </w:p>
        </w:tc>
      </w:tr>
      <w:tr w:rsidR="00960BB8" w14:paraId="5A1B390D" w14:textId="77777777">
        <w:tc>
          <w:tcPr>
            <w:tcW w:w="0" w:type="auto"/>
            <w:gridSpan w:val="3"/>
            <w:shd w:val="clear" w:color="auto" w:fill="auto"/>
            <w:tcMar>
              <w:top w:w="40" w:type="dxa"/>
              <w:left w:w="20" w:type="dxa"/>
              <w:bottom w:w="40" w:type="dxa"/>
              <w:right w:w="20" w:type="dxa"/>
            </w:tcMar>
          </w:tcPr>
          <w:p w14:paraId="5A1B390A" w14:textId="77777777" w:rsidR="00960BB8" w:rsidRDefault="00C06650">
            <w:pPr>
              <w:textAlignment w:val="top"/>
            </w:pPr>
            <w:r>
              <w:rPr>
                <w:rFonts w:ascii="Arial" w:eastAsia="宋体" w:hAnsi="Arial" w:cs="Arial"/>
                <w:color w:val="0068B5"/>
                <w:sz w:val="18"/>
                <w:szCs w:val="18"/>
              </w:rPr>
              <w:t>MNC</w:t>
            </w:r>
          </w:p>
        </w:tc>
        <w:tc>
          <w:tcPr>
            <w:tcW w:w="0" w:type="auto"/>
            <w:gridSpan w:val="3"/>
            <w:shd w:val="clear" w:color="auto" w:fill="auto"/>
            <w:tcMar>
              <w:top w:w="0" w:type="dxa"/>
              <w:left w:w="20" w:type="dxa"/>
              <w:bottom w:w="0" w:type="dxa"/>
              <w:right w:w="20" w:type="dxa"/>
            </w:tcMar>
            <w:vAlign w:val="bottom"/>
          </w:tcPr>
          <w:p w14:paraId="5A1B390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0C" w14:textId="77777777" w:rsidR="00960BB8" w:rsidRDefault="00C06650">
            <w:pPr>
              <w:textAlignment w:val="top"/>
            </w:pPr>
            <w:r>
              <w:rPr>
                <w:rFonts w:ascii="Arial" w:eastAsia="宋体" w:hAnsi="Arial" w:cs="Arial"/>
                <w:color w:val="262626"/>
                <w:sz w:val="18"/>
                <w:szCs w:val="18"/>
              </w:rPr>
              <w:t>Multinational corporation</w:t>
            </w:r>
          </w:p>
        </w:tc>
      </w:tr>
      <w:tr w:rsidR="00960BB8" w14:paraId="5A1B3911" w14:textId="77777777">
        <w:trPr>
          <w:hidden/>
        </w:trPr>
        <w:tc>
          <w:tcPr>
            <w:tcW w:w="0" w:type="auto"/>
            <w:gridSpan w:val="3"/>
            <w:shd w:val="clear" w:color="auto" w:fill="auto"/>
            <w:vAlign w:val="bottom"/>
          </w:tcPr>
          <w:p w14:paraId="5A1B390E" w14:textId="77777777" w:rsidR="00960BB8" w:rsidRDefault="00960BB8">
            <w:pPr>
              <w:rPr>
                <w:rFonts w:ascii="宋体"/>
                <w:vanish/>
              </w:rPr>
            </w:pPr>
          </w:p>
        </w:tc>
        <w:tc>
          <w:tcPr>
            <w:tcW w:w="0" w:type="auto"/>
            <w:gridSpan w:val="3"/>
            <w:shd w:val="clear" w:color="auto" w:fill="auto"/>
            <w:vAlign w:val="bottom"/>
          </w:tcPr>
          <w:p w14:paraId="5A1B390F" w14:textId="77777777" w:rsidR="00960BB8" w:rsidRDefault="00960BB8">
            <w:pPr>
              <w:rPr>
                <w:rFonts w:ascii="宋体"/>
                <w:vanish/>
              </w:rPr>
            </w:pPr>
          </w:p>
        </w:tc>
        <w:tc>
          <w:tcPr>
            <w:tcW w:w="0" w:type="auto"/>
            <w:gridSpan w:val="3"/>
            <w:shd w:val="clear" w:color="auto" w:fill="auto"/>
            <w:vAlign w:val="bottom"/>
          </w:tcPr>
          <w:p w14:paraId="5A1B3910" w14:textId="77777777" w:rsidR="00960BB8" w:rsidRDefault="00960BB8">
            <w:pPr>
              <w:rPr>
                <w:rFonts w:ascii="宋体"/>
                <w:vanish/>
              </w:rPr>
            </w:pPr>
          </w:p>
        </w:tc>
      </w:tr>
      <w:tr w:rsidR="00960BB8" w14:paraId="5A1B3915" w14:textId="77777777">
        <w:trPr>
          <w:hidden/>
        </w:trPr>
        <w:tc>
          <w:tcPr>
            <w:tcW w:w="0" w:type="auto"/>
            <w:gridSpan w:val="3"/>
            <w:shd w:val="clear" w:color="auto" w:fill="auto"/>
            <w:vAlign w:val="bottom"/>
          </w:tcPr>
          <w:p w14:paraId="5A1B3912" w14:textId="77777777" w:rsidR="00960BB8" w:rsidRDefault="00960BB8">
            <w:pPr>
              <w:rPr>
                <w:rFonts w:ascii="宋体"/>
                <w:vanish/>
              </w:rPr>
            </w:pPr>
          </w:p>
        </w:tc>
        <w:tc>
          <w:tcPr>
            <w:tcW w:w="0" w:type="auto"/>
            <w:gridSpan w:val="3"/>
            <w:shd w:val="clear" w:color="auto" w:fill="auto"/>
            <w:vAlign w:val="bottom"/>
          </w:tcPr>
          <w:p w14:paraId="5A1B3913" w14:textId="77777777" w:rsidR="00960BB8" w:rsidRDefault="00960BB8">
            <w:pPr>
              <w:rPr>
                <w:rFonts w:ascii="宋体"/>
                <w:vanish/>
              </w:rPr>
            </w:pPr>
          </w:p>
        </w:tc>
        <w:tc>
          <w:tcPr>
            <w:tcW w:w="0" w:type="auto"/>
            <w:gridSpan w:val="3"/>
            <w:shd w:val="clear" w:color="auto" w:fill="auto"/>
            <w:vAlign w:val="bottom"/>
          </w:tcPr>
          <w:p w14:paraId="5A1B3914" w14:textId="77777777" w:rsidR="00960BB8" w:rsidRDefault="00960BB8">
            <w:pPr>
              <w:rPr>
                <w:rFonts w:ascii="宋体"/>
                <w:vanish/>
              </w:rPr>
            </w:pPr>
          </w:p>
        </w:tc>
      </w:tr>
      <w:tr w:rsidR="00960BB8" w14:paraId="5A1B3919" w14:textId="77777777">
        <w:tc>
          <w:tcPr>
            <w:tcW w:w="0" w:type="auto"/>
            <w:gridSpan w:val="3"/>
            <w:shd w:val="clear" w:color="auto" w:fill="auto"/>
            <w:tcMar>
              <w:top w:w="40" w:type="dxa"/>
              <w:left w:w="20" w:type="dxa"/>
              <w:bottom w:w="40" w:type="dxa"/>
              <w:right w:w="20" w:type="dxa"/>
            </w:tcMar>
          </w:tcPr>
          <w:p w14:paraId="5A1B3916" w14:textId="77777777" w:rsidR="00960BB8" w:rsidRDefault="00C06650">
            <w:pPr>
              <w:textAlignment w:val="top"/>
            </w:pPr>
            <w:r>
              <w:rPr>
                <w:rFonts w:ascii="Arial" w:eastAsia="宋体" w:hAnsi="Arial" w:cs="Arial"/>
                <w:color w:val="0068B5"/>
                <w:sz w:val="18"/>
                <w:szCs w:val="18"/>
              </w:rPr>
              <w:t>NAND</w:t>
            </w:r>
          </w:p>
        </w:tc>
        <w:tc>
          <w:tcPr>
            <w:tcW w:w="0" w:type="auto"/>
            <w:gridSpan w:val="3"/>
            <w:shd w:val="clear" w:color="auto" w:fill="auto"/>
            <w:tcMar>
              <w:top w:w="0" w:type="dxa"/>
              <w:left w:w="20" w:type="dxa"/>
              <w:bottom w:w="0" w:type="dxa"/>
              <w:right w:w="20" w:type="dxa"/>
            </w:tcMar>
            <w:vAlign w:val="bottom"/>
          </w:tcPr>
          <w:p w14:paraId="5A1B391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18" w14:textId="77777777" w:rsidR="00960BB8" w:rsidRDefault="00C06650">
            <w:pPr>
              <w:textAlignment w:val="top"/>
            </w:pPr>
            <w:r>
              <w:rPr>
                <w:rFonts w:ascii="Arial" w:eastAsia="宋体" w:hAnsi="Arial" w:cs="Arial"/>
                <w:color w:val="262626"/>
                <w:sz w:val="18"/>
                <w:szCs w:val="18"/>
              </w:rPr>
              <w:t>NAND flash memory</w:t>
            </w:r>
          </w:p>
        </w:tc>
      </w:tr>
      <w:tr w:rsidR="00960BB8" w14:paraId="5A1B391D" w14:textId="77777777">
        <w:trPr>
          <w:hidden/>
        </w:trPr>
        <w:tc>
          <w:tcPr>
            <w:tcW w:w="0" w:type="auto"/>
            <w:gridSpan w:val="3"/>
            <w:shd w:val="clear" w:color="auto" w:fill="auto"/>
            <w:vAlign w:val="bottom"/>
          </w:tcPr>
          <w:p w14:paraId="5A1B391A" w14:textId="77777777" w:rsidR="00960BB8" w:rsidRDefault="00960BB8">
            <w:pPr>
              <w:rPr>
                <w:rFonts w:ascii="宋体"/>
                <w:vanish/>
              </w:rPr>
            </w:pPr>
          </w:p>
        </w:tc>
        <w:tc>
          <w:tcPr>
            <w:tcW w:w="0" w:type="auto"/>
            <w:gridSpan w:val="3"/>
            <w:shd w:val="clear" w:color="auto" w:fill="auto"/>
            <w:vAlign w:val="bottom"/>
          </w:tcPr>
          <w:p w14:paraId="5A1B391B" w14:textId="77777777" w:rsidR="00960BB8" w:rsidRDefault="00960BB8">
            <w:pPr>
              <w:rPr>
                <w:rFonts w:ascii="宋体"/>
                <w:vanish/>
              </w:rPr>
            </w:pPr>
          </w:p>
        </w:tc>
        <w:tc>
          <w:tcPr>
            <w:tcW w:w="0" w:type="auto"/>
            <w:gridSpan w:val="3"/>
            <w:shd w:val="clear" w:color="auto" w:fill="auto"/>
            <w:vAlign w:val="bottom"/>
          </w:tcPr>
          <w:p w14:paraId="5A1B391C" w14:textId="77777777" w:rsidR="00960BB8" w:rsidRDefault="00960BB8">
            <w:pPr>
              <w:rPr>
                <w:rFonts w:ascii="宋体"/>
                <w:vanish/>
              </w:rPr>
            </w:pPr>
          </w:p>
        </w:tc>
      </w:tr>
      <w:tr w:rsidR="00960BB8" w14:paraId="5A1B3921" w14:textId="77777777">
        <w:tc>
          <w:tcPr>
            <w:tcW w:w="0" w:type="auto"/>
            <w:gridSpan w:val="3"/>
            <w:shd w:val="clear" w:color="auto" w:fill="auto"/>
            <w:tcMar>
              <w:top w:w="40" w:type="dxa"/>
              <w:left w:w="20" w:type="dxa"/>
              <w:bottom w:w="40" w:type="dxa"/>
              <w:right w:w="20" w:type="dxa"/>
            </w:tcMar>
          </w:tcPr>
          <w:p w14:paraId="5A1B391E" w14:textId="77777777" w:rsidR="00960BB8" w:rsidRDefault="00C06650">
            <w:pPr>
              <w:textAlignment w:val="top"/>
            </w:pPr>
            <w:r>
              <w:rPr>
                <w:rFonts w:ascii="Arial" w:eastAsia="宋体" w:hAnsi="Arial" w:cs="Arial"/>
                <w:color w:val="0068B5"/>
                <w:sz w:val="18"/>
                <w:szCs w:val="18"/>
              </w:rPr>
              <w:t>Network Xeon</w:t>
            </w:r>
          </w:p>
        </w:tc>
        <w:tc>
          <w:tcPr>
            <w:tcW w:w="0" w:type="auto"/>
            <w:gridSpan w:val="3"/>
            <w:shd w:val="clear" w:color="auto" w:fill="auto"/>
            <w:tcMar>
              <w:top w:w="0" w:type="dxa"/>
              <w:left w:w="20" w:type="dxa"/>
              <w:bottom w:w="0" w:type="dxa"/>
              <w:right w:w="20" w:type="dxa"/>
            </w:tcMar>
            <w:vAlign w:val="bottom"/>
          </w:tcPr>
          <w:p w14:paraId="5A1B391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920" w14:textId="77777777" w:rsidR="00960BB8" w:rsidRDefault="00C06650">
            <w:pPr>
              <w:textAlignment w:val="bottom"/>
            </w:pPr>
            <w:r>
              <w:rPr>
                <w:rFonts w:ascii="Arial" w:eastAsia="宋体" w:hAnsi="Arial" w:cs="Arial"/>
                <w:color w:val="262626"/>
                <w:sz w:val="18"/>
                <w:szCs w:val="18"/>
              </w:rPr>
              <w:t>Part of the Intel Xeon processor family designed for network and edge solutions</w:t>
            </w:r>
          </w:p>
        </w:tc>
      </w:tr>
      <w:tr w:rsidR="00960BB8" w14:paraId="5A1B3925" w14:textId="77777777">
        <w:tc>
          <w:tcPr>
            <w:tcW w:w="0" w:type="auto"/>
            <w:gridSpan w:val="3"/>
            <w:shd w:val="clear" w:color="auto" w:fill="auto"/>
            <w:tcMar>
              <w:top w:w="40" w:type="dxa"/>
              <w:left w:w="20" w:type="dxa"/>
              <w:bottom w:w="40" w:type="dxa"/>
              <w:right w:w="20" w:type="dxa"/>
            </w:tcMar>
          </w:tcPr>
          <w:p w14:paraId="5A1B3922" w14:textId="77777777" w:rsidR="00960BB8" w:rsidRDefault="00C06650">
            <w:pPr>
              <w:textAlignment w:val="top"/>
            </w:pPr>
            <w:r>
              <w:rPr>
                <w:rFonts w:ascii="Arial" w:eastAsia="宋体" w:hAnsi="Arial" w:cs="Arial"/>
                <w:color w:val="0068B5"/>
                <w:sz w:val="18"/>
                <w:szCs w:val="18"/>
              </w:rPr>
              <w:t>NEX</w:t>
            </w:r>
          </w:p>
        </w:tc>
        <w:tc>
          <w:tcPr>
            <w:tcW w:w="0" w:type="auto"/>
            <w:gridSpan w:val="3"/>
            <w:shd w:val="clear" w:color="auto" w:fill="auto"/>
            <w:tcMar>
              <w:top w:w="0" w:type="dxa"/>
              <w:left w:w="20" w:type="dxa"/>
              <w:bottom w:w="0" w:type="dxa"/>
              <w:right w:w="20" w:type="dxa"/>
            </w:tcMar>
            <w:vAlign w:val="bottom"/>
          </w:tcPr>
          <w:p w14:paraId="5A1B392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924" w14:textId="77777777" w:rsidR="00960BB8" w:rsidRDefault="00C06650">
            <w:pPr>
              <w:textAlignment w:val="bottom"/>
            </w:pPr>
            <w:r>
              <w:rPr>
                <w:rFonts w:ascii="Arial" w:eastAsia="宋体" w:hAnsi="Arial" w:cs="Arial"/>
                <w:color w:val="262626"/>
                <w:sz w:val="18"/>
                <w:szCs w:val="18"/>
              </w:rPr>
              <w:t>Networking and Edge operating segment</w:t>
            </w:r>
          </w:p>
        </w:tc>
      </w:tr>
      <w:tr w:rsidR="00960BB8" w14:paraId="5A1B3929" w14:textId="77777777">
        <w:tc>
          <w:tcPr>
            <w:tcW w:w="0" w:type="auto"/>
            <w:gridSpan w:val="3"/>
            <w:shd w:val="clear" w:color="auto" w:fill="auto"/>
            <w:tcMar>
              <w:top w:w="40" w:type="dxa"/>
              <w:left w:w="20" w:type="dxa"/>
              <w:bottom w:w="40" w:type="dxa"/>
              <w:right w:w="20" w:type="dxa"/>
            </w:tcMar>
          </w:tcPr>
          <w:p w14:paraId="5A1B3926" w14:textId="77777777" w:rsidR="00960BB8" w:rsidRDefault="00C06650">
            <w:pPr>
              <w:textAlignment w:val="top"/>
            </w:pPr>
            <w:r>
              <w:rPr>
                <w:rFonts w:ascii="Arial" w:eastAsia="宋体" w:hAnsi="Arial" w:cs="Arial"/>
                <w:color w:val="0068B5"/>
                <w:sz w:val="18"/>
                <w:szCs w:val="18"/>
              </w:rPr>
              <w:t>NIC</w:t>
            </w:r>
          </w:p>
        </w:tc>
        <w:tc>
          <w:tcPr>
            <w:tcW w:w="0" w:type="auto"/>
            <w:gridSpan w:val="3"/>
            <w:shd w:val="clear" w:color="auto" w:fill="auto"/>
            <w:tcMar>
              <w:top w:w="0" w:type="dxa"/>
              <w:left w:w="20" w:type="dxa"/>
              <w:bottom w:w="0" w:type="dxa"/>
              <w:right w:w="20" w:type="dxa"/>
            </w:tcMar>
            <w:vAlign w:val="bottom"/>
          </w:tcPr>
          <w:p w14:paraId="5A1B392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928" w14:textId="77777777" w:rsidR="00960BB8" w:rsidRDefault="00C06650">
            <w:pPr>
              <w:textAlignment w:val="bottom"/>
            </w:pPr>
            <w:r>
              <w:rPr>
                <w:rFonts w:ascii="Arial" w:eastAsia="宋体" w:hAnsi="Arial" w:cs="Arial"/>
                <w:color w:val="262626"/>
                <w:sz w:val="18"/>
                <w:szCs w:val="18"/>
              </w:rPr>
              <w:t>Network interface controller</w:t>
            </w:r>
          </w:p>
        </w:tc>
      </w:tr>
      <w:tr w:rsidR="00960BB8" w14:paraId="5A1B392D" w14:textId="77777777">
        <w:tc>
          <w:tcPr>
            <w:tcW w:w="0" w:type="auto"/>
            <w:gridSpan w:val="3"/>
            <w:shd w:val="clear" w:color="auto" w:fill="auto"/>
            <w:tcMar>
              <w:top w:w="40" w:type="dxa"/>
              <w:left w:w="20" w:type="dxa"/>
              <w:bottom w:w="40" w:type="dxa"/>
              <w:right w:w="20" w:type="dxa"/>
            </w:tcMar>
          </w:tcPr>
          <w:p w14:paraId="5A1B392A" w14:textId="77777777" w:rsidR="00960BB8" w:rsidRDefault="00C06650">
            <w:pPr>
              <w:textAlignment w:val="top"/>
            </w:pPr>
            <w:r>
              <w:rPr>
                <w:rFonts w:ascii="Arial" w:eastAsia="宋体" w:hAnsi="Arial" w:cs="Arial"/>
                <w:color w:val="0068B5"/>
                <w:sz w:val="18"/>
                <w:szCs w:val="18"/>
              </w:rPr>
              <w:t>nm</w:t>
            </w:r>
          </w:p>
        </w:tc>
        <w:tc>
          <w:tcPr>
            <w:tcW w:w="0" w:type="auto"/>
            <w:gridSpan w:val="3"/>
            <w:shd w:val="clear" w:color="auto" w:fill="auto"/>
            <w:tcMar>
              <w:top w:w="0" w:type="dxa"/>
              <w:left w:w="20" w:type="dxa"/>
              <w:bottom w:w="0" w:type="dxa"/>
              <w:right w:w="20" w:type="dxa"/>
            </w:tcMar>
            <w:vAlign w:val="bottom"/>
          </w:tcPr>
          <w:p w14:paraId="5A1B392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2C" w14:textId="77777777" w:rsidR="00960BB8" w:rsidRDefault="00C06650">
            <w:pPr>
              <w:textAlignment w:val="top"/>
            </w:pPr>
            <w:r>
              <w:rPr>
                <w:rFonts w:ascii="Arial" w:eastAsia="宋体" w:hAnsi="Arial" w:cs="Arial"/>
                <w:color w:val="262626"/>
                <w:sz w:val="18"/>
                <w:szCs w:val="18"/>
              </w:rPr>
              <w:t>Nanometer</w:t>
            </w:r>
          </w:p>
        </w:tc>
      </w:tr>
      <w:tr w:rsidR="00960BB8" w14:paraId="5A1B3931" w14:textId="77777777">
        <w:trPr>
          <w:hidden/>
        </w:trPr>
        <w:tc>
          <w:tcPr>
            <w:tcW w:w="0" w:type="auto"/>
            <w:gridSpan w:val="3"/>
            <w:shd w:val="clear" w:color="auto" w:fill="auto"/>
            <w:vAlign w:val="bottom"/>
          </w:tcPr>
          <w:p w14:paraId="5A1B392E" w14:textId="77777777" w:rsidR="00960BB8" w:rsidRDefault="00960BB8">
            <w:pPr>
              <w:rPr>
                <w:rFonts w:ascii="宋体"/>
                <w:vanish/>
              </w:rPr>
            </w:pPr>
          </w:p>
        </w:tc>
        <w:tc>
          <w:tcPr>
            <w:tcW w:w="0" w:type="auto"/>
            <w:gridSpan w:val="3"/>
            <w:shd w:val="clear" w:color="auto" w:fill="auto"/>
            <w:vAlign w:val="bottom"/>
          </w:tcPr>
          <w:p w14:paraId="5A1B392F" w14:textId="77777777" w:rsidR="00960BB8" w:rsidRDefault="00960BB8">
            <w:pPr>
              <w:rPr>
                <w:rFonts w:ascii="宋体"/>
                <w:vanish/>
              </w:rPr>
            </w:pPr>
          </w:p>
        </w:tc>
        <w:tc>
          <w:tcPr>
            <w:tcW w:w="0" w:type="auto"/>
            <w:gridSpan w:val="3"/>
            <w:shd w:val="clear" w:color="auto" w:fill="auto"/>
            <w:vAlign w:val="bottom"/>
          </w:tcPr>
          <w:p w14:paraId="5A1B3930" w14:textId="77777777" w:rsidR="00960BB8" w:rsidRDefault="00960BB8">
            <w:pPr>
              <w:rPr>
                <w:rFonts w:ascii="宋体"/>
                <w:vanish/>
              </w:rPr>
            </w:pPr>
          </w:p>
        </w:tc>
      </w:tr>
      <w:tr w:rsidR="00960BB8" w14:paraId="5A1B3935" w14:textId="77777777">
        <w:trPr>
          <w:hidden/>
        </w:trPr>
        <w:tc>
          <w:tcPr>
            <w:tcW w:w="0" w:type="auto"/>
            <w:gridSpan w:val="3"/>
            <w:shd w:val="clear" w:color="auto" w:fill="auto"/>
            <w:vAlign w:val="bottom"/>
          </w:tcPr>
          <w:p w14:paraId="5A1B3932" w14:textId="77777777" w:rsidR="00960BB8" w:rsidRDefault="00960BB8">
            <w:pPr>
              <w:rPr>
                <w:rFonts w:ascii="宋体"/>
                <w:vanish/>
              </w:rPr>
            </w:pPr>
          </w:p>
        </w:tc>
        <w:tc>
          <w:tcPr>
            <w:tcW w:w="0" w:type="auto"/>
            <w:gridSpan w:val="3"/>
            <w:shd w:val="clear" w:color="auto" w:fill="auto"/>
            <w:vAlign w:val="bottom"/>
          </w:tcPr>
          <w:p w14:paraId="5A1B3933" w14:textId="77777777" w:rsidR="00960BB8" w:rsidRDefault="00960BB8">
            <w:pPr>
              <w:rPr>
                <w:rFonts w:ascii="宋体"/>
                <w:vanish/>
              </w:rPr>
            </w:pPr>
          </w:p>
        </w:tc>
        <w:tc>
          <w:tcPr>
            <w:tcW w:w="0" w:type="auto"/>
            <w:gridSpan w:val="3"/>
            <w:shd w:val="clear" w:color="auto" w:fill="auto"/>
            <w:vAlign w:val="bottom"/>
          </w:tcPr>
          <w:p w14:paraId="5A1B3934" w14:textId="77777777" w:rsidR="00960BB8" w:rsidRDefault="00960BB8">
            <w:pPr>
              <w:rPr>
                <w:rFonts w:ascii="宋体"/>
                <w:vanish/>
              </w:rPr>
            </w:pPr>
          </w:p>
        </w:tc>
      </w:tr>
      <w:tr w:rsidR="00960BB8" w14:paraId="5A1B3939" w14:textId="77777777">
        <w:tc>
          <w:tcPr>
            <w:tcW w:w="0" w:type="auto"/>
            <w:gridSpan w:val="3"/>
            <w:shd w:val="clear" w:color="auto" w:fill="auto"/>
            <w:tcMar>
              <w:top w:w="40" w:type="dxa"/>
              <w:left w:w="20" w:type="dxa"/>
              <w:bottom w:w="40" w:type="dxa"/>
              <w:right w:w="20" w:type="dxa"/>
            </w:tcMar>
          </w:tcPr>
          <w:p w14:paraId="5A1B3936" w14:textId="77777777" w:rsidR="00960BB8" w:rsidRDefault="00C06650">
            <w:pPr>
              <w:textAlignment w:val="top"/>
            </w:pPr>
            <w:r>
              <w:rPr>
                <w:rFonts w:ascii="Arial" w:eastAsia="宋体" w:hAnsi="Arial" w:cs="Arial"/>
                <w:color w:val="0068B5"/>
                <w:sz w:val="18"/>
                <w:szCs w:val="18"/>
              </w:rPr>
              <w:t>ODM</w:t>
            </w:r>
          </w:p>
        </w:tc>
        <w:tc>
          <w:tcPr>
            <w:tcW w:w="0" w:type="auto"/>
            <w:gridSpan w:val="3"/>
            <w:shd w:val="clear" w:color="auto" w:fill="auto"/>
            <w:tcMar>
              <w:top w:w="0" w:type="dxa"/>
              <w:left w:w="20" w:type="dxa"/>
              <w:bottom w:w="0" w:type="dxa"/>
              <w:right w:w="20" w:type="dxa"/>
            </w:tcMar>
            <w:vAlign w:val="bottom"/>
          </w:tcPr>
          <w:p w14:paraId="5A1B393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38" w14:textId="77777777" w:rsidR="00960BB8" w:rsidRDefault="00C06650">
            <w:pPr>
              <w:textAlignment w:val="top"/>
            </w:pPr>
            <w:r>
              <w:rPr>
                <w:rFonts w:ascii="Arial" w:eastAsia="宋体" w:hAnsi="Arial" w:cs="Arial"/>
                <w:color w:val="262626"/>
                <w:sz w:val="18"/>
                <w:szCs w:val="18"/>
              </w:rPr>
              <w:t>Original design manufacturer</w:t>
            </w:r>
          </w:p>
        </w:tc>
      </w:tr>
      <w:tr w:rsidR="00960BB8" w14:paraId="5A1B393D" w14:textId="77777777">
        <w:tc>
          <w:tcPr>
            <w:tcW w:w="0" w:type="auto"/>
            <w:gridSpan w:val="3"/>
            <w:shd w:val="clear" w:color="auto" w:fill="auto"/>
            <w:tcMar>
              <w:top w:w="40" w:type="dxa"/>
              <w:left w:w="20" w:type="dxa"/>
              <w:bottom w:w="40" w:type="dxa"/>
              <w:right w:w="20" w:type="dxa"/>
            </w:tcMar>
          </w:tcPr>
          <w:p w14:paraId="5A1B393A" w14:textId="77777777" w:rsidR="00960BB8" w:rsidRDefault="00C06650">
            <w:pPr>
              <w:textAlignment w:val="top"/>
            </w:pPr>
            <w:r>
              <w:rPr>
                <w:rFonts w:ascii="Arial" w:eastAsia="宋体" w:hAnsi="Arial" w:cs="Arial"/>
                <w:color w:val="0068B5"/>
                <w:sz w:val="18"/>
                <w:szCs w:val="18"/>
              </w:rPr>
              <w:t>OEM</w:t>
            </w:r>
          </w:p>
        </w:tc>
        <w:tc>
          <w:tcPr>
            <w:tcW w:w="0" w:type="auto"/>
            <w:gridSpan w:val="3"/>
            <w:shd w:val="clear" w:color="auto" w:fill="auto"/>
            <w:tcMar>
              <w:top w:w="0" w:type="dxa"/>
              <w:left w:w="20" w:type="dxa"/>
              <w:bottom w:w="0" w:type="dxa"/>
              <w:right w:w="20" w:type="dxa"/>
            </w:tcMar>
            <w:vAlign w:val="bottom"/>
          </w:tcPr>
          <w:p w14:paraId="5A1B393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3C" w14:textId="77777777" w:rsidR="00960BB8" w:rsidRDefault="00C06650">
            <w:pPr>
              <w:textAlignment w:val="top"/>
            </w:pPr>
            <w:r>
              <w:rPr>
                <w:rFonts w:ascii="Arial" w:eastAsia="宋体" w:hAnsi="Arial" w:cs="Arial"/>
                <w:color w:val="262626"/>
                <w:sz w:val="18"/>
                <w:szCs w:val="18"/>
              </w:rPr>
              <w:t>Original equipment manufacturer</w:t>
            </w:r>
          </w:p>
        </w:tc>
      </w:tr>
      <w:tr w:rsidR="00960BB8" w14:paraId="5A1B3941" w14:textId="77777777">
        <w:tc>
          <w:tcPr>
            <w:tcW w:w="0" w:type="auto"/>
            <w:gridSpan w:val="3"/>
            <w:shd w:val="clear" w:color="auto" w:fill="auto"/>
            <w:tcMar>
              <w:top w:w="40" w:type="dxa"/>
              <w:left w:w="20" w:type="dxa"/>
              <w:bottom w:w="40" w:type="dxa"/>
              <w:right w:w="20" w:type="dxa"/>
            </w:tcMar>
          </w:tcPr>
          <w:p w14:paraId="5A1B393E" w14:textId="77777777" w:rsidR="00960BB8" w:rsidRDefault="00C06650">
            <w:pPr>
              <w:textAlignment w:val="top"/>
            </w:pPr>
            <w:r>
              <w:rPr>
                <w:rFonts w:ascii="Arial" w:eastAsia="宋体" w:hAnsi="Arial" w:cs="Arial"/>
                <w:color w:val="0068B5"/>
                <w:sz w:val="18"/>
                <w:szCs w:val="18"/>
              </w:rPr>
              <w:t>oneAPI</w:t>
            </w:r>
          </w:p>
        </w:tc>
        <w:tc>
          <w:tcPr>
            <w:tcW w:w="0" w:type="auto"/>
            <w:gridSpan w:val="3"/>
            <w:shd w:val="clear" w:color="auto" w:fill="auto"/>
            <w:tcMar>
              <w:top w:w="0" w:type="dxa"/>
              <w:left w:w="20" w:type="dxa"/>
              <w:bottom w:w="0" w:type="dxa"/>
              <w:right w:w="20" w:type="dxa"/>
            </w:tcMar>
            <w:vAlign w:val="bottom"/>
          </w:tcPr>
          <w:p w14:paraId="5A1B393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40" w14:textId="77777777" w:rsidR="00960BB8" w:rsidRDefault="00C06650">
            <w:pPr>
              <w:textAlignment w:val="top"/>
            </w:pPr>
            <w:r>
              <w:rPr>
                <w:rFonts w:ascii="Arial" w:eastAsia="宋体" w:hAnsi="Arial" w:cs="Arial"/>
                <w:color w:val="262626"/>
                <w:sz w:val="18"/>
                <w:szCs w:val="18"/>
              </w:rPr>
              <w:t xml:space="preserve">Open, cross-architecture programming model that frees developers to use a single code base across multiple </w:t>
            </w:r>
            <w:r>
              <w:rPr>
                <w:rFonts w:ascii="Arial" w:eastAsia="宋体" w:hAnsi="Arial" w:cs="Arial"/>
                <w:color w:val="262626"/>
                <w:sz w:val="18"/>
                <w:szCs w:val="18"/>
              </w:rPr>
              <w:t>architectures</w:t>
            </w:r>
          </w:p>
        </w:tc>
      </w:tr>
      <w:tr w:rsidR="00960BB8" w14:paraId="5A1B3945" w14:textId="77777777">
        <w:trPr>
          <w:hidden/>
        </w:trPr>
        <w:tc>
          <w:tcPr>
            <w:tcW w:w="0" w:type="auto"/>
            <w:gridSpan w:val="3"/>
            <w:shd w:val="clear" w:color="auto" w:fill="auto"/>
            <w:vAlign w:val="bottom"/>
          </w:tcPr>
          <w:p w14:paraId="5A1B3942" w14:textId="77777777" w:rsidR="00960BB8" w:rsidRDefault="00960BB8">
            <w:pPr>
              <w:rPr>
                <w:rFonts w:ascii="宋体"/>
                <w:vanish/>
              </w:rPr>
            </w:pPr>
          </w:p>
        </w:tc>
        <w:tc>
          <w:tcPr>
            <w:tcW w:w="0" w:type="auto"/>
            <w:gridSpan w:val="3"/>
            <w:shd w:val="clear" w:color="auto" w:fill="auto"/>
            <w:vAlign w:val="bottom"/>
          </w:tcPr>
          <w:p w14:paraId="5A1B3943" w14:textId="77777777" w:rsidR="00960BB8" w:rsidRDefault="00960BB8">
            <w:pPr>
              <w:rPr>
                <w:rFonts w:ascii="宋体"/>
                <w:vanish/>
              </w:rPr>
            </w:pPr>
          </w:p>
        </w:tc>
        <w:tc>
          <w:tcPr>
            <w:tcW w:w="0" w:type="auto"/>
            <w:gridSpan w:val="3"/>
            <w:shd w:val="clear" w:color="auto" w:fill="auto"/>
            <w:vAlign w:val="bottom"/>
          </w:tcPr>
          <w:p w14:paraId="5A1B3944" w14:textId="77777777" w:rsidR="00960BB8" w:rsidRDefault="00960BB8">
            <w:pPr>
              <w:rPr>
                <w:rFonts w:ascii="宋体"/>
                <w:vanish/>
              </w:rPr>
            </w:pPr>
          </w:p>
        </w:tc>
      </w:tr>
      <w:tr w:rsidR="00960BB8" w14:paraId="5A1B3949" w14:textId="77777777">
        <w:trPr>
          <w:hidden/>
        </w:trPr>
        <w:tc>
          <w:tcPr>
            <w:tcW w:w="0" w:type="auto"/>
            <w:gridSpan w:val="3"/>
            <w:shd w:val="clear" w:color="auto" w:fill="auto"/>
            <w:vAlign w:val="bottom"/>
          </w:tcPr>
          <w:p w14:paraId="5A1B3946" w14:textId="77777777" w:rsidR="00960BB8" w:rsidRDefault="00960BB8">
            <w:pPr>
              <w:rPr>
                <w:rFonts w:ascii="宋体"/>
                <w:vanish/>
              </w:rPr>
            </w:pPr>
          </w:p>
        </w:tc>
        <w:tc>
          <w:tcPr>
            <w:tcW w:w="0" w:type="auto"/>
            <w:gridSpan w:val="3"/>
            <w:shd w:val="clear" w:color="auto" w:fill="auto"/>
            <w:vAlign w:val="bottom"/>
          </w:tcPr>
          <w:p w14:paraId="5A1B3947" w14:textId="77777777" w:rsidR="00960BB8" w:rsidRDefault="00960BB8">
            <w:pPr>
              <w:rPr>
                <w:rFonts w:ascii="宋体"/>
                <w:vanish/>
              </w:rPr>
            </w:pPr>
          </w:p>
        </w:tc>
        <w:tc>
          <w:tcPr>
            <w:tcW w:w="0" w:type="auto"/>
            <w:gridSpan w:val="3"/>
            <w:shd w:val="clear" w:color="auto" w:fill="auto"/>
            <w:vAlign w:val="bottom"/>
          </w:tcPr>
          <w:p w14:paraId="5A1B3948" w14:textId="77777777" w:rsidR="00960BB8" w:rsidRDefault="00960BB8">
            <w:pPr>
              <w:rPr>
                <w:rFonts w:ascii="宋体"/>
                <w:vanish/>
              </w:rPr>
            </w:pPr>
          </w:p>
        </w:tc>
      </w:tr>
      <w:tr w:rsidR="00960BB8" w14:paraId="5A1B394D" w14:textId="77777777">
        <w:trPr>
          <w:hidden/>
        </w:trPr>
        <w:tc>
          <w:tcPr>
            <w:tcW w:w="0" w:type="auto"/>
            <w:gridSpan w:val="3"/>
            <w:shd w:val="clear" w:color="auto" w:fill="auto"/>
            <w:vAlign w:val="bottom"/>
          </w:tcPr>
          <w:p w14:paraId="5A1B394A" w14:textId="77777777" w:rsidR="00960BB8" w:rsidRDefault="00960BB8">
            <w:pPr>
              <w:rPr>
                <w:rFonts w:ascii="宋体"/>
                <w:vanish/>
              </w:rPr>
            </w:pPr>
          </w:p>
        </w:tc>
        <w:tc>
          <w:tcPr>
            <w:tcW w:w="0" w:type="auto"/>
            <w:gridSpan w:val="3"/>
            <w:shd w:val="clear" w:color="auto" w:fill="auto"/>
            <w:vAlign w:val="bottom"/>
          </w:tcPr>
          <w:p w14:paraId="5A1B394B" w14:textId="77777777" w:rsidR="00960BB8" w:rsidRDefault="00960BB8">
            <w:pPr>
              <w:rPr>
                <w:rFonts w:ascii="宋体"/>
                <w:vanish/>
              </w:rPr>
            </w:pPr>
          </w:p>
        </w:tc>
        <w:tc>
          <w:tcPr>
            <w:tcW w:w="0" w:type="auto"/>
            <w:gridSpan w:val="3"/>
            <w:shd w:val="clear" w:color="auto" w:fill="auto"/>
            <w:vAlign w:val="bottom"/>
          </w:tcPr>
          <w:p w14:paraId="5A1B394C" w14:textId="77777777" w:rsidR="00960BB8" w:rsidRDefault="00960BB8">
            <w:pPr>
              <w:rPr>
                <w:rFonts w:ascii="宋体"/>
                <w:vanish/>
              </w:rPr>
            </w:pPr>
          </w:p>
        </w:tc>
      </w:tr>
      <w:tr w:rsidR="00960BB8" w14:paraId="5A1B3951" w14:textId="77777777">
        <w:trPr>
          <w:hidden/>
        </w:trPr>
        <w:tc>
          <w:tcPr>
            <w:tcW w:w="0" w:type="auto"/>
            <w:gridSpan w:val="3"/>
            <w:shd w:val="clear" w:color="auto" w:fill="auto"/>
            <w:vAlign w:val="bottom"/>
          </w:tcPr>
          <w:p w14:paraId="5A1B394E" w14:textId="77777777" w:rsidR="00960BB8" w:rsidRDefault="00960BB8">
            <w:pPr>
              <w:rPr>
                <w:rFonts w:ascii="宋体"/>
                <w:vanish/>
              </w:rPr>
            </w:pPr>
          </w:p>
        </w:tc>
        <w:tc>
          <w:tcPr>
            <w:tcW w:w="0" w:type="auto"/>
            <w:gridSpan w:val="3"/>
            <w:shd w:val="clear" w:color="auto" w:fill="auto"/>
            <w:vAlign w:val="bottom"/>
          </w:tcPr>
          <w:p w14:paraId="5A1B394F" w14:textId="77777777" w:rsidR="00960BB8" w:rsidRDefault="00960BB8">
            <w:pPr>
              <w:rPr>
                <w:rFonts w:ascii="宋体"/>
                <w:vanish/>
              </w:rPr>
            </w:pPr>
          </w:p>
        </w:tc>
        <w:tc>
          <w:tcPr>
            <w:tcW w:w="0" w:type="auto"/>
            <w:gridSpan w:val="3"/>
            <w:shd w:val="clear" w:color="auto" w:fill="auto"/>
            <w:vAlign w:val="bottom"/>
          </w:tcPr>
          <w:p w14:paraId="5A1B3950" w14:textId="77777777" w:rsidR="00960BB8" w:rsidRDefault="00960BB8">
            <w:pPr>
              <w:rPr>
                <w:rFonts w:ascii="宋体"/>
                <w:vanish/>
              </w:rPr>
            </w:pPr>
          </w:p>
        </w:tc>
      </w:tr>
      <w:tr w:rsidR="00960BB8" w14:paraId="5A1B3955" w14:textId="77777777">
        <w:trPr>
          <w:hidden/>
        </w:trPr>
        <w:tc>
          <w:tcPr>
            <w:tcW w:w="0" w:type="auto"/>
            <w:gridSpan w:val="3"/>
            <w:shd w:val="clear" w:color="auto" w:fill="auto"/>
            <w:vAlign w:val="bottom"/>
          </w:tcPr>
          <w:p w14:paraId="5A1B3952" w14:textId="77777777" w:rsidR="00960BB8" w:rsidRDefault="00960BB8">
            <w:pPr>
              <w:rPr>
                <w:rFonts w:ascii="宋体"/>
                <w:vanish/>
              </w:rPr>
            </w:pPr>
          </w:p>
        </w:tc>
        <w:tc>
          <w:tcPr>
            <w:tcW w:w="0" w:type="auto"/>
            <w:gridSpan w:val="3"/>
            <w:shd w:val="clear" w:color="auto" w:fill="auto"/>
            <w:vAlign w:val="bottom"/>
          </w:tcPr>
          <w:p w14:paraId="5A1B3953" w14:textId="77777777" w:rsidR="00960BB8" w:rsidRDefault="00960BB8">
            <w:pPr>
              <w:rPr>
                <w:rFonts w:ascii="宋体"/>
                <w:vanish/>
              </w:rPr>
            </w:pPr>
          </w:p>
        </w:tc>
        <w:tc>
          <w:tcPr>
            <w:tcW w:w="0" w:type="auto"/>
            <w:gridSpan w:val="3"/>
            <w:shd w:val="clear" w:color="auto" w:fill="auto"/>
            <w:vAlign w:val="bottom"/>
          </w:tcPr>
          <w:p w14:paraId="5A1B3954" w14:textId="77777777" w:rsidR="00960BB8" w:rsidRDefault="00960BB8">
            <w:pPr>
              <w:rPr>
                <w:rFonts w:ascii="宋体"/>
                <w:vanish/>
              </w:rPr>
            </w:pPr>
          </w:p>
        </w:tc>
      </w:tr>
      <w:tr w:rsidR="00960BB8" w14:paraId="5A1B3959" w14:textId="77777777">
        <w:tc>
          <w:tcPr>
            <w:tcW w:w="0" w:type="auto"/>
            <w:gridSpan w:val="3"/>
            <w:shd w:val="clear" w:color="auto" w:fill="auto"/>
            <w:tcMar>
              <w:top w:w="40" w:type="dxa"/>
              <w:left w:w="20" w:type="dxa"/>
              <w:bottom w:w="40" w:type="dxa"/>
              <w:right w:w="20" w:type="dxa"/>
            </w:tcMar>
          </w:tcPr>
          <w:p w14:paraId="5A1B3956" w14:textId="77777777" w:rsidR="00960BB8" w:rsidRDefault="00C06650">
            <w:pPr>
              <w:textAlignment w:val="top"/>
            </w:pPr>
            <w:r>
              <w:rPr>
                <w:rFonts w:ascii="Arial" w:eastAsia="宋体" w:hAnsi="Arial" w:cs="Arial"/>
                <w:color w:val="0068B5"/>
                <w:sz w:val="18"/>
                <w:szCs w:val="18"/>
              </w:rPr>
              <w:t>OKR</w:t>
            </w:r>
          </w:p>
        </w:tc>
        <w:tc>
          <w:tcPr>
            <w:tcW w:w="0" w:type="auto"/>
            <w:gridSpan w:val="3"/>
            <w:shd w:val="clear" w:color="auto" w:fill="auto"/>
            <w:tcMar>
              <w:top w:w="0" w:type="dxa"/>
              <w:left w:w="20" w:type="dxa"/>
              <w:bottom w:w="0" w:type="dxa"/>
              <w:right w:w="20" w:type="dxa"/>
            </w:tcMar>
            <w:vAlign w:val="bottom"/>
          </w:tcPr>
          <w:p w14:paraId="5A1B395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58" w14:textId="77777777" w:rsidR="00960BB8" w:rsidRDefault="00C06650">
            <w:pPr>
              <w:textAlignment w:val="top"/>
            </w:pPr>
            <w:r>
              <w:rPr>
                <w:rFonts w:ascii="Arial" w:eastAsia="宋体" w:hAnsi="Arial" w:cs="Arial"/>
                <w:color w:val="262626"/>
                <w:sz w:val="18"/>
                <w:szCs w:val="18"/>
              </w:rPr>
              <w:t>Objective and key results, a goal-setting method used widely across industries as a proven approach to setting and achieving challenging goals</w:t>
            </w:r>
          </w:p>
        </w:tc>
      </w:tr>
      <w:tr w:rsidR="00960BB8" w14:paraId="5A1B395D" w14:textId="77777777">
        <w:tc>
          <w:tcPr>
            <w:tcW w:w="0" w:type="auto"/>
            <w:gridSpan w:val="3"/>
            <w:shd w:val="clear" w:color="auto" w:fill="auto"/>
            <w:tcMar>
              <w:top w:w="40" w:type="dxa"/>
              <w:left w:w="20" w:type="dxa"/>
              <w:bottom w:w="40" w:type="dxa"/>
              <w:right w:w="20" w:type="dxa"/>
            </w:tcMar>
          </w:tcPr>
          <w:p w14:paraId="5A1B395A" w14:textId="77777777" w:rsidR="00960BB8" w:rsidRDefault="00C06650">
            <w:pPr>
              <w:textAlignment w:val="top"/>
            </w:pPr>
            <w:r>
              <w:rPr>
                <w:rFonts w:ascii="Arial" w:eastAsia="宋体" w:hAnsi="Arial" w:cs="Arial"/>
                <w:color w:val="0068B5"/>
                <w:sz w:val="18"/>
                <w:szCs w:val="18"/>
              </w:rPr>
              <w:t>OSAT</w:t>
            </w:r>
          </w:p>
        </w:tc>
        <w:tc>
          <w:tcPr>
            <w:tcW w:w="0" w:type="auto"/>
            <w:gridSpan w:val="3"/>
            <w:shd w:val="clear" w:color="auto" w:fill="auto"/>
            <w:tcMar>
              <w:top w:w="0" w:type="dxa"/>
              <w:left w:w="20" w:type="dxa"/>
              <w:bottom w:w="0" w:type="dxa"/>
              <w:right w:w="20" w:type="dxa"/>
            </w:tcMar>
            <w:vAlign w:val="bottom"/>
          </w:tcPr>
          <w:p w14:paraId="5A1B395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5C" w14:textId="77777777" w:rsidR="00960BB8" w:rsidRDefault="00C06650">
            <w:pPr>
              <w:textAlignment w:val="top"/>
            </w:pPr>
            <w:r>
              <w:rPr>
                <w:rFonts w:ascii="Arial" w:eastAsia="宋体" w:hAnsi="Arial" w:cs="Arial"/>
                <w:color w:val="262626"/>
                <w:sz w:val="18"/>
                <w:szCs w:val="18"/>
              </w:rPr>
              <w:t>Outsourced assembly and test</w:t>
            </w:r>
          </w:p>
        </w:tc>
      </w:tr>
      <w:tr w:rsidR="00960BB8" w14:paraId="5A1B3961" w14:textId="77777777">
        <w:trPr>
          <w:hidden/>
        </w:trPr>
        <w:tc>
          <w:tcPr>
            <w:tcW w:w="0" w:type="auto"/>
            <w:gridSpan w:val="3"/>
            <w:shd w:val="clear" w:color="auto" w:fill="auto"/>
            <w:vAlign w:val="bottom"/>
          </w:tcPr>
          <w:p w14:paraId="5A1B395E" w14:textId="77777777" w:rsidR="00960BB8" w:rsidRDefault="00960BB8">
            <w:pPr>
              <w:rPr>
                <w:rFonts w:ascii="宋体"/>
                <w:vanish/>
              </w:rPr>
            </w:pPr>
          </w:p>
        </w:tc>
        <w:tc>
          <w:tcPr>
            <w:tcW w:w="0" w:type="auto"/>
            <w:gridSpan w:val="3"/>
            <w:shd w:val="clear" w:color="auto" w:fill="auto"/>
            <w:vAlign w:val="bottom"/>
          </w:tcPr>
          <w:p w14:paraId="5A1B395F" w14:textId="77777777" w:rsidR="00960BB8" w:rsidRDefault="00960BB8">
            <w:pPr>
              <w:rPr>
                <w:rFonts w:ascii="宋体"/>
                <w:vanish/>
              </w:rPr>
            </w:pPr>
          </w:p>
        </w:tc>
        <w:tc>
          <w:tcPr>
            <w:tcW w:w="0" w:type="auto"/>
            <w:gridSpan w:val="3"/>
            <w:shd w:val="clear" w:color="auto" w:fill="auto"/>
            <w:vAlign w:val="bottom"/>
          </w:tcPr>
          <w:p w14:paraId="5A1B3960" w14:textId="77777777" w:rsidR="00960BB8" w:rsidRDefault="00960BB8">
            <w:pPr>
              <w:rPr>
                <w:rFonts w:ascii="宋体"/>
                <w:vanish/>
              </w:rPr>
            </w:pPr>
          </w:p>
        </w:tc>
      </w:tr>
      <w:tr w:rsidR="00960BB8" w14:paraId="5A1B3965" w14:textId="77777777">
        <w:tc>
          <w:tcPr>
            <w:tcW w:w="0" w:type="auto"/>
            <w:gridSpan w:val="3"/>
            <w:shd w:val="clear" w:color="auto" w:fill="auto"/>
            <w:tcMar>
              <w:top w:w="40" w:type="dxa"/>
              <w:left w:w="20" w:type="dxa"/>
              <w:bottom w:w="40" w:type="dxa"/>
              <w:right w:w="20" w:type="dxa"/>
            </w:tcMar>
          </w:tcPr>
          <w:p w14:paraId="5A1B3962" w14:textId="77777777" w:rsidR="00960BB8" w:rsidRDefault="00C06650">
            <w:pPr>
              <w:textAlignment w:val="top"/>
            </w:pPr>
            <w:r>
              <w:rPr>
                <w:rFonts w:ascii="Arial" w:eastAsia="宋体" w:hAnsi="Arial" w:cs="Arial"/>
                <w:color w:val="0068B5"/>
                <w:sz w:val="18"/>
                <w:szCs w:val="18"/>
              </w:rPr>
              <w:t>PPAC</w:t>
            </w:r>
          </w:p>
        </w:tc>
        <w:tc>
          <w:tcPr>
            <w:tcW w:w="0" w:type="auto"/>
            <w:gridSpan w:val="3"/>
            <w:shd w:val="clear" w:color="auto" w:fill="auto"/>
            <w:tcMar>
              <w:top w:w="0" w:type="dxa"/>
              <w:left w:w="20" w:type="dxa"/>
              <w:bottom w:w="0" w:type="dxa"/>
              <w:right w:w="20" w:type="dxa"/>
            </w:tcMar>
            <w:vAlign w:val="bottom"/>
          </w:tcPr>
          <w:p w14:paraId="5A1B396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964" w14:textId="77777777" w:rsidR="00960BB8" w:rsidRDefault="00C06650">
            <w:pPr>
              <w:textAlignment w:val="bottom"/>
            </w:pPr>
            <w:r>
              <w:rPr>
                <w:rFonts w:ascii="Arial" w:eastAsia="宋体" w:hAnsi="Arial" w:cs="Arial"/>
                <w:color w:val="262626"/>
                <w:sz w:val="18"/>
                <w:szCs w:val="18"/>
              </w:rPr>
              <w:t xml:space="preserve">Power </w:t>
            </w:r>
            <w:r>
              <w:rPr>
                <w:rFonts w:ascii="Arial" w:eastAsia="宋体" w:hAnsi="Arial" w:cs="Arial"/>
                <w:color w:val="262626"/>
                <w:sz w:val="18"/>
                <w:szCs w:val="18"/>
              </w:rPr>
              <w:t>performance area cost</w:t>
            </w:r>
          </w:p>
        </w:tc>
      </w:tr>
      <w:tr w:rsidR="00960BB8" w14:paraId="5A1B3969" w14:textId="77777777">
        <w:tc>
          <w:tcPr>
            <w:tcW w:w="0" w:type="auto"/>
            <w:gridSpan w:val="3"/>
            <w:shd w:val="clear" w:color="auto" w:fill="auto"/>
            <w:tcMar>
              <w:top w:w="40" w:type="dxa"/>
              <w:left w:w="20" w:type="dxa"/>
              <w:bottom w:w="40" w:type="dxa"/>
              <w:right w:w="20" w:type="dxa"/>
            </w:tcMar>
          </w:tcPr>
          <w:p w14:paraId="5A1B3966" w14:textId="77777777" w:rsidR="00960BB8" w:rsidRDefault="00C06650">
            <w:pPr>
              <w:textAlignment w:val="top"/>
            </w:pPr>
            <w:r>
              <w:rPr>
                <w:rFonts w:ascii="Arial" w:eastAsia="宋体" w:hAnsi="Arial" w:cs="Arial"/>
                <w:color w:val="0068B5"/>
                <w:sz w:val="18"/>
                <w:szCs w:val="18"/>
              </w:rPr>
              <w:t>Program (specific to Mobileye business)</w:t>
            </w:r>
          </w:p>
        </w:tc>
        <w:tc>
          <w:tcPr>
            <w:tcW w:w="0" w:type="auto"/>
            <w:gridSpan w:val="3"/>
            <w:shd w:val="clear" w:color="auto" w:fill="auto"/>
            <w:tcMar>
              <w:top w:w="0" w:type="dxa"/>
              <w:left w:w="20" w:type="dxa"/>
              <w:bottom w:w="0" w:type="dxa"/>
              <w:right w:w="20" w:type="dxa"/>
            </w:tcMar>
            <w:vAlign w:val="bottom"/>
          </w:tcPr>
          <w:p w14:paraId="5A1B396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968" w14:textId="77777777" w:rsidR="00960BB8" w:rsidRDefault="00C06650">
            <w:pPr>
              <w:textAlignment w:val="bottom"/>
            </w:pPr>
            <w:r>
              <w:rPr>
                <w:rFonts w:ascii="Arial" w:eastAsia="宋体" w:hAnsi="Arial" w:cs="Arial"/>
                <w:color w:val="262626"/>
                <w:sz w:val="18"/>
                <w:szCs w:val="18"/>
              </w:rPr>
              <w:t>A process that takes two to three years of intense activity with the carmaker and Tier 1 after a design win until Mobileye technology is launched into production</w:t>
            </w:r>
          </w:p>
        </w:tc>
      </w:tr>
      <w:tr w:rsidR="00960BB8" w14:paraId="5A1B396D" w14:textId="77777777">
        <w:tc>
          <w:tcPr>
            <w:tcW w:w="0" w:type="auto"/>
            <w:gridSpan w:val="3"/>
            <w:shd w:val="clear" w:color="auto" w:fill="auto"/>
            <w:tcMar>
              <w:top w:w="40" w:type="dxa"/>
              <w:left w:w="20" w:type="dxa"/>
              <w:bottom w:w="40" w:type="dxa"/>
              <w:right w:w="20" w:type="dxa"/>
            </w:tcMar>
          </w:tcPr>
          <w:p w14:paraId="5A1B396A" w14:textId="77777777" w:rsidR="00960BB8" w:rsidRDefault="00C06650">
            <w:pPr>
              <w:textAlignment w:val="top"/>
            </w:pPr>
            <w:r>
              <w:rPr>
                <w:rFonts w:ascii="Arial" w:eastAsia="宋体" w:hAnsi="Arial" w:cs="Arial"/>
                <w:color w:val="0068B5"/>
                <w:sz w:val="18"/>
                <w:szCs w:val="18"/>
              </w:rPr>
              <w:t>PRQ</w:t>
            </w:r>
          </w:p>
        </w:tc>
        <w:tc>
          <w:tcPr>
            <w:tcW w:w="0" w:type="auto"/>
            <w:gridSpan w:val="3"/>
            <w:shd w:val="clear" w:color="auto" w:fill="auto"/>
            <w:tcMar>
              <w:top w:w="0" w:type="dxa"/>
              <w:left w:w="20" w:type="dxa"/>
              <w:bottom w:w="0" w:type="dxa"/>
              <w:right w:w="20" w:type="dxa"/>
            </w:tcMar>
            <w:vAlign w:val="bottom"/>
          </w:tcPr>
          <w:p w14:paraId="5A1B396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6C" w14:textId="77777777" w:rsidR="00960BB8" w:rsidRDefault="00C06650">
            <w:pPr>
              <w:textAlignment w:val="top"/>
            </w:pPr>
            <w:r>
              <w:rPr>
                <w:rFonts w:ascii="Arial" w:eastAsia="宋体" w:hAnsi="Arial" w:cs="Arial"/>
                <w:color w:val="262626"/>
                <w:sz w:val="18"/>
                <w:szCs w:val="18"/>
              </w:rPr>
              <w:t xml:space="preserve">Product release </w:t>
            </w:r>
            <w:r>
              <w:rPr>
                <w:rFonts w:ascii="Arial" w:eastAsia="宋体" w:hAnsi="Arial" w:cs="Arial"/>
                <w:color w:val="262626"/>
                <w:sz w:val="18"/>
                <w:szCs w:val="18"/>
              </w:rPr>
              <w:t>qualification, the milestone when costs to manufacture a product are included in inventory valuation</w:t>
            </w:r>
          </w:p>
        </w:tc>
      </w:tr>
      <w:tr w:rsidR="00960BB8" w14:paraId="5A1B3971" w14:textId="77777777">
        <w:trPr>
          <w:hidden/>
        </w:trPr>
        <w:tc>
          <w:tcPr>
            <w:tcW w:w="0" w:type="auto"/>
            <w:gridSpan w:val="3"/>
            <w:shd w:val="clear" w:color="auto" w:fill="auto"/>
            <w:vAlign w:val="bottom"/>
          </w:tcPr>
          <w:p w14:paraId="5A1B396E" w14:textId="77777777" w:rsidR="00960BB8" w:rsidRDefault="00960BB8">
            <w:pPr>
              <w:rPr>
                <w:rFonts w:ascii="宋体"/>
                <w:vanish/>
              </w:rPr>
            </w:pPr>
          </w:p>
        </w:tc>
        <w:tc>
          <w:tcPr>
            <w:tcW w:w="0" w:type="auto"/>
            <w:gridSpan w:val="3"/>
            <w:shd w:val="clear" w:color="auto" w:fill="auto"/>
            <w:vAlign w:val="bottom"/>
          </w:tcPr>
          <w:p w14:paraId="5A1B396F" w14:textId="77777777" w:rsidR="00960BB8" w:rsidRDefault="00960BB8">
            <w:pPr>
              <w:rPr>
                <w:rFonts w:ascii="宋体"/>
                <w:vanish/>
              </w:rPr>
            </w:pPr>
          </w:p>
        </w:tc>
        <w:tc>
          <w:tcPr>
            <w:tcW w:w="0" w:type="auto"/>
            <w:gridSpan w:val="3"/>
            <w:shd w:val="clear" w:color="auto" w:fill="auto"/>
            <w:vAlign w:val="bottom"/>
          </w:tcPr>
          <w:p w14:paraId="5A1B3970" w14:textId="77777777" w:rsidR="00960BB8" w:rsidRDefault="00960BB8">
            <w:pPr>
              <w:rPr>
                <w:rFonts w:ascii="宋体"/>
                <w:vanish/>
              </w:rPr>
            </w:pPr>
          </w:p>
        </w:tc>
      </w:tr>
      <w:tr w:rsidR="00960BB8" w14:paraId="5A1B3975" w14:textId="77777777">
        <w:tc>
          <w:tcPr>
            <w:tcW w:w="0" w:type="auto"/>
            <w:gridSpan w:val="3"/>
            <w:shd w:val="clear" w:color="auto" w:fill="auto"/>
            <w:tcMar>
              <w:top w:w="40" w:type="dxa"/>
              <w:left w:w="20" w:type="dxa"/>
              <w:bottom w:w="40" w:type="dxa"/>
              <w:right w:w="20" w:type="dxa"/>
            </w:tcMar>
          </w:tcPr>
          <w:p w14:paraId="5A1B3972" w14:textId="77777777" w:rsidR="00960BB8" w:rsidRDefault="00C06650">
            <w:pPr>
              <w:textAlignment w:val="top"/>
            </w:pPr>
            <w:r>
              <w:rPr>
                <w:rFonts w:ascii="Arial" w:eastAsia="宋体" w:hAnsi="Arial" w:cs="Arial"/>
                <w:color w:val="0068B5"/>
                <w:sz w:val="18"/>
                <w:szCs w:val="18"/>
              </w:rPr>
              <w:t>PSU</w:t>
            </w:r>
          </w:p>
        </w:tc>
        <w:tc>
          <w:tcPr>
            <w:tcW w:w="0" w:type="auto"/>
            <w:gridSpan w:val="3"/>
            <w:shd w:val="clear" w:color="auto" w:fill="auto"/>
            <w:tcMar>
              <w:top w:w="0" w:type="dxa"/>
              <w:left w:w="20" w:type="dxa"/>
              <w:bottom w:w="0" w:type="dxa"/>
              <w:right w:w="20" w:type="dxa"/>
            </w:tcMar>
            <w:vAlign w:val="bottom"/>
          </w:tcPr>
          <w:p w14:paraId="5A1B397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74" w14:textId="77777777" w:rsidR="00960BB8" w:rsidRDefault="00C06650">
            <w:pPr>
              <w:textAlignment w:val="top"/>
            </w:pPr>
            <w:r>
              <w:rPr>
                <w:rFonts w:ascii="Arial" w:eastAsia="宋体" w:hAnsi="Arial" w:cs="Arial"/>
                <w:color w:val="262626"/>
                <w:sz w:val="18"/>
                <w:szCs w:val="18"/>
              </w:rPr>
              <w:t>Performance stock unit</w:t>
            </w:r>
          </w:p>
        </w:tc>
      </w:tr>
      <w:tr w:rsidR="00960BB8" w14:paraId="5A1B3979" w14:textId="77777777">
        <w:trPr>
          <w:hidden/>
        </w:trPr>
        <w:tc>
          <w:tcPr>
            <w:tcW w:w="0" w:type="auto"/>
            <w:gridSpan w:val="3"/>
            <w:shd w:val="clear" w:color="auto" w:fill="auto"/>
            <w:vAlign w:val="bottom"/>
          </w:tcPr>
          <w:p w14:paraId="5A1B3976" w14:textId="77777777" w:rsidR="00960BB8" w:rsidRDefault="00960BB8">
            <w:pPr>
              <w:rPr>
                <w:rFonts w:ascii="宋体"/>
                <w:vanish/>
              </w:rPr>
            </w:pPr>
          </w:p>
        </w:tc>
        <w:tc>
          <w:tcPr>
            <w:tcW w:w="0" w:type="auto"/>
            <w:gridSpan w:val="3"/>
            <w:shd w:val="clear" w:color="auto" w:fill="auto"/>
            <w:vAlign w:val="bottom"/>
          </w:tcPr>
          <w:p w14:paraId="5A1B3977" w14:textId="77777777" w:rsidR="00960BB8" w:rsidRDefault="00960BB8">
            <w:pPr>
              <w:rPr>
                <w:rFonts w:ascii="宋体"/>
                <w:vanish/>
              </w:rPr>
            </w:pPr>
          </w:p>
        </w:tc>
        <w:tc>
          <w:tcPr>
            <w:tcW w:w="0" w:type="auto"/>
            <w:gridSpan w:val="3"/>
            <w:shd w:val="clear" w:color="auto" w:fill="auto"/>
            <w:vAlign w:val="bottom"/>
          </w:tcPr>
          <w:p w14:paraId="5A1B3978" w14:textId="77777777" w:rsidR="00960BB8" w:rsidRDefault="00960BB8">
            <w:pPr>
              <w:rPr>
                <w:rFonts w:ascii="宋体"/>
                <w:vanish/>
              </w:rPr>
            </w:pPr>
          </w:p>
        </w:tc>
      </w:tr>
      <w:tr w:rsidR="00960BB8" w14:paraId="5A1B397D" w14:textId="77777777">
        <w:trPr>
          <w:hidden/>
        </w:trPr>
        <w:tc>
          <w:tcPr>
            <w:tcW w:w="0" w:type="auto"/>
            <w:gridSpan w:val="3"/>
            <w:shd w:val="clear" w:color="auto" w:fill="auto"/>
            <w:vAlign w:val="bottom"/>
          </w:tcPr>
          <w:p w14:paraId="5A1B397A" w14:textId="77777777" w:rsidR="00960BB8" w:rsidRDefault="00960BB8">
            <w:pPr>
              <w:rPr>
                <w:rFonts w:ascii="宋体"/>
                <w:vanish/>
              </w:rPr>
            </w:pPr>
          </w:p>
        </w:tc>
        <w:tc>
          <w:tcPr>
            <w:tcW w:w="0" w:type="auto"/>
            <w:gridSpan w:val="3"/>
            <w:shd w:val="clear" w:color="auto" w:fill="auto"/>
            <w:vAlign w:val="bottom"/>
          </w:tcPr>
          <w:p w14:paraId="5A1B397B" w14:textId="77777777" w:rsidR="00960BB8" w:rsidRDefault="00960BB8">
            <w:pPr>
              <w:rPr>
                <w:rFonts w:ascii="宋体"/>
                <w:vanish/>
              </w:rPr>
            </w:pPr>
          </w:p>
        </w:tc>
        <w:tc>
          <w:tcPr>
            <w:tcW w:w="0" w:type="auto"/>
            <w:gridSpan w:val="3"/>
            <w:shd w:val="clear" w:color="auto" w:fill="auto"/>
            <w:vAlign w:val="bottom"/>
          </w:tcPr>
          <w:p w14:paraId="5A1B397C" w14:textId="77777777" w:rsidR="00960BB8" w:rsidRDefault="00960BB8">
            <w:pPr>
              <w:rPr>
                <w:rFonts w:ascii="宋体"/>
                <w:vanish/>
              </w:rPr>
            </w:pPr>
          </w:p>
        </w:tc>
      </w:tr>
      <w:tr w:rsidR="00960BB8" w14:paraId="5A1B3981" w14:textId="77777777">
        <w:tc>
          <w:tcPr>
            <w:tcW w:w="0" w:type="auto"/>
            <w:gridSpan w:val="3"/>
            <w:shd w:val="clear" w:color="auto" w:fill="auto"/>
            <w:tcMar>
              <w:top w:w="40" w:type="dxa"/>
              <w:left w:w="20" w:type="dxa"/>
              <w:bottom w:w="40" w:type="dxa"/>
              <w:right w:w="20" w:type="dxa"/>
            </w:tcMar>
          </w:tcPr>
          <w:p w14:paraId="5A1B397E" w14:textId="77777777" w:rsidR="00960BB8" w:rsidRDefault="00C06650">
            <w:pPr>
              <w:textAlignment w:val="top"/>
            </w:pPr>
            <w:r>
              <w:rPr>
                <w:rFonts w:ascii="Arial" w:eastAsia="宋体" w:hAnsi="Arial" w:cs="Arial"/>
                <w:color w:val="0068B5"/>
                <w:sz w:val="18"/>
                <w:szCs w:val="18"/>
              </w:rPr>
              <w:t>RAN</w:t>
            </w:r>
          </w:p>
        </w:tc>
        <w:tc>
          <w:tcPr>
            <w:tcW w:w="0" w:type="auto"/>
            <w:gridSpan w:val="3"/>
            <w:shd w:val="clear" w:color="auto" w:fill="auto"/>
            <w:tcMar>
              <w:top w:w="0" w:type="dxa"/>
              <w:left w:w="20" w:type="dxa"/>
              <w:bottom w:w="0" w:type="dxa"/>
              <w:right w:w="20" w:type="dxa"/>
            </w:tcMar>
            <w:vAlign w:val="bottom"/>
          </w:tcPr>
          <w:p w14:paraId="5A1B397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80" w14:textId="77777777" w:rsidR="00960BB8" w:rsidRDefault="00C06650">
            <w:pPr>
              <w:textAlignment w:val="top"/>
            </w:pPr>
            <w:r>
              <w:rPr>
                <w:rFonts w:ascii="Arial" w:eastAsia="宋体" w:hAnsi="Arial" w:cs="Arial"/>
                <w:color w:val="262626"/>
                <w:sz w:val="18"/>
                <w:szCs w:val="18"/>
              </w:rPr>
              <w:t>Radio access network</w:t>
            </w:r>
          </w:p>
        </w:tc>
      </w:tr>
      <w:tr w:rsidR="00960BB8" w14:paraId="5A1B3985" w14:textId="77777777">
        <w:tc>
          <w:tcPr>
            <w:tcW w:w="0" w:type="auto"/>
            <w:gridSpan w:val="3"/>
            <w:shd w:val="clear" w:color="auto" w:fill="auto"/>
            <w:tcMar>
              <w:top w:w="40" w:type="dxa"/>
              <w:left w:w="20" w:type="dxa"/>
              <w:bottom w:w="40" w:type="dxa"/>
              <w:right w:w="20" w:type="dxa"/>
            </w:tcMar>
          </w:tcPr>
          <w:p w14:paraId="5A1B3982" w14:textId="77777777" w:rsidR="00960BB8" w:rsidRDefault="00C06650">
            <w:pPr>
              <w:textAlignment w:val="top"/>
            </w:pPr>
            <w:r>
              <w:rPr>
                <w:rFonts w:ascii="Arial" w:eastAsia="宋体" w:hAnsi="Arial" w:cs="Arial"/>
                <w:color w:val="0068B5"/>
                <w:sz w:val="18"/>
                <w:szCs w:val="18"/>
              </w:rPr>
              <w:t>R&amp;D</w:t>
            </w:r>
          </w:p>
        </w:tc>
        <w:tc>
          <w:tcPr>
            <w:tcW w:w="0" w:type="auto"/>
            <w:gridSpan w:val="3"/>
            <w:shd w:val="clear" w:color="auto" w:fill="auto"/>
            <w:tcMar>
              <w:top w:w="0" w:type="dxa"/>
              <w:left w:w="20" w:type="dxa"/>
              <w:bottom w:w="0" w:type="dxa"/>
              <w:right w:w="20" w:type="dxa"/>
            </w:tcMar>
            <w:vAlign w:val="bottom"/>
          </w:tcPr>
          <w:p w14:paraId="5A1B398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84" w14:textId="77777777" w:rsidR="00960BB8" w:rsidRDefault="00C06650">
            <w:pPr>
              <w:textAlignment w:val="top"/>
            </w:pPr>
            <w:r>
              <w:rPr>
                <w:rFonts w:ascii="Arial" w:eastAsia="宋体" w:hAnsi="Arial" w:cs="Arial"/>
                <w:color w:val="262626"/>
                <w:sz w:val="18"/>
                <w:szCs w:val="18"/>
              </w:rPr>
              <w:t>Research and development</w:t>
            </w:r>
          </w:p>
        </w:tc>
      </w:tr>
      <w:tr w:rsidR="00960BB8" w14:paraId="5A1B3989" w14:textId="77777777">
        <w:tc>
          <w:tcPr>
            <w:tcW w:w="0" w:type="auto"/>
            <w:gridSpan w:val="3"/>
            <w:shd w:val="clear" w:color="auto" w:fill="auto"/>
            <w:tcMar>
              <w:top w:w="40" w:type="dxa"/>
              <w:left w:w="20" w:type="dxa"/>
              <w:bottom w:w="40" w:type="dxa"/>
              <w:right w:w="20" w:type="dxa"/>
            </w:tcMar>
          </w:tcPr>
          <w:p w14:paraId="5A1B3986" w14:textId="77777777" w:rsidR="00960BB8" w:rsidRDefault="00C06650">
            <w:pPr>
              <w:textAlignment w:val="top"/>
            </w:pPr>
            <w:r>
              <w:rPr>
                <w:rFonts w:ascii="Arial" w:eastAsia="宋体" w:hAnsi="Arial" w:cs="Arial"/>
                <w:color w:val="0068B5"/>
                <w:sz w:val="18"/>
                <w:szCs w:val="18"/>
              </w:rPr>
              <w:t>RDFV</w:t>
            </w:r>
          </w:p>
        </w:tc>
        <w:tc>
          <w:tcPr>
            <w:tcW w:w="0" w:type="auto"/>
            <w:gridSpan w:val="3"/>
            <w:shd w:val="clear" w:color="auto" w:fill="auto"/>
            <w:tcMar>
              <w:top w:w="0" w:type="dxa"/>
              <w:left w:w="20" w:type="dxa"/>
              <w:bottom w:w="0" w:type="dxa"/>
              <w:right w:w="20" w:type="dxa"/>
            </w:tcMar>
            <w:vAlign w:val="bottom"/>
          </w:tcPr>
          <w:p w14:paraId="5A1B398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88" w14:textId="77777777" w:rsidR="00960BB8" w:rsidRDefault="00C06650">
            <w:pPr>
              <w:textAlignment w:val="top"/>
            </w:pPr>
            <w:r>
              <w:rPr>
                <w:rFonts w:ascii="Arial" w:eastAsia="宋体" w:hAnsi="Arial" w:cs="Arial"/>
                <w:color w:val="262626"/>
                <w:sz w:val="18"/>
                <w:szCs w:val="18"/>
              </w:rPr>
              <w:t>Readily determinable fair value</w:t>
            </w:r>
          </w:p>
        </w:tc>
      </w:tr>
      <w:tr w:rsidR="00960BB8" w14:paraId="5A1B398D" w14:textId="77777777">
        <w:trPr>
          <w:hidden/>
        </w:trPr>
        <w:tc>
          <w:tcPr>
            <w:tcW w:w="0" w:type="auto"/>
            <w:gridSpan w:val="3"/>
            <w:shd w:val="clear" w:color="auto" w:fill="auto"/>
            <w:vAlign w:val="bottom"/>
          </w:tcPr>
          <w:p w14:paraId="5A1B398A" w14:textId="77777777" w:rsidR="00960BB8" w:rsidRDefault="00960BB8">
            <w:pPr>
              <w:rPr>
                <w:rFonts w:ascii="宋体"/>
                <w:vanish/>
              </w:rPr>
            </w:pPr>
          </w:p>
        </w:tc>
        <w:tc>
          <w:tcPr>
            <w:tcW w:w="0" w:type="auto"/>
            <w:gridSpan w:val="3"/>
            <w:shd w:val="clear" w:color="auto" w:fill="auto"/>
            <w:vAlign w:val="bottom"/>
          </w:tcPr>
          <w:p w14:paraId="5A1B398B" w14:textId="77777777" w:rsidR="00960BB8" w:rsidRDefault="00960BB8">
            <w:pPr>
              <w:rPr>
                <w:rFonts w:ascii="宋体"/>
                <w:vanish/>
              </w:rPr>
            </w:pPr>
          </w:p>
        </w:tc>
        <w:tc>
          <w:tcPr>
            <w:tcW w:w="0" w:type="auto"/>
            <w:gridSpan w:val="3"/>
            <w:shd w:val="clear" w:color="auto" w:fill="auto"/>
            <w:vAlign w:val="bottom"/>
          </w:tcPr>
          <w:p w14:paraId="5A1B398C" w14:textId="77777777" w:rsidR="00960BB8" w:rsidRDefault="00960BB8">
            <w:pPr>
              <w:rPr>
                <w:rFonts w:ascii="宋体"/>
                <w:vanish/>
              </w:rPr>
            </w:pPr>
          </w:p>
        </w:tc>
      </w:tr>
      <w:tr w:rsidR="00960BB8" w14:paraId="5A1B3991" w14:textId="77777777">
        <w:tc>
          <w:tcPr>
            <w:tcW w:w="0" w:type="auto"/>
            <w:gridSpan w:val="3"/>
            <w:shd w:val="clear" w:color="auto" w:fill="auto"/>
            <w:tcMar>
              <w:top w:w="40" w:type="dxa"/>
              <w:left w:w="20" w:type="dxa"/>
              <w:bottom w:w="40" w:type="dxa"/>
              <w:right w:w="20" w:type="dxa"/>
            </w:tcMar>
          </w:tcPr>
          <w:p w14:paraId="5A1B398E" w14:textId="77777777" w:rsidR="00960BB8" w:rsidRDefault="00C06650">
            <w:pPr>
              <w:textAlignment w:val="top"/>
            </w:pPr>
            <w:r>
              <w:rPr>
                <w:rFonts w:ascii="Arial" w:eastAsia="宋体" w:hAnsi="Arial" w:cs="Arial"/>
                <w:color w:val="0068B5"/>
                <w:sz w:val="18"/>
                <w:szCs w:val="18"/>
              </w:rPr>
              <w:t>RSS</w:t>
            </w:r>
          </w:p>
        </w:tc>
        <w:tc>
          <w:tcPr>
            <w:tcW w:w="0" w:type="auto"/>
            <w:gridSpan w:val="3"/>
            <w:shd w:val="clear" w:color="auto" w:fill="auto"/>
            <w:tcMar>
              <w:top w:w="0" w:type="dxa"/>
              <w:left w:w="20" w:type="dxa"/>
              <w:bottom w:w="0" w:type="dxa"/>
              <w:right w:w="20" w:type="dxa"/>
            </w:tcMar>
            <w:vAlign w:val="bottom"/>
          </w:tcPr>
          <w:p w14:paraId="5A1B398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90" w14:textId="77777777" w:rsidR="00960BB8" w:rsidRDefault="00C06650">
            <w:pPr>
              <w:textAlignment w:val="top"/>
            </w:pPr>
            <w:r>
              <w:rPr>
                <w:rFonts w:ascii="Arial" w:eastAsia="宋体" w:hAnsi="Arial" w:cs="Arial"/>
                <w:color w:val="262626"/>
                <w:sz w:val="18"/>
                <w:szCs w:val="18"/>
              </w:rPr>
              <w:t>Responsibility-safety sensitive</w:t>
            </w:r>
          </w:p>
        </w:tc>
      </w:tr>
      <w:tr w:rsidR="00960BB8" w14:paraId="5A1B3995" w14:textId="77777777">
        <w:trPr>
          <w:hidden/>
        </w:trPr>
        <w:tc>
          <w:tcPr>
            <w:tcW w:w="0" w:type="auto"/>
            <w:gridSpan w:val="3"/>
            <w:shd w:val="clear" w:color="auto" w:fill="auto"/>
            <w:vAlign w:val="bottom"/>
          </w:tcPr>
          <w:p w14:paraId="5A1B3992" w14:textId="77777777" w:rsidR="00960BB8" w:rsidRDefault="00960BB8">
            <w:pPr>
              <w:rPr>
                <w:rFonts w:ascii="宋体"/>
                <w:vanish/>
              </w:rPr>
            </w:pPr>
          </w:p>
        </w:tc>
        <w:tc>
          <w:tcPr>
            <w:tcW w:w="0" w:type="auto"/>
            <w:gridSpan w:val="3"/>
            <w:shd w:val="clear" w:color="auto" w:fill="auto"/>
            <w:vAlign w:val="bottom"/>
          </w:tcPr>
          <w:p w14:paraId="5A1B3993" w14:textId="77777777" w:rsidR="00960BB8" w:rsidRDefault="00960BB8">
            <w:pPr>
              <w:rPr>
                <w:rFonts w:ascii="宋体"/>
                <w:vanish/>
              </w:rPr>
            </w:pPr>
          </w:p>
        </w:tc>
        <w:tc>
          <w:tcPr>
            <w:tcW w:w="0" w:type="auto"/>
            <w:gridSpan w:val="3"/>
            <w:shd w:val="clear" w:color="auto" w:fill="auto"/>
            <w:vAlign w:val="bottom"/>
          </w:tcPr>
          <w:p w14:paraId="5A1B3994" w14:textId="77777777" w:rsidR="00960BB8" w:rsidRDefault="00960BB8">
            <w:pPr>
              <w:rPr>
                <w:rFonts w:ascii="宋体"/>
                <w:vanish/>
              </w:rPr>
            </w:pPr>
          </w:p>
        </w:tc>
      </w:tr>
      <w:tr w:rsidR="00960BB8" w14:paraId="5A1B3999" w14:textId="77777777">
        <w:tc>
          <w:tcPr>
            <w:tcW w:w="0" w:type="auto"/>
            <w:gridSpan w:val="3"/>
            <w:shd w:val="clear" w:color="auto" w:fill="auto"/>
            <w:tcMar>
              <w:top w:w="40" w:type="dxa"/>
              <w:left w:w="20" w:type="dxa"/>
              <w:bottom w:w="40" w:type="dxa"/>
              <w:right w:w="20" w:type="dxa"/>
            </w:tcMar>
          </w:tcPr>
          <w:p w14:paraId="5A1B3996" w14:textId="77777777" w:rsidR="00960BB8" w:rsidRDefault="00C06650">
            <w:pPr>
              <w:textAlignment w:val="top"/>
            </w:pPr>
            <w:r>
              <w:rPr>
                <w:rFonts w:ascii="Arial" w:eastAsia="宋体" w:hAnsi="Arial" w:cs="Arial"/>
                <w:color w:val="0068B5"/>
                <w:sz w:val="18"/>
                <w:szCs w:val="18"/>
              </w:rPr>
              <w:t xml:space="preserve">RSU </w:t>
            </w:r>
          </w:p>
        </w:tc>
        <w:tc>
          <w:tcPr>
            <w:tcW w:w="0" w:type="auto"/>
            <w:gridSpan w:val="3"/>
            <w:shd w:val="clear" w:color="auto" w:fill="auto"/>
            <w:tcMar>
              <w:top w:w="0" w:type="dxa"/>
              <w:left w:w="20" w:type="dxa"/>
              <w:bottom w:w="0" w:type="dxa"/>
              <w:right w:w="20" w:type="dxa"/>
            </w:tcMar>
            <w:vAlign w:val="bottom"/>
          </w:tcPr>
          <w:p w14:paraId="5A1B399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98" w14:textId="77777777" w:rsidR="00960BB8" w:rsidRDefault="00C06650">
            <w:pPr>
              <w:textAlignment w:val="top"/>
            </w:pPr>
            <w:r>
              <w:rPr>
                <w:rFonts w:ascii="Arial" w:eastAsia="宋体" w:hAnsi="Arial" w:cs="Arial"/>
                <w:color w:val="262626"/>
                <w:sz w:val="18"/>
                <w:szCs w:val="18"/>
              </w:rPr>
              <w:t>Restricted stock unit</w:t>
            </w:r>
          </w:p>
        </w:tc>
      </w:tr>
      <w:tr w:rsidR="00960BB8" w14:paraId="5A1B399D" w14:textId="77777777">
        <w:trPr>
          <w:hidden/>
        </w:trPr>
        <w:tc>
          <w:tcPr>
            <w:tcW w:w="0" w:type="auto"/>
            <w:gridSpan w:val="3"/>
            <w:shd w:val="clear" w:color="auto" w:fill="auto"/>
            <w:vAlign w:val="bottom"/>
          </w:tcPr>
          <w:p w14:paraId="5A1B399A" w14:textId="77777777" w:rsidR="00960BB8" w:rsidRDefault="00960BB8">
            <w:pPr>
              <w:rPr>
                <w:rFonts w:ascii="宋体"/>
                <w:vanish/>
              </w:rPr>
            </w:pPr>
          </w:p>
        </w:tc>
        <w:tc>
          <w:tcPr>
            <w:tcW w:w="0" w:type="auto"/>
            <w:gridSpan w:val="3"/>
            <w:shd w:val="clear" w:color="auto" w:fill="auto"/>
            <w:vAlign w:val="bottom"/>
          </w:tcPr>
          <w:p w14:paraId="5A1B399B" w14:textId="77777777" w:rsidR="00960BB8" w:rsidRDefault="00960BB8">
            <w:pPr>
              <w:rPr>
                <w:rFonts w:ascii="宋体"/>
                <w:vanish/>
              </w:rPr>
            </w:pPr>
          </w:p>
        </w:tc>
        <w:tc>
          <w:tcPr>
            <w:tcW w:w="0" w:type="auto"/>
            <w:gridSpan w:val="3"/>
            <w:shd w:val="clear" w:color="auto" w:fill="auto"/>
            <w:vAlign w:val="bottom"/>
          </w:tcPr>
          <w:p w14:paraId="5A1B399C" w14:textId="77777777" w:rsidR="00960BB8" w:rsidRDefault="00960BB8">
            <w:pPr>
              <w:rPr>
                <w:rFonts w:ascii="宋体"/>
                <w:vanish/>
              </w:rPr>
            </w:pPr>
          </w:p>
        </w:tc>
      </w:tr>
      <w:tr w:rsidR="00960BB8" w14:paraId="5A1B39A1" w14:textId="77777777">
        <w:trPr>
          <w:hidden/>
        </w:trPr>
        <w:tc>
          <w:tcPr>
            <w:tcW w:w="0" w:type="auto"/>
            <w:gridSpan w:val="3"/>
            <w:shd w:val="clear" w:color="auto" w:fill="auto"/>
            <w:vAlign w:val="bottom"/>
          </w:tcPr>
          <w:p w14:paraId="5A1B399E" w14:textId="77777777" w:rsidR="00960BB8" w:rsidRDefault="00960BB8">
            <w:pPr>
              <w:rPr>
                <w:rFonts w:ascii="宋体"/>
                <w:vanish/>
              </w:rPr>
            </w:pPr>
          </w:p>
        </w:tc>
        <w:tc>
          <w:tcPr>
            <w:tcW w:w="0" w:type="auto"/>
            <w:gridSpan w:val="3"/>
            <w:shd w:val="clear" w:color="auto" w:fill="auto"/>
            <w:vAlign w:val="bottom"/>
          </w:tcPr>
          <w:p w14:paraId="5A1B399F" w14:textId="77777777" w:rsidR="00960BB8" w:rsidRDefault="00960BB8">
            <w:pPr>
              <w:rPr>
                <w:rFonts w:ascii="宋体"/>
                <w:vanish/>
              </w:rPr>
            </w:pPr>
          </w:p>
        </w:tc>
        <w:tc>
          <w:tcPr>
            <w:tcW w:w="0" w:type="auto"/>
            <w:gridSpan w:val="3"/>
            <w:shd w:val="clear" w:color="auto" w:fill="auto"/>
            <w:vAlign w:val="bottom"/>
          </w:tcPr>
          <w:p w14:paraId="5A1B39A0" w14:textId="77777777" w:rsidR="00960BB8" w:rsidRDefault="00960BB8">
            <w:pPr>
              <w:rPr>
                <w:rFonts w:ascii="宋体"/>
                <w:vanish/>
              </w:rPr>
            </w:pPr>
          </w:p>
        </w:tc>
      </w:tr>
      <w:tr w:rsidR="00960BB8" w14:paraId="5A1B39A5" w14:textId="77777777">
        <w:trPr>
          <w:hidden/>
        </w:trPr>
        <w:tc>
          <w:tcPr>
            <w:tcW w:w="0" w:type="auto"/>
            <w:gridSpan w:val="3"/>
            <w:shd w:val="clear" w:color="auto" w:fill="auto"/>
            <w:vAlign w:val="bottom"/>
          </w:tcPr>
          <w:p w14:paraId="5A1B39A2" w14:textId="77777777" w:rsidR="00960BB8" w:rsidRDefault="00960BB8">
            <w:pPr>
              <w:rPr>
                <w:rFonts w:ascii="宋体"/>
                <w:vanish/>
              </w:rPr>
            </w:pPr>
          </w:p>
        </w:tc>
        <w:tc>
          <w:tcPr>
            <w:tcW w:w="0" w:type="auto"/>
            <w:gridSpan w:val="3"/>
            <w:shd w:val="clear" w:color="auto" w:fill="auto"/>
            <w:vAlign w:val="bottom"/>
          </w:tcPr>
          <w:p w14:paraId="5A1B39A3" w14:textId="77777777" w:rsidR="00960BB8" w:rsidRDefault="00960BB8">
            <w:pPr>
              <w:rPr>
                <w:rFonts w:ascii="宋体"/>
                <w:vanish/>
              </w:rPr>
            </w:pPr>
          </w:p>
        </w:tc>
        <w:tc>
          <w:tcPr>
            <w:tcW w:w="0" w:type="auto"/>
            <w:gridSpan w:val="3"/>
            <w:shd w:val="clear" w:color="auto" w:fill="auto"/>
            <w:vAlign w:val="bottom"/>
          </w:tcPr>
          <w:p w14:paraId="5A1B39A4" w14:textId="77777777" w:rsidR="00960BB8" w:rsidRDefault="00960BB8">
            <w:pPr>
              <w:rPr>
                <w:rFonts w:ascii="宋体"/>
                <w:vanish/>
              </w:rPr>
            </w:pPr>
          </w:p>
        </w:tc>
      </w:tr>
      <w:tr w:rsidR="00960BB8" w14:paraId="5A1B39A9" w14:textId="77777777">
        <w:trPr>
          <w:hidden/>
        </w:trPr>
        <w:tc>
          <w:tcPr>
            <w:tcW w:w="0" w:type="auto"/>
            <w:gridSpan w:val="3"/>
            <w:shd w:val="clear" w:color="auto" w:fill="auto"/>
            <w:vAlign w:val="bottom"/>
          </w:tcPr>
          <w:p w14:paraId="5A1B39A6" w14:textId="77777777" w:rsidR="00960BB8" w:rsidRDefault="00960BB8">
            <w:pPr>
              <w:rPr>
                <w:rFonts w:ascii="宋体"/>
                <w:vanish/>
              </w:rPr>
            </w:pPr>
          </w:p>
        </w:tc>
        <w:tc>
          <w:tcPr>
            <w:tcW w:w="0" w:type="auto"/>
            <w:gridSpan w:val="3"/>
            <w:shd w:val="clear" w:color="auto" w:fill="auto"/>
            <w:vAlign w:val="bottom"/>
          </w:tcPr>
          <w:p w14:paraId="5A1B39A7" w14:textId="77777777" w:rsidR="00960BB8" w:rsidRDefault="00960BB8">
            <w:pPr>
              <w:rPr>
                <w:rFonts w:ascii="宋体"/>
                <w:vanish/>
              </w:rPr>
            </w:pPr>
          </w:p>
        </w:tc>
        <w:tc>
          <w:tcPr>
            <w:tcW w:w="0" w:type="auto"/>
            <w:gridSpan w:val="3"/>
            <w:shd w:val="clear" w:color="auto" w:fill="auto"/>
            <w:vAlign w:val="bottom"/>
          </w:tcPr>
          <w:p w14:paraId="5A1B39A8" w14:textId="77777777" w:rsidR="00960BB8" w:rsidRDefault="00960BB8">
            <w:pPr>
              <w:rPr>
                <w:rFonts w:ascii="宋体"/>
                <w:vanish/>
              </w:rPr>
            </w:pPr>
          </w:p>
        </w:tc>
      </w:tr>
      <w:tr w:rsidR="00960BB8" w14:paraId="5A1B39AD" w14:textId="77777777">
        <w:trPr>
          <w:hidden/>
        </w:trPr>
        <w:tc>
          <w:tcPr>
            <w:tcW w:w="0" w:type="auto"/>
            <w:gridSpan w:val="3"/>
            <w:shd w:val="clear" w:color="auto" w:fill="auto"/>
            <w:vAlign w:val="bottom"/>
          </w:tcPr>
          <w:p w14:paraId="5A1B39AA" w14:textId="77777777" w:rsidR="00960BB8" w:rsidRDefault="00960BB8">
            <w:pPr>
              <w:rPr>
                <w:rFonts w:ascii="宋体"/>
                <w:vanish/>
              </w:rPr>
            </w:pPr>
          </w:p>
        </w:tc>
        <w:tc>
          <w:tcPr>
            <w:tcW w:w="0" w:type="auto"/>
            <w:gridSpan w:val="3"/>
            <w:shd w:val="clear" w:color="auto" w:fill="auto"/>
            <w:vAlign w:val="bottom"/>
          </w:tcPr>
          <w:p w14:paraId="5A1B39AB" w14:textId="77777777" w:rsidR="00960BB8" w:rsidRDefault="00960BB8">
            <w:pPr>
              <w:rPr>
                <w:rFonts w:ascii="宋体"/>
                <w:vanish/>
              </w:rPr>
            </w:pPr>
          </w:p>
        </w:tc>
        <w:tc>
          <w:tcPr>
            <w:tcW w:w="0" w:type="auto"/>
            <w:gridSpan w:val="3"/>
            <w:shd w:val="clear" w:color="auto" w:fill="auto"/>
            <w:vAlign w:val="bottom"/>
          </w:tcPr>
          <w:p w14:paraId="5A1B39AC" w14:textId="77777777" w:rsidR="00960BB8" w:rsidRDefault="00960BB8">
            <w:pPr>
              <w:rPr>
                <w:rFonts w:ascii="宋体"/>
                <w:vanish/>
              </w:rPr>
            </w:pPr>
          </w:p>
        </w:tc>
      </w:tr>
      <w:tr w:rsidR="00960BB8" w14:paraId="5A1B39B1" w14:textId="77777777">
        <w:trPr>
          <w:hidden/>
        </w:trPr>
        <w:tc>
          <w:tcPr>
            <w:tcW w:w="0" w:type="auto"/>
            <w:gridSpan w:val="3"/>
            <w:shd w:val="clear" w:color="auto" w:fill="auto"/>
            <w:vAlign w:val="bottom"/>
          </w:tcPr>
          <w:p w14:paraId="5A1B39AE" w14:textId="77777777" w:rsidR="00960BB8" w:rsidRDefault="00960BB8">
            <w:pPr>
              <w:rPr>
                <w:rFonts w:ascii="宋体"/>
                <w:vanish/>
              </w:rPr>
            </w:pPr>
          </w:p>
        </w:tc>
        <w:tc>
          <w:tcPr>
            <w:tcW w:w="0" w:type="auto"/>
            <w:gridSpan w:val="3"/>
            <w:shd w:val="clear" w:color="auto" w:fill="auto"/>
            <w:vAlign w:val="bottom"/>
          </w:tcPr>
          <w:p w14:paraId="5A1B39AF" w14:textId="77777777" w:rsidR="00960BB8" w:rsidRDefault="00960BB8">
            <w:pPr>
              <w:rPr>
                <w:rFonts w:ascii="宋体"/>
                <w:vanish/>
              </w:rPr>
            </w:pPr>
          </w:p>
        </w:tc>
        <w:tc>
          <w:tcPr>
            <w:tcW w:w="0" w:type="auto"/>
            <w:gridSpan w:val="3"/>
            <w:shd w:val="clear" w:color="auto" w:fill="auto"/>
            <w:vAlign w:val="bottom"/>
          </w:tcPr>
          <w:p w14:paraId="5A1B39B0" w14:textId="77777777" w:rsidR="00960BB8" w:rsidRDefault="00960BB8">
            <w:pPr>
              <w:rPr>
                <w:rFonts w:ascii="宋体"/>
                <w:vanish/>
              </w:rPr>
            </w:pPr>
          </w:p>
        </w:tc>
      </w:tr>
      <w:tr w:rsidR="00960BB8" w14:paraId="5A1B39B5" w14:textId="77777777">
        <w:tc>
          <w:tcPr>
            <w:tcW w:w="0" w:type="auto"/>
            <w:gridSpan w:val="3"/>
            <w:shd w:val="clear" w:color="auto" w:fill="auto"/>
            <w:tcMar>
              <w:top w:w="40" w:type="dxa"/>
              <w:left w:w="20" w:type="dxa"/>
              <w:bottom w:w="40" w:type="dxa"/>
              <w:right w:w="20" w:type="dxa"/>
            </w:tcMar>
          </w:tcPr>
          <w:p w14:paraId="5A1B39B2" w14:textId="77777777" w:rsidR="00960BB8" w:rsidRDefault="00C06650">
            <w:pPr>
              <w:textAlignment w:val="top"/>
            </w:pPr>
            <w:r>
              <w:rPr>
                <w:rFonts w:ascii="Arial" w:eastAsia="宋体" w:hAnsi="Arial" w:cs="Arial"/>
                <w:color w:val="0068B5"/>
                <w:sz w:val="18"/>
                <w:szCs w:val="18"/>
              </w:rPr>
              <w:t>SaaS</w:t>
            </w:r>
          </w:p>
        </w:tc>
        <w:tc>
          <w:tcPr>
            <w:tcW w:w="0" w:type="auto"/>
            <w:gridSpan w:val="3"/>
            <w:shd w:val="clear" w:color="auto" w:fill="auto"/>
            <w:tcMar>
              <w:top w:w="0" w:type="dxa"/>
              <w:left w:w="20" w:type="dxa"/>
              <w:bottom w:w="0" w:type="dxa"/>
              <w:right w:w="20" w:type="dxa"/>
            </w:tcMar>
            <w:vAlign w:val="bottom"/>
          </w:tcPr>
          <w:p w14:paraId="5A1B39B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B4" w14:textId="77777777" w:rsidR="00960BB8" w:rsidRDefault="00C06650">
            <w:pPr>
              <w:textAlignment w:val="top"/>
            </w:pPr>
            <w:r>
              <w:rPr>
                <w:rFonts w:ascii="Arial" w:eastAsia="宋体" w:hAnsi="Arial" w:cs="Arial"/>
                <w:color w:val="262626"/>
                <w:sz w:val="18"/>
                <w:szCs w:val="18"/>
              </w:rPr>
              <w:t>Software as a service</w:t>
            </w:r>
          </w:p>
        </w:tc>
      </w:tr>
      <w:tr w:rsidR="00960BB8" w14:paraId="5A1B39B9" w14:textId="77777777">
        <w:tc>
          <w:tcPr>
            <w:tcW w:w="0" w:type="auto"/>
            <w:gridSpan w:val="3"/>
            <w:shd w:val="clear" w:color="auto" w:fill="auto"/>
            <w:tcMar>
              <w:top w:w="40" w:type="dxa"/>
              <w:left w:w="20" w:type="dxa"/>
              <w:bottom w:w="40" w:type="dxa"/>
              <w:right w:w="20" w:type="dxa"/>
            </w:tcMar>
          </w:tcPr>
          <w:p w14:paraId="5A1B39B6" w14:textId="77777777" w:rsidR="00960BB8" w:rsidRDefault="00C06650">
            <w:pPr>
              <w:textAlignment w:val="top"/>
            </w:pPr>
            <w:r>
              <w:rPr>
                <w:rFonts w:ascii="Arial" w:eastAsia="宋体" w:hAnsi="Arial" w:cs="Arial"/>
                <w:color w:val="0068B5"/>
                <w:sz w:val="18"/>
                <w:szCs w:val="18"/>
              </w:rPr>
              <w:t>SASB</w:t>
            </w:r>
          </w:p>
        </w:tc>
        <w:tc>
          <w:tcPr>
            <w:tcW w:w="0" w:type="auto"/>
            <w:gridSpan w:val="3"/>
            <w:shd w:val="clear" w:color="auto" w:fill="auto"/>
            <w:tcMar>
              <w:top w:w="0" w:type="dxa"/>
              <w:left w:w="20" w:type="dxa"/>
              <w:bottom w:w="0" w:type="dxa"/>
              <w:right w:w="20" w:type="dxa"/>
            </w:tcMar>
            <w:vAlign w:val="bottom"/>
          </w:tcPr>
          <w:p w14:paraId="5A1B39B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B8" w14:textId="77777777" w:rsidR="00960BB8" w:rsidRDefault="00C06650">
            <w:pPr>
              <w:textAlignment w:val="top"/>
            </w:pPr>
            <w:r>
              <w:rPr>
                <w:rFonts w:ascii="Arial" w:eastAsia="宋体" w:hAnsi="Arial" w:cs="Arial"/>
                <w:color w:val="262626"/>
                <w:sz w:val="18"/>
                <w:szCs w:val="18"/>
              </w:rPr>
              <w:t>Sustainability Accounting Standards Board</w:t>
            </w:r>
          </w:p>
        </w:tc>
      </w:tr>
      <w:tr w:rsidR="00960BB8" w14:paraId="5A1B39BD" w14:textId="77777777">
        <w:tc>
          <w:tcPr>
            <w:tcW w:w="0" w:type="auto"/>
            <w:gridSpan w:val="3"/>
            <w:shd w:val="clear" w:color="auto" w:fill="auto"/>
            <w:tcMar>
              <w:top w:w="40" w:type="dxa"/>
              <w:left w:w="20" w:type="dxa"/>
              <w:bottom w:w="40" w:type="dxa"/>
              <w:right w:w="20" w:type="dxa"/>
            </w:tcMar>
          </w:tcPr>
          <w:p w14:paraId="5A1B39BA" w14:textId="77777777" w:rsidR="00960BB8" w:rsidRDefault="00C06650">
            <w:pPr>
              <w:textAlignment w:val="top"/>
            </w:pPr>
            <w:r>
              <w:rPr>
                <w:rFonts w:ascii="Arial" w:eastAsia="宋体" w:hAnsi="Arial" w:cs="Arial"/>
                <w:color w:val="0068B5"/>
                <w:sz w:val="18"/>
                <w:szCs w:val="18"/>
              </w:rPr>
              <w:t>SCIP</w:t>
            </w:r>
          </w:p>
        </w:tc>
        <w:tc>
          <w:tcPr>
            <w:tcW w:w="0" w:type="auto"/>
            <w:gridSpan w:val="3"/>
            <w:shd w:val="clear" w:color="auto" w:fill="auto"/>
            <w:tcMar>
              <w:top w:w="0" w:type="dxa"/>
              <w:left w:w="20" w:type="dxa"/>
              <w:bottom w:w="0" w:type="dxa"/>
              <w:right w:w="20" w:type="dxa"/>
            </w:tcMar>
            <w:vAlign w:val="bottom"/>
          </w:tcPr>
          <w:p w14:paraId="5A1B39B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BC" w14:textId="77777777" w:rsidR="00960BB8" w:rsidRDefault="00C06650">
            <w:pPr>
              <w:textAlignment w:val="top"/>
            </w:pPr>
            <w:r>
              <w:rPr>
                <w:rFonts w:ascii="Arial" w:eastAsia="宋体" w:hAnsi="Arial" w:cs="Arial"/>
                <w:color w:val="262626"/>
                <w:sz w:val="18"/>
                <w:szCs w:val="18"/>
              </w:rPr>
              <w:t>Semiconductor Co-Investment Program</w:t>
            </w:r>
          </w:p>
        </w:tc>
      </w:tr>
      <w:tr w:rsidR="00960BB8" w14:paraId="5A1B39C1" w14:textId="77777777">
        <w:tc>
          <w:tcPr>
            <w:tcW w:w="0" w:type="auto"/>
            <w:gridSpan w:val="3"/>
            <w:shd w:val="clear" w:color="auto" w:fill="auto"/>
            <w:tcMar>
              <w:top w:w="40" w:type="dxa"/>
              <w:left w:w="20" w:type="dxa"/>
              <w:bottom w:w="40" w:type="dxa"/>
              <w:right w:w="20" w:type="dxa"/>
            </w:tcMar>
          </w:tcPr>
          <w:p w14:paraId="5A1B39BE" w14:textId="77777777" w:rsidR="00960BB8" w:rsidRDefault="00C06650">
            <w:pPr>
              <w:textAlignment w:val="top"/>
            </w:pPr>
            <w:r>
              <w:rPr>
                <w:rFonts w:ascii="Arial" w:eastAsia="宋体" w:hAnsi="Arial" w:cs="Arial"/>
                <w:color w:val="0068B5"/>
                <w:sz w:val="18"/>
                <w:szCs w:val="18"/>
              </w:rPr>
              <w:t>SEC</w:t>
            </w:r>
          </w:p>
        </w:tc>
        <w:tc>
          <w:tcPr>
            <w:tcW w:w="0" w:type="auto"/>
            <w:gridSpan w:val="3"/>
            <w:shd w:val="clear" w:color="auto" w:fill="auto"/>
            <w:tcMar>
              <w:top w:w="0" w:type="dxa"/>
              <w:left w:w="20" w:type="dxa"/>
              <w:bottom w:w="0" w:type="dxa"/>
              <w:right w:w="20" w:type="dxa"/>
            </w:tcMar>
            <w:vAlign w:val="bottom"/>
          </w:tcPr>
          <w:p w14:paraId="5A1B39B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C0" w14:textId="77777777" w:rsidR="00960BB8" w:rsidRDefault="00C06650">
            <w:pPr>
              <w:textAlignment w:val="top"/>
            </w:pPr>
            <w:r>
              <w:rPr>
                <w:rFonts w:ascii="Arial" w:eastAsia="宋体" w:hAnsi="Arial" w:cs="Arial"/>
                <w:color w:val="262626"/>
                <w:sz w:val="18"/>
                <w:szCs w:val="18"/>
              </w:rPr>
              <w:t xml:space="preserve">US Securities and Exchange </w:t>
            </w:r>
            <w:r>
              <w:rPr>
                <w:rFonts w:ascii="Arial" w:eastAsia="宋体" w:hAnsi="Arial" w:cs="Arial"/>
                <w:color w:val="262626"/>
                <w:sz w:val="18"/>
                <w:szCs w:val="18"/>
              </w:rPr>
              <w:t>Commission</w:t>
            </w:r>
          </w:p>
        </w:tc>
      </w:tr>
      <w:tr w:rsidR="00960BB8" w14:paraId="5A1B39C5" w14:textId="77777777">
        <w:trPr>
          <w:hidden/>
        </w:trPr>
        <w:tc>
          <w:tcPr>
            <w:tcW w:w="0" w:type="auto"/>
            <w:gridSpan w:val="3"/>
            <w:shd w:val="clear" w:color="auto" w:fill="auto"/>
            <w:vAlign w:val="bottom"/>
          </w:tcPr>
          <w:p w14:paraId="5A1B39C2" w14:textId="77777777" w:rsidR="00960BB8" w:rsidRDefault="00960BB8">
            <w:pPr>
              <w:rPr>
                <w:rFonts w:ascii="宋体"/>
                <w:vanish/>
              </w:rPr>
            </w:pPr>
          </w:p>
        </w:tc>
        <w:tc>
          <w:tcPr>
            <w:tcW w:w="0" w:type="auto"/>
            <w:gridSpan w:val="3"/>
            <w:shd w:val="clear" w:color="auto" w:fill="auto"/>
            <w:vAlign w:val="bottom"/>
          </w:tcPr>
          <w:p w14:paraId="5A1B39C3" w14:textId="77777777" w:rsidR="00960BB8" w:rsidRDefault="00960BB8">
            <w:pPr>
              <w:rPr>
                <w:rFonts w:ascii="宋体"/>
                <w:vanish/>
              </w:rPr>
            </w:pPr>
          </w:p>
        </w:tc>
        <w:tc>
          <w:tcPr>
            <w:tcW w:w="0" w:type="auto"/>
            <w:gridSpan w:val="3"/>
            <w:shd w:val="clear" w:color="auto" w:fill="auto"/>
            <w:vAlign w:val="bottom"/>
          </w:tcPr>
          <w:p w14:paraId="5A1B39C4" w14:textId="77777777" w:rsidR="00960BB8" w:rsidRDefault="00960BB8">
            <w:pPr>
              <w:rPr>
                <w:rFonts w:ascii="宋体"/>
                <w:vanish/>
              </w:rPr>
            </w:pPr>
          </w:p>
        </w:tc>
      </w:tr>
      <w:tr w:rsidR="00960BB8" w14:paraId="5A1B39C9" w14:textId="77777777">
        <w:trPr>
          <w:hidden/>
        </w:trPr>
        <w:tc>
          <w:tcPr>
            <w:tcW w:w="0" w:type="auto"/>
            <w:gridSpan w:val="3"/>
            <w:shd w:val="clear" w:color="auto" w:fill="auto"/>
            <w:vAlign w:val="bottom"/>
          </w:tcPr>
          <w:p w14:paraId="5A1B39C6" w14:textId="77777777" w:rsidR="00960BB8" w:rsidRDefault="00960BB8">
            <w:pPr>
              <w:rPr>
                <w:rFonts w:ascii="宋体"/>
                <w:vanish/>
              </w:rPr>
            </w:pPr>
          </w:p>
        </w:tc>
        <w:tc>
          <w:tcPr>
            <w:tcW w:w="0" w:type="auto"/>
            <w:gridSpan w:val="3"/>
            <w:shd w:val="clear" w:color="auto" w:fill="auto"/>
            <w:vAlign w:val="bottom"/>
          </w:tcPr>
          <w:p w14:paraId="5A1B39C7" w14:textId="77777777" w:rsidR="00960BB8" w:rsidRDefault="00960BB8">
            <w:pPr>
              <w:rPr>
                <w:rFonts w:ascii="宋体"/>
                <w:vanish/>
              </w:rPr>
            </w:pPr>
          </w:p>
        </w:tc>
        <w:tc>
          <w:tcPr>
            <w:tcW w:w="0" w:type="auto"/>
            <w:gridSpan w:val="3"/>
            <w:shd w:val="clear" w:color="auto" w:fill="auto"/>
            <w:vAlign w:val="bottom"/>
          </w:tcPr>
          <w:p w14:paraId="5A1B39C8" w14:textId="77777777" w:rsidR="00960BB8" w:rsidRDefault="00960BB8">
            <w:pPr>
              <w:rPr>
                <w:rFonts w:ascii="宋体"/>
                <w:vanish/>
              </w:rPr>
            </w:pPr>
          </w:p>
        </w:tc>
      </w:tr>
      <w:tr w:rsidR="00960BB8" w14:paraId="5A1B39CD" w14:textId="77777777">
        <w:tc>
          <w:tcPr>
            <w:tcW w:w="0" w:type="auto"/>
            <w:gridSpan w:val="3"/>
            <w:shd w:val="clear" w:color="auto" w:fill="auto"/>
            <w:tcMar>
              <w:top w:w="40" w:type="dxa"/>
              <w:left w:w="20" w:type="dxa"/>
              <w:bottom w:w="40" w:type="dxa"/>
              <w:right w:w="20" w:type="dxa"/>
            </w:tcMar>
          </w:tcPr>
          <w:p w14:paraId="5A1B39CA" w14:textId="77777777" w:rsidR="00960BB8" w:rsidRDefault="00C06650">
            <w:pPr>
              <w:textAlignment w:val="top"/>
            </w:pPr>
            <w:r>
              <w:rPr>
                <w:rFonts w:ascii="Arial" w:eastAsia="宋体" w:hAnsi="Arial" w:cs="Arial"/>
                <w:color w:val="0068B5"/>
                <w:sz w:val="18"/>
                <w:szCs w:val="18"/>
              </w:rPr>
              <w:t>SoC</w:t>
            </w:r>
          </w:p>
        </w:tc>
        <w:tc>
          <w:tcPr>
            <w:tcW w:w="0" w:type="auto"/>
            <w:gridSpan w:val="3"/>
            <w:shd w:val="clear" w:color="auto" w:fill="auto"/>
            <w:tcMar>
              <w:top w:w="0" w:type="dxa"/>
              <w:left w:w="20" w:type="dxa"/>
              <w:bottom w:w="0" w:type="dxa"/>
              <w:right w:w="20" w:type="dxa"/>
            </w:tcMar>
            <w:vAlign w:val="bottom"/>
          </w:tcPr>
          <w:p w14:paraId="5A1B39C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CC" w14:textId="77777777" w:rsidR="00960BB8" w:rsidRDefault="00C06650">
            <w:pPr>
              <w:textAlignment w:val="top"/>
            </w:pPr>
            <w:r>
              <w:rPr>
                <w:rFonts w:ascii="Arial" w:eastAsia="宋体" w:hAnsi="Arial" w:cs="Arial"/>
                <w:color w:val="262626"/>
                <w:sz w:val="18"/>
                <w:szCs w:val="18"/>
              </w:rPr>
              <w:t xml:space="preserve">A system on a chip, which integrates most of the components of a computer or other electronic system into a single silicon chip. We offer a range of SoC products in CCG, DCAI, and NEX. In our DCAI and NEX businesses, we offer </w:t>
            </w:r>
            <w:r>
              <w:rPr>
                <w:rFonts w:ascii="Arial" w:eastAsia="宋体" w:hAnsi="Arial" w:cs="Arial"/>
                <w:color w:val="262626"/>
                <w:sz w:val="18"/>
                <w:szCs w:val="18"/>
              </w:rPr>
              <w:t>SoCs across many market segments for a variety of applications, including products targeted for 5G base stations and network infrastructure</w:t>
            </w:r>
          </w:p>
        </w:tc>
      </w:tr>
      <w:tr w:rsidR="00960BB8" w14:paraId="5A1B39D1" w14:textId="77777777">
        <w:trPr>
          <w:hidden/>
        </w:trPr>
        <w:tc>
          <w:tcPr>
            <w:tcW w:w="0" w:type="auto"/>
            <w:gridSpan w:val="3"/>
            <w:shd w:val="clear" w:color="auto" w:fill="auto"/>
            <w:vAlign w:val="bottom"/>
          </w:tcPr>
          <w:p w14:paraId="5A1B39CE" w14:textId="77777777" w:rsidR="00960BB8" w:rsidRDefault="00960BB8">
            <w:pPr>
              <w:rPr>
                <w:rFonts w:ascii="宋体"/>
                <w:vanish/>
              </w:rPr>
            </w:pPr>
          </w:p>
        </w:tc>
        <w:tc>
          <w:tcPr>
            <w:tcW w:w="0" w:type="auto"/>
            <w:gridSpan w:val="3"/>
            <w:shd w:val="clear" w:color="auto" w:fill="auto"/>
            <w:vAlign w:val="bottom"/>
          </w:tcPr>
          <w:p w14:paraId="5A1B39CF" w14:textId="77777777" w:rsidR="00960BB8" w:rsidRDefault="00960BB8">
            <w:pPr>
              <w:rPr>
                <w:rFonts w:ascii="宋体"/>
                <w:vanish/>
              </w:rPr>
            </w:pPr>
          </w:p>
        </w:tc>
        <w:tc>
          <w:tcPr>
            <w:tcW w:w="0" w:type="auto"/>
            <w:gridSpan w:val="3"/>
            <w:shd w:val="clear" w:color="auto" w:fill="auto"/>
            <w:vAlign w:val="bottom"/>
          </w:tcPr>
          <w:p w14:paraId="5A1B39D0" w14:textId="77777777" w:rsidR="00960BB8" w:rsidRDefault="00960BB8">
            <w:pPr>
              <w:rPr>
                <w:rFonts w:ascii="宋体"/>
                <w:vanish/>
              </w:rPr>
            </w:pPr>
          </w:p>
        </w:tc>
      </w:tr>
      <w:tr w:rsidR="00960BB8" w14:paraId="5A1B39D5" w14:textId="77777777">
        <w:trPr>
          <w:hidden/>
        </w:trPr>
        <w:tc>
          <w:tcPr>
            <w:tcW w:w="0" w:type="auto"/>
            <w:gridSpan w:val="3"/>
            <w:shd w:val="clear" w:color="auto" w:fill="auto"/>
            <w:vAlign w:val="bottom"/>
          </w:tcPr>
          <w:p w14:paraId="5A1B39D2" w14:textId="77777777" w:rsidR="00960BB8" w:rsidRDefault="00960BB8">
            <w:pPr>
              <w:rPr>
                <w:rFonts w:ascii="宋体"/>
                <w:vanish/>
              </w:rPr>
            </w:pPr>
          </w:p>
        </w:tc>
        <w:tc>
          <w:tcPr>
            <w:tcW w:w="0" w:type="auto"/>
            <w:gridSpan w:val="3"/>
            <w:shd w:val="clear" w:color="auto" w:fill="auto"/>
            <w:vAlign w:val="bottom"/>
          </w:tcPr>
          <w:p w14:paraId="5A1B39D3" w14:textId="77777777" w:rsidR="00960BB8" w:rsidRDefault="00960BB8">
            <w:pPr>
              <w:rPr>
                <w:rFonts w:ascii="宋体"/>
                <w:vanish/>
              </w:rPr>
            </w:pPr>
          </w:p>
        </w:tc>
        <w:tc>
          <w:tcPr>
            <w:tcW w:w="0" w:type="auto"/>
            <w:gridSpan w:val="3"/>
            <w:shd w:val="clear" w:color="auto" w:fill="auto"/>
            <w:vAlign w:val="bottom"/>
          </w:tcPr>
          <w:p w14:paraId="5A1B39D4" w14:textId="77777777" w:rsidR="00960BB8" w:rsidRDefault="00960BB8">
            <w:pPr>
              <w:rPr>
                <w:rFonts w:ascii="宋体"/>
                <w:vanish/>
              </w:rPr>
            </w:pPr>
          </w:p>
        </w:tc>
      </w:tr>
      <w:tr w:rsidR="00960BB8" w14:paraId="5A1B39D9" w14:textId="77777777">
        <w:tc>
          <w:tcPr>
            <w:tcW w:w="0" w:type="auto"/>
            <w:gridSpan w:val="3"/>
            <w:shd w:val="clear" w:color="auto" w:fill="auto"/>
            <w:tcMar>
              <w:top w:w="40" w:type="dxa"/>
              <w:left w:w="20" w:type="dxa"/>
              <w:bottom w:w="40" w:type="dxa"/>
              <w:right w:w="20" w:type="dxa"/>
            </w:tcMar>
          </w:tcPr>
          <w:p w14:paraId="5A1B39D6" w14:textId="77777777" w:rsidR="00960BB8" w:rsidRDefault="00C06650">
            <w:pPr>
              <w:textAlignment w:val="top"/>
            </w:pPr>
            <w:r>
              <w:rPr>
                <w:rFonts w:ascii="Arial" w:eastAsia="宋体" w:hAnsi="Arial" w:cs="Arial"/>
                <w:color w:val="0068B5"/>
                <w:sz w:val="18"/>
                <w:szCs w:val="18"/>
              </w:rPr>
              <w:t>SOFR</w:t>
            </w:r>
          </w:p>
        </w:tc>
        <w:tc>
          <w:tcPr>
            <w:tcW w:w="0" w:type="auto"/>
            <w:gridSpan w:val="3"/>
            <w:shd w:val="clear" w:color="auto" w:fill="auto"/>
            <w:tcMar>
              <w:top w:w="0" w:type="dxa"/>
              <w:left w:w="20" w:type="dxa"/>
              <w:bottom w:w="0" w:type="dxa"/>
              <w:right w:w="20" w:type="dxa"/>
            </w:tcMar>
            <w:vAlign w:val="bottom"/>
          </w:tcPr>
          <w:p w14:paraId="5A1B39D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D8" w14:textId="77777777" w:rsidR="00960BB8" w:rsidRDefault="00C06650">
            <w:pPr>
              <w:textAlignment w:val="top"/>
            </w:pPr>
            <w:r>
              <w:rPr>
                <w:rFonts w:ascii="Arial" w:eastAsia="宋体" w:hAnsi="Arial" w:cs="Arial"/>
                <w:color w:val="262626"/>
                <w:sz w:val="18"/>
                <w:szCs w:val="18"/>
              </w:rPr>
              <w:t xml:space="preserve">Secured Overnight Financing Rate, a benchmark interest rate for dollar-denominated </w:t>
            </w:r>
            <w:r>
              <w:rPr>
                <w:rFonts w:ascii="Arial" w:eastAsia="宋体" w:hAnsi="Arial" w:cs="Arial"/>
                <w:color w:val="262626"/>
                <w:sz w:val="18"/>
                <w:szCs w:val="18"/>
              </w:rPr>
              <w:t>derivatives and loans, replacing LIBOR</w:t>
            </w:r>
          </w:p>
        </w:tc>
      </w:tr>
      <w:tr w:rsidR="00960BB8" w14:paraId="5A1B39DD" w14:textId="77777777">
        <w:tc>
          <w:tcPr>
            <w:tcW w:w="0" w:type="auto"/>
            <w:gridSpan w:val="3"/>
            <w:shd w:val="clear" w:color="auto" w:fill="auto"/>
            <w:tcMar>
              <w:top w:w="40" w:type="dxa"/>
              <w:left w:w="20" w:type="dxa"/>
              <w:bottom w:w="40" w:type="dxa"/>
              <w:right w:w="20" w:type="dxa"/>
            </w:tcMar>
          </w:tcPr>
          <w:p w14:paraId="5A1B39DA" w14:textId="77777777" w:rsidR="00960BB8" w:rsidRDefault="00C06650">
            <w:pPr>
              <w:textAlignment w:val="top"/>
            </w:pPr>
            <w:r>
              <w:rPr>
                <w:rFonts w:ascii="Arial" w:eastAsia="宋体" w:hAnsi="Arial" w:cs="Arial"/>
                <w:color w:val="0068B5"/>
                <w:sz w:val="18"/>
                <w:szCs w:val="18"/>
              </w:rPr>
              <w:t>SSD</w:t>
            </w:r>
          </w:p>
        </w:tc>
        <w:tc>
          <w:tcPr>
            <w:tcW w:w="0" w:type="auto"/>
            <w:gridSpan w:val="3"/>
            <w:shd w:val="clear" w:color="auto" w:fill="auto"/>
            <w:tcMar>
              <w:top w:w="0" w:type="dxa"/>
              <w:left w:w="20" w:type="dxa"/>
              <w:bottom w:w="0" w:type="dxa"/>
              <w:right w:w="20" w:type="dxa"/>
            </w:tcMar>
            <w:vAlign w:val="bottom"/>
          </w:tcPr>
          <w:p w14:paraId="5A1B39D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DC" w14:textId="77777777" w:rsidR="00960BB8" w:rsidRDefault="00C06650">
            <w:pPr>
              <w:textAlignment w:val="top"/>
            </w:pPr>
            <w:r>
              <w:rPr>
                <w:rFonts w:ascii="Arial" w:eastAsia="宋体" w:hAnsi="Arial" w:cs="Arial"/>
                <w:color w:val="262626"/>
                <w:sz w:val="18"/>
                <w:szCs w:val="18"/>
              </w:rPr>
              <w:t>Solid-state drive</w:t>
            </w:r>
          </w:p>
        </w:tc>
      </w:tr>
      <w:tr w:rsidR="00960BB8" w14:paraId="5A1B39E1" w14:textId="77777777">
        <w:tc>
          <w:tcPr>
            <w:tcW w:w="0" w:type="auto"/>
            <w:gridSpan w:val="3"/>
            <w:shd w:val="clear" w:color="auto" w:fill="auto"/>
            <w:tcMar>
              <w:top w:w="40" w:type="dxa"/>
              <w:left w:w="20" w:type="dxa"/>
              <w:bottom w:w="40" w:type="dxa"/>
              <w:right w:w="20" w:type="dxa"/>
            </w:tcMar>
          </w:tcPr>
          <w:p w14:paraId="5A1B39DE" w14:textId="77777777" w:rsidR="00960BB8" w:rsidRDefault="00C06650">
            <w:pPr>
              <w:textAlignment w:val="top"/>
            </w:pPr>
            <w:r>
              <w:rPr>
                <w:rFonts w:ascii="Arial" w:eastAsia="宋体" w:hAnsi="Arial" w:cs="Arial"/>
                <w:color w:val="0068B5"/>
                <w:sz w:val="18"/>
                <w:szCs w:val="18"/>
              </w:rPr>
              <w:t>TAM</w:t>
            </w:r>
          </w:p>
        </w:tc>
        <w:tc>
          <w:tcPr>
            <w:tcW w:w="0" w:type="auto"/>
            <w:gridSpan w:val="3"/>
            <w:shd w:val="clear" w:color="auto" w:fill="auto"/>
            <w:tcMar>
              <w:top w:w="0" w:type="dxa"/>
              <w:left w:w="20" w:type="dxa"/>
              <w:bottom w:w="0" w:type="dxa"/>
              <w:right w:w="20" w:type="dxa"/>
            </w:tcMar>
            <w:vAlign w:val="bottom"/>
          </w:tcPr>
          <w:p w14:paraId="5A1B39D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E0" w14:textId="77777777" w:rsidR="00960BB8" w:rsidRDefault="00C06650">
            <w:pPr>
              <w:textAlignment w:val="top"/>
            </w:pPr>
            <w:r>
              <w:rPr>
                <w:rFonts w:ascii="Arial" w:eastAsia="宋体" w:hAnsi="Arial" w:cs="Arial"/>
                <w:color w:val="262626"/>
                <w:sz w:val="18"/>
                <w:szCs w:val="18"/>
              </w:rPr>
              <w:t>Total addressable market</w:t>
            </w:r>
          </w:p>
        </w:tc>
      </w:tr>
      <w:tr w:rsidR="00960BB8" w14:paraId="5A1B39E5" w14:textId="77777777">
        <w:tc>
          <w:tcPr>
            <w:tcW w:w="0" w:type="auto"/>
            <w:gridSpan w:val="3"/>
            <w:shd w:val="clear" w:color="auto" w:fill="auto"/>
            <w:tcMar>
              <w:top w:w="40" w:type="dxa"/>
              <w:left w:w="20" w:type="dxa"/>
              <w:bottom w:w="40" w:type="dxa"/>
              <w:right w:w="20" w:type="dxa"/>
            </w:tcMar>
          </w:tcPr>
          <w:p w14:paraId="5A1B39E2" w14:textId="77777777" w:rsidR="00960BB8" w:rsidRDefault="00C06650">
            <w:pPr>
              <w:textAlignment w:val="top"/>
            </w:pPr>
            <w:r>
              <w:rPr>
                <w:rFonts w:ascii="Arial" w:eastAsia="宋体" w:hAnsi="Arial" w:cs="Arial"/>
                <w:color w:val="0068B5"/>
                <w:sz w:val="18"/>
                <w:szCs w:val="18"/>
              </w:rPr>
              <w:t>Tax Reform</w:t>
            </w:r>
          </w:p>
        </w:tc>
        <w:tc>
          <w:tcPr>
            <w:tcW w:w="0" w:type="auto"/>
            <w:gridSpan w:val="3"/>
            <w:shd w:val="clear" w:color="auto" w:fill="auto"/>
            <w:tcMar>
              <w:top w:w="0" w:type="dxa"/>
              <w:left w:w="20" w:type="dxa"/>
              <w:bottom w:w="0" w:type="dxa"/>
              <w:right w:w="20" w:type="dxa"/>
            </w:tcMar>
            <w:vAlign w:val="bottom"/>
          </w:tcPr>
          <w:p w14:paraId="5A1B39E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E4" w14:textId="77777777" w:rsidR="00960BB8" w:rsidRDefault="00C06650">
            <w:pPr>
              <w:textAlignment w:val="top"/>
            </w:pPr>
            <w:r>
              <w:rPr>
                <w:rFonts w:ascii="Arial" w:eastAsia="宋体" w:hAnsi="Arial" w:cs="Arial"/>
                <w:color w:val="262626"/>
                <w:sz w:val="18"/>
                <w:szCs w:val="18"/>
              </w:rPr>
              <w:t xml:space="preserve">US Tax Cuts and Jobs Act </w:t>
            </w:r>
          </w:p>
        </w:tc>
      </w:tr>
      <w:tr w:rsidR="00960BB8" w14:paraId="5A1B39E9" w14:textId="77777777">
        <w:tc>
          <w:tcPr>
            <w:tcW w:w="0" w:type="auto"/>
            <w:gridSpan w:val="3"/>
            <w:shd w:val="clear" w:color="auto" w:fill="auto"/>
            <w:tcMar>
              <w:top w:w="40" w:type="dxa"/>
              <w:left w:w="20" w:type="dxa"/>
              <w:bottom w:w="40" w:type="dxa"/>
              <w:right w:w="20" w:type="dxa"/>
            </w:tcMar>
          </w:tcPr>
          <w:p w14:paraId="5A1B39E6" w14:textId="77777777" w:rsidR="00960BB8" w:rsidRDefault="00C06650">
            <w:pPr>
              <w:textAlignment w:val="top"/>
            </w:pPr>
            <w:r>
              <w:rPr>
                <w:rFonts w:ascii="Arial" w:eastAsia="宋体" w:hAnsi="Arial" w:cs="Arial"/>
                <w:color w:val="0068B5"/>
                <w:sz w:val="18"/>
                <w:szCs w:val="18"/>
              </w:rPr>
              <w:t>TCFD</w:t>
            </w:r>
          </w:p>
        </w:tc>
        <w:tc>
          <w:tcPr>
            <w:tcW w:w="0" w:type="auto"/>
            <w:gridSpan w:val="3"/>
            <w:shd w:val="clear" w:color="auto" w:fill="auto"/>
            <w:tcMar>
              <w:top w:w="0" w:type="dxa"/>
              <w:left w:w="20" w:type="dxa"/>
              <w:bottom w:w="0" w:type="dxa"/>
              <w:right w:w="20" w:type="dxa"/>
            </w:tcMar>
            <w:vAlign w:val="bottom"/>
          </w:tcPr>
          <w:p w14:paraId="5A1B39E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E8" w14:textId="77777777" w:rsidR="00960BB8" w:rsidRDefault="00C06650">
            <w:pPr>
              <w:textAlignment w:val="top"/>
            </w:pPr>
            <w:r>
              <w:rPr>
                <w:rFonts w:ascii="Arial" w:eastAsia="宋体" w:hAnsi="Arial" w:cs="Arial"/>
                <w:color w:val="262626"/>
                <w:sz w:val="18"/>
                <w:szCs w:val="18"/>
              </w:rPr>
              <w:t>Task Force on Climate-Related Financial Disclosures</w:t>
            </w:r>
          </w:p>
        </w:tc>
      </w:tr>
      <w:tr w:rsidR="00960BB8" w14:paraId="5A1B39ED" w14:textId="77777777">
        <w:trPr>
          <w:hidden/>
        </w:trPr>
        <w:tc>
          <w:tcPr>
            <w:tcW w:w="0" w:type="auto"/>
            <w:gridSpan w:val="3"/>
            <w:shd w:val="clear" w:color="auto" w:fill="auto"/>
            <w:vAlign w:val="bottom"/>
          </w:tcPr>
          <w:p w14:paraId="5A1B39EA" w14:textId="77777777" w:rsidR="00960BB8" w:rsidRDefault="00960BB8">
            <w:pPr>
              <w:rPr>
                <w:rFonts w:ascii="宋体"/>
                <w:vanish/>
              </w:rPr>
            </w:pPr>
          </w:p>
        </w:tc>
        <w:tc>
          <w:tcPr>
            <w:tcW w:w="0" w:type="auto"/>
            <w:gridSpan w:val="3"/>
            <w:shd w:val="clear" w:color="auto" w:fill="auto"/>
            <w:vAlign w:val="bottom"/>
          </w:tcPr>
          <w:p w14:paraId="5A1B39EB" w14:textId="77777777" w:rsidR="00960BB8" w:rsidRDefault="00960BB8">
            <w:pPr>
              <w:rPr>
                <w:rFonts w:ascii="宋体"/>
                <w:vanish/>
              </w:rPr>
            </w:pPr>
          </w:p>
        </w:tc>
        <w:tc>
          <w:tcPr>
            <w:tcW w:w="0" w:type="auto"/>
            <w:gridSpan w:val="3"/>
            <w:shd w:val="clear" w:color="auto" w:fill="auto"/>
            <w:vAlign w:val="bottom"/>
          </w:tcPr>
          <w:p w14:paraId="5A1B39EC" w14:textId="77777777" w:rsidR="00960BB8" w:rsidRDefault="00960BB8">
            <w:pPr>
              <w:rPr>
                <w:rFonts w:ascii="宋体"/>
                <w:vanish/>
              </w:rPr>
            </w:pPr>
          </w:p>
        </w:tc>
      </w:tr>
      <w:tr w:rsidR="00960BB8" w14:paraId="5A1B39F1" w14:textId="77777777">
        <w:trPr>
          <w:hidden/>
        </w:trPr>
        <w:tc>
          <w:tcPr>
            <w:tcW w:w="0" w:type="auto"/>
            <w:gridSpan w:val="3"/>
            <w:shd w:val="clear" w:color="auto" w:fill="auto"/>
            <w:vAlign w:val="bottom"/>
          </w:tcPr>
          <w:p w14:paraId="5A1B39EE" w14:textId="77777777" w:rsidR="00960BB8" w:rsidRDefault="00960BB8">
            <w:pPr>
              <w:rPr>
                <w:rFonts w:ascii="宋体"/>
                <w:vanish/>
              </w:rPr>
            </w:pPr>
          </w:p>
        </w:tc>
        <w:tc>
          <w:tcPr>
            <w:tcW w:w="0" w:type="auto"/>
            <w:gridSpan w:val="3"/>
            <w:shd w:val="clear" w:color="auto" w:fill="auto"/>
            <w:vAlign w:val="bottom"/>
          </w:tcPr>
          <w:p w14:paraId="5A1B39EF" w14:textId="77777777" w:rsidR="00960BB8" w:rsidRDefault="00960BB8">
            <w:pPr>
              <w:rPr>
                <w:rFonts w:ascii="宋体"/>
                <w:vanish/>
              </w:rPr>
            </w:pPr>
          </w:p>
        </w:tc>
        <w:tc>
          <w:tcPr>
            <w:tcW w:w="0" w:type="auto"/>
            <w:gridSpan w:val="3"/>
            <w:shd w:val="clear" w:color="auto" w:fill="auto"/>
            <w:vAlign w:val="bottom"/>
          </w:tcPr>
          <w:p w14:paraId="5A1B39F0" w14:textId="77777777" w:rsidR="00960BB8" w:rsidRDefault="00960BB8">
            <w:pPr>
              <w:rPr>
                <w:rFonts w:ascii="宋体"/>
                <w:vanish/>
              </w:rPr>
            </w:pPr>
          </w:p>
        </w:tc>
      </w:tr>
      <w:tr w:rsidR="00960BB8" w14:paraId="5A1B39F5" w14:textId="77777777">
        <w:trPr>
          <w:hidden/>
        </w:trPr>
        <w:tc>
          <w:tcPr>
            <w:tcW w:w="0" w:type="auto"/>
            <w:gridSpan w:val="3"/>
            <w:shd w:val="clear" w:color="auto" w:fill="auto"/>
            <w:vAlign w:val="bottom"/>
          </w:tcPr>
          <w:p w14:paraId="5A1B39F2" w14:textId="77777777" w:rsidR="00960BB8" w:rsidRDefault="00960BB8">
            <w:pPr>
              <w:rPr>
                <w:rFonts w:ascii="宋体"/>
                <w:vanish/>
              </w:rPr>
            </w:pPr>
          </w:p>
        </w:tc>
        <w:tc>
          <w:tcPr>
            <w:tcW w:w="0" w:type="auto"/>
            <w:gridSpan w:val="3"/>
            <w:shd w:val="clear" w:color="auto" w:fill="auto"/>
            <w:vAlign w:val="bottom"/>
          </w:tcPr>
          <w:p w14:paraId="5A1B39F3" w14:textId="77777777" w:rsidR="00960BB8" w:rsidRDefault="00960BB8">
            <w:pPr>
              <w:rPr>
                <w:rFonts w:ascii="宋体"/>
                <w:vanish/>
              </w:rPr>
            </w:pPr>
          </w:p>
        </w:tc>
        <w:tc>
          <w:tcPr>
            <w:tcW w:w="0" w:type="auto"/>
            <w:gridSpan w:val="3"/>
            <w:shd w:val="clear" w:color="auto" w:fill="auto"/>
            <w:vAlign w:val="bottom"/>
          </w:tcPr>
          <w:p w14:paraId="5A1B39F4" w14:textId="77777777" w:rsidR="00960BB8" w:rsidRDefault="00960BB8">
            <w:pPr>
              <w:rPr>
                <w:rFonts w:ascii="宋体"/>
                <w:vanish/>
              </w:rPr>
            </w:pPr>
          </w:p>
        </w:tc>
      </w:tr>
      <w:tr w:rsidR="00960BB8" w14:paraId="5A1B39F9" w14:textId="77777777">
        <w:trPr>
          <w:hidden/>
        </w:trPr>
        <w:tc>
          <w:tcPr>
            <w:tcW w:w="0" w:type="auto"/>
            <w:gridSpan w:val="3"/>
            <w:shd w:val="clear" w:color="auto" w:fill="auto"/>
            <w:vAlign w:val="bottom"/>
          </w:tcPr>
          <w:p w14:paraId="5A1B39F6" w14:textId="77777777" w:rsidR="00960BB8" w:rsidRDefault="00960BB8">
            <w:pPr>
              <w:rPr>
                <w:rFonts w:ascii="宋体"/>
                <w:vanish/>
              </w:rPr>
            </w:pPr>
          </w:p>
        </w:tc>
        <w:tc>
          <w:tcPr>
            <w:tcW w:w="0" w:type="auto"/>
            <w:gridSpan w:val="3"/>
            <w:shd w:val="clear" w:color="auto" w:fill="auto"/>
            <w:vAlign w:val="bottom"/>
          </w:tcPr>
          <w:p w14:paraId="5A1B39F7" w14:textId="77777777" w:rsidR="00960BB8" w:rsidRDefault="00960BB8">
            <w:pPr>
              <w:rPr>
                <w:rFonts w:ascii="宋体"/>
                <w:vanish/>
              </w:rPr>
            </w:pPr>
          </w:p>
        </w:tc>
        <w:tc>
          <w:tcPr>
            <w:tcW w:w="0" w:type="auto"/>
            <w:gridSpan w:val="3"/>
            <w:shd w:val="clear" w:color="auto" w:fill="auto"/>
            <w:vAlign w:val="bottom"/>
          </w:tcPr>
          <w:p w14:paraId="5A1B39F8" w14:textId="77777777" w:rsidR="00960BB8" w:rsidRDefault="00960BB8">
            <w:pPr>
              <w:rPr>
                <w:rFonts w:ascii="宋体"/>
                <w:vanish/>
              </w:rPr>
            </w:pPr>
          </w:p>
        </w:tc>
      </w:tr>
      <w:tr w:rsidR="00960BB8" w14:paraId="5A1B39FD" w14:textId="77777777">
        <w:tc>
          <w:tcPr>
            <w:tcW w:w="0" w:type="auto"/>
            <w:gridSpan w:val="3"/>
            <w:shd w:val="clear" w:color="auto" w:fill="auto"/>
            <w:tcMar>
              <w:top w:w="40" w:type="dxa"/>
              <w:left w:w="20" w:type="dxa"/>
              <w:bottom w:w="40" w:type="dxa"/>
              <w:right w:w="20" w:type="dxa"/>
            </w:tcMar>
          </w:tcPr>
          <w:p w14:paraId="5A1B39FA" w14:textId="77777777" w:rsidR="00960BB8" w:rsidRDefault="00C06650">
            <w:pPr>
              <w:textAlignment w:val="top"/>
            </w:pPr>
            <w:r>
              <w:rPr>
                <w:rFonts w:ascii="Arial" w:eastAsia="宋体" w:hAnsi="Arial" w:cs="Arial"/>
                <w:color w:val="0068B5"/>
                <w:sz w:val="18"/>
                <w:szCs w:val="18"/>
              </w:rPr>
              <w:t>TSR</w:t>
            </w:r>
          </w:p>
        </w:tc>
        <w:tc>
          <w:tcPr>
            <w:tcW w:w="0" w:type="auto"/>
            <w:gridSpan w:val="3"/>
            <w:shd w:val="clear" w:color="auto" w:fill="auto"/>
            <w:tcMar>
              <w:top w:w="0" w:type="dxa"/>
              <w:left w:w="20" w:type="dxa"/>
              <w:bottom w:w="0" w:type="dxa"/>
              <w:right w:w="20" w:type="dxa"/>
            </w:tcMar>
            <w:vAlign w:val="bottom"/>
          </w:tcPr>
          <w:p w14:paraId="5A1B39F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9FC" w14:textId="77777777" w:rsidR="00960BB8" w:rsidRDefault="00C06650">
            <w:pPr>
              <w:textAlignment w:val="top"/>
            </w:pPr>
            <w:r>
              <w:rPr>
                <w:rFonts w:ascii="Arial" w:eastAsia="宋体" w:hAnsi="Arial" w:cs="Arial"/>
                <w:color w:val="262626"/>
                <w:sz w:val="18"/>
                <w:szCs w:val="18"/>
              </w:rPr>
              <w:t>Total stockholder return</w:t>
            </w:r>
          </w:p>
        </w:tc>
      </w:tr>
      <w:tr w:rsidR="00960BB8" w14:paraId="5A1B3A01" w14:textId="77777777">
        <w:trPr>
          <w:hidden/>
        </w:trPr>
        <w:tc>
          <w:tcPr>
            <w:tcW w:w="0" w:type="auto"/>
            <w:gridSpan w:val="3"/>
            <w:shd w:val="clear" w:color="auto" w:fill="auto"/>
            <w:vAlign w:val="bottom"/>
          </w:tcPr>
          <w:p w14:paraId="5A1B39FE" w14:textId="77777777" w:rsidR="00960BB8" w:rsidRDefault="00960BB8">
            <w:pPr>
              <w:rPr>
                <w:rFonts w:ascii="宋体"/>
                <w:vanish/>
              </w:rPr>
            </w:pPr>
          </w:p>
        </w:tc>
        <w:tc>
          <w:tcPr>
            <w:tcW w:w="0" w:type="auto"/>
            <w:gridSpan w:val="3"/>
            <w:shd w:val="clear" w:color="auto" w:fill="auto"/>
            <w:vAlign w:val="bottom"/>
          </w:tcPr>
          <w:p w14:paraId="5A1B39FF" w14:textId="77777777" w:rsidR="00960BB8" w:rsidRDefault="00960BB8">
            <w:pPr>
              <w:rPr>
                <w:rFonts w:ascii="宋体"/>
                <w:vanish/>
              </w:rPr>
            </w:pPr>
          </w:p>
        </w:tc>
        <w:tc>
          <w:tcPr>
            <w:tcW w:w="0" w:type="auto"/>
            <w:gridSpan w:val="3"/>
            <w:shd w:val="clear" w:color="auto" w:fill="auto"/>
            <w:vAlign w:val="bottom"/>
          </w:tcPr>
          <w:p w14:paraId="5A1B3A00" w14:textId="77777777" w:rsidR="00960BB8" w:rsidRDefault="00960BB8">
            <w:pPr>
              <w:rPr>
                <w:rFonts w:ascii="宋体"/>
                <w:vanish/>
              </w:rPr>
            </w:pPr>
          </w:p>
        </w:tc>
      </w:tr>
      <w:tr w:rsidR="00960BB8" w14:paraId="5A1B3A05" w14:textId="77777777">
        <w:trPr>
          <w:hidden/>
        </w:trPr>
        <w:tc>
          <w:tcPr>
            <w:tcW w:w="0" w:type="auto"/>
            <w:gridSpan w:val="3"/>
            <w:shd w:val="clear" w:color="auto" w:fill="auto"/>
            <w:vAlign w:val="bottom"/>
          </w:tcPr>
          <w:p w14:paraId="5A1B3A02" w14:textId="77777777" w:rsidR="00960BB8" w:rsidRDefault="00960BB8">
            <w:pPr>
              <w:rPr>
                <w:rFonts w:ascii="宋体"/>
                <w:vanish/>
              </w:rPr>
            </w:pPr>
          </w:p>
        </w:tc>
        <w:tc>
          <w:tcPr>
            <w:tcW w:w="0" w:type="auto"/>
            <w:gridSpan w:val="3"/>
            <w:shd w:val="clear" w:color="auto" w:fill="auto"/>
            <w:vAlign w:val="bottom"/>
          </w:tcPr>
          <w:p w14:paraId="5A1B3A03" w14:textId="77777777" w:rsidR="00960BB8" w:rsidRDefault="00960BB8">
            <w:pPr>
              <w:rPr>
                <w:rFonts w:ascii="宋体"/>
                <w:vanish/>
              </w:rPr>
            </w:pPr>
          </w:p>
        </w:tc>
        <w:tc>
          <w:tcPr>
            <w:tcW w:w="0" w:type="auto"/>
            <w:gridSpan w:val="3"/>
            <w:shd w:val="clear" w:color="auto" w:fill="auto"/>
            <w:vAlign w:val="bottom"/>
          </w:tcPr>
          <w:p w14:paraId="5A1B3A04" w14:textId="77777777" w:rsidR="00960BB8" w:rsidRDefault="00960BB8">
            <w:pPr>
              <w:rPr>
                <w:rFonts w:ascii="宋体"/>
                <w:vanish/>
              </w:rPr>
            </w:pPr>
          </w:p>
        </w:tc>
      </w:tr>
      <w:tr w:rsidR="00960BB8" w14:paraId="5A1B3A09" w14:textId="77777777">
        <w:trPr>
          <w:hidden/>
        </w:trPr>
        <w:tc>
          <w:tcPr>
            <w:tcW w:w="0" w:type="auto"/>
            <w:gridSpan w:val="3"/>
            <w:shd w:val="clear" w:color="auto" w:fill="auto"/>
            <w:vAlign w:val="bottom"/>
          </w:tcPr>
          <w:p w14:paraId="5A1B3A06" w14:textId="77777777" w:rsidR="00960BB8" w:rsidRDefault="00960BB8">
            <w:pPr>
              <w:rPr>
                <w:rFonts w:ascii="宋体"/>
                <w:vanish/>
              </w:rPr>
            </w:pPr>
          </w:p>
        </w:tc>
        <w:tc>
          <w:tcPr>
            <w:tcW w:w="0" w:type="auto"/>
            <w:gridSpan w:val="3"/>
            <w:shd w:val="clear" w:color="auto" w:fill="auto"/>
            <w:vAlign w:val="bottom"/>
          </w:tcPr>
          <w:p w14:paraId="5A1B3A07" w14:textId="77777777" w:rsidR="00960BB8" w:rsidRDefault="00960BB8">
            <w:pPr>
              <w:rPr>
                <w:rFonts w:ascii="宋体"/>
                <w:vanish/>
              </w:rPr>
            </w:pPr>
          </w:p>
        </w:tc>
        <w:tc>
          <w:tcPr>
            <w:tcW w:w="0" w:type="auto"/>
            <w:gridSpan w:val="3"/>
            <w:shd w:val="clear" w:color="auto" w:fill="auto"/>
            <w:vAlign w:val="bottom"/>
          </w:tcPr>
          <w:p w14:paraId="5A1B3A08" w14:textId="77777777" w:rsidR="00960BB8" w:rsidRDefault="00960BB8">
            <w:pPr>
              <w:rPr>
                <w:rFonts w:ascii="宋体"/>
                <w:vanish/>
              </w:rPr>
            </w:pPr>
          </w:p>
        </w:tc>
      </w:tr>
      <w:tr w:rsidR="00960BB8" w14:paraId="5A1B3A0D" w14:textId="77777777">
        <w:trPr>
          <w:hidden/>
        </w:trPr>
        <w:tc>
          <w:tcPr>
            <w:tcW w:w="0" w:type="auto"/>
            <w:gridSpan w:val="3"/>
            <w:shd w:val="clear" w:color="auto" w:fill="auto"/>
            <w:vAlign w:val="bottom"/>
          </w:tcPr>
          <w:p w14:paraId="5A1B3A0A" w14:textId="77777777" w:rsidR="00960BB8" w:rsidRDefault="00960BB8">
            <w:pPr>
              <w:rPr>
                <w:rFonts w:ascii="宋体"/>
                <w:vanish/>
              </w:rPr>
            </w:pPr>
          </w:p>
        </w:tc>
        <w:tc>
          <w:tcPr>
            <w:tcW w:w="0" w:type="auto"/>
            <w:gridSpan w:val="3"/>
            <w:shd w:val="clear" w:color="auto" w:fill="auto"/>
            <w:vAlign w:val="bottom"/>
          </w:tcPr>
          <w:p w14:paraId="5A1B3A0B" w14:textId="77777777" w:rsidR="00960BB8" w:rsidRDefault="00960BB8">
            <w:pPr>
              <w:rPr>
                <w:rFonts w:ascii="宋体"/>
                <w:vanish/>
              </w:rPr>
            </w:pPr>
          </w:p>
        </w:tc>
        <w:tc>
          <w:tcPr>
            <w:tcW w:w="0" w:type="auto"/>
            <w:gridSpan w:val="3"/>
            <w:shd w:val="clear" w:color="auto" w:fill="auto"/>
            <w:vAlign w:val="bottom"/>
          </w:tcPr>
          <w:p w14:paraId="5A1B3A0C" w14:textId="77777777" w:rsidR="00960BB8" w:rsidRDefault="00960BB8">
            <w:pPr>
              <w:rPr>
                <w:rFonts w:ascii="宋体"/>
                <w:vanish/>
              </w:rPr>
            </w:pPr>
          </w:p>
        </w:tc>
      </w:tr>
      <w:tr w:rsidR="00960BB8" w14:paraId="5A1B3A11" w14:textId="77777777">
        <w:tc>
          <w:tcPr>
            <w:tcW w:w="0" w:type="auto"/>
            <w:gridSpan w:val="3"/>
            <w:shd w:val="clear" w:color="auto" w:fill="auto"/>
            <w:tcMar>
              <w:top w:w="40" w:type="dxa"/>
              <w:left w:w="20" w:type="dxa"/>
              <w:bottom w:w="40" w:type="dxa"/>
              <w:right w:w="20" w:type="dxa"/>
            </w:tcMar>
          </w:tcPr>
          <w:p w14:paraId="5A1B3A0E" w14:textId="77777777" w:rsidR="00960BB8" w:rsidRDefault="00C06650">
            <w:pPr>
              <w:textAlignment w:val="top"/>
            </w:pPr>
            <w:r>
              <w:rPr>
                <w:rFonts w:ascii="Arial" w:eastAsia="宋体" w:hAnsi="Arial" w:cs="Arial"/>
                <w:color w:val="0068B5"/>
                <w:sz w:val="18"/>
                <w:szCs w:val="18"/>
              </w:rPr>
              <w:t>UCIe</w:t>
            </w:r>
          </w:p>
        </w:tc>
        <w:tc>
          <w:tcPr>
            <w:tcW w:w="0" w:type="auto"/>
            <w:gridSpan w:val="3"/>
            <w:shd w:val="clear" w:color="auto" w:fill="auto"/>
            <w:tcMar>
              <w:top w:w="0" w:type="dxa"/>
              <w:left w:w="20" w:type="dxa"/>
              <w:bottom w:w="0" w:type="dxa"/>
              <w:right w:w="20" w:type="dxa"/>
            </w:tcMar>
            <w:vAlign w:val="bottom"/>
          </w:tcPr>
          <w:p w14:paraId="5A1B3A0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A10" w14:textId="77777777" w:rsidR="00960BB8" w:rsidRDefault="00C06650">
            <w:pPr>
              <w:textAlignment w:val="top"/>
            </w:pPr>
            <w:r>
              <w:rPr>
                <w:rFonts w:ascii="Arial" w:eastAsia="宋体" w:hAnsi="Arial" w:cs="Arial"/>
                <w:color w:val="262626"/>
                <w:sz w:val="18"/>
                <w:szCs w:val="18"/>
              </w:rPr>
              <w:t>Universal Chiplet Interconnect Express</w:t>
            </w:r>
          </w:p>
        </w:tc>
      </w:tr>
      <w:tr w:rsidR="00960BB8" w14:paraId="5A1B3A15" w14:textId="77777777">
        <w:tc>
          <w:tcPr>
            <w:tcW w:w="0" w:type="auto"/>
            <w:gridSpan w:val="3"/>
            <w:shd w:val="clear" w:color="auto" w:fill="auto"/>
            <w:tcMar>
              <w:top w:w="40" w:type="dxa"/>
              <w:left w:w="20" w:type="dxa"/>
              <w:bottom w:w="40" w:type="dxa"/>
              <w:right w:w="20" w:type="dxa"/>
            </w:tcMar>
          </w:tcPr>
          <w:p w14:paraId="5A1B3A12" w14:textId="77777777" w:rsidR="00960BB8" w:rsidRDefault="00C06650">
            <w:pPr>
              <w:textAlignment w:val="top"/>
            </w:pPr>
            <w:r>
              <w:rPr>
                <w:rFonts w:ascii="Arial" w:eastAsia="宋体" w:hAnsi="Arial" w:cs="Arial"/>
                <w:color w:val="0068B5"/>
                <w:sz w:val="18"/>
                <w:szCs w:val="18"/>
              </w:rPr>
              <w:t>US GAAP</w:t>
            </w:r>
          </w:p>
        </w:tc>
        <w:tc>
          <w:tcPr>
            <w:tcW w:w="0" w:type="auto"/>
            <w:gridSpan w:val="3"/>
            <w:shd w:val="clear" w:color="auto" w:fill="auto"/>
            <w:tcMar>
              <w:top w:w="0" w:type="dxa"/>
              <w:left w:w="20" w:type="dxa"/>
              <w:bottom w:w="0" w:type="dxa"/>
              <w:right w:w="20" w:type="dxa"/>
            </w:tcMar>
            <w:vAlign w:val="bottom"/>
          </w:tcPr>
          <w:p w14:paraId="5A1B3A1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A14" w14:textId="77777777" w:rsidR="00960BB8" w:rsidRDefault="00C06650">
            <w:pPr>
              <w:textAlignment w:val="top"/>
            </w:pPr>
            <w:r>
              <w:rPr>
                <w:rFonts w:ascii="Arial" w:eastAsia="宋体" w:hAnsi="Arial" w:cs="Arial"/>
                <w:color w:val="262626"/>
                <w:sz w:val="18"/>
                <w:szCs w:val="18"/>
              </w:rPr>
              <w:t xml:space="preserve">US Generally Accepted Accounting Principles </w:t>
            </w:r>
          </w:p>
        </w:tc>
      </w:tr>
    </w:tbl>
    <w:p w14:paraId="5A1B3A16"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3A20" w14:textId="77777777">
        <w:tc>
          <w:tcPr>
            <w:tcW w:w="50" w:type="pct"/>
            <w:shd w:val="clear" w:color="auto" w:fill="auto"/>
            <w:vAlign w:val="bottom"/>
          </w:tcPr>
          <w:p w14:paraId="5A1B3A17" w14:textId="77777777" w:rsidR="00960BB8" w:rsidRDefault="00960BB8">
            <w:pPr>
              <w:rPr>
                <w:rFonts w:ascii="宋体"/>
              </w:rPr>
            </w:pPr>
          </w:p>
        </w:tc>
        <w:tc>
          <w:tcPr>
            <w:tcW w:w="283" w:type="pct"/>
            <w:shd w:val="clear" w:color="auto" w:fill="auto"/>
            <w:vAlign w:val="bottom"/>
          </w:tcPr>
          <w:p w14:paraId="5A1B3A18" w14:textId="77777777" w:rsidR="00960BB8" w:rsidRDefault="00960BB8">
            <w:pPr>
              <w:rPr>
                <w:rFonts w:ascii="宋体"/>
              </w:rPr>
            </w:pPr>
          </w:p>
        </w:tc>
        <w:tc>
          <w:tcPr>
            <w:tcW w:w="5" w:type="pct"/>
            <w:shd w:val="clear" w:color="auto" w:fill="auto"/>
            <w:vAlign w:val="bottom"/>
          </w:tcPr>
          <w:p w14:paraId="5A1B3A19" w14:textId="77777777" w:rsidR="00960BB8" w:rsidRDefault="00960BB8">
            <w:pPr>
              <w:rPr>
                <w:rFonts w:ascii="宋体"/>
              </w:rPr>
            </w:pPr>
          </w:p>
        </w:tc>
        <w:tc>
          <w:tcPr>
            <w:tcW w:w="50" w:type="pct"/>
            <w:shd w:val="clear" w:color="auto" w:fill="auto"/>
            <w:vAlign w:val="bottom"/>
          </w:tcPr>
          <w:p w14:paraId="5A1B3A1A" w14:textId="77777777" w:rsidR="00960BB8" w:rsidRDefault="00960BB8">
            <w:pPr>
              <w:rPr>
                <w:rFonts w:ascii="宋体"/>
              </w:rPr>
            </w:pPr>
          </w:p>
        </w:tc>
        <w:tc>
          <w:tcPr>
            <w:tcW w:w="2656" w:type="pct"/>
            <w:shd w:val="clear" w:color="auto" w:fill="auto"/>
            <w:vAlign w:val="bottom"/>
          </w:tcPr>
          <w:p w14:paraId="5A1B3A1B" w14:textId="77777777" w:rsidR="00960BB8" w:rsidRDefault="00960BB8">
            <w:pPr>
              <w:rPr>
                <w:rFonts w:ascii="宋体"/>
              </w:rPr>
            </w:pPr>
          </w:p>
        </w:tc>
        <w:tc>
          <w:tcPr>
            <w:tcW w:w="5" w:type="pct"/>
            <w:shd w:val="clear" w:color="auto" w:fill="auto"/>
            <w:vAlign w:val="bottom"/>
          </w:tcPr>
          <w:p w14:paraId="5A1B3A1C" w14:textId="77777777" w:rsidR="00960BB8" w:rsidRDefault="00960BB8">
            <w:pPr>
              <w:rPr>
                <w:rFonts w:ascii="宋体"/>
              </w:rPr>
            </w:pPr>
          </w:p>
        </w:tc>
        <w:tc>
          <w:tcPr>
            <w:tcW w:w="50" w:type="pct"/>
            <w:shd w:val="clear" w:color="auto" w:fill="auto"/>
            <w:vAlign w:val="bottom"/>
          </w:tcPr>
          <w:p w14:paraId="5A1B3A1D" w14:textId="77777777" w:rsidR="00960BB8" w:rsidRDefault="00960BB8">
            <w:pPr>
              <w:rPr>
                <w:rFonts w:ascii="宋体"/>
              </w:rPr>
            </w:pPr>
          </w:p>
        </w:tc>
        <w:tc>
          <w:tcPr>
            <w:tcW w:w="1894" w:type="pct"/>
            <w:shd w:val="clear" w:color="auto" w:fill="auto"/>
            <w:vAlign w:val="bottom"/>
          </w:tcPr>
          <w:p w14:paraId="5A1B3A1E" w14:textId="77777777" w:rsidR="00960BB8" w:rsidRDefault="00960BB8">
            <w:pPr>
              <w:rPr>
                <w:rFonts w:ascii="宋体"/>
              </w:rPr>
            </w:pPr>
          </w:p>
        </w:tc>
        <w:tc>
          <w:tcPr>
            <w:tcW w:w="5" w:type="pct"/>
            <w:shd w:val="clear" w:color="auto" w:fill="auto"/>
            <w:vAlign w:val="bottom"/>
          </w:tcPr>
          <w:p w14:paraId="5A1B3A1F" w14:textId="77777777" w:rsidR="00960BB8" w:rsidRDefault="00960BB8">
            <w:pPr>
              <w:rPr>
                <w:rFonts w:ascii="宋体"/>
              </w:rPr>
            </w:pPr>
          </w:p>
        </w:tc>
      </w:tr>
      <w:tr w:rsidR="00960BB8" w14:paraId="5A1B3A2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A21"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DE" wp14:editId="5A1B44DF">
                  <wp:extent cx="304800" cy="304800"/>
                  <wp:effectExtent l="0" t="0" r="0" b="0"/>
                  <wp:docPr id="166" name="图片 32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32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A22" w14:textId="77777777" w:rsidR="00960BB8" w:rsidRDefault="00C06650">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A23" w14:textId="77777777" w:rsidR="00960BB8" w:rsidRDefault="00C06650">
            <w:pPr>
              <w:jc w:val="right"/>
              <w:textAlignment w:val="center"/>
            </w:pPr>
            <w:r>
              <w:rPr>
                <w:rFonts w:ascii="Arial" w:eastAsia="宋体" w:hAnsi="Arial" w:cs="Arial"/>
                <w:color w:val="262626"/>
                <w:sz w:val="16"/>
                <w:szCs w:val="16"/>
              </w:rPr>
              <w:t>116</w:t>
            </w:r>
          </w:p>
        </w:tc>
      </w:tr>
    </w:tbl>
    <w:p w14:paraId="5A1B3A25" w14:textId="77777777" w:rsidR="00960BB8" w:rsidRDefault="00C06650">
      <w:r>
        <w:pict w14:anchorId="5A1B44E0">
          <v:rect id="_x0000_i1142" style="width:415.3pt;height:1.5pt" o:hralign="center" o:hrstd="t" o:hr="t" fillcolor="#a0a0a0" stroked="f"/>
        </w:pict>
      </w:r>
    </w:p>
    <w:p w14:paraId="5A1B3A26" w14:textId="77777777" w:rsidR="00960BB8" w:rsidRDefault="00C06650">
      <w:pPr>
        <w:jc w:val="right"/>
      </w:pPr>
      <w:hyperlink r:id="rId165" w:anchor="i8aaa7b4dbd2e419ca0f5c30af85a11aa_16" w:history="1">
        <w:r>
          <w:rPr>
            <w:rStyle w:val="a5"/>
            <w:rFonts w:ascii="Arial" w:eastAsia="宋体" w:hAnsi="Arial" w:cs="Arial"/>
            <w:b/>
            <w:bCs/>
            <w:sz w:val="16"/>
            <w:szCs w:val="16"/>
          </w:rPr>
          <w:t>Table of Contents</w:t>
        </w:r>
      </w:hyperlink>
    </w:p>
    <w:p w14:paraId="5A1B3A27"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3"/>
        <w:gridCol w:w="1187"/>
        <w:gridCol w:w="36"/>
        <w:gridCol w:w="36"/>
        <w:gridCol w:w="36"/>
        <w:gridCol w:w="36"/>
        <w:gridCol w:w="53"/>
        <w:gridCol w:w="6862"/>
        <w:gridCol w:w="37"/>
      </w:tblGrid>
      <w:tr w:rsidR="00960BB8" w14:paraId="5A1B3A31" w14:textId="77777777">
        <w:tc>
          <w:tcPr>
            <w:tcW w:w="50" w:type="pct"/>
            <w:shd w:val="clear" w:color="auto" w:fill="auto"/>
            <w:vAlign w:val="bottom"/>
          </w:tcPr>
          <w:p w14:paraId="5A1B3A28" w14:textId="77777777" w:rsidR="00960BB8" w:rsidRDefault="00960BB8">
            <w:pPr>
              <w:rPr>
                <w:rFonts w:ascii="宋体"/>
              </w:rPr>
            </w:pPr>
          </w:p>
        </w:tc>
        <w:tc>
          <w:tcPr>
            <w:tcW w:w="730" w:type="pct"/>
            <w:shd w:val="clear" w:color="auto" w:fill="auto"/>
            <w:vAlign w:val="bottom"/>
          </w:tcPr>
          <w:p w14:paraId="5A1B3A29" w14:textId="77777777" w:rsidR="00960BB8" w:rsidRDefault="00960BB8">
            <w:pPr>
              <w:rPr>
                <w:rFonts w:ascii="宋体"/>
              </w:rPr>
            </w:pPr>
          </w:p>
        </w:tc>
        <w:tc>
          <w:tcPr>
            <w:tcW w:w="5" w:type="pct"/>
            <w:shd w:val="clear" w:color="auto" w:fill="auto"/>
            <w:vAlign w:val="bottom"/>
          </w:tcPr>
          <w:p w14:paraId="5A1B3A2A" w14:textId="77777777" w:rsidR="00960BB8" w:rsidRDefault="00960BB8">
            <w:pPr>
              <w:rPr>
                <w:rFonts w:ascii="宋体"/>
              </w:rPr>
            </w:pPr>
          </w:p>
        </w:tc>
        <w:tc>
          <w:tcPr>
            <w:tcW w:w="5" w:type="pct"/>
            <w:shd w:val="clear" w:color="auto" w:fill="auto"/>
            <w:vAlign w:val="bottom"/>
          </w:tcPr>
          <w:p w14:paraId="5A1B3A2B" w14:textId="77777777" w:rsidR="00960BB8" w:rsidRDefault="00960BB8">
            <w:pPr>
              <w:rPr>
                <w:rFonts w:ascii="宋体"/>
              </w:rPr>
            </w:pPr>
          </w:p>
        </w:tc>
        <w:tc>
          <w:tcPr>
            <w:tcW w:w="17" w:type="pct"/>
            <w:shd w:val="clear" w:color="auto" w:fill="auto"/>
            <w:vAlign w:val="bottom"/>
          </w:tcPr>
          <w:p w14:paraId="5A1B3A2C" w14:textId="77777777" w:rsidR="00960BB8" w:rsidRDefault="00960BB8">
            <w:pPr>
              <w:rPr>
                <w:rFonts w:ascii="宋体"/>
              </w:rPr>
            </w:pPr>
          </w:p>
        </w:tc>
        <w:tc>
          <w:tcPr>
            <w:tcW w:w="5" w:type="pct"/>
            <w:shd w:val="clear" w:color="auto" w:fill="auto"/>
            <w:vAlign w:val="bottom"/>
          </w:tcPr>
          <w:p w14:paraId="5A1B3A2D" w14:textId="77777777" w:rsidR="00960BB8" w:rsidRDefault="00960BB8">
            <w:pPr>
              <w:rPr>
                <w:rFonts w:ascii="宋体"/>
              </w:rPr>
            </w:pPr>
          </w:p>
        </w:tc>
        <w:tc>
          <w:tcPr>
            <w:tcW w:w="50" w:type="pct"/>
            <w:shd w:val="clear" w:color="auto" w:fill="auto"/>
            <w:vAlign w:val="bottom"/>
          </w:tcPr>
          <w:p w14:paraId="5A1B3A2E" w14:textId="77777777" w:rsidR="00960BB8" w:rsidRDefault="00960BB8">
            <w:pPr>
              <w:rPr>
                <w:rFonts w:ascii="宋体"/>
              </w:rPr>
            </w:pPr>
          </w:p>
        </w:tc>
        <w:tc>
          <w:tcPr>
            <w:tcW w:w="4132" w:type="pct"/>
            <w:shd w:val="clear" w:color="auto" w:fill="auto"/>
            <w:vAlign w:val="bottom"/>
          </w:tcPr>
          <w:p w14:paraId="5A1B3A2F" w14:textId="77777777" w:rsidR="00960BB8" w:rsidRDefault="00960BB8">
            <w:pPr>
              <w:rPr>
                <w:rFonts w:ascii="宋体"/>
              </w:rPr>
            </w:pPr>
          </w:p>
        </w:tc>
        <w:tc>
          <w:tcPr>
            <w:tcW w:w="5" w:type="pct"/>
            <w:shd w:val="clear" w:color="auto" w:fill="auto"/>
            <w:vAlign w:val="bottom"/>
          </w:tcPr>
          <w:p w14:paraId="5A1B3A30" w14:textId="77777777" w:rsidR="00960BB8" w:rsidRDefault="00960BB8">
            <w:pPr>
              <w:rPr>
                <w:rFonts w:ascii="宋体"/>
              </w:rPr>
            </w:pPr>
          </w:p>
        </w:tc>
      </w:tr>
      <w:tr w:rsidR="00960BB8" w14:paraId="5A1B3A35" w14:textId="77777777">
        <w:tc>
          <w:tcPr>
            <w:tcW w:w="0" w:type="auto"/>
            <w:gridSpan w:val="3"/>
            <w:shd w:val="clear" w:color="auto" w:fill="auto"/>
            <w:tcMar>
              <w:top w:w="40" w:type="dxa"/>
              <w:left w:w="20" w:type="dxa"/>
              <w:bottom w:w="40" w:type="dxa"/>
              <w:right w:w="20" w:type="dxa"/>
            </w:tcMar>
          </w:tcPr>
          <w:p w14:paraId="5A1B3A32" w14:textId="77777777" w:rsidR="00960BB8" w:rsidRDefault="00C06650">
            <w:pPr>
              <w:textAlignment w:val="top"/>
            </w:pPr>
            <w:r>
              <w:rPr>
                <w:rFonts w:ascii="Arial" w:eastAsia="宋体" w:hAnsi="Arial" w:cs="Arial"/>
                <w:color w:val="0068B5"/>
                <w:sz w:val="18"/>
                <w:szCs w:val="18"/>
              </w:rPr>
              <w:t>USMAG</w:t>
            </w:r>
          </w:p>
        </w:tc>
        <w:tc>
          <w:tcPr>
            <w:tcW w:w="0" w:type="auto"/>
            <w:gridSpan w:val="3"/>
            <w:shd w:val="clear" w:color="auto" w:fill="auto"/>
            <w:tcMar>
              <w:top w:w="0" w:type="dxa"/>
              <w:left w:w="20" w:type="dxa"/>
              <w:bottom w:w="0" w:type="dxa"/>
              <w:right w:w="20" w:type="dxa"/>
            </w:tcMar>
            <w:vAlign w:val="bottom"/>
          </w:tcPr>
          <w:p w14:paraId="5A1B3A3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A34" w14:textId="77777777" w:rsidR="00960BB8" w:rsidRDefault="00C06650">
            <w:pPr>
              <w:textAlignment w:val="top"/>
            </w:pPr>
            <w:r>
              <w:rPr>
                <w:rFonts w:ascii="Arial" w:eastAsia="宋体" w:hAnsi="Arial" w:cs="Arial"/>
                <w:color w:val="262626"/>
                <w:sz w:val="18"/>
                <w:szCs w:val="18"/>
              </w:rPr>
              <w:t>United States Military, Aerospace, and Government</w:t>
            </w:r>
          </w:p>
        </w:tc>
      </w:tr>
      <w:tr w:rsidR="00960BB8" w14:paraId="5A1B3A39" w14:textId="77777777">
        <w:tc>
          <w:tcPr>
            <w:tcW w:w="0" w:type="auto"/>
            <w:gridSpan w:val="3"/>
            <w:shd w:val="clear" w:color="auto" w:fill="auto"/>
            <w:tcMar>
              <w:top w:w="40" w:type="dxa"/>
              <w:left w:w="20" w:type="dxa"/>
              <w:bottom w:w="40" w:type="dxa"/>
              <w:right w:w="20" w:type="dxa"/>
            </w:tcMar>
          </w:tcPr>
          <w:p w14:paraId="5A1B3A36" w14:textId="77777777" w:rsidR="00960BB8" w:rsidRDefault="00C06650">
            <w:pPr>
              <w:textAlignment w:val="top"/>
            </w:pPr>
            <w:r>
              <w:rPr>
                <w:rFonts w:ascii="Arial" w:eastAsia="宋体" w:hAnsi="Arial" w:cs="Arial"/>
                <w:color w:val="0068B5"/>
                <w:sz w:val="18"/>
                <w:szCs w:val="18"/>
              </w:rPr>
              <w:t xml:space="preserve">US </w:t>
            </w:r>
            <w:r>
              <w:rPr>
                <w:rFonts w:ascii="Arial" w:eastAsia="宋体" w:hAnsi="Arial" w:cs="Arial"/>
                <w:color w:val="0068B5"/>
                <w:sz w:val="18"/>
                <w:szCs w:val="18"/>
              </w:rPr>
              <w:t>Pension Plan</w:t>
            </w:r>
          </w:p>
        </w:tc>
        <w:tc>
          <w:tcPr>
            <w:tcW w:w="0" w:type="auto"/>
            <w:gridSpan w:val="3"/>
            <w:shd w:val="clear" w:color="auto" w:fill="auto"/>
            <w:tcMar>
              <w:top w:w="0" w:type="dxa"/>
              <w:left w:w="20" w:type="dxa"/>
              <w:bottom w:w="0" w:type="dxa"/>
              <w:right w:w="20" w:type="dxa"/>
            </w:tcMar>
            <w:vAlign w:val="bottom"/>
          </w:tcPr>
          <w:p w14:paraId="5A1B3A3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A38" w14:textId="77777777" w:rsidR="00960BB8" w:rsidRDefault="00C06650">
            <w:pPr>
              <w:textAlignment w:val="top"/>
            </w:pPr>
            <w:r>
              <w:rPr>
                <w:rFonts w:ascii="Arial" w:eastAsia="宋体" w:hAnsi="Arial" w:cs="Arial"/>
                <w:color w:val="262626"/>
                <w:sz w:val="18"/>
                <w:szCs w:val="18"/>
              </w:rPr>
              <w:t>US Intel Minimum Pension Plan</w:t>
            </w:r>
          </w:p>
        </w:tc>
      </w:tr>
      <w:tr w:rsidR="00960BB8" w14:paraId="5A1B3A3D" w14:textId="77777777">
        <w:tc>
          <w:tcPr>
            <w:tcW w:w="0" w:type="auto"/>
            <w:gridSpan w:val="3"/>
            <w:shd w:val="clear" w:color="auto" w:fill="auto"/>
            <w:tcMar>
              <w:top w:w="40" w:type="dxa"/>
              <w:left w:w="20" w:type="dxa"/>
              <w:bottom w:w="40" w:type="dxa"/>
              <w:right w:w="20" w:type="dxa"/>
            </w:tcMar>
          </w:tcPr>
          <w:p w14:paraId="5A1B3A3A" w14:textId="77777777" w:rsidR="00960BB8" w:rsidRDefault="00C06650">
            <w:pPr>
              <w:textAlignment w:val="top"/>
            </w:pPr>
            <w:r>
              <w:rPr>
                <w:rFonts w:ascii="Arial" w:eastAsia="宋体" w:hAnsi="Arial" w:cs="Arial"/>
                <w:color w:val="0068B5"/>
                <w:sz w:val="18"/>
                <w:szCs w:val="18"/>
              </w:rPr>
              <w:t>US Retiree Medical Plan</w:t>
            </w:r>
          </w:p>
        </w:tc>
        <w:tc>
          <w:tcPr>
            <w:tcW w:w="0" w:type="auto"/>
            <w:gridSpan w:val="3"/>
            <w:shd w:val="clear" w:color="auto" w:fill="auto"/>
            <w:tcMar>
              <w:top w:w="0" w:type="dxa"/>
              <w:left w:w="20" w:type="dxa"/>
              <w:bottom w:w="0" w:type="dxa"/>
              <w:right w:w="20" w:type="dxa"/>
            </w:tcMar>
            <w:vAlign w:val="bottom"/>
          </w:tcPr>
          <w:p w14:paraId="5A1B3A3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A3C" w14:textId="77777777" w:rsidR="00960BB8" w:rsidRDefault="00C06650">
            <w:pPr>
              <w:textAlignment w:val="top"/>
            </w:pPr>
            <w:r>
              <w:rPr>
                <w:rFonts w:ascii="Arial" w:eastAsia="宋体" w:hAnsi="Arial" w:cs="Arial"/>
                <w:color w:val="262626"/>
                <w:sz w:val="18"/>
                <w:szCs w:val="18"/>
              </w:rPr>
              <w:t>US Postretirement Medical Benefits Plan</w:t>
            </w:r>
          </w:p>
        </w:tc>
      </w:tr>
      <w:tr w:rsidR="00960BB8" w14:paraId="5A1B3A41" w14:textId="77777777">
        <w:trPr>
          <w:hidden/>
        </w:trPr>
        <w:tc>
          <w:tcPr>
            <w:tcW w:w="0" w:type="auto"/>
            <w:gridSpan w:val="3"/>
            <w:shd w:val="clear" w:color="auto" w:fill="auto"/>
            <w:vAlign w:val="bottom"/>
          </w:tcPr>
          <w:p w14:paraId="5A1B3A3E" w14:textId="77777777" w:rsidR="00960BB8" w:rsidRDefault="00960BB8">
            <w:pPr>
              <w:rPr>
                <w:rFonts w:ascii="宋体"/>
                <w:vanish/>
              </w:rPr>
            </w:pPr>
          </w:p>
        </w:tc>
        <w:tc>
          <w:tcPr>
            <w:tcW w:w="0" w:type="auto"/>
            <w:gridSpan w:val="3"/>
            <w:shd w:val="clear" w:color="auto" w:fill="auto"/>
            <w:vAlign w:val="bottom"/>
          </w:tcPr>
          <w:p w14:paraId="5A1B3A3F" w14:textId="77777777" w:rsidR="00960BB8" w:rsidRDefault="00960BB8">
            <w:pPr>
              <w:rPr>
                <w:rFonts w:ascii="宋体"/>
                <w:vanish/>
              </w:rPr>
            </w:pPr>
          </w:p>
        </w:tc>
        <w:tc>
          <w:tcPr>
            <w:tcW w:w="0" w:type="auto"/>
            <w:gridSpan w:val="3"/>
            <w:shd w:val="clear" w:color="auto" w:fill="auto"/>
            <w:vAlign w:val="bottom"/>
          </w:tcPr>
          <w:p w14:paraId="5A1B3A40" w14:textId="77777777" w:rsidR="00960BB8" w:rsidRDefault="00960BB8">
            <w:pPr>
              <w:rPr>
                <w:rFonts w:ascii="宋体"/>
                <w:vanish/>
              </w:rPr>
            </w:pPr>
          </w:p>
        </w:tc>
      </w:tr>
      <w:tr w:rsidR="00960BB8" w14:paraId="5A1B3A45" w14:textId="77777777">
        <w:tc>
          <w:tcPr>
            <w:tcW w:w="0" w:type="auto"/>
            <w:gridSpan w:val="3"/>
            <w:shd w:val="clear" w:color="auto" w:fill="auto"/>
            <w:tcMar>
              <w:top w:w="40" w:type="dxa"/>
              <w:left w:w="20" w:type="dxa"/>
              <w:bottom w:w="40" w:type="dxa"/>
              <w:right w:w="20" w:type="dxa"/>
            </w:tcMar>
          </w:tcPr>
          <w:p w14:paraId="5A1B3A42" w14:textId="77777777" w:rsidR="00960BB8" w:rsidRDefault="00C06650">
            <w:pPr>
              <w:textAlignment w:val="top"/>
            </w:pPr>
            <w:r>
              <w:rPr>
                <w:rFonts w:ascii="Arial" w:eastAsia="宋体" w:hAnsi="Arial" w:cs="Arial"/>
                <w:color w:val="0068B5"/>
                <w:sz w:val="18"/>
                <w:szCs w:val="18"/>
              </w:rPr>
              <w:t>VIE</w:t>
            </w:r>
          </w:p>
        </w:tc>
        <w:tc>
          <w:tcPr>
            <w:tcW w:w="0" w:type="auto"/>
            <w:gridSpan w:val="3"/>
            <w:shd w:val="clear" w:color="auto" w:fill="auto"/>
            <w:tcMar>
              <w:top w:w="0" w:type="dxa"/>
              <w:left w:w="20" w:type="dxa"/>
              <w:bottom w:w="0" w:type="dxa"/>
              <w:right w:w="20" w:type="dxa"/>
            </w:tcMar>
            <w:vAlign w:val="bottom"/>
          </w:tcPr>
          <w:p w14:paraId="5A1B3A4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A44" w14:textId="77777777" w:rsidR="00960BB8" w:rsidRDefault="00C06650">
            <w:pPr>
              <w:textAlignment w:val="top"/>
            </w:pPr>
            <w:r>
              <w:rPr>
                <w:rFonts w:ascii="Arial" w:eastAsia="宋体" w:hAnsi="Arial" w:cs="Arial"/>
                <w:color w:val="262626"/>
                <w:sz w:val="18"/>
                <w:szCs w:val="18"/>
              </w:rPr>
              <w:t>Variable interest entity</w:t>
            </w:r>
          </w:p>
        </w:tc>
      </w:tr>
      <w:tr w:rsidR="00960BB8" w14:paraId="5A1B3A49" w14:textId="77777777">
        <w:trPr>
          <w:hidden/>
        </w:trPr>
        <w:tc>
          <w:tcPr>
            <w:tcW w:w="0" w:type="auto"/>
            <w:gridSpan w:val="3"/>
            <w:shd w:val="clear" w:color="auto" w:fill="auto"/>
            <w:vAlign w:val="bottom"/>
          </w:tcPr>
          <w:p w14:paraId="5A1B3A46" w14:textId="77777777" w:rsidR="00960BB8" w:rsidRDefault="00960BB8">
            <w:pPr>
              <w:rPr>
                <w:rFonts w:ascii="宋体"/>
                <w:vanish/>
              </w:rPr>
            </w:pPr>
          </w:p>
        </w:tc>
        <w:tc>
          <w:tcPr>
            <w:tcW w:w="0" w:type="auto"/>
            <w:gridSpan w:val="3"/>
            <w:shd w:val="clear" w:color="auto" w:fill="auto"/>
            <w:vAlign w:val="bottom"/>
          </w:tcPr>
          <w:p w14:paraId="5A1B3A47" w14:textId="77777777" w:rsidR="00960BB8" w:rsidRDefault="00960BB8">
            <w:pPr>
              <w:rPr>
                <w:rFonts w:ascii="宋体"/>
                <w:vanish/>
              </w:rPr>
            </w:pPr>
          </w:p>
        </w:tc>
        <w:tc>
          <w:tcPr>
            <w:tcW w:w="0" w:type="auto"/>
            <w:gridSpan w:val="3"/>
            <w:shd w:val="clear" w:color="auto" w:fill="auto"/>
            <w:vAlign w:val="bottom"/>
          </w:tcPr>
          <w:p w14:paraId="5A1B3A48" w14:textId="77777777" w:rsidR="00960BB8" w:rsidRDefault="00960BB8">
            <w:pPr>
              <w:rPr>
                <w:rFonts w:ascii="宋体"/>
                <w:vanish/>
              </w:rPr>
            </w:pPr>
          </w:p>
        </w:tc>
      </w:tr>
      <w:tr w:rsidR="00960BB8" w14:paraId="5A1B3A4D" w14:textId="77777777">
        <w:trPr>
          <w:hidden/>
        </w:trPr>
        <w:tc>
          <w:tcPr>
            <w:tcW w:w="0" w:type="auto"/>
            <w:gridSpan w:val="3"/>
            <w:shd w:val="clear" w:color="auto" w:fill="auto"/>
            <w:vAlign w:val="bottom"/>
          </w:tcPr>
          <w:p w14:paraId="5A1B3A4A" w14:textId="77777777" w:rsidR="00960BB8" w:rsidRDefault="00960BB8">
            <w:pPr>
              <w:rPr>
                <w:rFonts w:ascii="宋体"/>
                <w:vanish/>
              </w:rPr>
            </w:pPr>
          </w:p>
        </w:tc>
        <w:tc>
          <w:tcPr>
            <w:tcW w:w="0" w:type="auto"/>
            <w:gridSpan w:val="3"/>
            <w:shd w:val="clear" w:color="auto" w:fill="auto"/>
            <w:vAlign w:val="bottom"/>
          </w:tcPr>
          <w:p w14:paraId="5A1B3A4B" w14:textId="77777777" w:rsidR="00960BB8" w:rsidRDefault="00960BB8">
            <w:pPr>
              <w:rPr>
                <w:rFonts w:ascii="宋体"/>
                <w:vanish/>
              </w:rPr>
            </w:pPr>
          </w:p>
        </w:tc>
        <w:tc>
          <w:tcPr>
            <w:tcW w:w="0" w:type="auto"/>
            <w:gridSpan w:val="3"/>
            <w:shd w:val="clear" w:color="auto" w:fill="auto"/>
            <w:vAlign w:val="bottom"/>
          </w:tcPr>
          <w:p w14:paraId="5A1B3A4C" w14:textId="77777777" w:rsidR="00960BB8" w:rsidRDefault="00960BB8">
            <w:pPr>
              <w:rPr>
                <w:rFonts w:ascii="宋体"/>
                <w:vanish/>
              </w:rPr>
            </w:pPr>
          </w:p>
        </w:tc>
      </w:tr>
      <w:tr w:rsidR="00960BB8" w14:paraId="5A1B3A51" w14:textId="77777777">
        <w:trPr>
          <w:hidden/>
        </w:trPr>
        <w:tc>
          <w:tcPr>
            <w:tcW w:w="0" w:type="auto"/>
            <w:gridSpan w:val="3"/>
            <w:shd w:val="clear" w:color="auto" w:fill="auto"/>
            <w:vAlign w:val="bottom"/>
          </w:tcPr>
          <w:p w14:paraId="5A1B3A4E" w14:textId="77777777" w:rsidR="00960BB8" w:rsidRDefault="00960BB8">
            <w:pPr>
              <w:rPr>
                <w:rFonts w:ascii="宋体"/>
                <w:vanish/>
              </w:rPr>
            </w:pPr>
          </w:p>
        </w:tc>
        <w:tc>
          <w:tcPr>
            <w:tcW w:w="0" w:type="auto"/>
            <w:gridSpan w:val="3"/>
            <w:shd w:val="clear" w:color="auto" w:fill="auto"/>
            <w:vAlign w:val="bottom"/>
          </w:tcPr>
          <w:p w14:paraId="5A1B3A4F" w14:textId="77777777" w:rsidR="00960BB8" w:rsidRDefault="00960BB8">
            <w:pPr>
              <w:rPr>
                <w:rFonts w:ascii="宋体"/>
                <w:vanish/>
              </w:rPr>
            </w:pPr>
          </w:p>
        </w:tc>
        <w:tc>
          <w:tcPr>
            <w:tcW w:w="0" w:type="auto"/>
            <w:gridSpan w:val="3"/>
            <w:shd w:val="clear" w:color="auto" w:fill="auto"/>
            <w:vAlign w:val="bottom"/>
          </w:tcPr>
          <w:p w14:paraId="5A1B3A50" w14:textId="77777777" w:rsidR="00960BB8" w:rsidRDefault="00960BB8">
            <w:pPr>
              <w:rPr>
                <w:rFonts w:ascii="宋体"/>
                <w:vanish/>
              </w:rPr>
            </w:pPr>
          </w:p>
        </w:tc>
      </w:tr>
      <w:tr w:rsidR="00960BB8" w14:paraId="5A1B3A55" w14:textId="77777777">
        <w:tc>
          <w:tcPr>
            <w:tcW w:w="0" w:type="auto"/>
            <w:gridSpan w:val="3"/>
            <w:shd w:val="clear" w:color="auto" w:fill="auto"/>
            <w:tcMar>
              <w:top w:w="40" w:type="dxa"/>
              <w:left w:w="20" w:type="dxa"/>
              <w:bottom w:w="40" w:type="dxa"/>
              <w:right w:w="20" w:type="dxa"/>
            </w:tcMar>
          </w:tcPr>
          <w:p w14:paraId="5A1B3A52" w14:textId="77777777" w:rsidR="00960BB8" w:rsidRDefault="00C06650">
            <w:pPr>
              <w:textAlignment w:val="top"/>
            </w:pPr>
            <w:r>
              <w:rPr>
                <w:rFonts w:ascii="Arial" w:eastAsia="宋体" w:hAnsi="Arial" w:cs="Arial"/>
                <w:color w:val="0068B5"/>
                <w:sz w:val="18"/>
                <w:szCs w:val="18"/>
              </w:rPr>
              <w:t>vRAN</w:t>
            </w:r>
          </w:p>
        </w:tc>
        <w:tc>
          <w:tcPr>
            <w:tcW w:w="0" w:type="auto"/>
            <w:gridSpan w:val="3"/>
            <w:shd w:val="clear" w:color="auto" w:fill="auto"/>
            <w:tcMar>
              <w:top w:w="0" w:type="dxa"/>
              <w:left w:w="20" w:type="dxa"/>
              <w:bottom w:w="0" w:type="dxa"/>
              <w:right w:w="20" w:type="dxa"/>
            </w:tcMar>
            <w:vAlign w:val="bottom"/>
          </w:tcPr>
          <w:p w14:paraId="5A1B3A5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A54" w14:textId="77777777" w:rsidR="00960BB8" w:rsidRDefault="00C06650">
            <w:pPr>
              <w:textAlignment w:val="top"/>
            </w:pPr>
            <w:r>
              <w:rPr>
                <w:rFonts w:ascii="Arial" w:eastAsia="宋体" w:hAnsi="Arial" w:cs="Arial"/>
                <w:color w:val="262626"/>
                <w:sz w:val="18"/>
                <w:szCs w:val="18"/>
              </w:rPr>
              <w:t>Virtualized radio access network</w:t>
            </w:r>
          </w:p>
        </w:tc>
      </w:tr>
      <w:tr w:rsidR="00960BB8" w14:paraId="5A1B3A59" w14:textId="77777777">
        <w:tc>
          <w:tcPr>
            <w:tcW w:w="0" w:type="auto"/>
            <w:gridSpan w:val="3"/>
            <w:shd w:val="clear" w:color="auto" w:fill="auto"/>
            <w:tcMar>
              <w:top w:w="40" w:type="dxa"/>
              <w:left w:w="20" w:type="dxa"/>
              <w:bottom w:w="40" w:type="dxa"/>
              <w:right w:w="20" w:type="dxa"/>
            </w:tcMar>
          </w:tcPr>
          <w:p w14:paraId="5A1B3A56" w14:textId="77777777" w:rsidR="00960BB8" w:rsidRDefault="00C06650">
            <w:pPr>
              <w:textAlignment w:val="top"/>
            </w:pPr>
            <w:r>
              <w:rPr>
                <w:rFonts w:ascii="Arial" w:eastAsia="宋体" w:hAnsi="Arial" w:cs="Arial"/>
                <w:color w:val="0068B5"/>
                <w:sz w:val="18"/>
                <w:szCs w:val="18"/>
              </w:rPr>
              <w:t>xPU</w:t>
            </w:r>
          </w:p>
        </w:tc>
        <w:tc>
          <w:tcPr>
            <w:tcW w:w="0" w:type="auto"/>
            <w:gridSpan w:val="3"/>
            <w:shd w:val="clear" w:color="auto" w:fill="auto"/>
            <w:tcMar>
              <w:top w:w="0" w:type="dxa"/>
              <w:left w:w="20" w:type="dxa"/>
              <w:bottom w:w="0" w:type="dxa"/>
              <w:right w:w="20" w:type="dxa"/>
            </w:tcMar>
            <w:vAlign w:val="bottom"/>
          </w:tcPr>
          <w:p w14:paraId="5A1B3A5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A58" w14:textId="77777777" w:rsidR="00960BB8" w:rsidRDefault="00C06650">
            <w:pPr>
              <w:textAlignment w:val="top"/>
            </w:pPr>
            <w:r>
              <w:rPr>
                <w:rFonts w:ascii="Arial" w:eastAsia="宋体" w:hAnsi="Arial" w:cs="Arial"/>
                <w:color w:val="262626"/>
                <w:sz w:val="18"/>
                <w:szCs w:val="18"/>
              </w:rPr>
              <w:t xml:space="preserve">A term for processors that are designed for one of </w:t>
            </w:r>
            <w:r>
              <w:rPr>
                <w:rFonts w:ascii="Arial" w:eastAsia="宋体" w:hAnsi="Arial" w:cs="Arial"/>
                <w:color w:val="262626"/>
                <w:sz w:val="18"/>
                <w:szCs w:val="18"/>
              </w:rPr>
              <w:t>four major computing architectures: CPU, GPU, AI accelerator, and FPGA</w:t>
            </w:r>
          </w:p>
        </w:tc>
      </w:tr>
    </w:tbl>
    <w:p w14:paraId="5A1B3A5A" w14:textId="77777777" w:rsidR="00960BB8" w:rsidRDefault="00960BB8">
      <w:pPr>
        <w:spacing w:after="180"/>
      </w:pPr>
    </w:p>
    <w:p w14:paraId="5A1B3A5B"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3A65" w14:textId="77777777">
        <w:tc>
          <w:tcPr>
            <w:tcW w:w="50" w:type="pct"/>
            <w:shd w:val="clear" w:color="auto" w:fill="auto"/>
            <w:vAlign w:val="bottom"/>
          </w:tcPr>
          <w:p w14:paraId="5A1B3A5C" w14:textId="77777777" w:rsidR="00960BB8" w:rsidRDefault="00960BB8">
            <w:pPr>
              <w:rPr>
                <w:rFonts w:ascii="宋体"/>
              </w:rPr>
            </w:pPr>
          </w:p>
        </w:tc>
        <w:tc>
          <w:tcPr>
            <w:tcW w:w="283" w:type="pct"/>
            <w:shd w:val="clear" w:color="auto" w:fill="auto"/>
            <w:vAlign w:val="bottom"/>
          </w:tcPr>
          <w:p w14:paraId="5A1B3A5D" w14:textId="77777777" w:rsidR="00960BB8" w:rsidRDefault="00960BB8">
            <w:pPr>
              <w:rPr>
                <w:rFonts w:ascii="宋体"/>
              </w:rPr>
            </w:pPr>
          </w:p>
        </w:tc>
        <w:tc>
          <w:tcPr>
            <w:tcW w:w="5" w:type="pct"/>
            <w:shd w:val="clear" w:color="auto" w:fill="auto"/>
            <w:vAlign w:val="bottom"/>
          </w:tcPr>
          <w:p w14:paraId="5A1B3A5E" w14:textId="77777777" w:rsidR="00960BB8" w:rsidRDefault="00960BB8">
            <w:pPr>
              <w:rPr>
                <w:rFonts w:ascii="宋体"/>
              </w:rPr>
            </w:pPr>
          </w:p>
        </w:tc>
        <w:tc>
          <w:tcPr>
            <w:tcW w:w="50" w:type="pct"/>
            <w:shd w:val="clear" w:color="auto" w:fill="auto"/>
            <w:vAlign w:val="bottom"/>
          </w:tcPr>
          <w:p w14:paraId="5A1B3A5F" w14:textId="77777777" w:rsidR="00960BB8" w:rsidRDefault="00960BB8">
            <w:pPr>
              <w:rPr>
                <w:rFonts w:ascii="宋体"/>
              </w:rPr>
            </w:pPr>
          </w:p>
        </w:tc>
        <w:tc>
          <w:tcPr>
            <w:tcW w:w="2656" w:type="pct"/>
            <w:shd w:val="clear" w:color="auto" w:fill="auto"/>
            <w:vAlign w:val="bottom"/>
          </w:tcPr>
          <w:p w14:paraId="5A1B3A60" w14:textId="77777777" w:rsidR="00960BB8" w:rsidRDefault="00960BB8">
            <w:pPr>
              <w:rPr>
                <w:rFonts w:ascii="宋体"/>
              </w:rPr>
            </w:pPr>
          </w:p>
        </w:tc>
        <w:tc>
          <w:tcPr>
            <w:tcW w:w="5" w:type="pct"/>
            <w:shd w:val="clear" w:color="auto" w:fill="auto"/>
            <w:vAlign w:val="bottom"/>
          </w:tcPr>
          <w:p w14:paraId="5A1B3A61" w14:textId="77777777" w:rsidR="00960BB8" w:rsidRDefault="00960BB8">
            <w:pPr>
              <w:rPr>
                <w:rFonts w:ascii="宋体"/>
              </w:rPr>
            </w:pPr>
          </w:p>
        </w:tc>
        <w:tc>
          <w:tcPr>
            <w:tcW w:w="50" w:type="pct"/>
            <w:shd w:val="clear" w:color="auto" w:fill="auto"/>
            <w:vAlign w:val="bottom"/>
          </w:tcPr>
          <w:p w14:paraId="5A1B3A62" w14:textId="77777777" w:rsidR="00960BB8" w:rsidRDefault="00960BB8">
            <w:pPr>
              <w:rPr>
                <w:rFonts w:ascii="宋体"/>
              </w:rPr>
            </w:pPr>
          </w:p>
        </w:tc>
        <w:tc>
          <w:tcPr>
            <w:tcW w:w="1894" w:type="pct"/>
            <w:shd w:val="clear" w:color="auto" w:fill="auto"/>
            <w:vAlign w:val="bottom"/>
          </w:tcPr>
          <w:p w14:paraId="5A1B3A63" w14:textId="77777777" w:rsidR="00960BB8" w:rsidRDefault="00960BB8">
            <w:pPr>
              <w:rPr>
                <w:rFonts w:ascii="宋体"/>
              </w:rPr>
            </w:pPr>
          </w:p>
        </w:tc>
        <w:tc>
          <w:tcPr>
            <w:tcW w:w="5" w:type="pct"/>
            <w:shd w:val="clear" w:color="auto" w:fill="auto"/>
            <w:vAlign w:val="bottom"/>
          </w:tcPr>
          <w:p w14:paraId="5A1B3A64" w14:textId="77777777" w:rsidR="00960BB8" w:rsidRDefault="00960BB8">
            <w:pPr>
              <w:rPr>
                <w:rFonts w:ascii="宋体"/>
              </w:rPr>
            </w:pPr>
          </w:p>
        </w:tc>
      </w:tr>
      <w:tr w:rsidR="00960BB8" w14:paraId="5A1B3A6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A66"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E1" wp14:editId="5A1B44E2">
                  <wp:extent cx="304800" cy="304800"/>
                  <wp:effectExtent l="0" t="0" r="0" b="0"/>
                  <wp:docPr id="168" name="图片 32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323"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A67" w14:textId="77777777" w:rsidR="00960BB8" w:rsidRDefault="00C06650">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A68" w14:textId="77777777" w:rsidR="00960BB8" w:rsidRDefault="00C06650">
            <w:pPr>
              <w:jc w:val="right"/>
              <w:textAlignment w:val="center"/>
            </w:pPr>
            <w:r>
              <w:rPr>
                <w:rFonts w:ascii="Arial" w:eastAsia="宋体" w:hAnsi="Arial" w:cs="Arial"/>
                <w:color w:val="262626"/>
                <w:sz w:val="16"/>
                <w:szCs w:val="16"/>
              </w:rPr>
              <w:t>117</w:t>
            </w:r>
          </w:p>
        </w:tc>
      </w:tr>
    </w:tbl>
    <w:p w14:paraId="5A1B3A6A" w14:textId="77777777" w:rsidR="00960BB8" w:rsidRDefault="00C06650">
      <w:r>
        <w:pict w14:anchorId="5A1B44E3">
          <v:rect id="_x0000_i1143" style="width:415.3pt;height:1.5pt" o:hralign="center" o:hrstd="t" o:hr="t" fillcolor="#a0a0a0" stroked="f"/>
        </w:pict>
      </w:r>
    </w:p>
    <w:p w14:paraId="5A1B3A6B" w14:textId="77777777" w:rsidR="00960BB8" w:rsidRDefault="00C06650">
      <w:pPr>
        <w:jc w:val="right"/>
      </w:pPr>
      <w:hyperlink r:id="rId166" w:anchor="i8aaa7b4dbd2e419ca0f5c30af85a11aa_16" w:history="1">
        <w:r>
          <w:rPr>
            <w:rStyle w:val="a5"/>
            <w:rFonts w:ascii="Arial" w:eastAsia="宋体" w:hAnsi="Arial" w:cs="Arial"/>
            <w:b/>
            <w:bCs/>
            <w:sz w:val="16"/>
            <w:szCs w:val="16"/>
          </w:rPr>
          <w:t>Table of Contents</w:t>
        </w:r>
      </w:hyperlink>
    </w:p>
    <w:p w14:paraId="5A1B3A6C"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3A73" w14:textId="77777777">
        <w:tc>
          <w:tcPr>
            <w:tcW w:w="50" w:type="pct"/>
            <w:shd w:val="clear" w:color="auto" w:fill="auto"/>
            <w:vAlign w:val="bottom"/>
          </w:tcPr>
          <w:p w14:paraId="5A1B3A6D" w14:textId="77777777" w:rsidR="00960BB8" w:rsidRDefault="00960BB8">
            <w:pPr>
              <w:rPr>
                <w:rFonts w:ascii="宋体"/>
              </w:rPr>
            </w:pPr>
          </w:p>
        </w:tc>
        <w:tc>
          <w:tcPr>
            <w:tcW w:w="4870" w:type="pct"/>
            <w:shd w:val="clear" w:color="auto" w:fill="auto"/>
            <w:vAlign w:val="bottom"/>
          </w:tcPr>
          <w:p w14:paraId="5A1B3A6E" w14:textId="77777777" w:rsidR="00960BB8" w:rsidRDefault="00960BB8">
            <w:pPr>
              <w:rPr>
                <w:rFonts w:ascii="宋体"/>
              </w:rPr>
            </w:pPr>
          </w:p>
        </w:tc>
        <w:tc>
          <w:tcPr>
            <w:tcW w:w="5" w:type="pct"/>
            <w:shd w:val="clear" w:color="auto" w:fill="auto"/>
            <w:vAlign w:val="bottom"/>
          </w:tcPr>
          <w:p w14:paraId="5A1B3A6F" w14:textId="77777777" w:rsidR="00960BB8" w:rsidRDefault="00960BB8">
            <w:pPr>
              <w:rPr>
                <w:rFonts w:ascii="宋体"/>
              </w:rPr>
            </w:pPr>
          </w:p>
        </w:tc>
        <w:tc>
          <w:tcPr>
            <w:tcW w:w="5" w:type="pct"/>
            <w:shd w:val="clear" w:color="auto" w:fill="auto"/>
            <w:vAlign w:val="bottom"/>
          </w:tcPr>
          <w:p w14:paraId="5A1B3A70" w14:textId="77777777" w:rsidR="00960BB8" w:rsidRDefault="00960BB8">
            <w:pPr>
              <w:rPr>
                <w:rFonts w:ascii="宋体"/>
              </w:rPr>
            </w:pPr>
          </w:p>
        </w:tc>
        <w:tc>
          <w:tcPr>
            <w:tcW w:w="64" w:type="pct"/>
            <w:shd w:val="clear" w:color="auto" w:fill="auto"/>
            <w:vAlign w:val="bottom"/>
          </w:tcPr>
          <w:p w14:paraId="5A1B3A71" w14:textId="77777777" w:rsidR="00960BB8" w:rsidRDefault="00960BB8">
            <w:pPr>
              <w:rPr>
                <w:rFonts w:ascii="宋体"/>
              </w:rPr>
            </w:pPr>
          </w:p>
        </w:tc>
        <w:tc>
          <w:tcPr>
            <w:tcW w:w="5" w:type="pct"/>
            <w:shd w:val="clear" w:color="auto" w:fill="auto"/>
            <w:vAlign w:val="bottom"/>
          </w:tcPr>
          <w:p w14:paraId="5A1B3A72" w14:textId="77777777" w:rsidR="00960BB8" w:rsidRDefault="00960BB8">
            <w:pPr>
              <w:rPr>
                <w:rFonts w:ascii="宋体"/>
              </w:rPr>
            </w:pPr>
          </w:p>
        </w:tc>
      </w:tr>
      <w:tr w:rsidR="00960BB8" w14:paraId="5A1B3A76" w14:textId="77777777">
        <w:tc>
          <w:tcPr>
            <w:tcW w:w="0" w:type="auto"/>
            <w:gridSpan w:val="3"/>
            <w:shd w:val="clear" w:color="auto" w:fill="004A86"/>
            <w:tcMar>
              <w:top w:w="40" w:type="dxa"/>
              <w:left w:w="20" w:type="dxa"/>
              <w:bottom w:w="40" w:type="dxa"/>
              <w:right w:w="20" w:type="dxa"/>
            </w:tcMar>
            <w:vAlign w:val="center"/>
          </w:tcPr>
          <w:p w14:paraId="5A1B3A74" w14:textId="77777777" w:rsidR="00960BB8" w:rsidRDefault="00C06650">
            <w:pPr>
              <w:textAlignment w:val="center"/>
            </w:pPr>
            <w:r>
              <w:rPr>
                <w:rFonts w:ascii="Arial" w:eastAsia="宋体" w:hAnsi="Arial" w:cs="Arial"/>
                <w:color w:val="FFFFFF"/>
                <w:sz w:val="36"/>
                <w:szCs w:val="36"/>
              </w:rPr>
              <w:t>Controls and Procedures</w:t>
            </w:r>
          </w:p>
        </w:tc>
        <w:tc>
          <w:tcPr>
            <w:tcW w:w="0" w:type="auto"/>
            <w:gridSpan w:val="3"/>
            <w:shd w:val="clear" w:color="auto" w:fill="auto"/>
            <w:tcMar>
              <w:top w:w="0" w:type="dxa"/>
              <w:left w:w="20" w:type="dxa"/>
              <w:bottom w:w="0" w:type="dxa"/>
              <w:right w:w="20" w:type="dxa"/>
            </w:tcMar>
            <w:vAlign w:val="bottom"/>
          </w:tcPr>
          <w:p w14:paraId="5A1B3A75" w14:textId="77777777" w:rsidR="00960BB8" w:rsidRDefault="00960BB8">
            <w:pPr>
              <w:rPr>
                <w:rFonts w:ascii="宋体"/>
              </w:rPr>
            </w:pPr>
          </w:p>
        </w:tc>
      </w:tr>
      <w:tr w:rsidR="00960BB8" w14:paraId="5A1B3A79" w14:textId="77777777">
        <w:trPr>
          <w:trHeight w:val="160"/>
        </w:trPr>
        <w:tc>
          <w:tcPr>
            <w:tcW w:w="0" w:type="auto"/>
            <w:gridSpan w:val="3"/>
            <w:shd w:val="clear" w:color="auto" w:fill="auto"/>
            <w:tcMar>
              <w:top w:w="0" w:type="dxa"/>
              <w:left w:w="20" w:type="dxa"/>
              <w:bottom w:w="0" w:type="dxa"/>
              <w:right w:w="20" w:type="dxa"/>
            </w:tcMar>
            <w:vAlign w:val="bottom"/>
          </w:tcPr>
          <w:p w14:paraId="5A1B3A77"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3A78" w14:textId="77777777" w:rsidR="00960BB8" w:rsidRDefault="00960BB8">
            <w:pPr>
              <w:rPr>
                <w:rFonts w:ascii="宋体"/>
              </w:rPr>
            </w:pPr>
          </w:p>
        </w:tc>
      </w:tr>
    </w:tbl>
    <w:p w14:paraId="5A1B3A7A" w14:textId="77777777" w:rsidR="00960BB8" w:rsidRDefault="00C06650">
      <w:pPr>
        <w:spacing w:after="180"/>
      </w:pPr>
      <w:r>
        <w:rPr>
          <w:rFonts w:ascii="Arial" w:eastAsia="宋体" w:hAnsi="Arial" w:cs="Arial"/>
          <w:color w:val="0068B5"/>
          <w:sz w:val="28"/>
          <w:szCs w:val="28"/>
        </w:rPr>
        <w:t xml:space="preserve">Inherent Limitations on </w:t>
      </w:r>
      <w:r>
        <w:rPr>
          <w:rFonts w:ascii="Arial" w:eastAsia="宋体" w:hAnsi="Arial" w:cs="Arial"/>
          <w:color w:val="0068B5"/>
          <w:sz w:val="28"/>
          <w:szCs w:val="28"/>
        </w:rPr>
        <w:t>Effectiveness of Controls</w:t>
      </w:r>
    </w:p>
    <w:p w14:paraId="5A1B3A7B" w14:textId="77777777" w:rsidR="00960BB8" w:rsidRDefault="00C06650">
      <w:pPr>
        <w:spacing w:after="180"/>
      </w:pPr>
      <w:r>
        <w:rPr>
          <w:rFonts w:ascii="Arial" w:eastAsia="宋体" w:hAnsi="Arial" w:cs="Arial"/>
          <w:color w:val="262626"/>
          <w:sz w:val="18"/>
          <w:szCs w:val="18"/>
        </w:rPr>
        <w:t>Our management, including the principal executive officer and principal financial officer, does not expect that our disclosure controls and procedures or our internal control over financial reporting will prevent or detect all err</w:t>
      </w:r>
      <w:r>
        <w:rPr>
          <w:rFonts w:ascii="Arial" w:eastAsia="宋体" w:hAnsi="Arial" w:cs="Arial"/>
          <w:color w:val="262626"/>
          <w:sz w:val="18"/>
          <w:szCs w:val="18"/>
        </w:rPr>
        <w:t>ors and all fraud. A control system, no matter how well-designed and operated, can provide only reasonable, not absolute, assurance that the control system's objectives will be met. The design of a control system must reflect the fact that there are resour</w:t>
      </w:r>
      <w:r>
        <w:rPr>
          <w:rFonts w:ascii="Arial" w:eastAsia="宋体" w:hAnsi="Arial" w:cs="Arial"/>
          <w:color w:val="262626"/>
          <w:sz w:val="18"/>
          <w:szCs w:val="18"/>
        </w:rPr>
        <w:t xml:space="preserve">ce constraints, and the benefits of controls must be considered relative to their costs. Further, because of the inherent limitations in all control systems, no evaluation of controls can provide absolute assurance that misstatements due to error or fraud </w:t>
      </w:r>
      <w:r>
        <w:rPr>
          <w:rFonts w:ascii="Arial" w:eastAsia="宋体" w:hAnsi="Arial" w:cs="Arial"/>
          <w:color w:val="262626"/>
          <w:sz w:val="18"/>
          <w:szCs w:val="18"/>
        </w:rPr>
        <w:t>will not occur or that all control issues and instances of fraud, if any, have been detected.</w:t>
      </w:r>
    </w:p>
    <w:p w14:paraId="5A1B3A7C" w14:textId="77777777" w:rsidR="00960BB8" w:rsidRDefault="00C06650">
      <w:pPr>
        <w:spacing w:after="180"/>
      </w:pPr>
      <w:r>
        <w:rPr>
          <w:rFonts w:ascii="Arial" w:eastAsia="宋体" w:hAnsi="Arial" w:cs="Arial"/>
          <w:color w:val="0068B5"/>
          <w:sz w:val="28"/>
          <w:szCs w:val="28"/>
        </w:rPr>
        <w:t>Evaluation of Disclosure Controls and Procedures</w:t>
      </w:r>
    </w:p>
    <w:p w14:paraId="5A1B3A7D" w14:textId="77777777" w:rsidR="00960BB8" w:rsidRDefault="00C06650">
      <w:pPr>
        <w:spacing w:after="180"/>
      </w:pPr>
      <w:r>
        <w:rPr>
          <w:rFonts w:ascii="Arial" w:eastAsia="宋体" w:hAnsi="Arial" w:cs="Arial"/>
          <w:color w:val="262626"/>
          <w:sz w:val="18"/>
          <w:szCs w:val="18"/>
        </w:rPr>
        <w:t>Based on management's evaluation (with the participation of our principal executive officer and principal financi</w:t>
      </w:r>
      <w:r>
        <w:rPr>
          <w:rFonts w:ascii="Arial" w:eastAsia="宋体" w:hAnsi="Arial" w:cs="Arial"/>
          <w:color w:val="262626"/>
          <w:sz w:val="18"/>
          <w:szCs w:val="18"/>
        </w:rPr>
        <w:t>al officer), as of the end of the period covered by this report, our principal executive officer and principal financial officer have concluded that our disclosure controls and procedures (as defined in Rules 13a-15(e) and 15d-15(e) under the Exchange Act)</w:t>
      </w:r>
      <w:r>
        <w:rPr>
          <w:rFonts w:ascii="Arial" w:eastAsia="宋体" w:hAnsi="Arial" w:cs="Arial"/>
          <w:color w:val="262626"/>
          <w:sz w:val="18"/>
          <w:szCs w:val="18"/>
        </w:rPr>
        <w:t>, are effective to provide reasonable assurance that information required to be disclosed by us in reports that we file or submit under the Exchange Act is recorded, processed, summarized, and reported within the time periods specified in SEC rules and for</w:t>
      </w:r>
      <w:r>
        <w:rPr>
          <w:rFonts w:ascii="Arial" w:eastAsia="宋体" w:hAnsi="Arial" w:cs="Arial"/>
          <w:color w:val="262626"/>
          <w:sz w:val="18"/>
          <w:szCs w:val="18"/>
        </w:rPr>
        <w:t>ms, and is accumulated and communicated to management, including our principal executive officer and principal financial officer, as appropriate, to allow timely decisions regarding required disclosure.</w:t>
      </w:r>
    </w:p>
    <w:p w14:paraId="5A1B3A7E" w14:textId="77777777" w:rsidR="00960BB8" w:rsidRDefault="00C06650">
      <w:pPr>
        <w:spacing w:after="180"/>
      </w:pPr>
      <w:r>
        <w:rPr>
          <w:rFonts w:ascii="Arial" w:eastAsia="宋体" w:hAnsi="Arial" w:cs="Arial"/>
          <w:color w:val="0068B5"/>
          <w:sz w:val="28"/>
          <w:szCs w:val="28"/>
        </w:rPr>
        <w:t>Changes in Internal Control Over Financial Reporting</w:t>
      </w:r>
    </w:p>
    <w:p w14:paraId="5A1B3A7F" w14:textId="77777777" w:rsidR="00960BB8" w:rsidRDefault="00C06650">
      <w:pPr>
        <w:spacing w:after="180"/>
      </w:pPr>
      <w:r>
        <w:rPr>
          <w:rFonts w:ascii="Arial" w:eastAsia="宋体" w:hAnsi="Arial" w:cs="Arial"/>
          <w:color w:val="262626"/>
          <w:sz w:val="18"/>
          <w:szCs w:val="18"/>
        </w:rPr>
        <w:t xml:space="preserve">There were no changes to our internal control over financial reporting (as defined in Rules 13a-15(f) and 15d-15(f) under the Exchange Act) that occurred during the quarter ended December 31, 2022 that have materially affected, or are reasonably likely to </w:t>
      </w:r>
      <w:r>
        <w:rPr>
          <w:rFonts w:ascii="Arial" w:eastAsia="宋体" w:hAnsi="Arial" w:cs="Arial"/>
          <w:color w:val="262626"/>
          <w:sz w:val="18"/>
          <w:szCs w:val="18"/>
        </w:rPr>
        <w:t>materially affect, our internal control over financial reporting.</w:t>
      </w:r>
    </w:p>
    <w:p w14:paraId="5A1B3A80" w14:textId="77777777" w:rsidR="00960BB8" w:rsidRDefault="00C06650">
      <w:pPr>
        <w:spacing w:after="180"/>
      </w:pPr>
      <w:r>
        <w:rPr>
          <w:rFonts w:ascii="Arial" w:eastAsia="宋体" w:hAnsi="Arial" w:cs="Arial"/>
          <w:color w:val="0068B5"/>
          <w:sz w:val="28"/>
          <w:szCs w:val="28"/>
        </w:rPr>
        <w:t xml:space="preserve">Management Report on Internal Control Over Financial Reporting </w:t>
      </w:r>
    </w:p>
    <w:p w14:paraId="5A1B3A81" w14:textId="77777777" w:rsidR="00960BB8" w:rsidRDefault="00C06650">
      <w:pPr>
        <w:spacing w:after="180"/>
      </w:pPr>
      <w:r>
        <w:rPr>
          <w:rFonts w:ascii="Arial" w:eastAsia="宋体" w:hAnsi="Arial" w:cs="Arial"/>
          <w:color w:val="262626"/>
          <w:sz w:val="18"/>
          <w:szCs w:val="18"/>
        </w:rPr>
        <w:t xml:space="preserve">Our management is responsible for establishing and maintaining adequate internal control over financial reporting (as defined </w:t>
      </w:r>
      <w:r>
        <w:rPr>
          <w:rFonts w:ascii="Arial" w:eastAsia="宋体" w:hAnsi="Arial" w:cs="Arial"/>
          <w:color w:val="262626"/>
          <w:sz w:val="18"/>
          <w:szCs w:val="18"/>
        </w:rPr>
        <w:t>in Rules 13a-15(f) and 15d-15(f) under the Exchange Act) to provide reasonable assurance regarding the reliability of our financial reporting and the preparation of Consolidated Financial Statements for external purposes in accordance with US GAAP.</w:t>
      </w:r>
    </w:p>
    <w:p w14:paraId="5A1B3A82" w14:textId="77777777" w:rsidR="00960BB8" w:rsidRDefault="00C06650">
      <w:pPr>
        <w:spacing w:after="180"/>
      </w:pPr>
      <w:r>
        <w:rPr>
          <w:rFonts w:ascii="Arial" w:eastAsia="宋体" w:hAnsi="Arial" w:cs="Arial"/>
          <w:color w:val="262626"/>
          <w:sz w:val="18"/>
          <w:szCs w:val="18"/>
        </w:rPr>
        <w:t>Managem</w:t>
      </w:r>
      <w:r>
        <w:rPr>
          <w:rFonts w:ascii="Arial" w:eastAsia="宋体" w:hAnsi="Arial" w:cs="Arial"/>
          <w:color w:val="262626"/>
          <w:sz w:val="18"/>
          <w:szCs w:val="18"/>
        </w:rPr>
        <w:t>ent assessed our internal control over financial reporting as of December 31, 2022. Management based its assessment on criteria established in Internal Control—Integrated Framework issued by the Committee of Sponsoring Organizations of the Treadway Commiss</w:t>
      </w:r>
      <w:r>
        <w:rPr>
          <w:rFonts w:ascii="Arial" w:eastAsia="宋体" w:hAnsi="Arial" w:cs="Arial"/>
          <w:color w:val="262626"/>
          <w:sz w:val="18"/>
          <w:szCs w:val="18"/>
        </w:rPr>
        <w:t>ion (2013 framework). Management's assessment included evaluation of elements such as the design and operating effectiveness of key financial reporting controls, process documentation, accounting policies, and our overall control environment.</w:t>
      </w:r>
    </w:p>
    <w:p w14:paraId="5A1B3A83" w14:textId="77777777" w:rsidR="00960BB8" w:rsidRDefault="00C06650">
      <w:pPr>
        <w:spacing w:after="180"/>
      </w:pPr>
      <w:r>
        <w:rPr>
          <w:rFonts w:ascii="Arial" w:eastAsia="宋体" w:hAnsi="Arial" w:cs="Arial"/>
          <w:color w:val="262626"/>
          <w:sz w:val="18"/>
          <w:szCs w:val="18"/>
        </w:rPr>
        <w:t xml:space="preserve">Based on </w:t>
      </w:r>
      <w:r>
        <w:rPr>
          <w:rFonts w:ascii="Arial" w:eastAsia="宋体" w:hAnsi="Arial" w:cs="Arial"/>
          <w:color w:val="262626"/>
          <w:sz w:val="18"/>
          <w:szCs w:val="18"/>
        </w:rPr>
        <w:t>this assessment, management has concluded that our internal control over financial reporting was effective as of the end of the fiscal year to provide reasonable assurance regarding the reliability of financial reporting and the preparation of Consolidated</w:t>
      </w:r>
      <w:r>
        <w:rPr>
          <w:rFonts w:ascii="Arial" w:eastAsia="宋体" w:hAnsi="Arial" w:cs="Arial"/>
          <w:color w:val="262626"/>
          <w:sz w:val="18"/>
          <w:szCs w:val="18"/>
        </w:rPr>
        <w:t xml:space="preserve"> Financial Statements for external reporting purposes in accordance with US GAAP. We reviewed the results of management's assessment with the Audit Committee of our Board of Directors.</w:t>
      </w:r>
    </w:p>
    <w:p w14:paraId="5A1B3A84" w14:textId="77777777" w:rsidR="00960BB8" w:rsidRDefault="00C06650">
      <w:pPr>
        <w:spacing w:after="180"/>
      </w:pPr>
      <w:r>
        <w:rPr>
          <w:rFonts w:ascii="Arial" w:eastAsia="宋体" w:hAnsi="Arial" w:cs="Arial"/>
          <w:color w:val="262626"/>
          <w:sz w:val="18"/>
          <w:szCs w:val="18"/>
        </w:rPr>
        <w:t>Our independent registered public accounting firm, Ernst &amp; Young LLP, i</w:t>
      </w:r>
      <w:r>
        <w:rPr>
          <w:rFonts w:ascii="Arial" w:eastAsia="宋体" w:hAnsi="Arial" w:cs="Arial"/>
          <w:color w:val="262626"/>
          <w:sz w:val="18"/>
          <w:szCs w:val="18"/>
        </w:rPr>
        <w:t xml:space="preserve">ndependently assessed the effectiveness of the company's internal control over financial reporting, as stated in the firm's attestation report, which is included within Financial Statements and Supplemental Details.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3A8E" w14:textId="77777777">
        <w:tc>
          <w:tcPr>
            <w:tcW w:w="50" w:type="pct"/>
            <w:shd w:val="clear" w:color="auto" w:fill="auto"/>
            <w:vAlign w:val="bottom"/>
          </w:tcPr>
          <w:p w14:paraId="5A1B3A85" w14:textId="77777777" w:rsidR="00960BB8" w:rsidRDefault="00960BB8">
            <w:pPr>
              <w:rPr>
                <w:rFonts w:ascii="宋体"/>
              </w:rPr>
            </w:pPr>
          </w:p>
        </w:tc>
        <w:tc>
          <w:tcPr>
            <w:tcW w:w="283" w:type="pct"/>
            <w:shd w:val="clear" w:color="auto" w:fill="auto"/>
            <w:vAlign w:val="bottom"/>
          </w:tcPr>
          <w:p w14:paraId="5A1B3A86" w14:textId="77777777" w:rsidR="00960BB8" w:rsidRDefault="00960BB8">
            <w:pPr>
              <w:rPr>
                <w:rFonts w:ascii="宋体"/>
              </w:rPr>
            </w:pPr>
          </w:p>
        </w:tc>
        <w:tc>
          <w:tcPr>
            <w:tcW w:w="5" w:type="pct"/>
            <w:shd w:val="clear" w:color="auto" w:fill="auto"/>
            <w:vAlign w:val="bottom"/>
          </w:tcPr>
          <w:p w14:paraId="5A1B3A87" w14:textId="77777777" w:rsidR="00960BB8" w:rsidRDefault="00960BB8">
            <w:pPr>
              <w:rPr>
                <w:rFonts w:ascii="宋体"/>
              </w:rPr>
            </w:pPr>
          </w:p>
        </w:tc>
        <w:tc>
          <w:tcPr>
            <w:tcW w:w="50" w:type="pct"/>
            <w:shd w:val="clear" w:color="auto" w:fill="auto"/>
            <w:vAlign w:val="bottom"/>
          </w:tcPr>
          <w:p w14:paraId="5A1B3A88" w14:textId="77777777" w:rsidR="00960BB8" w:rsidRDefault="00960BB8">
            <w:pPr>
              <w:rPr>
                <w:rFonts w:ascii="宋体"/>
              </w:rPr>
            </w:pPr>
          </w:p>
        </w:tc>
        <w:tc>
          <w:tcPr>
            <w:tcW w:w="2656" w:type="pct"/>
            <w:shd w:val="clear" w:color="auto" w:fill="auto"/>
            <w:vAlign w:val="bottom"/>
          </w:tcPr>
          <w:p w14:paraId="5A1B3A89" w14:textId="77777777" w:rsidR="00960BB8" w:rsidRDefault="00960BB8">
            <w:pPr>
              <w:rPr>
                <w:rFonts w:ascii="宋体"/>
              </w:rPr>
            </w:pPr>
          </w:p>
        </w:tc>
        <w:tc>
          <w:tcPr>
            <w:tcW w:w="5" w:type="pct"/>
            <w:shd w:val="clear" w:color="auto" w:fill="auto"/>
            <w:vAlign w:val="bottom"/>
          </w:tcPr>
          <w:p w14:paraId="5A1B3A8A" w14:textId="77777777" w:rsidR="00960BB8" w:rsidRDefault="00960BB8">
            <w:pPr>
              <w:rPr>
                <w:rFonts w:ascii="宋体"/>
              </w:rPr>
            </w:pPr>
          </w:p>
        </w:tc>
        <w:tc>
          <w:tcPr>
            <w:tcW w:w="50" w:type="pct"/>
            <w:shd w:val="clear" w:color="auto" w:fill="auto"/>
            <w:vAlign w:val="bottom"/>
          </w:tcPr>
          <w:p w14:paraId="5A1B3A8B" w14:textId="77777777" w:rsidR="00960BB8" w:rsidRDefault="00960BB8">
            <w:pPr>
              <w:rPr>
                <w:rFonts w:ascii="宋体"/>
              </w:rPr>
            </w:pPr>
          </w:p>
        </w:tc>
        <w:tc>
          <w:tcPr>
            <w:tcW w:w="1894" w:type="pct"/>
            <w:shd w:val="clear" w:color="auto" w:fill="auto"/>
            <w:vAlign w:val="bottom"/>
          </w:tcPr>
          <w:p w14:paraId="5A1B3A8C" w14:textId="77777777" w:rsidR="00960BB8" w:rsidRDefault="00960BB8">
            <w:pPr>
              <w:rPr>
                <w:rFonts w:ascii="宋体"/>
              </w:rPr>
            </w:pPr>
          </w:p>
        </w:tc>
        <w:tc>
          <w:tcPr>
            <w:tcW w:w="5" w:type="pct"/>
            <w:shd w:val="clear" w:color="auto" w:fill="auto"/>
            <w:vAlign w:val="bottom"/>
          </w:tcPr>
          <w:p w14:paraId="5A1B3A8D" w14:textId="77777777" w:rsidR="00960BB8" w:rsidRDefault="00960BB8">
            <w:pPr>
              <w:rPr>
                <w:rFonts w:ascii="宋体"/>
              </w:rPr>
            </w:pPr>
          </w:p>
        </w:tc>
      </w:tr>
      <w:tr w:rsidR="00960BB8" w14:paraId="5A1B3A9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A8F"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E4" wp14:editId="5A1B44E5">
                  <wp:extent cx="304800" cy="304800"/>
                  <wp:effectExtent l="0" t="0" r="0" b="0"/>
                  <wp:docPr id="158" name="图片 32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2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A90" w14:textId="77777777" w:rsidR="00960BB8" w:rsidRDefault="00C06650">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A91" w14:textId="77777777" w:rsidR="00960BB8" w:rsidRDefault="00C06650">
            <w:pPr>
              <w:jc w:val="right"/>
              <w:textAlignment w:val="center"/>
            </w:pPr>
            <w:r>
              <w:rPr>
                <w:rFonts w:ascii="Arial" w:eastAsia="宋体" w:hAnsi="Arial" w:cs="Arial"/>
                <w:color w:val="262626"/>
                <w:sz w:val="16"/>
                <w:szCs w:val="16"/>
              </w:rPr>
              <w:t>118</w:t>
            </w:r>
          </w:p>
        </w:tc>
      </w:tr>
    </w:tbl>
    <w:p w14:paraId="5A1B3A93" w14:textId="77777777" w:rsidR="00960BB8" w:rsidRDefault="00C06650">
      <w:r>
        <w:pict w14:anchorId="5A1B44E6">
          <v:rect id="_x0000_i1144" style="width:415.3pt;height:1.5pt" o:hralign="center" o:hrstd="t" o:hr="t" fillcolor="#a0a0a0" stroked="f"/>
        </w:pict>
      </w:r>
    </w:p>
    <w:p w14:paraId="5A1B3A94" w14:textId="77777777" w:rsidR="00960BB8" w:rsidRDefault="00C06650">
      <w:pPr>
        <w:jc w:val="right"/>
      </w:pPr>
      <w:hyperlink r:id="rId167" w:anchor="i8aaa7b4dbd2e419ca0f5c30af85a11aa_16" w:history="1">
        <w:r>
          <w:rPr>
            <w:rStyle w:val="a5"/>
            <w:rFonts w:ascii="Arial" w:eastAsia="宋体" w:hAnsi="Arial" w:cs="Arial"/>
            <w:b/>
            <w:bCs/>
            <w:sz w:val="16"/>
            <w:szCs w:val="16"/>
          </w:rPr>
          <w:t>Table of Contents</w:t>
        </w:r>
      </w:hyperlink>
    </w:p>
    <w:p w14:paraId="5A1B3A95"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3A9C" w14:textId="77777777">
        <w:tc>
          <w:tcPr>
            <w:tcW w:w="50" w:type="pct"/>
            <w:shd w:val="clear" w:color="auto" w:fill="auto"/>
            <w:vAlign w:val="bottom"/>
          </w:tcPr>
          <w:p w14:paraId="5A1B3A96" w14:textId="77777777" w:rsidR="00960BB8" w:rsidRDefault="00960BB8">
            <w:pPr>
              <w:rPr>
                <w:rFonts w:ascii="宋体"/>
              </w:rPr>
            </w:pPr>
          </w:p>
        </w:tc>
        <w:tc>
          <w:tcPr>
            <w:tcW w:w="4870" w:type="pct"/>
            <w:shd w:val="clear" w:color="auto" w:fill="auto"/>
            <w:vAlign w:val="bottom"/>
          </w:tcPr>
          <w:p w14:paraId="5A1B3A97" w14:textId="77777777" w:rsidR="00960BB8" w:rsidRDefault="00960BB8">
            <w:pPr>
              <w:rPr>
                <w:rFonts w:ascii="宋体"/>
              </w:rPr>
            </w:pPr>
          </w:p>
        </w:tc>
        <w:tc>
          <w:tcPr>
            <w:tcW w:w="5" w:type="pct"/>
            <w:shd w:val="clear" w:color="auto" w:fill="auto"/>
            <w:vAlign w:val="bottom"/>
          </w:tcPr>
          <w:p w14:paraId="5A1B3A98" w14:textId="77777777" w:rsidR="00960BB8" w:rsidRDefault="00960BB8">
            <w:pPr>
              <w:rPr>
                <w:rFonts w:ascii="宋体"/>
              </w:rPr>
            </w:pPr>
          </w:p>
        </w:tc>
        <w:tc>
          <w:tcPr>
            <w:tcW w:w="5" w:type="pct"/>
            <w:shd w:val="clear" w:color="auto" w:fill="auto"/>
            <w:vAlign w:val="bottom"/>
          </w:tcPr>
          <w:p w14:paraId="5A1B3A99" w14:textId="77777777" w:rsidR="00960BB8" w:rsidRDefault="00960BB8">
            <w:pPr>
              <w:rPr>
                <w:rFonts w:ascii="宋体"/>
              </w:rPr>
            </w:pPr>
          </w:p>
        </w:tc>
        <w:tc>
          <w:tcPr>
            <w:tcW w:w="64" w:type="pct"/>
            <w:shd w:val="clear" w:color="auto" w:fill="auto"/>
            <w:vAlign w:val="bottom"/>
          </w:tcPr>
          <w:p w14:paraId="5A1B3A9A" w14:textId="77777777" w:rsidR="00960BB8" w:rsidRDefault="00960BB8">
            <w:pPr>
              <w:rPr>
                <w:rFonts w:ascii="宋体"/>
              </w:rPr>
            </w:pPr>
          </w:p>
        </w:tc>
        <w:tc>
          <w:tcPr>
            <w:tcW w:w="5" w:type="pct"/>
            <w:shd w:val="clear" w:color="auto" w:fill="auto"/>
            <w:vAlign w:val="bottom"/>
          </w:tcPr>
          <w:p w14:paraId="5A1B3A9B" w14:textId="77777777" w:rsidR="00960BB8" w:rsidRDefault="00960BB8">
            <w:pPr>
              <w:rPr>
                <w:rFonts w:ascii="宋体"/>
              </w:rPr>
            </w:pPr>
          </w:p>
        </w:tc>
      </w:tr>
      <w:tr w:rsidR="00960BB8" w14:paraId="5A1B3A9F" w14:textId="77777777">
        <w:tc>
          <w:tcPr>
            <w:tcW w:w="0" w:type="auto"/>
            <w:gridSpan w:val="3"/>
            <w:shd w:val="clear" w:color="auto" w:fill="004A86"/>
            <w:tcMar>
              <w:top w:w="40" w:type="dxa"/>
              <w:left w:w="20" w:type="dxa"/>
              <w:bottom w:w="40" w:type="dxa"/>
              <w:right w:w="20" w:type="dxa"/>
            </w:tcMar>
            <w:vAlign w:val="center"/>
          </w:tcPr>
          <w:p w14:paraId="5A1B3A9D" w14:textId="77777777" w:rsidR="00960BB8" w:rsidRDefault="00C06650">
            <w:pPr>
              <w:textAlignment w:val="center"/>
            </w:pPr>
            <w:r>
              <w:rPr>
                <w:rFonts w:ascii="Arial" w:eastAsia="宋体" w:hAnsi="Arial" w:cs="Arial"/>
                <w:color w:val="FFFFFF"/>
                <w:sz w:val="36"/>
                <w:szCs w:val="36"/>
              </w:rPr>
              <w:t>Exhibits</w:t>
            </w:r>
          </w:p>
        </w:tc>
        <w:tc>
          <w:tcPr>
            <w:tcW w:w="0" w:type="auto"/>
            <w:gridSpan w:val="3"/>
            <w:shd w:val="clear" w:color="auto" w:fill="auto"/>
            <w:tcMar>
              <w:top w:w="0" w:type="dxa"/>
              <w:left w:w="20" w:type="dxa"/>
              <w:bottom w:w="0" w:type="dxa"/>
              <w:right w:w="20" w:type="dxa"/>
            </w:tcMar>
            <w:vAlign w:val="bottom"/>
          </w:tcPr>
          <w:p w14:paraId="5A1B3A9E" w14:textId="77777777" w:rsidR="00960BB8" w:rsidRDefault="00960BB8">
            <w:pPr>
              <w:rPr>
                <w:rFonts w:ascii="宋体"/>
              </w:rPr>
            </w:pPr>
          </w:p>
        </w:tc>
      </w:tr>
      <w:tr w:rsidR="00960BB8" w14:paraId="5A1B3AA2" w14:textId="77777777">
        <w:trPr>
          <w:trHeight w:val="160"/>
        </w:trPr>
        <w:tc>
          <w:tcPr>
            <w:tcW w:w="0" w:type="auto"/>
            <w:gridSpan w:val="3"/>
            <w:shd w:val="clear" w:color="auto" w:fill="auto"/>
            <w:tcMar>
              <w:top w:w="0" w:type="dxa"/>
              <w:left w:w="20" w:type="dxa"/>
              <w:bottom w:w="0" w:type="dxa"/>
              <w:right w:w="20" w:type="dxa"/>
            </w:tcMar>
            <w:vAlign w:val="bottom"/>
          </w:tcPr>
          <w:p w14:paraId="5A1B3AA0"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3AA1" w14:textId="77777777" w:rsidR="00960BB8" w:rsidRDefault="00960BB8">
            <w:pPr>
              <w:rPr>
                <w:rFonts w:ascii="宋体"/>
              </w:rPr>
            </w:pPr>
          </w:p>
        </w:tc>
      </w:tr>
    </w:tbl>
    <w:p w14:paraId="5A1B3AA3" w14:textId="77777777" w:rsidR="00960BB8" w:rsidRDefault="00C06650">
      <w:pPr>
        <w:spacing w:before="180" w:after="60"/>
        <w:ind w:hanging="360"/>
      </w:pPr>
      <w:r>
        <w:rPr>
          <w:rFonts w:ascii="Arial" w:eastAsia="宋体" w:hAnsi="Arial" w:cs="Arial"/>
          <w:color w:val="262626"/>
          <w:sz w:val="18"/>
          <w:szCs w:val="18"/>
        </w:rPr>
        <w:t xml:space="preserve">1.Financial Statements: See "Index to Consolidated </w:t>
      </w:r>
      <w:r>
        <w:rPr>
          <w:rFonts w:ascii="Arial" w:eastAsia="宋体" w:hAnsi="Arial" w:cs="Arial"/>
          <w:color w:val="262626"/>
          <w:sz w:val="18"/>
          <w:szCs w:val="18"/>
        </w:rPr>
        <w:t>Financial Statements" within the Consolidated Financial Statements.</w:t>
      </w:r>
    </w:p>
    <w:p w14:paraId="5A1B3AA4" w14:textId="77777777" w:rsidR="00960BB8" w:rsidRDefault="00C06650">
      <w:pPr>
        <w:spacing w:after="60"/>
        <w:ind w:hanging="360"/>
      </w:pPr>
      <w:r>
        <w:rPr>
          <w:rFonts w:ascii="Arial" w:eastAsia="宋体" w:hAnsi="Arial" w:cs="Arial"/>
          <w:color w:val="262626"/>
          <w:sz w:val="18"/>
          <w:szCs w:val="18"/>
        </w:rPr>
        <w:t>2.Financial Statement Schedules: Not applicable or the required information is otherwise included in the Consolidated Financial Statements and accompanying notes.</w:t>
      </w:r>
    </w:p>
    <w:p w14:paraId="5A1B3AA5" w14:textId="77777777" w:rsidR="00960BB8" w:rsidRDefault="00C06650">
      <w:pPr>
        <w:spacing w:after="180"/>
        <w:ind w:hanging="360"/>
      </w:pPr>
      <w:r>
        <w:rPr>
          <w:rFonts w:ascii="Arial" w:eastAsia="宋体" w:hAnsi="Arial" w:cs="Arial"/>
          <w:color w:val="262626"/>
          <w:sz w:val="18"/>
          <w:szCs w:val="18"/>
        </w:rPr>
        <w:t xml:space="preserve">3.Exhibits: The exhibits </w:t>
      </w:r>
      <w:r>
        <w:rPr>
          <w:rFonts w:ascii="Arial" w:eastAsia="宋体" w:hAnsi="Arial" w:cs="Arial"/>
          <w:color w:val="262626"/>
          <w:sz w:val="18"/>
          <w:szCs w:val="18"/>
        </w:rPr>
        <w:t>listed in the accompanying index to exhibits are filed, furnished, or incorporated by reference as part of this Form 10-K.</w:t>
      </w:r>
    </w:p>
    <w:p w14:paraId="5A1B3AA6" w14:textId="77777777" w:rsidR="00960BB8" w:rsidRDefault="00C06650">
      <w:pPr>
        <w:spacing w:after="120"/>
      </w:pPr>
      <w:r>
        <w:rPr>
          <w:rFonts w:ascii="Arial" w:eastAsia="宋体" w:hAnsi="Arial" w:cs="Arial"/>
          <w:color w:val="262626"/>
          <w:sz w:val="18"/>
          <w:szCs w:val="18"/>
        </w:rPr>
        <w:t>Certain of the agreements filed as exhibits to this Form 10-K contain representations and warranties by the parties to the agreements</w:t>
      </w:r>
      <w:r>
        <w:rPr>
          <w:rFonts w:ascii="Arial" w:eastAsia="宋体" w:hAnsi="Arial" w:cs="Arial"/>
          <w:color w:val="262626"/>
          <w:sz w:val="18"/>
          <w:szCs w:val="18"/>
        </w:rPr>
        <w:t xml:space="preserve"> that have been made solely for the benefit of the parties to the agreement. These representations and warranties:</w:t>
      </w:r>
    </w:p>
    <w:p w14:paraId="5A1B3AA7"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may have been qualified by disclosures that were made to the other parties in connection with the negotiation of the agreements, which discl</w:t>
      </w:r>
      <w:r>
        <w:rPr>
          <w:rFonts w:ascii="Arial" w:eastAsia="宋体" w:hAnsi="Arial" w:cs="Arial"/>
          <w:color w:val="262626"/>
          <w:sz w:val="18"/>
          <w:szCs w:val="18"/>
        </w:rPr>
        <w:t>osures are not necessarily reflected in the agreements;</w:t>
      </w:r>
    </w:p>
    <w:p w14:paraId="5A1B3AA8" w14:textId="77777777" w:rsidR="00960BB8" w:rsidRDefault="00C06650">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may apply standards of materiality that differ from those of a reasonable investor; and</w:t>
      </w:r>
    </w:p>
    <w:p w14:paraId="5A1B3AA9" w14:textId="77777777" w:rsidR="00960BB8" w:rsidRDefault="00C06650">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were made only as of specified dates contained in the agreements and are subject to subsequent developments an</w:t>
      </w:r>
      <w:r>
        <w:rPr>
          <w:rFonts w:ascii="Arial" w:eastAsia="宋体" w:hAnsi="Arial" w:cs="Arial"/>
          <w:color w:val="262626"/>
          <w:sz w:val="18"/>
          <w:szCs w:val="18"/>
        </w:rPr>
        <w:t>d changed circumstances.</w:t>
      </w:r>
    </w:p>
    <w:p w14:paraId="5A1B3AAA" w14:textId="77777777" w:rsidR="00960BB8" w:rsidRDefault="00C06650">
      <w:pPr>
        <w:spacing w:after="180"/>
      </w:pPr>
      <w:r>
        <w:rPr>
          <w:rFonts w:ascii="Arial" w:eastAsia="宋体" w:hAnsi="Arial" w:cs="Arial"/>
          <w:color w:val="262626"/>
          <w:sz w:val="18"/>
          <w:szCs w:val="18"/>
        </w:rPr>
        <w:t>Accordingly, these representations and warranties may not describe the actual state of affairs as of the date that these representations and warranties were made or at any other time. Investors should not rely on them as statements</w:t>
      </w:r>
      <w:r>
        <w:rPr>
          <w:rFonts w:ascii="Arial" w:eastAsia="宋体" w:hAnsi="Arial" w:cs="Arial"/>
          <w:color w:val="262626"/>
          <w:sz w:val="18"/>
          <w:szCs w:val="18"/>
        </w:rPr>
        <w:t xml:space="preserve"> of fact.</w:t>
      </w:r>
    </w:p>
    <w:p w14:paraId="5A1B3AAB" w14:textId="77777777" w:rsidR="00960BB8" w:rsidRDefault="00960BB8"/>
    <w:p w14:paraId="5A1B3AAC" w14:textId="77777777" w:rsidR="00960BB8" w:rsidRDefault="00960BB8"/>
    <w:p w14:paraId="5A1B3AAD" w14:textId="77777777" w:rsidR="00960BB8" w:rsidRDefault="00960BB8"/>
    <w:p w14:paraId="5A1B3AAE" w14:textId="77777777" w:rsidR="00960BB8" w:rsidRDefault="00960BB8"/>
    <w:p w14:paraId="5A1B3AAF" w14:textId="77777777" w:rsidR="00960BB8" w:rsidRDefault="00960BB8"/>
    <w:p w14:paraId="5A1B3AB0" w14:textId="77777777" w:rsidR="00960BB8" w:rsidRDefault="00960BB8"/>
    <w:p w14:paraId="5A1B3AB1" w14:textId="77777777" w:rsidR="00960BB8" w:rsidRDefault="00960BB8"/>
    <w:p w14:paraId="5A1B3AB2" w14:textId="77777777" w:rsidR="00960BB8" w:rsidRDefault="00960BB8"/>
    <w:p w14:paraId="5A1B3AB3" w14:textId="77777777" w:rsidR="00960BB8" w:rsidRDefault="00960BB8"/>
    <w:p w14:paraId="5A1B3AB4" w14:textId="77777777" w:rsidR="00960BB8" w:rsidRDefault="00960BB8"/>
    <w:p w14:paraId="5A1B3AB5" w14:textId="77777777" w:rsidR="00960BB8" w:rsidRDefault="00960BB8"/>
    <w:p w14:paraId="5A1B3AB6" w14:textId="77777777" w:rsidR="00960BB8" w:rsidRDefault="00960BB8"/>
    <w:p w14:paraId="5A1B3AB7" w14:textId="77777777" w:rsidR="00960BB8" w:rsidRDefault="00960BB8"/>
    <w:p w14:paraId="5A1B3AB8" w14:textId="77777777" w:rsidR="00960BB8" w:rsidRDefault="00960BB8"/>
    <w:p w14:paraId="5A1B3AB9" w14:textId="77777777" w:rsidR="00960BB8" w:rsidRDefault="00960BB8"/>
    <w:p w14:paraId="5A1B3ABA" w14:textId="77777777" w:rsidR="00960BB8" w:rsidRDefault="00960BB8"/>
    <w:p w14:paraId="5A1B3ABB" w14:textId="77777777" w:rsidR="00960BB8" w:rsidRDefault="00960BB8"/>
    <w:p w14:paraId="5A1B3ABC" w14:textId="77777777" w:rsidR="00960BB8" w:rsidRDefault="00960BB8"/>
    <w:p w14:paraId="5A1B3ABD" w14:textId="77777777" w:rsidR="00960BB8" w:rsidRDefault="00960BB8"/>
    <w:p w14:paraId="5A1B3ABE" w14:textId="77777777" w:rsidR="00960BB8" w:rsidRDefault="00960BB8"/>
    <w:p w14:paraId="5A1B3ABF" w14:textId="77777777" w:rsidR="00960BB8" w:rsidRDefault="00960BB8"/>
    <w:p w14:paraId="5A1B3AC0" w14:textId="77777777" w:rsidR="00960BB8" w:rsidRDefault="00960BB8"/>
    <w:p w14:paraId="5A1B3AC1"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3ACB" w14:textId="77777777">
        <w:tc>
          <w:tcPr>
            <w:tcW w:w="50" w:type="pct"/>
            <w:shd w:val="clear" w:color="auto" w:fill="auto"/>
            <w:vAlign w:val="bottom"/>
          </w:tcPr>
          <w:p w14:paraId="5A1B3AC2" w14:textId="77777777" w:rsidR="00960BB8" w:rsidRDefault="00960BB8">
            <w:pPr>
              <w:rPr>
                <w:rFonts w:ascii="宋体"/>
              </w:rPr>
            </w:pPr>
          </w:p>
        </w:tc>
        <w:tc>
          <w:tcPr>
            <w:tcW w:w="283" w:type="pct"/>
            <w:shd w:val="clear" w:color="auto" w:fill="auto"/>
            <w:vAlign w:val="bottom"/>
          </w:tcPr>
          <w:p w14:paraId="5A1B3AC3" w14:textId="77777777" w:rsidR="00960BB8" w:rsidRDefault="00960BB8">
            <w:pPr>
              <w:rPr>
                <w:rFonts w:ascii="宋体"/>
              </w:rPr>
            </w:pPr>
          </w:p>
        </w:tc>
        <w:tc>
          <w:tcPr>
            <w:tcW w:w="5" w:type="pct"/>
            <w:shd w:val="clear" w:color="auto" w:fill="auto"/>
            <w:vAlign w:val="bottom"/>
          </w:tcPr>
          <w:p w14:paraId="5A1B3AC4" w14:textId="77777777" w:rsidR="00960BB8" w:rsidRDefault="00960BB8">
            <w:pPr>
              <w:rPr>
                <w:rFonts w:ascii="宋体"/>
              </w:rPr>
            </w:pPr>
          </w:p>
        </w:tc>
        <w:tc>
          <w:tcPr>
            <w:tcW w:w="50" w:type="pct"/>
            <w:shd w:val="clear" w:color="auto" w:fill="auto"/>
            <w:vAlign w:val="bottom"/>
          </w:tcPr>
          <w:p w14:paraId="5A1B3AC5" w14:textId="77777777" w:rsidR="00960BB8" w:rsidRDefault="00960BB8">
            <w:pPr>
              <w:rPr>
                <w:rFonts w:ascii="宋体"/>
              </w:rPr>
            </w:pPr>
          </w:p>
        </w:tc>
        <w:tc>
          <w:tcPr>
            <w:tcW w:w="2656" w:type="pct"/>
            <w:shd w:val="clear" w:color="auto" w:fill="auto"/>
            <w:vAlign w:val="bottom"/>
          </w:tcPr>
          <w:p w14:paraId="5A1B3AC6" w14:textId="77777777" w:rsidR="00960BB8" w:rsidRDefault="00960BB8">
            <w:pPr>
              <w:rPr>
                <w:rFonts w:ascii="宋体"/>
              </w:rPr>
            </w:pPr>
          </w:p>
        </w:tc>
        <w:tc>
          <w:tcPr>
            <w:tcW w:w="5" w:type="pct"/>
            <w:shd w:val="clear" w:color="auto" w:fill="auto"/>
            <w:vAlign w:val="bottom"/>
          </w:tcPr>
          <w:p w14:paraId="5A1B3AC7" w14:textId="77777777" w:rsidR="00960BB8" w:rsidRDefault="00960BB8">
            <w:pPr>
              <w:rPr>
                <w:rFonts w:ascii="宋体"/>
              </w:rPr>
            </w:pPr>
          </w:p>
        </w:tc>
        <w:tc>
          <w:tcPr>
            <w:tcW w:w="50" w:type="pct"/>
            <w:shd w:val="clear" w:color="auto" w:fill="auto"/>
            <w:vAlign w:val="bottom"/>
          </w:tcPr>
          <w:p w14:paraId="5A1B3AC8" w14:textId="77777777" w:rsidR="00960BB8" w:rsidRDefault="00960BB8">
            <w:pPr>
              <w:rPr>
                <w:rFonts w:ascii="宋体"/>
              </w:rPr>
            </w:pPr>
          </w:p>
        </w:tc>
        <w:tc>
          <w:tcPr>
            <w:tcW w:w="1894" w:type="pct"/>
            <w:shd w:val="clear" w:color="auto" w:fill="auto"/>
            <w:vAlign w:val="bottom"/>
          </w:tcPr>
          <w:p w14:paraId="5A1B3AC9" w14:textId="77777777" w:rsidR="00960BB8" w:rsidRDefault="00960BB8">
            <w:pPr>
              <w:rPr>
                <w:rFonts w:ascii="宋体"/>
              </w:rPr>
            </w:pPr>
          </w:p>
        </w:tc>
        <w:tc>
          <w:tcPr>
            <w:tcW w:w="5" w:type="pct"/>
            <w:shd w:val="clear" w:color="auto" w:fill="auto"/>
            <w:vAlign w:val="bottom"/>
          </w:tcPr>
          <w:p w14:paraId="5A1B3ACA" w14:textId="77777777" w:rsidR="00960BB8" w:rsidRDefault="00960BB8">
            <w:pPr>
              <w:rPr>
                <w:rFonts w:ascii="宋体"/>
              </w:rPr>
            </w:pPr>
          </w:p>
        </w:tc>
      </w:tr>
      <w:tr w:rsidR="00960BB8" w14:paraId="5A1B3AC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ACC"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E7" wp14:editId="5A1B44E8">
                  <wp:extent cx="304800" cy="304800"/>
                  <wp:effectExtent l="0" t="0" r="0" b="0"/>
                  <wp:docPr id="164" name="图片 32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32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ACD" w14:textId="77777777" w:rsidR="00960BB8" w:rsidRDefault="00C06650">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ACE" w14:textId="77777777" w:rsidR="00960BB8" w:rsidRDefault="00C06650">
            <w:pPr>
              <w:jc w:val="right"/>
              <w:textAlignment w:val="center"/>
            </w:pPr>
            <w:r>
              <w:rPr>
                <w:rFonts w:ascii="Arial" w:eastAsia="宋体" w:hAnsi="Arial" w:cs="Arial"/>
                <w:color w:val="262626"/>
                <w:sz w:val="16"/>
                <w:szCs w:val="16"/>
              </w:rPr>
              <w:t>119</w:t>
            </w:r>
          </w:p>
        </w:tc>
      </w:tr>
    </w:tbl>
    <w:p w14:paraId="5A1B3AD0" w14:textId="77777777" w:rsidR="00960BB8" w:rsidRDefault="00C06650">
      <w:r>
        <w:pict w14:anchorId="5A1B44E9">
          <v:rect id="_x0000_i1145" style="width:415.3pt;height:1.5pt" o:hralign="center" o:hrstd="t" o:hr="t" fillcolor="#a0a0a0" stroked="f"/>
        </w:pict>
      </w:r>
    </w:p>
    <w:p w14:paraId="5A1B3AD1" w14:textId="77777777" w:rsidR="00960BB8" w:rsidRDefault="00C06650">
      <w:pPr>
        <w:jc w:val="right"/>
      </w:pPr>
      <w:hyperlink r:id="rId168" w:anchor="i8aaa7b4dbd2e419ca0f5c30af85a11aa_16" w:history="1">
        <w:r>
          <w:rPr>
            <w:rStyle w:val="a5"/>
            <w:rFonts w:ascii="Arial" w:eastAsia="宋体" w:hAnsi="Arial" w:cs="Arial"/>
            <w:b/>
            <w:bCs/>
            <w:sz w:val="16"/>
            <w:szCs w:val="16"/>
          </w:rPr>
          <w:t>Table of Contents</w:t>
        </w:r>
      </w:hyperlink>
    </w:p>
    <w:p w14:paraId="5A1B3AD2" w14:textId="77777777" w:rsidR="00960BB8" w:rsidRDefault="00960BB8">
      <w:pPr>
        <w:jc w:val="right"/>
      </w:pPr>
    </w:p>
    <w:p w14:paraId="5A1B3AD3" w14:textId="77777777" w:rsidR="00960BB8" w:rsidRDefault="00C06650">
      <w:pPr>
        <w:spacing w:after="180"/>
      </w:pPr>
      <w:r>
        <w:rPr>
          <w:rFonts w:ascii="Arial" w:eastAsia="宋体" w:hAnsi="Arial" w:cs="Arial"/>
          <w:color w:val="0068B5"/>
          <w:sz w:val="28"/>
          <w:szCs w:val="28"/>
        </w:rPr>
        <w:t>Exhibit Index</w:t>
      </w:r>
    </w:p>
    <w:tbl>
      <w:tblPr>
        <w:tblW w:w="4973" w:type="pct"/>
        <w:tblCellMar>
          <w:top w:w="15" w:type="dxa"/>
          <w:left w:w="15" w:type="dxa"/>
          <w:bottom w:w="15" w:type="dxa"/>
          <w:right w:w="15" w:type="dxa"/>
        </w:tblCellMar>
        <w:tblLook w:val="04A0" w:firstRow="1" w:lastRow="0" w:firstColumn="1" w:lastColumn="0" w:noHBand="0" w:noVBand="1"/>
      </w:tblPr>
      <w:tblGrid>
        <w:gridCol w:w="83"/>
        <w:gridCol w:w="630"/>
        <w:gridCol w:w="36"/>
        <w:gridCol w:w="36"/>
        <w:gridCol w:w="36"/>
        <w:gridCol w:w="36"/>
        <w:gridCol w:w="39"/>
        <w:gridCol w:w="2403"/>
        <w:gridCol w:w="38"/>
        <w:gridCol w:w="36"/>
        <w:gridCol w:w="36"/>
        <w:gridCol w:w="36"/>
        <w:gridCol w:w="97"/>
        <w:gridCol w:w="585"/>
        <w:gridCol w:w="37"/>
        <w:gridCol w:w="37"/>
        <w:gridCol w:w="37"/>
        <w:gridCol w:w="37"/>
        <w:gridCol w:w="86"/>
        <w:gridCol w:w="987"/>
        <w:gridCol w:w="37"/>
        <w:gridCol w:w="37"/>
        <w:gridCol w:w="37"/>
        <w:gridCol w:w="37"/>
        <w:gridCol w:w="89"/>
        <w:gridCol w:w="544"/>
        <w:gridCol w:w="37"/>
        <w:gridCol w:w="37"/>
        <w:gridCol w:w="37"/>
        <w:gridCol w:w="36"/>
        <w:gridCol w:w="91"/>
        <w:gridCol w:w="841"/>
        <w:gridCol w:w="36"/>
        <w:gridCol w:w="36"/>
        <w:gridCol w:w="36"/>
        <w:gridCol w:w="36"/>
        <w:gridCol w:w="87"/>
        <w:gridCol w:w="816"/>
        <w:gridCol w:w="36"/>
      </w:tblGrid>
      <w:tr w:rsidR="00960BB8" w14:paraId="5A1B3AFB" w14:textId="77777777">
        <w:tc>
          <w:tcPr>
            <w:tcW w:w="50" w:type="pct"/>
            <w:shd w:val="clear" w:color="auto" w:fill="auto"/>
            <w:vAlign w:val="bottom"/>
          </w:tcPr>
          <w:p w14:paraId="5A1B3AD4" w14:textId="77777777" w:rsidR="00960BB8" w:rsidRDefault="00960BB8">
            <w:pPr>
              <w:rPr>
                <w:rFonts w:ascii="宋体"/>
              </w:rPr>
            </w:pPr>
          </w:p>
        </w:tc>
        <w:tc>
          <w:tcPr>
            <w:tcW w:w="384" w:type="pct"/>
            <w:shd w:val="clear" w:color="auto" w:fill="auto"/>
            <w:vAlign w:val="bottom"/>
          </w:tcPr>
          <w:p w14:paraId="5A1B3AD5" w14:textId="77777777" w:rsidR="00960BB8" w:rsidRDefault="00960BB8">
            <w:pPr>
              <w:rPr>
                <w:rFonts w:ascii="宋体"/>
              </w:rPr>
            </w:pPr>
          </w:p>
        </w:tc>
        <w:tc>
          <w:tcPr>
            <w:tcW w:w="5" w:type="pct"/>
            <w:shd w:val="clear" w:color="auto" w:fill="auto"/>
            <w:vAlign w:val="bottom"/>
          </w:tcPr>
          <w:p w14:paraId="5A1B3AD6" w14:textId="77777777" w:rsidR="00960BB8" w:rsidRDefault="00960BB8">
            <w:pPr>
              <w:rPr>
                <w:rFonts w:ascii="宋体"/>
              </w:rPr>
            </w:pPr>
          </w:p>
        </w:tc>
        <w:tc>
          <w:tcPr>
            <w:tcW w:w="5" w:type="pct"/>
            <w:shd w:val="clear" w:color="auto" w:fill="auto"/>
            <w:vAlign w:val="bottom"/>
          </w:tcPr>
          <w:p w14:paraId="5A1B3AD7" w14:textId="77777777" w:rsidR="00960BB8" w:rsidRDefault="00960BB8">
            <w:pPr>
              <w:rPr>
                <w:rFonts w:ascii="宋体"/>
              </w:rPr>
            </w:pPr>
          </w:p>
        </w:tc>
        <w:tc>
          <w:tcPr>
            <w:tcW w:w="24" w:type="pct"/>
            <w:shd w:val="clear" w:color="auto" w:fill="auto"/>
            <w:vAlign w:val="bottom"/>
          </w:tcPr>
          <w:p w14:paraId="5A1B3AD8" w14:textId="77777777" w:rsidR="00960BB8" w:rsidRDefault="00960BB8">
            <w:pPr>
              <w:rPr>
                <w:rFonts w:ascii="宋体"/>
              </w:rPr>
            </w:pPr>
          </w:p>
        </w:tc>
        <w:tc>
          <w:tcPr>
            <w:tcW w:w="5" w:type="pct"/>
            <w:shd w:val="clear" w:color="auto" w:fill="auto"/>
            <w:vAlign w:val="bottom"/>
          </w:tcPr>
          <w:p w14:paraId="5A1B3AD9" w14:textId="77777777" w:rsidR="00960BB8" w:rsidRDefault="00960BB8">
            <w:pPr>
              <w:rPr>
                <w:rFonts w:ascii="宋体"/>
              </w:rPr>
            </w:pPr>
          </w:p>
        </w:tc>
        <w:tc>
          <w:tcPr>
            <w:tcW w:w="50" w:type="pct"/>
            <w:shd w:val="clear" w:color="auto" w:fill="auto"/>
            <w:vAlign w:val="bottom"/>
          </w:tcPr>
          <w:p w14:paraId="5A1B3ADA" w14:textId="77777777" w:rsidR="00960BB8" w:rsidRDefault="00960BB8">
            <w:pPr>
              <w:rPr>
                <w:rFonts w:ascii="宋体"/>
              </w:rPr>
            </w:pPr>
          </w:p>
        </w:tc>
        <w:tc>
          <w:tcPr>
            <w:tcW w:w="1895" w:type="pct"/>
            <w:shd w:val="clear" w:color="auto" w:fill="auto"/>
            <w:vAlign w:val="bottom"/>
          </w:tcPr>
          <w:p w14:paraId="5A1B3ADB" w14:textId="77777777" w:rsidR="00960BB8" w:rsidRDefault="00960BB8">
            <w:pPr>
              <w:rPr>
                <w:rFonts w:ascii="宋体"/>
              </w:rPr>
            </w:pPr>
          </w:p>
        </w:tc>
        <w:tc>
          <w:tcPr>
            <w:tcW w:w="5" w:type="pct"/>
            <w:shd w:val="clear" w:color="auto" w:fill="auto"/>
            <w:vAlign w:val="bottom"/>
          </w:tcPr>
          <w:p w14:paraId="5A1B3ADC" w14:textId="77777777" w:rsidR="00960BB8" w:rsidRDefault="00960BB8">
            <w:pPr>
              <w:rPr>
                <w:rFonts w:ascii="宋体"/>
              </w:rPr>
            </w:pPr>
          </w:p>
        </w:tc>
        <w:tc>
          <w:tcPr>
            <w:tcW w:w="5" w:type="pct"/>
            <w:shd w:val="clear" w:color="auto" w:fill="auto"/>
            <w:vAlign w:val="bottom"/>
          </w:tcPr>
          <w:p w14:paraId="5A1B3ADD" w14:textId="77777777" w:rsidR="00960BB8" w:rsidRDefault="00960BB8">
            <w:pPr>
              <w:rPr>
                <w:rFonts w:ascii="宋体"/>
              </w:rPr>
            </w:pPr>
          </w:p>
        </w:tc>
        <w:tc>
          <w:tcPr>
            <w:tcW w:w="24" w:type="pct"/>
            <w:shd w:val="clear" w:color="auto" w:fill="auto"/>
            <w:vAlign w:val="bottom"/>
          </w:tcPr>
          <w:p w14:paraId="5A1B3ADE" w14:textId="77777777" w:rsidR="00960BB8" w:rsidRDefault="00960BB8">
            <w:pPr>
              <w:rPr>
                <w:rFonts w:ascii="宋体"/>
              </w:rPr>
            </w:pPr>
          </w:p>
        </w:tc>
        <w:tc>
          <w:tcPr>
            <w:tcW w:w="5" w:type="pct"/>
            <w:shd w:val="clear" w:color="auto" w:fill="auto"/>
            <w:vAlign w:val="bottom"/>
          </w:tcPr>
          <w:p w14:paraId="5A1B3ADF" w14:textId="77777777" w:rsidR="00960BB8" w:rsidRDefault="00960BB8">
            <w:pPr>
              <w:rPr>
                <w:rFonts w:ascii="宋体"/>
              </w:rPr>
            </w:pPr>
          </w:p>
        </w:tc>
        <w:tc>
          <w:tcPr>
            <w:tcW w:w="50" w:type="pct"/>
            <w:shd w:val="clear" w:color="auto" w:fill="auto"/>
            <w:vAlign w:val="bottom"/>
          </w:tcPr>
          <w:p w14:paraId="5A1B3AE0" w14:textId="77777777" w:rsidR="00960BB8" w:rsidRDefault="00960BB8">
            <w:pPr>
              <w:rPr>
                <w:rFonts w:ascii="宋体"/>
              </w:rPr>
            </w:pPr>
          </w:p>
        </w:tc>
        <w:tc>
          <w:tcPr>
            <w:tcW w:w="302" w:type="pct"/>
            <w:shd w:val="clear" w:color="auto" w:fill="auto"/>
            <w:vAlign w:val="bottom"/>
          </w:tcPr>
          <w:p w14:paraId="5A1B3AE1" w14:textId="77777777" w:rsidR="00960BB8" w:rsidRDefault="00960BB8">
            <w:pPr>
              <w:rPr>
                <w:rFonts w:ascii="宋体"/>
              </w:rPr>
            </w:pPr>
          </w:p>
        </w:tc>
        <w:tc>
          <w:tcPr>
            <w:tcW w:w="5" w:type="pct"/>
            <w:shd w:val="clear" w:color="auto" w:fill="auto"/>
            <w:vAlign w:val="bottom"/>
          </w:tcPr>
          <w:p w14:paraId="5A1B3AE2" w14:textId="77777777" w:rsidR="00960BB8" w:rsidRDefault="00960BB8">
            <w:pPr>
              <w:rPr>
                <w:rFonts w:ascii="宋体"/>
              </w:rPr>
            </w:pPr>
          </w:p>
        </w:tc>
        <w:tc>
          <w:tcPr>
            <w:tcW w:w="5" w:type="pct"/>
            <w:shd w:val="clear" w:color="auto" w:fill="auto"/>
            <w:vAlign w:val="bottom"/>
          </w:tcPr>
          <w:p w14:paraId="5A1B3AE3" w14:textId="77777777" w:rsidR="00960BB8" w:rsidRDefault="00960BB8">
            <w:pPr>
              <w:rPr>
                <w:rFonts w:ascii="宋体"/>
              </w:rPr>
            </w:pPr>
          </w:p>
        </w:tc>
        <w:tc>
          <w:tcPr>
            <w:tcW w:w="24" w:type="pct"/>
            <w:shd w:val="clear" w:color="auto" w:fill="auto"/>
            <w:vAlign w:val="bottom"/>
          </w:tcPr>
          <w:p w14:paraId="5A1B3AE4" w14:textId="77777777" w:rsidR="00960BB8" w:rsidRDefault="00960BB8">
            <w:pPr>
              <w:rPr>
                <w:rFonts w:ascii="宋体"/>
              </w:rPr>
            </w:pPr>
          </w:p>
        </w:tc>
        <w:tc>
          <w:tcPr>
            <w:tcW w:w="5" w:type="pct"/>
            <w:shd w:val="clear" w:color="auto" w:fill="auto"/>
            <w:vAlign w:val="bottom"/>
          </w:tcPr>
          <w:p w14:paraId="5A1B3AE5" w14:textId="77777777" w:rsidR="00960BB8" w:rsidRDefault="00960BB8">
            <w:pPr>
              <w:rPr>
                <w:rFonts w:ascii="宋体"/>
              </w:rPr>
            </w:pPr>
          </w:p>
        </w:tc>
        <w:tc>
          <w:tcPr>
            <w:tcW w:w="50" w:type="pct"/>
            <w:shd w:val="clear" w:color="auto" w:fill="auto"/>
            <w:vAlign w:val="bottom"/>
          </w:tcPr>
          <w:p w14:paraId="5A1B3AE6" w14:textId="77777777" w:rsidR="00960BB8" w:rsidRDefault="00960BB8">
            <w:pPr>
              <w:rPr>
                <w:rFonts w:ascii="宋体"/>
              </w:rPr>
            </w:pPr>
          </w:p>
        </w:tc>
        <w:tc>
          <w:tcPr>
            <w:tcW w:w="576" w:type="pct"/>
            <w:shd w:val="clear" w:color="auto" w:fill="auto"/>
            <w:vAlign w:val="bottom"/>
          </w:tcPr>
          <w:p w14:paraId="5A1B3AE7" w14:textId="77777777" w:rsidR="00960BB8" w:rsidRDefault="00960BB8">
            <w:pPr>
              <w:rPr>
                <w:rFonts w:ascii="宋体"/>
              </w:rPr>
            </w:pPr>
          </w:p>
        </w:tc>
        <w:tc>
          <w:tcPr>
            <w:tcW w:w="5" w:type="pct"/>
            <w:shd w:val="clear" w:color="auto" w:fill="auto"/>
            <w:vAlign w:val="bottom"/>
          </w:tcPr>
          <w:p w14:paraId="5A1B3AE8" w14:textId="77777777" w:rsidR="00960BB8" w:rsidRDefault="00960BB8">
            <w:pPr>
              <w:rPr>
                <w:rFonts w:ascii="宋体"/>
              </w:rPr>
            </w:pPr>
          </w:p>
        </w:tc>
        <w:tc>
          <w:tcPr>
            <w:tcW w:w="5" w:type="pct"/>
            <w:shd w:val="clear" w:color="auto" w:fill="auto"/>
            <w:vAlign w:val="bottom"/>
          </w:tcPr>
          <w:p w14:paraId="5A1B3AE9" w14:textId="77777777" w:rsidR="00960BB8" w:rsidRDefault="00960BB8">
            <w:pPr>
              <w:rPr>
                <w:rFonts w:ascii="宋体"/>
              </w:rPr>
            </w:pPr>
          </w:p>
        </w:tc>
        <w:tc>
          <w:tcPr>
            <w:tcW w:w="24" w:type="pct"/>
            <w:shd w:val="clear" w:color="auto" w:fill="auto"/>
            <w:vAlign w:val="bottom"/>
          </w:tcPr>
          <w:p w14:paraId="5A1B3AEA" w14:textId="77777777" w:rsidR="00960BB8" w:rsidRDefault="00960BB8">
            <w:pPr>
              <w:rPr>
                <w:rFonts w:ascii="宋体"/>
              </w:rPr>
            </w:pPr>
          </w:p>
        </w:tc>
        <w:tc>
          <w:tcPr>
            <w:tcW w:w="5" w:type="pct"/>
            <w:shd w:val="clear" w:color="auto" w:fill="auto"/>
            <w:vAlign w:val="bottom"/>
          </w:tcPr>
          <w:p w14:paraId="5A1B3AEB" w14:textId="77777777" w:rsidR="00960BB8" w:rsidRDefault="00960BB8">
            <w:pPr>
              <w:rPr>
                <w:rFonts w:ascii="宋体"/>
              </w:rPr>
            </w:pPr>
          </w:p>
        </w:tc>
        <w:tc>
          <w:tcPr>
            <w:tcW w:w="50" w:type="pct"/>
            <w:shd w:val="clear" w:color="auto" w:fill="auto"/>
            <w:vAlign w:val="bottom"/>
          </w:tcPr>
          <w:p w14:paraId="5A1B3AEC" w14:textId="77777777" w:rsidR="00960BB8" w:rsidRDefault="00960BB8">
            <w:pPr>
              <w:rPr>
                <w:rFonts w:ascii="宋体"/>
              </w:rPr>
            </w:pPr>
          </w:p>
        </w:tc>
        <w:tc>
          <w:tcPr>
            <w:tcW w:w="308" w:type="pct"/>
            <w:shd w:val="clear" w:color="auto" w:fill="auto"/>
            <w:vAlign w:val="bottom"/>
          </w:tcPr>
          <w:p w14:paraId="5A1B3AED" w14:textId="77777777" w:rsidR="00960BB8" w:rsidRDefault="00960BB8">
            <w:pPr>
              <w:rPr>
                <w:rFonts w:ascii="宋体"/>
              </w:rPr>
            </w:pPr>
          </w:p>
        </w:tc>
        <w:tc>
          <w:tcPr>
            <w:tcW w:w="5" w:type="pct"/>
            <w:shd w:val="clear" w:color="auto" w:fill="auto"/>
            <w:vAlign w:val="bottom"/>
          </w:tcPr>
          <w:p w14:paraId="5A1B3AEE" w14:textId="77777777" w:rsidR="00960BB8" w:rsidRDefault="00960BB8">
            <w:pPr>
              <w:rPr>
                <w:rFonts w:ascii="宋体"/>
              </w:rPr>
            </w:pPr>
          </w:p>
        </w:tc>
        <w:tc>
          <w:tcPr>
            <w:tcW w:w="5" w:type="pct"/>
            <w:shd w:val="clear" w:color="auto" w:fill="auto"/>
            <w:vAlign w:val="bottom"/>
          </w:tcPr>
          <w:p w14:paraId="5A1B3AEF" w14:textId="77777777" w:rsidR="00960BB8" w:rsidRDefault="00960BB8">
            <w:pPr>
              <w:rPr>
                <w:rFonts w:ascii="宋体"/>
              </w:rPr>
            </w:pPr>
          </w:p>
        </w:tc>
        <w:tc>
          <w:tcPr>
            <w:tcW w:w="24" w:type="pct"/>
            <w:shd w:val="clear" w:color="auto" w:fill="auto"/>
            <w:vAlign w:val="bottom"/>
          </w:tcPr>
          <w:p w14:paraId="5A1B3AF0" w14:textId="77777777" w:rsidR="00960BB8" w:rsidRDefault="00960BB8">
            <w:pPr>
              <w:rPr>
                <w:rFonts w:ascii="宋体"/>
              </w:rPr>
            </w:pPr>
          </w:p>
        </w:tc>
        <w:tc>
          <w:tcPr>
            <w:tcW w:w="5" w:type="pct"/>
            <w:shd w:val="clear" w:color="auto" w:fill="auto"/>
            <w:vAlign w:val="bottom"/>
          </w:tcPr>
          <w:p w14:paraId="5A1B3AF1" w14:textId="77777777" w:rsidR="00960BB8" w:rsidRDefault="00960BB8">
            <w:pPr>
              <w:rPr>
                <w:rFonts w:ascii="宋体"/>
              </w:rPr>
            </w:pPr>
          </w:p>
        </w:tc>
        <w:tc>
          <w:tcPr>
            <w:tcW w:w="50" w:type="pct"/>
            <w:shd w:val="clear" w:color="auto" w:fill="auto"/>
            <w:vAlign w:val="bottom"/>
          </w:tcPr>
          <w:p w14:paraId="5A1B3AF2" w14:textId="77777777" w:rsidR="00960BB8" w:rsidRDefault="00960BB8">
            <w:pPr>
              <w:rPr>
                <w:rFonts w:ascii="宋体"/>
              </w:rPr>
            </w:pPr>
          </w:p>
        </w:tc>
        <w:tc>
          <w:tcPr>
            <w:tcW w:w="466" w:type="pct"/>
            <w:shd w:val="clear" w:color="auto" w:fill="auto"/>
            <w:vAlign w:val="bottom"/>
          </w:tcPr>
          <w:p w14:paraId="5A1B3AF3" w14:textId="77777777" w:rsidR="00960BB8" w:rsidRDefault="00960BB8">
            <w:pPr>
              <w:rPr>
                <w:rFonts w:ascii="宋体"/>
              </w:rPr>
            </w:pPr>
          </w:p>
        </w:tc>
        <w:tc>
          <w:tcPr>
            <w:tcW w:w="5" w:type="pct"/>
            <w:shd w:val="clear" w:color="auto" w:fill="auto"/>
            <w:vAlign w:val="bottom"/>
          </w:tcPr>
          <w:p w14:paraId="5A1B3AF4" w14:textId="77777777" w:rsidR="00960BB8" w:rsidRDefault="00960BB8">
            <w:pPr>
              <w:rPr>
                <w:rFonts w:ascii="宋体"/>
              </w:rPr>
            </w:pPr>
          </w:p>
        </w:tc>
        <w:tc>
          <w:tcPr>
            <w:tcW w:w="5" w:type="pct"/>
            <w:shd w:val="clear" w:color="auto" w:fill="auto"/>
            <w:vAlign w:val="bottom"/>
          </w:tcPr>
          <w:p w14:paraId="5A1B3AF5" w14:textId="77777777" w:rsidR="00960BB8" w:rsidRDefault="00960BB8">
            <w:pPr>
              <w:rPr>
                <w:rFonts w:ascii="宋体"/>
              </w:rPr>
            </w:pPr>
          </w:p>
        </w:tc>
        <w:tc>
          <w:tcPr>
            <w:tcW w:w="24" w:type="pct"/>
            <w:shd w:val="clear" w:color="auto" w:fill="auto"/>
            <w:vAlign w:val="bottom"/>
          </w:tcPr>
          <w:p w14:paraId="5A1B3AF6" w14:textId="77777777" w:rsidR="00960BB8" w:rsidRDefault="00960BB8">
            <w:pPr>
              <w:rPr>
                <w:rFonts w:ascii="宋体"/>
              </w:rPr>
            </w:pPr>
          </w:p>
        </w:tc>
        <w:tc>
          <w:tcPr>
            <w:tcW w:w="5" w:type="pct"/>
            <w:shd w:val="clear" w:color="auto" w:fill="auto"/>
            <w:vAlign w:val="bottom"/>
          </w:tcPr>
          <w:p w14:paraId="5A1B3AF7" w14:textId="77777777" w:rsidR="00960BB8" w:rsidRDefault="00960BB8">
            <w:pPr>
              <w:rPr>
                <w:rFonts w:ascii="宋体"/>
              </w:rPr>
            </w:pPr>
          </w:p>
        </w:tc>
        <w:tc>
          <w:tcPr>
            <w:tcW w:w="50" w:type="pct"/>
            <w:shd w:val="clear" w:color="auto" w:fill="auto"/>
            <w:vAlign w:val="bottom"/>
          </w:tcPr>
          <w:p w14:paraId="5A1B3AF8" w14:textId="77777777" w:rsidR="00960BB8" w:rsidRDefault="00960BB8">
            <w:pPr>
              <w:rPr>
                <w:rFonts w:ascii="宋体"/>
              </w:rPr>
            </w:pPr>
          </w:p>
        </w:tc>
        <w:tc>
          <w:tcPr>
            <w:tcW w:w="474" w:type="pct"/>
            <w:shd w:val="clear" w:color="auto" w:fill="auto"/>
            <w:vAlign w:val="bottom"/>
          </w:tcPr>
          <w:p w14:paraId="5A1B3AF9" w14:textId="77777777" w:rsidR="00960BB8" w:rsidRDefault="00960BB8">
            <w:pPr>
              <w:rPr>
                <w:rFonts w:ascii="宋体"/>
              </w:rPr>
            </w:pPr>
          </w:p>
        </w:tc>
        <w:tc>
          <w:tcPr>
            <w:tcW w:w="5" w:type="pct"/>
            <w:shd w:val="clear" w:color="auto" w:fill="auto"/>
            <w:vAlign w:val="bottom"/>
          </w:tcPr>
          <w:p w14:paraId="5A1B3AFA" w14:textId="77777777" w:rsidR="00960BB8" w:rsidRDefault="00960BB8">
            <w:pPr>
              <w:rPr>
                <w:rFonts w:ascii="宋体"/>
              </w:rPr>
            </w:pPr>
          </w:p>
        </w:tc>
      </w:tr>
      <w:tr w:rsidR="00960BB8" w14:paraId="5A1B3B04"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5A1B3AFC" w14:textId="77777777" w:rsidR="00960BB8" w:rsidRDefault="00C06650">
            <w:pPr>
              <w:jc w:val="center"/>
              <w:textAlignment w:val="bottom"/>
            </w:pPr>
            <w:r>
              <w:rPr>
                <w:rFonts w:ascii="Arial" w:eastAsia="宋体" w:hAnsi="Arial" w:cs="Arial"/>
                <w:b/>
                <w:bCs/>
                <w:color w:val="262626"/>
                <w:sz w:val="18"/>
                <w:szCs w:val="18"/>
              </w:rPr>
              <w:t>Exhibit</w:t>
            </w:r>
          </w:p>
          <w:p w14:paraId="5A1B3AFD" w14:textId="77777777" w:rsidR="00960BB8" w:rsidRDefault="00C06650">
            <w:pP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vAlign w:val="bottom"/>
          </w:tcPr>
          <w:p w14:paraId="5A1B3AF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AF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00" w14:textId="77777777" w:rsidR="00960BB8" w:rsidRDefault="00960BB8">
            <w:pPr>
              <w:rPr>
                <w:rFonts w:ascii="宋体"/>
              </w:rPr>
            </w:pPr>
          </w:p>
        </w:tc>
        <w:tc>
          <w:tcPr>
            <w:tcW w:w="0" w:type="auto"/>
            <w:gridSpan w:val="21"/>
            <w:shd w:val="clear" w:color="auto" w:fill="auto"/>
            <w:tcMar>
              <w:top w:w="40" w:type="dxa"/>
              <w:left w:w="20" w:type="dxa"/>
              <w:bottom w:w="40" w:type="dxa"/>
              <w:right w:w="20" w:type="dxa"/>
            </w:tcMar>
            <w:vAlign w:val="bottom"/>
          </w:tcPr>
          <w:p w14:paraId="5A1B3B01" w14:textId="77777777" w:rsidR="00960BB8" w:rsidRDefault="00C06650">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5A1B3B02" w14:textId="77777777" w:rsidR="00960BB8" w:rsidRDefault="00960BB8">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5A1B3B03" w14:textId="77777777" w:rsidR="00960BB8" w:rsidRDefault="00C06650">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960BB8" w14:paraId="5A1B3B12"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5A1B3B05" w14:textId="77777777" w:rsidR="00960BB8" w:rsidRDefault="00960BB8">
            <w:pPr>
              <w:rPr>
                <w:rFonts w:ascii="宋体"/>
              </w:rPr>
            </w:pPr>
          </w:p>
        </w:tc>
        <w:tc>
          <w:tcPr>
            <w:tcW w:w="0" w:type="auto"/>
            <w:gridSpan w:val="3"/>
            <w:vMerge/>
            <w:shd w:val="clear" w:color="auto" w:fill="auto"/>
            <w:tcMar>
              <w:top w:w="0" w:type="dxa"/>
              <w:left w:w="20" w:type="dxa"/>
              <w:bottom w:w="0" w:type="dxa"/>
              <w:right w:w="20" w:type="dxa"/>
            </w:tcMar>
            <w:vAlign w:val="bottom"/>
          </w:tcPr>
          <w:p w14:paraId="5A1B3B06" w14:textId="77777777" w:rsidR="00960BB8" w:rsidRDefault="00960BB8">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3B07" w14:textId="77777777" w:rsidR="00960BB8" w:rsidRDefault="00C06650">
            <w:pP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vAlign w:val="bottom"/>
          </w:tcPr>
          <w:p w14:paraId="5A1B3B08"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B09" w14:textId="77777777" w:rsidR="00960BB8" w:rsidRDefault="00C06650">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B0A"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B0B" w14:textId="77777777" w:rsidR="00960BB8" w:rsidRDefault="00C06650">
            <w:pPr>
              <w:jc w:val="center"/>
              <w:textAlignment w:val="bottom"/>
            </w:pPr>
            <w:r>
              <w:rPr>
                <w:rFonts w:ascii="Arial" w:eastAsia="宋体" w:hAnsi="Arial" w:cs="Arial"/>
                <w:b/>
                <w:bCs/>
                <w:color w:val="262626"/>
                <w:sz w:val="18"/>
                <w:szCs w:val="18"/>
              </w:rPr>
              <w:t>File 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B0C"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B0D" w14:textId="77777777" w:rsidR="00960BB8" w:rsidRDefault="00C06650">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B0E"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B0F" w14:textId="77777777" w:rsidR="00960BB8" w:rsidRDefault="00C06650">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5A1B3B10" w14:textId="77777777" w:rsidR="00960BB8" w:rsidRDefault="00960BB8">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5A1B3B11" w14:textId="77777777" w:rsidR="00960BB8" w:rsidRDefault="00960BB8">
            <w:pPr>
              <w:jc w:val="center"/>
              <w:rPr>
                <w:rFonts w:ascii="宋体"/>
              </w:rPr>
            </w:pPr>
          </w:p>
        </w:tc>
      </w:tr>
      <w:tr w:rsidR="00960BB8" w14:paraId="5A1B3B21" w14:textId="77777777">
        <w:tc>
          <w:tcPr>
            <w:tcW w:w="0" w:type="auto"/>
            <w:gridSpan w:val="3"/>
            <w:tcBorders>
              <w:top w:val="single" w:sz="8" w:space="0" w:color="0068B5"/>
            </w:tcBorders>
            <w:shd w:val="clear" w:color="auto" w:fill="auto"/>
            <w:tcMar>
              <w:top w:w="40" w:type="dxa"/>
              <w:left w:w="20" w:type="dxa"/>
              <w:bottom w:w="40" w:type="dxa"/>
              <w:right w:w="20" w:type="dxa"/>
            </w:tcMar>
          </w:tcPr>
          <w:p w14:paraId="5A1B3B13" w14:textId="77777777" w:rsidR="00960BB8" w:rsidRDefault="00C06650">
            <w:pPr>
              <w:jc w:val="center"/>
              <w:textAlignment w:val="top"/>
            </w:pPr>
            <w:r>
              <w:rPr>
                <w:rFonts w:ascii="Arial" w:eastAsia="宋体" w:hAnsi="Arial" w:cs="Arial"/>
                <w:color w:val="262626"/>
                <w:sz w:val="18"/>
                <w:szCs w:val="18"/>
              </w:rPr>
              <w:t>2.1</w:t>
            </w:r>
          </w:p>
        </w:tc>
        <w:tc>
          <w:tcPr>
            <w:tcW w:w="0" w:type="auto"/>
            <w:gridSpan w:val="3"/>
            <w:shd w:val="clear" w:color="auto" w:fill="auto"/>
            <w:tcMar>
              <w:top w:w="0" w:type="dxa"/>
              <w:left w:w="20" w:type="dxa"/>
              <w:bottom w:w="0" w:type="dxa"/>
              <w:right w:w="20" w:type="dxa"/>
            </w:tcMar>
            <w:vAlign w:val="bottom"/>
          </w:tcPr>
          <w:p w14:paraId="5A1B3B14"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A1B3B15" w14:textId="77777777" w:rsidR="00960BB8" w:rsidRDefault="00C06650">
            <w:pPr>
              <w:textAlignment w:val="top"/>
            </w:pPr>
            <w:hyperlink r:id="rId169" w:history="1">
              <w:r>
                <w:rPr>
                  <w:rStyle w:val="a5"/>
                  <w:rFonts w:ascii="Arial" w:eastAsia="宋体" w:hAnsi="Arial" w:cs="Arial"/>
                  <w:color w:val="262626"/>
                  <w:sz w:val="18"/>
                  <w:szCs w:val="18"/>
                </w:rPr>
                <w:t xml:space="preserve">Master Purchase Agreement between Intel Corporation and SK hynix Inc., dated as of </w:t>
              </w:r>
              <w:r>
                <w:rPr>
                  <w:rStyle w:val="a5"/>
                  <w:rFonts w:ascii="Arial" w:eastAsia="宋体" w:hAnsi="Arial" w:cs="Arial"/>
                  <w:color w:val="262626"/>
                  <w:sz w:val="18"/>
                  <w:szCs w:val="18"/>
                </w:rPr>
                <w:t>October 19, 2020</w:t>
              </w:r>
            </w:hyperlink>
          </w:p>
        </w:tc>
        <w:tc>
          <w:tcPr>
            <w:tcW w:w="0" w:type="auto"/>
            <w:gridSpan w:val="3"/>
            <w:shd w:val="clear" w:color="auto" w:fill="auto"/>
            <w:tcMar>
              <w:top w:w="0" w:type="dxa"/>
              <w:left w:w="20" w:type="dxa"/>
              <w:bottom w:w="0" w:type="dxa"/>
              <w:right w:w="20" w:type="dxa"/>
            </w:tcMar>
            <w:vAlign w:val="bottom"/>
          </w:tcPr>
          <w:p w14:paraId="5A1B3B16"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A1B3B17"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B18"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A1B3B19"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1A" w14:textId="77777777" w:rsidR="00960BB8" w:rsidRDefault="00960BB8">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tcPr>
          <w:p w14:paraId="5A1B3B1B" w14:textId="77777777" w:rsidR="00960BB8" w:rsidRDefault="00C06650">
            <w:pPr>
              <w:jc w:val="right"/>
              <w:textAlignment w:val="top"/>
            </w:pPr>
            <w:r>
              <w:rPr>
                <w:rFonts w:ascii="Arial" w:eastAsia="宋体" w:hAnsi="Arial" w:cs="Arial"/>
                <w:color w:val="262626"/>
                <w:sz w:val="18"/>
                <w:szCs w:val="18"/>
              </w:rPr>
              <w:t>2.1 </w:t>
            </w:r>
          </w:p>
        </w:tc>
        <w:tc>
          <w:tcPr>
            <w:tcW w:w="0" w:type="auto"/>
            <w:tcBorders>
              <w:top w:val="single" w:sz="8" w:space="0" w:color="0068B5"/>
            </w:tcBorders>
            <w:shd w:val="clear" w:color="auto" w:fill="auto"/>
            <w:tcMar>
              <w:top w:w="40" w:type="dxa"/>
              <w:left w:w="0" w:type="dxa"/>
              <w:bottom w:w="40" w:type="dxa"/>
              <w:right w:w="20" w:type="dxa"/>
            </w:tcMar>
          </w:tcPr>
          <w:p w14:paraId="5A1B3B1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1D" w14:textId="77777777" w:rsidR="00960BB8" w:rsidRDefault="00960BB8">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A1B3B1E" w14:textId="77777777" w:rsidR="00960BB8" w:rsidRDefault="00C06650">
            <w:pPr>
              <w:jc w:val="right"/>
              <w:textAlignment w:val="top"/>
            </w:pPr>
            <w:r>
              <w:rPr>
                <w:rFonts w:ascii="Arial" w:eastAsia="宋体" w:hAnsi="Arial" w:cs="Arial"/>
                <w:color w:val="262626"/>
                <w:sz w:val="18"/>
                <w:szCs w:val="18"/>
              </w:rPr>
              <w:t>10/20/2020</w:t>
            </w:r>
          </w:p>
        </w:tc>
        <w:tc>
          <w:tcPr>
            <w:tcW w:w="0" w:type="auto"/>
            <w:gridSpan w:val="3"/>
            <w:shd w:val="clear" w:color="auto" w:fill="auto"/>
            <w:tcMar>
              <w:top w:w="0" w:type="dxa"/>
              <w:left w:w="20" w:type="dxa"/>
              <w:bottom w:w="0" w:type="dxa"/>
              <w:right w:w="20" w:type="dxa"/>
            </w:tcMar>
            <w:vAlign w:val="bottom"/>
          </w:tcPr>
          <w:p w14:paraId="5A1B3B1F"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3B20" w14:textId="77777777" w:rsidR="00960BB8" w:rsidRDefault="00960BB8">
            <w:pPr>
              <w:rPr>
                <w:rFonts w:ascii="宋体"/>
              </w:rPr>
            </w:pPr>
          </w:p>
        </w:tc>
      </w:tr>
      <w:tr w:rsidR="00960BB8" w14:paraId="5A1B3B30" w14:textId="77777777">
        <w:tc>
          <w:tcPr>
            <w:tcW w:w="0" w:type="auto"/>
            <w:gridSpan w:val="3"/>
            <w:shd w:val="clear" w:color="auto" w:fill="auto"/>
            <w:tcMar>
              <w:top w:w="40" w:type="dxa"/>
              <w:left w:w="20" w:type="dxa"/>
              <w:bottom w:w="40" w:type="dxa"/>
              <w:right w:w="20" w:type="dxa"/>
            </w:tcMar>
          </w:tcPr>
          <w:p w14:paraId="5A1B3B22" w14:textId="77777777" w:rsidR="00960BB8" w:rsidRDefault="00C06650">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5A1B3B2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24" w14:textId="77777777" w:rsidR="00960BB8" w:rsidRDefault="00C06650">
            <w:pPr>
              <w:textAlignment w:val="top"/>
            </w:pPr>
            <w:hyperlink r:id="rId170" w:history="1">
              <w:r>
                <w:rPr>
                  <w:rStyle w:val="a5"/>
                  <w:rFonts w:ascii="Arial" w:eastAsia="宋体" w:hAnsi="Arial" w:cs="Arial"/>
                  <w:color w:val="262626"/>
                  <w:sz w:val="18"/>
                  <w:szCs w:val="18"/>
                </w:rPr>
                <w:t>Intel Corporation Third Restated Certificate of Incorporation of Intel Corpo</w:t>
              </w:r>
              <w:r>
                <w:rPr>
                  <w:rStyle w:val="a5"/>
                  <w:rFonts w:ascii="Arial" w:eastAsia="宋体" w:hAnsi="Arial" w:cs="Arial"/>
                  <w:color w:val="262626"/>
                  <w:sz w:val="18"/>
                  <w:szCs w:val="18"/>
                </w:rPr>
                <w:t>ration dated May 17, 2006</w:t>
              </w:r>
            </w:hyperlink>
          </w:p>
        </w:tc>
        <w:tc>
          <w:tcPr>
            <w:tcW w:w="0" w:type="auto"/>
            <w:gridSpan w:val="3"/>
            <w:shd w:val="clear" w:color="auto" w:fill="auto"/>
            <w:tcMar>
              <w:top w:w="0" w:type="dxa"/>
              <w:left w:w="20" w:type="dxa"/>
              <w:bottom w:w="0" w:type="dxa"/>
              <w:right w:w="20" w:type="dxa"/>
            </w:tcMar>
            <w:vAlign w:val="bottom"/>
          </w:tcPr>
          <w:p w14:paraId="5A1B3B2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26"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B2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28"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2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B2A" w14:textId="77777777" w:rsidR="00960BB8" w:rsidRDefault="00C06650">
            <w:pPr>
              <w:jc w:val="right"/>
              <w:textAlignment w:val="top"/>
            </w:pPr>
            <w:r>
              <w:rPr>
                <w:rFonts w:ascii="Arial" w:eastAsia="宋体" w:hAnsi="Arial" w:cs="Arial"/>
                <w:color w:val="262626"/>
                <w:sz w:val="18"/>
                <w:szCs w:val="18"/>
              </w:rPr>
              <w:t>3.1 </w:t>
            </w:r>
          </w:p>
        </w:tc>
        <w:tc>
          <w:tcPr>
            <w:tcW w:w="0" w:type="auto"/>
            <w:shd w:val="clear" w:color="auto" w:fill="auto"/>
            <w:tcMar>
              <w:top w:w="40" w:type="dxa"/>
              <w:left w:w="0" w:type="dxa"/>
              <w:bottom w:w="40" w:type="dxa"/>
              <w:right w:w="20" w:type="dxa"/>
            </w:tcMar>
          </w:tcPr>
          <w:p w14:paraId="5A1B3B2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2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2D" w14:textId="77777777" w:rsidR="00960BB8" w:rsidRDefault="00C06650">
            <w:pPr>
              <w:jc w:val="right"/>
              <w:textAlignment w:val="top"/>
            </w:pPr>
            <w:r>
              <w:rPr>
                <w:rFonts w:ascii="Arial" w:eastAsia="宋体" w:hAnsi="Arial" w:cs="Arial"/>
                <w:color w:val="262626"/>
                <w:sz w:val="18"/>
                <w:szCs w:val="18"/>
              </w:rPr>
              <w:t>5/22/2006</w:t>
            </w:r>
          </w:p>
        </w:tc>
        <w:tc>
          <w:tcPr>
            <w:tcW w:w="0" w:type="auto"/>
            <w:gridSpan w:val="3"/>
            <w:shd w:val="clear" w:color="auto" w:fill="auto"/>
            <w:tcMar>
              <w:top w:w="0" w:type="dxa"/>
              <w:left w:w="20" w:type="dxa"/>
              <w:bottom w:w="0" w:type="dxa"/>
              <w:right w:w="20" w:type="dxa"/>
            </w:tcMar>
            <w:vAlign w:val="bottom"/>
          </w:tcPr>
          <w:p w14:paraId="5A1B3B2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2F" w14:textId="77777777" w:rsidR="00960BB8" w:rsidRDefault="00960BB8">
            <w:pPr>
              <w:rPr>
                <w:rFonts w:ascii="宋体"/>
              </w:rPr>
            </w:pPr>
          </w:p>
        </w:tc>
      </w:tr>
      <w:tr w:rsidR="00960BB8" w14:paraId="5A1B3B3F" w14:textId="77777777">
        <w:tc>
          <w:tcPr>
            <w:tcW w:w="0" w:type="auto"/>
            <w:gridSpan w:val="3"/>
            <w:shd w:val="clear" w:color="auto" w:fill="auto"/>
            <w:tcMar>
              <w:top w:w="40" w:type="dxa"/>
              <w:left w:w="20" w:type="dxa"/>
              <w:bottom w:w="40" w:type="dxa"/>
              <w:right w:w="20" w:type="dxa"/>
            </w:tcMar>
          </w:tcPr>
          <w:p w14:paraId="5A1B3B31" w14:textId="77777777" w:rsidR="00960BB8" w:rsidRDefault="00C06650">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5A1B3B3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33" w14:textId="77777777" w:rsidR="00960BB8" w:rsidRDefault="00C06650">
            <w:pPr>
              <w:textAlignment w:val="top"/>
            </w:pPr>
            <w:hyperlink r:id="rId171" w:history="1">
              <w:r>
                <w:rPr>
                  <w:rStyle w:val="a5"/>
                  <w:rFonts w:ascii="Arial" w:eastAsia="宋体" w:hAnsi="Arial" w:cs="Arial"/>
                  <w:color w:val="262626"/>
                  <w:sz w:val="18"/>
                  <w:szCs w:val="18"/>
                </w:rPr>
                <w:t>Intel Corporation Bylaws, as amended and restated on March 10,</w:t>
              </w:r>
            </w:hyperlink>
            <w:hyperlink r:id="rId172" w:history="1">
              <w:r>
                <w:rPr>
                  <w:rStyle w:val="a5"/>
                  <w:rFonts w:ascii="Arial" w:eastAsia="宋体" w:hAnsi="Arial" w:cs="Arial"/>
                  <w:color w:val="262626"/>
                  <w:sz w:val="18"/>
                  <w:szCs w:val="18"/>
                </w:rPr>
                <w:t xml:space="preserve"> </w:t>
              </w:r>
            </w:hyperlink>
            <w:hyperlink r:id="rId173" w:history="1">
              <w:r>
                <w:rPr>
                  <w:rStyle w:val="a5"/>
                  <w:rFonts w:ascii="Arial" w:eastAsia="宋体" w:hAnsi="Arial" w:cs="Arial"/>
                  <w:color w:val="262626"/>
                  <w:sz w:val="18"/>
                  <w:szCs w:val="18"/>
                </w:rPr>
                <w:t>2021</w:t>
              </w:r>
            </w:hyperlink>
          </w:p>
        </w:tc>
        <w:tc>
          <w:tcPr>
            <w:tcW w:w="0" w:type="auto"/>
            <w:gridSpan w:val="3"/>
            <w:shd w:val="clear" w:color="auto" w:fill="auto"/>
            <w:tcMar>
              <w:top w:w="0" w:type="dxa"/>
              <w:left w:w="20" w:type="dxa"/>
              <w:bottom w:w="0" w:type="dxa"/>
              <w:right w:w="20" w:type="dxa"/>
            </w:tcMar>
            <w:vAlign w:val="bottom"/>
          </w:tcPr>
          <w:p w14:paraId="5A1B3B3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35"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B3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37"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3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B39" w14:textId="77777777" w:rsidR="00960BB8" w:rsidRDefault="00C06650">
            <w:pPr>
              <w:jc w:val="right"/>
              <w:textAlignment w:val="top"/>
            </w:pPr>
            <w:r>
              <w:rPr>
                <w:rFonts w:ascii="Arial" w:eastAsia="宋体" w:hAnsi="Arial" w:cs="Arial"/>
                <w:color w:val="262626"/>
                <w:sz w:val="18"/>
                <w:szCs w:val="18"/>
              </w:rPr>
              <w:t>3.2 </w:t>
            </w:r>
          </w:p>
        </w:tc>
        <w:tc>
          <w:tcPr>
            <w:tcW w:w="0" w:type="auto"/>
            <w:shd w:val="clear" w:color="auto" w:fill="auto"/>
            <w:tcMar>
              <w:top w:w="40" w:type="dxa"/>
              <w:left w:w="0" w:type="dxa"/>
              <w:bottom w:w="40" w:type="dxa"/>
              <w:right w:w="20" w:type="dxa"/>
            </w:tcMar>
          </w:tcPr>
          <w:p w14:paraId="5A1B3B3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3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3C" w14:textId="77777777" w:rsidR="00960BB8" w:rsidRDefault="00C06650">
            <w:pPr>
              <w:jc w:val="right"/>
              <w:textAlignment w:val="top"/>
            </w:pPr>
            <w:r>
              <w:rPr>
                <w:rFonts w:ascii="Arial" w:eastAsia="宋体" w:hAnsi="Arial" w:cs="Arial"/>
                <w:color w:val="262626"/>
                <w:sz w:val="18"/>
                <w:szCs w:val="18"/>
              </w:rPr>
              <w:t>3/16/2021</w:t>
            </w:r>
          </w:p>
        </w:tc>
        <w:tc>
          <w:tcPr>
            <w:tcW w:w="0" w:type="auto"/>
            <w:gridSpan w:val="3"/>
            <w:shd w:val="clear" w:color="auto" w:fill="auto"/>
            <w:tcMar>
              <w:top w:w="0" w:type="dxa"/>
              <w:left w:w="20" w:type="dxa"/>
              <w:bottom w:w="0" w:type="dxa"/>
              <w:right w:w="20" w:type="dxa"/>
            </w:tcMar>
            <w:vAlign w:val="bottom"/>
          </w:tcPr>
          <w:p w14:paraId="5A1B3B3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3E" w14:textId="77777777" w:rsidR="00960BB8" w:rsidRDefault="00960BB8">
            <w:pPr>
              <w:rPr>
                <w:rFonts w:ascii="宋体"/>
              </w:rPr>
            </w:pPr>
          </w:p>
        </w:tc>
      </w:tr>
      <w:tr w:rsidR="00960BB8" w14:paraId="5A1B3B4E" w14:textId="77777777">
        <w:tc>
          <w:tcPr>
            <w:tcW w:w="0" w:type="auto"/>
            <w:gridSpan w:val="3"/>
            <w:shd w:val="clear" w:color="auto" w:fill="auto"/>
            <w:tcMar>
              <w:top w:w="40" w:type="dxa"/>
              <w:left w:w="20" w:type="dxa"/>
              <w:bottom w:w="40" w:type="dxa"/>
              <w:right w:w="20" w:type="dxa"/>
            </w:tcMar>
          </w:tcPr>
          <w:p w14:paraId="5A1B3B40" w14:textId="77777777" w:rsidR="00960BB8" w:rsidRDefault="00C06650">
            <w:pPr>
              <w:jc w:val="center"/>
              <w:textAlignment w:val="top"/>
            </w:pPr>
            <w:r>
              <w:rPr>
                <w:rFonts w:ascii="Arial" w:eastAsia="宋体" w:hAnsi="Arial" w:cs="Arial"/>
                <w:color w:val="262626"/>
                <w:sz w:val="18"/>
                <w:szCs w:val="18"/>
              </w:rPr>
              <w:t>4.1</w:t>
            </w:r>
          </w:p>
        </w:tc>
        <w:tc>
          <w:tcPr>
            <w:tcW w:w="0" w:type="auto"/>
            <w:gridSpan w:val="3"/>
            <w:shd w:val="clear" w:color="auto" w:fill="auto"/>
            <w:tcMar>
              <w:top w:w="0" w:type="dxa"/>
              <w:left w:w="20" w:type="dxa"/>
              <w:bottom w:w="0" w:type="dxa"/>
              <w:right w:w="20" w:type="dxa"/>
            </w:tcMar>
            <w:vAlign w:val="bottom"/>
          </w:tcPr>
          <w:p w14:paraId="5A1B3B4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42" w14:textId="77777777" w:rsidR="00960BB8" w:rsidRDefault="00C06650">
            <w:pPr>
              <w:textAlignment w:val="top"/>
            </w:pPr>
            <w:hyperlink r:id="rId174" w:history="1">
              <w:r>
                <w:rPr>
                  <w:rStyle w:val="a5"/>
                  <w:rFonts w:ascii="Arial" w:eastAsia="宋体" w:hAnsi="Arial" w:cs="Arial"/>
                  <w:color w:val="262626"/>
                  <w:sz w:val="18"/>
                  <w:szCs w:val="18"/>
                </w:rPr>
                <w:t>Indenture dated as of March 29, 2006 between Intel Corporation and Wells Fargo Bank, National Association (as successor to Citibank N.A.) (the "Open-Ended Indentu</w:t>
              </w:r>
              <w:r>
                <w:rPr>
                  <w:rStyle w:val="a5"/>
                  <w:rFonts w:ascii="Arial" w:eastAsia="宋体" w:hAnsi="Arial" w:cs="Arial"/>
                  <w:color w:val="262626"/>
                  <w:sz w:val="18"/>
                  <w:szCs w:val="18"/>
                </w:rPr>
                <w:t>re")</w:t>
              </w:r>
            </w:hyperlink>
          </w:p>
        </w:tc>
        <w:tc>
          <w:tcPr>
            <w:tcW w:w="0" w:type="auto"/>
            <w:gridSpan w:val="3"/>
            <w:shd w:val="clear" w:color="auto" w:fill="auto"/>
            <w:tcMar>
              <w:top w:w="0" w:type="dxa"/>
              <w:left w:w="20" w:type="dxa"/>
              <w:bottom w:w="0" w:type="dxa"/>
              <w:right w:w="20" w:type="dxa"/>
            </w:tcMar>
            <w:vAlign w:val="bottom"/>
          </w:tcPr>
          <w:p w14:paraId="5A1B3B4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44" w14:textId="77777777" w:rsidR="00960BB8" w:rsidRDefault="00C06650">
            <w:pPr>
              <w:jc w:val="right"/>
              <w:textAlignment w:val="top"/>
            </w:pPr>
            <w:r>
              <w:rPr>
                <w:rFonts w:ascii="Arial" w:eastAsia="宋体" w:hAnsi="Arial" w:cs="Arial"/>
                <w:color w:val="262626"/>
                <w:sz w:val="18"/>
                <w:szCs w:val="18"/>
              </w:rPr>
              <w:t>S-3ASR</w:t>
            </w:r>
          </w:p>
        </w:tc>
        <w:tc>
          <w:tcPr>
            <w:tcW w:w="0" w:type="auto"/>
            <w:gridSpan w:val="3"/>
            <w:shd w:val="clear" w:color="auto" w:fill="auto"/>
            <w:tcMar>
              <w:top w:w="0" w:type="dxa"/>
              <w:left w:w="20" w:type="dxa"/>
              <w:bottom w:w="0" w:type="dxa"/>
              <w:right w:w="20" w:type="dxa"/>
            </w:tcMar>
            <w:vAlign w:val="bottom"/>
          </w:tcPr>
          <w:p w14:paraId="5A1B3B4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46" w14:textId="77777777" w:rsidR="00960BB8" w:rsidRDefault="00C06650">
            <w:pPr>
              <w:jc w:val="right"/>
              <w:textAlignment w:val="top"/>
            </w:pPr>
            <w:r>
              <w:rPr>
                <w:rFonts w:ascii="Arial" w:eastAsia="宋体" w:hAnsi="Arial" w:cs="Arial"/>
                <w:color w:val="262626"/>
                <w:sz w:val="18"/>
                <w:szCs w:val="18"/>
              </w:rPr>
              <w:t>333-132865</w:t>
            </w:r>
          </w:p>
        </w:tc>
        <w:tc>
          <w:tcPr>
            <w:tcW w:w="0" w:type="auto"/>
            <w:gridSpan w:val="3"/>
            <w:shd w:val="clear" w:color="auto" w:fill="auto"/>
            <w:tcMar>
              <w:top w:w="0" w:type="dxa"/>
              <w:left w:w="20" w:type="dxa"/>
              <w:bottom w:w="0" w:type="dxa"/>
              <w:right w:w="20" w:type="dxa"/>
            </w:tcMar>
            <w:vAlign w:val="bottom"/>
          </w:tcPr>
          <w:p w14:paraId="5A1B3B4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B48" w14:textId="77777777" w:rsidR="00960BB8" w:rsidRDefault="00C06650">
            <w:pPr>
              <w:jc w:val="right"/>
              <w:textAlignment w:val="top"/>
            </w:pPr>
            <w:r>
              <w:rPr>
                <w:rFonts w:ascii="Arial" w:eastAsia="宋体" w:hAnsi="Arial" w:cs="Arial"/>
                <w:color w:val="262626"/>
                <w:sz w:val="18"/>
                <w:szCs w:val="18"/>
              </w:rPr>
              <w:t>4.4 </w:t>
            </w:r>
          </w:p>
        </w:tc>
        <w:tc>
          <w:tcPr>
            <w:tcW w:w="0" w:type="auto"/>
            <w:shd w:val="clear" w:color="auto" w:fill="auto"/>
            <w:tcMar>
              <w:top w:w="40" w:type="dxa"/>
              <w:left w:w="0" w:type="dxa"/>
              <w:bottom w:w="40" w:type="dxa"/>
              <w:right w:w="20" w:type="dxa"/>
            </w:tcMar>
          </w:tcPr>
          <w:p w14:paraId="5A1B3B4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4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4B" w14:textId="77777777" w:rsidR="00960BB8" w:rsidRDefault="00C06650">
            <w:pPr>
              <w:jc w:val="right"/>
              <w:textAlignment w:val="top"/>
            </w:pPr>
            <w:r>
              <w:rPr>
                <w:rFonts w:ascii="Arial" w:eastAsia="宋体" w:hAnsi="Arial" w:cs="Arial"/>
                <w:color w:val="262626"/>
                <w:sz w:val="18"/>
                <w:szCs w:val="18"/>
              </w:rPr>
              <w:t>3/30/2006</w:t>
            </w:r>
          </w:p>
        </w:tc>
        <w:tc>
          <w:tcPr>
            <w:tcW w:w="0" w:type="auto"/>
            <w:gridSpan w:val="3"/>
            <w:shd w:val="clear" w:color="auto" w:fill="auto"/>
            <w:tcMar>
              <w:top w:w="0" w:type="dxa"/>
              <w:left w:w="20" w:type="dxa"/>
              <w:bottom w:w="0" w:type="dxa"/>
              <w:right w:w="20" w:type="dxa"/>
            </w:tcMar>
            <w:vAlign w:val="bottom"/>
          </w:tcPr>
          <w:p w14:paraId="5A1B3B4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4D" w14:textId="77777777" w:rsidR="00960BB8" w:rsidRDefault="00960BB8">
            <w:pPr>
              <w:rPr>
                <w:rFonts w:ascii="宋体"/>
              </w:rPr>
            </w:pPr>
          </w:p>
        </w:tc>
      </w:tr>
      <w:tr w:rsidR="00960BB8" w14:paraId="5A1B3B5C" w14:textId="77777777">
        <w:tc>
          <w:tcPr>
            <w:tcW w:w="0" w:type="auto"/>
            <w:gridSpan w:val="3"/>
            <w:shd w:val="clear" w:color="auto" w:fill="auto"/>
            <w:tcMar>
              <w:top w:w="40" w:type="dxa"/>
              <w:left w:w="20" w:type="dxa"/>
              <w:bottom w:w="40" w:type="dxa"/>
              <w:right w:w="20" w:type="dxa"/>
            </w:tcMar>
          </w:tcPr>
          <w:p w14:paraId="5A1B3B4F" w14:textId="77777777" w:rsidR="00960BB8" w:rsidRDefault="00C06650">
            <w:pPr>
              <w:jc w:val="center"/>
              <w:textAlignment w:val="top"/>
            </w:pPr>
            <w:r>
              <w:rPr>
                <w:rFonts w:ascii="Arial" w:eastAsia="宋体" w:hAnsi="Arial" w:cs="Arial"/>
                <w:color w:val="262626"/>
                <w:sz w:val="18"/>
                <w:szCs w:val="18"/>
              </w:rPr>
              <w:t>4.2</w:t>
            </w:r>
          </w:p>
        </w:tc>
        <w:tc>
          <w:tcPr>
            <w:tcW w:w="0" w:type="auto"/>
            <w:gridSpan w:val="3"/>
            <w:shd w:val="clear" w:color="auto" w:fill="auto"/>
            <w:tcMar>
              <w:top w:w="0" w:type="dxa"/>
              <w:left w:w="20" w:type="dxa"/>
              <w:bottom w:w="0" w:type="dxa"/>
              <w:right w:w="20" w:type="dxa"/>
            </w:tcMar>
            <w:vAlign w:val="bottom"/>
          </w:tcPr>
          <w:p w14:paraId="5A1B3B5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51" w14:textId="77777777" w:rsidR="00960BB8" w:rsidRDefault="00C06650">
            <w:pPr>
              <w:textAlignment w:val="top"/>
            </w:pPr>
            <w:hyperlink r:id="rId175" w:history="1">
              <w:r>
                <w:rPr>
                  <w:rStyle w:val="a5"/>
                  <w:rFonts w:ascii="Arial" w:eastAsia="宋体" w:hAnsi="Arial" w:cs="Arial"/>
                  <w:color w:val="262626"/>
                  <w:sz w:val="18"/>
                  <w:szCs w:val="18"/>
                </w:rPr>
                <w:t>First Supplemental Indenture to Open-Ended Indenture, dated as of December 3, 2007</w:t>
              </w:r>
            </w:hyperlink>
          </w:p>
        </w:tc>
        <w:tc>
          <w:tcPr>
            <w:tcW w:w="0" w:type="auto"/>
            <w:gridSpan w:val="3"/>
            <w:shd w:val="clear" w:color="auto" w:fill="auto"/>
            <w:tcMar>
              <w:top w:w="0" w:type="dxa"/>
              <w:left w:w="20" w:type="dxa"/>
              <w:bottom w:w="0" w:type="dxa"/>
              <w:right w:w="20" w:type="dxa"/>
            </w:tcMar>
            <w:vAlign w:val="bottom"/>
          </w:tcPr>
          <w:p w14:paraId="5A1B3B5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53" w14:textId="77777777" w:rsidR="00960BB8" w:rsidRDefault="00C06650">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vAlign w:val="bottom"/>
          </w:tcPr>
          <w:p w14:paraId="5A1B3B5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55"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5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57" w14:textId="77777777" w:rsidR="00960BB8" w:rsidRDefault="00C06650">
            <w:pPr>
              <w:jc w:val="right"/>
              <w:textAlignment w:val="top"/>
            </w:pPr>
            <w:r>
              <w:rPr>
                <w:rFonts w:ascii="Arial" w:eastAsia="宋体" w:hAnsi="Arial" w:cs="Arial"/>
                <w:color w:val="262626"/>
                <w:sz w:val="18"/>
                <w:szCs w:val="18"/>
              </w:rPr>
              <w:t>4.2.4</w:t>
            </w:r>
          </w:p>
        </w:tc>
        <w:tc>
          <w:tcPr>
            <w:tcW w:w="0" w:type="auto"/>
            <w:gridSpan w:val="3"/>
            <w:shd w:val="clear" w:color="auto" w:fill="auto"/>
            <w:tcMar>
              <w:top w:w="0" w:type="dxa"/>
              <w:left w:w="20" w:type="dxa"/>
              <w:bottom w:w="0" w:type="dxa"/>
              <w:right w:w="20" w:type="dxa"/>
            </w:tcMar>
            <w:vAlign w:val="bottom"/>
          </w:tcPr>
          <w:p w14:paraId="5A1B3B5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59" w14:textId="77777777" w:rsidR="00960BB8" w:rsidRDefault="00C06650">
            <w:pPr>
              <w:jc w:val="right"/>
              <w:textAlignment w:val="top"/>
            </w:pPr>
            <w:r>
              <w:rPr>
                <w:rFonts w:ascii="Arial" w:eastAsia="宋体" w:hAnsi="Arial" w:cs="Arial"/>
                <w:color w:val="262626"/>
                <w:sz w:val="18"/>
                <w:szCs w:val="18"/>
              </w:rPr>
              <w:t>2/20/2008</w:t>
            </w:r>
          </w:p>
        </w:tc>
        <w:tc>
          <w:tcPr>
            <w:tcW w:w="0" w:type="auto"/>
            <w:gridSpan w:val="3"/>
            <w:shd w:val="clear" w:color="auto" w:fill="auto"/>
            <w:tcMar>
              <w:top w:w="0" w:type="dxa"/>
              <w:left w:w="20" w:type="dxa"/>
              <w:bottom w:w="0" w:type="dxa"/>
              <w:right w:w="20" w:type="dxa"/>
            </w:tcMar>
            <w:vAlign w:val="bottom"/>
          </w:tcPr>
          <w:p w14:paraId="5A1B3B5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5B" w14:textId="77777777" w:rsidR="00960BB8" w:rsidRDefault="00960BB8">
            <w:pPr>
              <w:rPr>
                <w:rFonts w:ascii="宋体"/>
              </w:rPr>
            </w:pPr>
          </w:p>
        </w:tc>
      </w:tr>
      <w:tr w:rsidR="00960BB8" w14:paraId="5A1B3B6B" w14:textId="77777777">
        <w:tc>
          <w:tcPr>
            <w:tcW w:w="0" w:type="auto"/>
            <w:gridSpan w:val="3"/>
            <w:shd w:val="clear" w:color="auto" w:fill="auto"/>
            <w:tcMar>
              <w:top w:w="40" w:type="dxa"/>
              <w:left w:w="20" w:type="dxa"/>
              <w:bottom w:w="40" w:type="dxa"/>
              <w:right w:w="20" w:type="dxa"/>
            </w:tcMar>
          </w:tcPr>
          <w:p w14:paraId="5A1B3B5D" w14:textId="77777777" w:rsidR="00960BB8" w:rsidRDefault="00C06650">
            <w:pPr>
              <w:jc w:val="center"/>
              <w:textAlignment w:val="top"/>
            </w:pPr>
            <w:r>
              <w:rPr>
                <w:rFonts w:ascii="Arial" w:eastAsia="宋体" w:hAnsi="Arial" w:cs="Arial"/>
                <w:color w:val="262626"/>
                <w:sz w:val="18"/>
                <w:szCs w:val="18"/>
              </w:rPr>
              <w:t>4.3</w:t>
            </w:r>
          </w:p>
        </w:tc>
        <w:tc>
          <w:tcPr>
            <w:tcW w:w="0" w:type="auto"/>
            <w:gridSpan w:val="3"/>
            <w:shd w:val="clear" w:color="auto" w:fill="auto"/>
            <w:tcMar>
              <w:top w:w="0" w:type="dxa"/>
              <w:left w:w="20" w:type="dxa"/>
              <w:bottom w:w="0" w:type="dxa"/>
              <w:right w:w="20" w:type="dxa"/>
            </w:tcMar>
            <w:vAlign w:val="bottom"/>
          </w:tcPr>
          <w:p w14:paraId="5A1B3B5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5F" w14:textId="77777777" w:rsidR="00960BB8" w:rsidRDefault="00C06650">
            <w:pPr>
              <w:textAlignment w:val="top"/>
            </w:pPr>
            <w:hyperlink r:id="rId176" w:history="1">
              <w:r>
                <w:rPr>
                  <w:rStyle w:val="a5"/>
                  <w:rFonts w:ascii="Arial" w:eastAsia="宋体" w:hAnsi="Arial" w:cs="Arial"/>
                  <w:color w:val="262626"/>
                  <w:sz w:val="18"/>
                  <w:szCs w:val="18"/>
                </w:rPr>
                <w:t>Second Supplemental Indenture to Open-Ended Indenture for the Registrant's 1.95% Senior Notes due 2016, 3.30% Senior Notes due 2021,</w:t>
              </w:r>
              <w:r>
                <w:rPr>
                  <w:rStyle w:val="a5"/>
                  <w:rFonts w:ascii="Arial" w:eastAsia="宋体" w:hAnsi="Arial" w:cs="Arial"/>
                  <w:color w:val="262626"/>
                  <w:sz w:val="18"/>
                  <w:szCs w:val="18"/>
                </w:rPr>
                <w:t xml:space="preserve"> and 4.80% Senior Notes due 2041, dated as of September 19, 2011</w:t>
              </w:r>
            </w:hyperlink>
          </w:p>
        </w:tc>
        <w:tc>
          <w:tcPr>
            <w:tcW w:w="0" w:type="auto"/>
            <w:gridSpan w:val="3"/>
            <w:shd w:val="clear" w:color="auto" w:fill="auto"/>
            <w:tcMar>
              <w:top w:w="0" w:type="dxa"/>
              <w:left w:w="20" w:type="dxa"/>
              <w:bottom w:w="0" w:type="dxa"/>
              <w:right w:w="20" w:type="dxa"/>
            </w:tcMar>
            <w:vAlign w:val="bottom"/>
          </w:tcPr>
          <w:p w14:paraId="5A1B3B6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61"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B6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63"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6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B65" w14:textId="77777777" w:rsidR="00960BB8" w:rsidRDefault="00C06650">
            <w:pPr>
              <w:jc w:val="right"/>
              <w:textAlignment w:val="top"/>
            </w:pPr>
            <w:r>
              <w:rPr>
                <w:rFonts w:ascii="Arial" w:eastAsia="宋体" w:hAnsi="Arial" w:cs="Arial"/>
                <w:color w:val="262626"/>
                <w:sz w:val="18"/>
                <w:szCs w:val="18"/>
              </w:rPr>
              <w:t>4.01 </w:t>
            </w:r>
          </w:p>
        </w:tc>
        <w:tc>
          <w:tcPr>
            <w:tcW w:w="0" w:type="auto"/>
            <w:shd w:val="clear" w:color="auto" w:fill="auto"/>
            <w:tcMar>
              <w:top w:w="40" w:type="dxa"/>
              <w:left w:w="0" w:type="dxa"/>
              <w:bottom w:w="40" w:type="dxa"/>
              <w:right w:w="20" w:type="dxa"/>
            </w:tcMar>
          </w:tcPr>
          <w:p w14:paraId="5A1B3B6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6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68" w14:textId="77777777" w:rsidR="00960BB8" w:rsidRDefault="00C06650">
            <w:pPr>
              <w:jc w:val="right"/>
              <w:textAlignment w:val="top"/>
            </w:pPr>
            <w:r>
              <w:rPr>
                <w:rFonts w:ascii="Arial" w:eastAsia="宋体" w:hAnsi="Arial" w:cs="Arial"/>
                <w:color w:val="262626"/>
                <w:sz w:val="18"/>
                <w:szCs w:val="18"/>
              </w:rPr>
              <w:t>9/19/2011</w:t>
            </w:r>
          </w:p>
        </w:tc>
        <w:tc>
          <w:tcPr>
            <w:tcW w:w="0" w:type="auto"/>
            <w:gridSpan w:val="3"/>
            <w:shd w:val="clear" w:color="auto" w:fill="auto"/>
            <w:tcMar>
              <w:top w:w="0" w:type="dxa"/>
              <w:left w:w="20" w:type="dxa"/>
              <w:bottom w:w="0" w:type="dxa"/>
              <w:right w:w="20" w:type="dxa"/>
            </w:tcMar>
            <w:vAlign w:val="bottom"/>
          </w:tcPr>
          <w:p w14:paraId="5A1B3B6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6A" w14:textId="77777777" w:rsidR="00960BB8" w:rsidRDefault="00960BB8">
            <w:pPr>
              <w:rPr>
                <w:rFonts w:ascii="宋体"/>
              </w:rPr>
            </w:pPr>
          </w:p>
        </w:tc>
      </w:tr>
      <w:tr w:rsidR="00960BB8" w14:paraId="5A1B3B7A" w14:textId="77777777">
        <w:tc>
          <w:tcPr>
            <w:tcW w:w="0" w:type="auto"/>
            <w:gridSpan w:val="3"/>
            <w:shd w:val="clear" w:color="auto" w:fill="auto"/>
            <w:tcMar>
              <w:top w:w="40" w:type="dxa"/>
              <w:left w:w="20" w:type="dxa"/>
              <w:bottom w:w="40" w:type="dxa"/>
              <w:right w:w="20" w:type="dxa"/>
            </w:tcMar>
          </w:tcPr>
          <w:p w14:paraId="5A1B3B6C" w14:textId="77777777" w:rsidR="00960BB8" w:rsidRDefault="00C06650">
            <w:pPr>
              <w:jc w:val="center"/>
              <w:textAlignment w:val="top"/>
            </w:pPr>
            <w:r>
              <w:rPr>
                <w:rFonts w:ascii="Arial" w:eastAsia="宋体" w:hAnsi="Arial" w:cs="Arial"/>
                <w:color w:val="262626"/>
                <w:sz w:val="18"/>
                <w:szCs w:val="18"/>
              </w:rPr>
              <w:t>4.4</w:t>
            </w:r>
          </w:p>
        </w:tc>
        <w:tc>
          <w:tcPr>
            <w:tcW w:w="0" w:type="auto"/>
            <w:gridSpan w:val="3"/>
            <w:shd w:val="clear" w:color="auto" w:fill="auto"/>
            <w:tcMar>
              <w:top w:w="0" w:type="dxa"/>
              <w:left w:w="20" w:type="dxa"/>
              <w:bottom w:w="0" w:type="dxa"/>
              <w:right w:w="20" w:type="dxa"/>
            </w:tcMar>
            <w:vAlign w:val="bottom"/>
          </w:tcPr>
          <w:p w14:paraId="5A1B3B6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6E" w14:textId="77777777" w:rsidR="00960BB8" w:rsidRDefault="00C06650">
            <w:pPr>
              <w:textAlignment w:val="top"/>
            </w:pPr>
            <w:hyperlink r:id="rId177" w:history="1">
              <w:r>
                <w:rPr>
                  <w:rStyle w:val="a5"/>
                  <w:rFonts w:ascii="Arial" w:eastAsia="宋体" w:hAnsi="Arial" w:cs="Arial"/>
                  <w:color w:val="262626"/>
                  <w:sz w:val="18"/>
                  <w:szCs w:val="18"/>
                </w:rPr>
                <w:t>Third Supplemental Indenture to Open-Ended Indenture for the Registrant's 1.35% Senior Notes due 2017, 2.70% Senior Notes due 2022, 4.00% Senior Notes due 2</w:t>
              </w:r>
              <w:r>
                <w:rPr>
                  <w:rStyle w:val="a5"/>
                  <w:rFonts w:ascii="Arial" w:eastAsia="宋体" w:hAnsi="Arial" w:cs="Arial"/>
                  <w:color w:val="262626"/>
                  <w:sz w:val="18"/>
                  <w:szCs w:val="18"/>
                </w:rPr>
                <w:t>032, and 4.25% Senior Notes due 2042, dated as of December 11, 2012</w:t>
              </w:r>
            </w:hyperlink>
          </w:p>
        </w:tc>
        <w:tc>
          <w:tcPr>
            <w:tcW w:w="0" w:type="auto"/>
            <w:gridSpan w:val="3"/>
            <w:shd w:val="clear" w:color="auto" w:fill="auto"/>
            <w:tcMar>
              <w:top w:w="0" w:type="dxa"/>
              <w:left w:w="20" w:type="dxa"/>
              <w:bottom w:w="0" w:type="dxa"/>
              <w:right w:w="20" w:type="dxa"/>
            </w:tcMar>
            <w:vAlign w:val="bottom"/>
          </w:tcPr>
          <w:p w14:paraId="5A1B3B6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70"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B7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72"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7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B74" w14:textId="77777777" w:rsidR="00960BB8" w:rsidRDefault="00C06650">
            <w:pPr>
              <w:jc w:val="right"/>
              <w:textAlignment w:val="top"/>
            </w:pPr>
            <w:r>
              <w:rPr>
                <w:rFonts w:ascii="Arial" w:eastAsia="宋体" w:hAnsi="Arial" w:cs="Arial"/>
                <w:color w:val="262626"/>
                <w:sz w:val="18"/>
                <w:szCs w:val="18"/>
              </w:rPr>
              <w:t>4.01 </w:t>
            </w:r>
          </w:p>
        </w:tc>
        <w:tc>
          <w:tcPr>
            <w:tcW w:w="0" w:type="auto"/>
            <w:shd w:val="clear" w:color="auto" w:fill="auto"/>
            <w:tcMar>
              <w:top w:w="40" w:type="dxa"/>
              <w:left w:w="0" w:type="dxa"/>
              <w:bottom w:w="40" w:type="dxa"/>
              <w:right w:w="20" w:type="dxa"/>
            </w:tcMar>
          </w:tcPr>
          <w:p w14:paraId="5A1B3B7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7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77" w14:textId="77777777" w:rsidR="00960BB8" w:rsidRDefault="00C06650">
            <w:pPr>
              <w:jc w:val="right"/>
              <w:textAlignment w:val="top"/>
            </w:pPr>
            <w:r>
              <w:rPr>
                <w:rFonts w:ascii="Arial" w:eastAsia="宋体" w:hAnsi="Arial" w:cs="Arial"/>
                <w:color w:val="262626"/>
                <w:sz w:val="18"/>
                <w:szCs w:val="18"/>
              </w:rPr>
              <w:t>12/11/2012</w:t>
            </w:r>
          </w:p>
        </w:tc>
        <w:tc>
          <w:tcPr>
            <w:tcW w:w="0" w:type="auto"/>
            <w:gridSpan w:val="3"/>
            <w:shd w:val="clear" w:color="auto" w:fill="auto"/>
            <w:tcMar>
              <w:top w:w="0" w:type="dxa"/>
              <w:left w:w="20" w:type="dxa"/>
              <w:bottom w:w="0" w:type="dxa"/>
              <w:right w:w="20" w:type="dxa"/>
            </w:tcMar>
            <w:vAlign w:val="bottom"/>
          </w:tcPr>
          <w:p w14:paraId="5A1B3B7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79" w14:textId="77777777" w:rsidR="00960BB8" w:rsidRDefault="00960BB8">
            <w:pPr>
              <w:rPr>
                <w:rFonts w:ascii="宋体"/>
              </w:rPr>
            </w:pPr>
          </w:p>
        </w:tc>
      </w:tr>
      <w:tr w:rsidR="00960BB8" w14:paraId="5A1B3B89" w14:textId="77777777">
        <w:tc>
          <w:tcPr>
            <w:tcW w:w="0" w:type="auto"/>
            <w:gridSpan w:val="3"/>
            <w:shd w:val="clear" w:color="auto" w:fill="auto"/>
            <w:tcMar>
              <w:top w:w="40" w:type="dxa"/>
              <w:left w:w="20" w:type="dxa"/>
              <w:bottom w:w="40" w:type="dxa"/>
              <w:right w:w="20" w:type="dxa"/>
            </w:tcMar>
          </w:tcPr>
          <w:p w14:paraId="5A1B3B7B" w14:textId="77777777" w:rsidR="00960BB8" w:rsidRDefault="00C06650">
            <w:pPr>
              <w:jc w:val="center"/>
              <w:textAlignment w:val="top"/>
            </w:pPr>
            <w:r>
              <w:rPr>
                <w:rFonts w:ascii="Arial" w:eastAsia="宋体" w:hAnsi="Arial" w:cs="Arial"/>
                <w:color w:val="262626"/>
                <w:sz w:val="18"/>
                <w:szCs w:val="18"/>
              </w:rPr>
              <w:t>4.5</w:t>
            </w:r>
          </w:p>
        </w:tc>
        <w:tc>
          <w:tcPr>
            <w:tcW w:w="0" w:type="auto"/>
            <w:gridSpan w:val="3"/>
            <w:shd w:val="clear" w:color="auto" w:fill="auto"/>
            <w:tcMar>
              <w:top w:w="0" w:type="dxa"/>
              <w:left w:w="20" w:type="dxa"/>
              <w:bottom w:w="0" w:type="dxa"/>
              <w:right w:w="20" w:type="dxa"/>
            </w:tcMar>
            <w:vAlign w:val="bottom"/>
          </w:tcPr>
          <w:p w14:paraId="5A1B3B7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7D" w14:textId="77777777" w:rsidR="00960BB8" w:rsidRDefault="00C06650">
            <w:pPr>
              <w:textAlignment w:val="top"/>
            </w:pPr>
            <w:hyperlink r:id="rId178" w:history="1">
              <w:r>
                <w:rPr>
                  <w:rStyle w:val="a5"/>
                  <w:rFonts w:ascii="Arial" w:eastAsia="宋体" w:hAnsi="Arial" w:cs="Arial"/>
                  <w:color w:val="262626"/>
                  <w:sz w:val="18"/>
                  <w:szCs w:val="18"/>
                </w:rPr>
                <w:t>Fourth Supplemental Indenture to Open-Ended Indenture for the Registrant's 4.25% Senior Notes due 2042, dated as of D</w:t>
              </w:r>
              <w:r>
                <w:rPr>
                  <w:rStyle w:val="a5"/>
                  <w:rFonts w:ascii="Arial" w:eastAsia="宋体" w:hAnsi="Arial" w:cs="Arial"/>
                  <w:color w:val="262626"/>
                  <w:sz w:val="18"/>
                  <w:szCs w:val="18"/>
                </w:rPr>
                <w:t>ecember 14, 2012</w:t>
              </w:r>
            </w:hyperlink>
          </w:p>
        </w:tc>
        <w:tc>
          <w:tcPr>
            <w:tcW w:w="0" w:type="auto"/>
            <w:gridSpan w:val="3"/>
            <w:shd w:val="clear" w:color="auto" w:fill="auto"/>
            <w:tcMar>
              <w:top w:w="0" w:type="dxa"/>
              <w:left w:w="20" w:type="dxa"/>
              <w:bottom w:w="0" w:type="dxa"/>
              <w:right w:w="20" w:type="dxa"/>
            </w:tcMar>
            <w:vAlign w:val="bottom"/>
          </w:tcPr>
          <w:p w14:paraId="5A1B3B7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7F"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B8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81"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8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B83" w14:textId="77777777" w:rsidR="00960BB8" w:rsidRDefault="00C06650">
            <w:pPr>
              <w:jc w:val="right"/>
              <w:textAlignment w:val="top"/>
            </w:pPr>
            <w:r>
              <w:rPr>
                <w:rFonts w:ascii="Arial" w:eastAsia="宋体" w:hAnsi="Arial" w:cs="Arial"/>
                <w:color w:val="262626"/>
                <w:sz w:val="18"/>
                <w:szCs w:val="18"/>
              </w:rPr>
              <w:t>4.01 </w:t>
            </w:r>
          </w:p>
        </w:tc>
        <w:tc>
          <w:tcPr>
            <w:tcW w:w="0" w:type="auto"/>
            <w:shd w:val="clear" w:color="auto" w:fill="auto"/>
            <w:tcMar>
              <w:top w:w="40" w:type="dxa"/>
              <w:left w:w="0" w:type="dxa"/>
              <w:bottom w:w="40" w:type="dxa"/>
              <w:right w:w="20" w:type="dxa"/>
            </w:tcMar>
          </w:tcPr>
          <w:p w14:paraId="5A1B3B8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8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86" w14:textId="77777777" w:rsidR="00960BB8" w:rsidRDefault="00C06650">
            <w:pPr>
              <w:jc w:val="right"/>
              <w:textAlignment w:val="top"/>
            </w:pPr>
            <w:r>
              <w:rPr>
                <w:rFonts w:ascii="Arial" w:eastAsia="宋体" w:hAnsi="Arial" w:cs="Arial"/>
                <w:color w:val="262626"/>
                <w:sz w:val="18"/>
                <w:szCs w:val="18"/>
              </w:rPr>
              <w:t>12/14/2012</w:t>
            </w:r>
          </w:p>
        </w:tc>
        <w:tc>
          <w:tcPr>
            <w:tcW w:w="0" w:type="auto"/>
            <w:gridSpan w:val="3"/>
            <w:shd w:val="clear" w:color="auto" w:fill="auto"/>
            <w:tcMar>
              <w:top w:w="0" w:type="dxa"/>
              <w:left w:w="20" w:type="dxa"/>
              <w:bottom w:w="0" w:type="dxa"/>
              <w:right w:w="20" w:type="dxa"/>
            </w:tcMar>
            <w:vAlign w:val="bottom"/>
          </w:tcPr>
          <w:p w14:paraId="5A1B3B8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88" w14:textId="77777777" w:rsidR="00960BB8" w:rsidRDefault="00960BB8">
            <w:pPr>
              <w:rPr>
                <w:rFonts w:ascii="宋体"/>
              </w:rPr>
            </w:pPr>
          </w:p>
        </w:tc>
      </w:tr>
      <w:tr w:rsidR="00960BB8" w14:paraId="5A1B3B98" w14:textId="77777777">
        <w:tc>
          <w:tcPr>
            <w:tcW w:w="0" w:type="auto"/>
            <w:gridSpan w:val="3"/>
            <w:shd w:val="clear" w:color="auto" w:fill="auto"/>
            <w:tcMar>
              <w:top w:w="40" w:type="dxa"/>
              <w:left w:w="20" w:type="dxa"/>
              <w:bottom w:w="40" w:type="dxa"/>
              <w:right w:w="20" w:type="dxa"/>
            </w:tcMar>
          </w:tcPr>
          <w:p w14:paraId="5A1B3B8A" w14:textId="77777777" w:rsidR="00960BB8" w:rsidRDefault="00C06650">
            <w:pPr>
              <w:jc w:val="center"/>
              <w:textAlignment w:val="top"/>
            </w:pPr>
            <w:r>
              <w:rPr>
                <w:rFonts w:ascii="Arial" w:eastAsia="宋体" w:hAnsi="Arial" w:cs="Arial"/>
                <w:color w:val="262626"/>
                <w:sz w:val="18"/>
                <w:szCs w:val="18"/>
              </w:rPr>
              <w:t>4.6</w:t>
            </w:r>
          </w:p>
        </w:tc>
        <w:tc>
          <w:tcPr>
            <w:tcW w:w="0" w:type="auto"/>
            <w:gridSpan w:val="3"/>
            <w:shd w:val="clear" w:color="auto" w:fill="auto"/>
            <w:tcMar>
              <w:top w:w="0" w:type="dxa"/>
              <w:left w:w="20" w:type="dxa"/>
              <w:bottom w:w="0" w:type="dxa"/>
              <w:right w:w="20" w:type="dxa"/>
            </w:tcMar>
            <w:vAlign w:val="bottom"/>
          </w:tcPr>
          <w:p w14:paraId="5A1B3B8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8C" w14:textId="77777777" w:rsidR="00960BB8" w:rsidRDefault="00C06650">
            <w:pPr>
              <w:textAlignment w:val="top"/>
            </w:pPr>
            <w:hyperlink r:id="rId179" w:history="1">
              <w:r>
                <w:rPr>
                  <w:rStyle w:val="a5"/>
                  <w:rFonts w:ascii="Arial" w:eastAsia="宋体" w:hAnsi="Arial" w:cs="Arial"/>
                  <w:color w:val="262626"/>
                  <w:sz w:val="18"/>
                  <w:szCs w:val="18"/>
                </w:rPr>
                <w:t>Fifth Supplemental Indenture to Open-Ended Indenture, dated as of July 29, 2015, between Intel Corporation and Wells Fa</w:t>
              </w:r>
              <w:r>
                <w:rPr>
                  <w:rStyle w:val="a5"/>
                  <w:rFonts w:ascii="Arial" w:eastAsia="宋体" w:hAnsi="Arial" w:cs="Arial"/>
                  <w:color w:val="262626"/>
                  <w:sz w:val="18"/>
                  <w:szCs w:val="18"/>
                </w:rPr>
                <w:t>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5A1B3B8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8E"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B8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90" w14:textId="77777777" w:rsidR="00960BB8" w:rsidRDefault="00C06650">
            <w:pPr>
              <w:spacing w:after="240"/>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9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B92" w14:textId="77777777" w:rsidR="00960BB8" w:rsidRDefault="00C06650">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5A1B3B9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9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95" w14:textId="77777777" w:rsidR="00960BB8" w:rsidRDefault="00C06650">
            <w:pPr>
              <w:jc w:val="right"/>
              <w:textAlignment w:val="top"/>
            </w:pPr>
            <w:r>
              <w:rPr>
                <w:rFonts w:ascii="Arial" w:eastAsia="宋体" w:hAnsi="Arial" w:cs="Arial"/>
                <w:color w:val="262626"/>
                <w:sz w:val="18"/>
                <w:szCs w:val="18"/>
              </w:rPr>
              <w:t>7/29/2015</w:t>
            </w:r>
          </w:p>
        </w:tc>
        <w:tc>
          <w:tcPr>
            <w:tcW w:w="0" w:type="auto"/>
            <w:gridSpan w:val="3"/>
            <w:shd w:val="clear" w:color="auto" w:fill="auto"/>
            <w:tcMar>
              <w:top w:w="0" w:type="dxa"/>
              <w:left w:w="20" w:type="dxa"/>
              <w:bottom w:w="0" w:type="dxa"/>
              <w:right w:w="20" w:type="dxa"/>
            </w:tcMar>
            <w:vAlign w:val="bottom"/>
          </w:tcPr>
          <w:p w14:paraId="5A1B3B9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97" w14:textId="77777777" w:rsidR="00960BB8" w:rsidRDefault="00960BB8">
            <w:pPr>
              <w:rPr>
                <w:rFonts w:ascii="宋体"/>
              </w:rPr>
            </w:pPr>
          </w:p>
        </w:tc>
      </w:tr>
      <w:tr w:rsidR="00960BB8" w14:paraId="5A1B3BA7" w14:textId="77777777">
        <w:tc>
          <w:tcPr>
            <w:tcW w:w="0" w:type="auto"/>
            <w:gridSpan w:val="3"/>
            <w:shd w:val="clear" w:color="auto" w:fill="auto"/>
            <w:tcMar>
              <w:top w:w="40" w:type="dxa"/>
              <w:left w:w="20" w:type="dxa"/>
              <w:bottom w:w="40" w:type="dxa"/>
              <w:right w:w="20" w:type="dxa"/>
            </w:tcMar>
          </w:tcPr>
          <w:p w14:paraId="5A1B3B99" w14:textId="77777777" w:rsidR="00960BB8" w:rsidRDefault="00C06650">
            <w:pPr>
              <w:jc w:val="center"/>
              <w:textAlignment w:val="top"/>
            </w:pPr>
            <w:r>
              <w:rPr>
                <w:rFonts w:ascii="Arial" w:eastAsia="宋体" w:hAnsi="Arial" w:cs="Arial"/>
                <w:color w:val="262626"/>
                <w:sz w:val="18"/>
                <w:szCs w:val="18"/>
              </w:rPr>
              <w:t>4.7</w:t>
            </w:r>
          </w:p>
        </w:tc>
        <w:tc>
          <w:tcPr>
            <w:tcW w:w="0" w:type="auto"/>
            <w:gridSpan w:val="3"/>
            <w:shd w:val="clear" w:color="auto" w:fill="auto"/>
            <w:tcMar>
              <w:top w:w="0" w:type="dxa"/>
              <w:left w:w="20" w:type="dxa"/>
              <w:bottom w:w="0" w:type="dxa"/>
              <w:right w:w="20" w:type="dxa"/>
            </w:tcMar>
            <w:vAlign w:val="bottom"/>
          </w:tcPr>
          <w:p w14:paraId="5A1B3B9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9B" w14:textId="77777777" w:rsidR="00960BB8" w:rsidRDefault="00C06650">
            <w:pPr>
              <w:textAlignment w:val="top"/>
            </w:pPr>
            <w:hyperlink r:id="rId180" w:history="1">
              <w:r>
                <w:rPr>
                  <w:rStyle w:val="a5"/>
                  <w:rFonts w:ascii="Arial" w:eastAsia="宋体" w:hAnsi="Arial" w:cs="Arial"/>
                  <w:color w:val="262626"/>
                  <w:sz w:val="18"/>
                  <w:szCs w:val="18"/>
                </w:rPr>
                <w:t>Eighth Supplemental Indenture to Open-Ended Indenture, dated as of May 19, 2016, between Intel Corporation and Wells Fa</w:t>
              </w:r>
              <w:r>
                <w:rPr>
                  <w:rStyle w:val="a5"/>
                  <w:rFonts w:ascii="Arial" w:eastAsia="宋体" w:hAnsi="Arial" w:cs="Arial"/>
                  <w:color w:val="262626"/>
                  <w:sz w:val="18"/>
                  <w:szCs w:val="18"/>
                </w:rPr>
                <w:t>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5A1B3B9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9D"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B9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9F"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A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BA1" w14:textId="77777777" w:rsidR="00960BB8" w:rsidRDefault="00C06650">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5A1B3BA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A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A4" w14:textId="77777777" w:rsidR="00960BB8" w:rsidRDefault="00C06650">
            <w:pPr>
              <w:jc w:val="right"/>
              <w:textAlignment w:val="top"/>
            </w:pPr>
            <w:r>
              <w:rPr>
                <w:rFonts w:ascii="Arial" w:eastAsia="宋体" w:hAnsi="Arial" w:cs="Arial"/>
                <w:color w:val="262626"/>
                <w:sz w:val="18"/>
                <w:szCs w:val="18"/>
              </w:rPr>
              <w:t>5/19/2016</w:t>
            </w:r>
          </w:p>
        </w:tc>
        <w:tc>
          <w:tcPr>
            <w:tcW w:w="0" w:type="auto"/>
            <w:gridSpan w:val="3"/>
            <w:shd w:val="clear" w:color="auto" w:fill="auto"/>
            <w:tcMar>
              <w:top w:w="0" w:type="dxa"/>
              <w:left w:w="20" w:type="dxa"/>
              <w:bottom w:w="0" w:type="dxa"/>
              <w:right w:w="20" w:type="dxa"/>
            </w:tcMar>
            <w:vAlign w:val="bottom"/>
          </w:tcPr>
          <w:p w14:paraId="5A1B3BA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A6" w14:textId="77777777" w:rsidR="00960BB8" w:rsidRDefault="00960BB8">
            <w:pPr>
              <w:rPr>
                <w:rFonts w:ascii="宋体"/>
              </w:rPr>
            </w:pPr>
          </w:p>
        </w:tc>
      </w:tr>
      <w:tr w:rsidR="00960BB8" w14:paraId="5A1B3BB6" w14:textId="77777777">
        <w:tc>
          <w:tcPr>
            <w:tcW w:w="0" w:type="auto"/>
            <w:gridSpan w:val="3"/>
            <w:shd w:val="clear" w:color="auto" w:fill="auto"/>
            <w:tcMar>
              <w:top w:w="40" w:type="dxa"/>
              <w:left w:w="20" w:type="dxa"/>
              <w:bottom w:w="40" w:type="dxa"/>
              <w:right w:w="20" w:type="dxa"/>
            </w:tcMar>
          </w:tcPr>
          <w:p w14:paraId="5A1B3BA8" w14:textId="77777777" w:rsidR="00960BB8" w:rsidRDefault="00C06650">
            <w:pPr>
              <w:jc w:val="center"/>
              <w:textAlignment w:val="top"/>
            </w:pPr>
            <w:r>
              <w:rPr>
                <w:rFonts w:ascii="Arial" w:eastAsia="宋体" w:hAnsi="Arial" w:cs="Arial"/>
                <w:color w:val="262626"/>
                <w:sz w:val="18"/>
                <w:szCs w:val="18"/>
              </w:rPr>
              <w:t>4.8</w:t>
            </w:r>
          </w:p>
        </w:tc>
        <w:tc>
          <w:tcPr>
            <w:tcW w:w="0" w:type="auto"/>
            <w:gridSpan w:val="3"/>
            <w:shd w:val="clear" w:color="auto" w:fill="auto"/>
            <w:tcMar>
              <w:top w:w="0" w:type="dxa"/>
              <w:left w:w="20" w:type="dxa"/>
              <w:bottom w:w="0" w:type="dxa"/>
              <w:right w:w="20" w:type="dxa"/>
            </w:tcMar>
            <w:vAlign w:val="bottom"/>
          </w:tcPr>
          <w:p w14:paraId="5A1B3BA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AA" w14:textId="77777777" w:rsidR="00960BB8" w:rsidRDefault="00C06650">
            <w:pPr>
              <w:spacing w:before="30" w:after="160"/>
              <w:textAlignment w:val="top"/>
            </w:pPr>
            <w:hyperlink r:id="rId181" w:history="1">
              <w:r>
                <w:rPr>
                  <w:rStyle w:val="a5"/>
                  <w:rFonts w:ascii="Arial" w:eastAsia="宋体" w:hAnsi="Arial" w:cs="Arial"/>
                  <w:color w:val="262626"/>
                  <w:sz w:val="18"/>
                  <w:szCs w:val="18"/>
                </w:rPr>
                <w:t>Ninth Supplemental Indenture to Open-Ended Indenture, dated as of May 11, 2017, between Intel Corporation and Wells Fargo B</w:t>
              </w:r>
              <w:r>
                <w:rPr>
                  <w:rStyle w:val="a5"/>
                  <w:rFonts w:ascii="Arial" w:eastAsia="宋体" w:hAnsi="Arial" w:cs="Arial"/>
                  <w:color w:val="262626"/>
                  <w:sz w:val="18"/>
                  <w:szCs w:val="18"/>
                </w:rPr>
                <w:t>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5A1B3BA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AC"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BA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AE"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A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BB0" w14:textId="77777777" w:rsidR="00960BB8" w:rsidRDefault="00C06650">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5A1B3BB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B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B3" w14:textId="77777777" w:rsidR="00960BB8" w:rsidRDefault="00C06650">
            <w:pPr>
              <w:jc w:val="right"/>
              <w:textAlignment w:val="top"/>
            </w:pPr>
            <w:r>
              <w:rPr>
                <w:rFonts w:ascii="Arial" w:eastAsia="宋体" w:hAnsi="Arial" w:cs="Arial"/>
                <w:color w:val="262626"/>
                <w:sz w:val="18"/>
                <w:szCs w:val="18"/>
              </w:rPr>
              <w:t>5/11/2017</w:t>
            </w:r>
          </w:p>
        </w:tc>
        <w:tc>
          <w:tcPr>
            <w:tcW w:w="0" w:type="auto"/>
            <w:gridSpan w:val="3"/>
            <w:shd w:val="clear" w:color="auto" w:fill="auto"/>
            <w:tcMar>
              <w:top w:w="0" w:type="dxa"/>
              <w:left w:w="20" w:type="dxa"/>
              <w:bottom w:w="0" w:type="dxa"/>
              <w:right w:w="20" w:type="dxa"/>
            </w:tcMar>
            <w:vAlign w:val="bottom"/>
          </w:tcPr>
          <w:p w14:paraId="5A1B3BB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B5" w14:textId="77777777" w:rsidR="00960BB8" w:rsidRDefault="00960BB8">
            <w:pPr>
              <w:rPr>
                <w:rFonts w:ascii="宋体"/>
              </w:rPr>
            </w:pPr>
          </w:p>
        </w:tc>
      </w:tr>
      <w:tr w:rsidR="00960BB8" w14:paraId="5A1B3BC5" w14:textId="77777777">
        <w:tc>
          <w:tcPr>
            <w:tcW w:w="0" w:type="auto"/>
            <w:gridSpan w:val="3"/>
            <w:shd w:val="clear" w:color="auto" w:fill="auto"/>
            <w:tcMar>
              <w:top w:w="40" w:type="dxa"/>
              <w:left w:w="20" w:type="dxa"/>
              <w:bottom w:w="40" w:type="dxa"/>
              <w:right w:w="20" w:type="dxa"/>
            </w:tcMar>
          </w:tcPr>
          <w:p w14:paraId="5A1B3BB7" w14:textId="77777777" w:rsidR="00960BB8" w:rsidRDefault="00C06650">
            <w:pPr>
              <w:jc w:val="center"/>
              <w:textAlignment w:val="top"/>
            </w:pPr>
            <w:r>
              <w:rPr>
                <w:rFonts w:ascii="Arial" w:eastAsia="宋体" w:hAnsi="Arial" w:cs="Arial"/>
                <w:color w:val="262626"/>
                <w:sz w:val="18"/>
                <w:szCs w:val="18"/>
              </w:rPr>
              <w:t>4.9</w:t>
            </w:r>
          </w:p>
        </w:tc>
        <w:tc>
          <w:tcPr>
            <w:tcW w:w="0" w:type="auto"/>
            <w:gridSpan w:val="3"/>
            <w:shd w:val="clear" w:color="auto" w:fill="auto"/>
            <w:tcMar>
              <w:top w:w="0" w:type="dxa"/>
              <w:left w:w="20" w:type="dxa"/>
              <w:bottom w:w="0" w:type="dxa"/>
              <w:right w:w="20" w:type="dxa"/>
            </w:tcMar>
            <w:vAlign w:val="bottom"/>
          </w:tcPr>
          <w:p w14:paraId="5A1B3BB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B9" w14:textId="77777777" w:rsidR="00960BB8" w:rsidRDefault="00C06650">
            <w:pPr>
              <w:spacing w:before="30" w:after="160"/>
              <w:textAlignment w:val="top"/>
            </w:pPr>
            <w:hyperlink r:id="rId182" w:history="1">
              <w:r>
                <w:rPr>
                  <w:rStyle w:val="a5"/>
                  <w:rFonts w:ascii="Arial" w:eastAsia="宋体" w:hAnsi="Arial" w:cs="Arial"/>
                  <w:color w:val="262626"/>
                  <w:sz w:val="18"/>
                  <w:szCs w:val="18"/>
                </w:rPr>
                <w:t>Tenth Supplemental Indenture to Open-Ended Indenture, dated as of June 16, 2017, between Intel Corporation and Wells Fargo Bank, National Association, as successo</w:t>
              </w:r>
              <w:r>
                <w:rPr>
                  <w:rStyle w:val="a5"/>
                  <w:rFonts w:ascii="Arial" w:eastAsia="宋体" w:hAnsi="Arial" w:cs="Arial"/>
                  <w:color w:val="262626"/>
                  <w:sz w:val="18"/>
                  <w:szCs w:val="18"/>
                </w:rPr>
                <w:t>r trustee</w:t>
              </w:r>
            </w:hyperlink>
          </w:p>
        </w:tc>
        <w:tc>
          <w:tcPr>
            <w:tcW w:w="0" w:type="auto"/>
            <w:gridSpan w:val="3"/>
            <w:shd w:val="clear" w:color="auto" w:fill="auto"/>
            <w:tcMar>
              <w:top w:w="0" w:type="dxa"/>
              <w:left w:w="20" w:type="dxa"/>
              <w:bottom w:w="0" w:type="dxa"/>
              <w:right w:w="20" w:type="dxa"/>
            </w:tcMar>
            <w:vAlign w:val="bottom"/>
          </w:tcPr>
          <w:p w14:paraId="5A1B3BB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BB"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BB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BD"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B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BBF" w14:textId="77777777" w:rsidR="00960BB8" w:rsidRDefault="00C06650">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5A1B3BC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C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C2" w14:textId="77777777" w:rsidR="00960BB8" w:rsidRDefault="00C06650">
            <w:pPr>
              <w:jc w:val="right"/>
              <w:textAlignment w:val="top"/>
            </w:pPr>
            <w:r>
              <w:rPr>
                <w:rFonts w:ascii="Arial" w:eastAsia="宋体" w:hAnsi="Arial" w:cs="Arial"/>
                <w:color w:val="262626"/>
                <w:sz w:val="18"/>
                <w:szCs w:val="18"/>
              </w:rPr>
              <w:t>6/16/2017</w:t>
            </w:r>
          </w:p>
        </w:tc>
        <w:tc>
          <w:tcPr>
            <w:tcW w:w="0" w:type="auto"/>
            <w:gridSpan w:val="3"/>
            <w:shd w:val="clear" w:color="auto" w:fill="auto"/>
            <w:tcMar>
              <w:top w:w="0" w:type="dxa"/>
              <w:left w:w="20" w:type="dxa"/>
              <w:bottom w:w="0" w:type="dxa"/>
              <w:right w:w="20" w:type="dxa"/>
            </w:tcMar>
            <w:vAlign w:val="bottom"/>
          </w:tcPr>
          <w:p w14:paraId="5A1B3BC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C4" w14:textId="77777777" w:rsidR="00960BB8" w:rsidRDefault="00960BB8">
            <w:pPr>
              <w:rPr>
                <w:rFonts w:ascii="宋体"/>
              </w:rPr>
            </w:pPr>
          </w:p>
        </w:tc>
      </w:tr>
      <w:tr w:rsidR="00960BB8" w14:paraId="5A1B3BD4" w14:textId="77777777">
        <w:tc>
          <w:tcPr>
            <w:tcW w:w="0" w:type="auto"/>
            <w:gridSpan w:val="3"/>
            <w:shd w:val="clear" w:color="auto" w:fill="auto"/>
            <w:tcMar>
              <w:top w:w="40" w:type="dxa"/>
              <w:left w:w="20" w:type="dxa"/>
              <w:bottom w:w="40" w:type="dxa"/>
              <w:right w:w="20" w:type="dxa"/>
            </w:tcMar>
          </w:tcPr>
          <w:p w14:paraId="5A1B3BC6" w14:textId="77777777" w:rsidR="00960BB8" w:rsidRDefault="00C06650">
            <w:pPr>
              <w:jc w:val="center"/>
              <w:textAlignment w:val="top"/>
            </w:pPr>
            <w:r>
              <w:rPr>
                <w:rFonts w:ascii="Arial" w:eastAsia="宋体" w:hAnsi="Arial" w:cs="Arial"/>
                <w:color w:val="262626"/>
                <w:sz w:val="18"/>
                <w:szCs w:val="18"/>
              </w:rPr>
              <w:t>4.10</w:t>
            </w:r>
          </w:p>
        </w:tc>
        <w:tc>
          <w:tcPr>
            <w:tcW w:w="0" w:type="auto"/>
            <w:gridSpan w:val="3"/>
            <w:shd w:val="clear" w:color="auto" w:fill="auto"/>
            <w:tcMar>
              <w:top w:w="0" w:type="dxa"/>
              <w:left w:w="20" w:type="dxa"/>
              <w:bottom w:w="0" w:type="dxa"/>
              <w:right w:w="20" w:type="dxa"/>
            </w:tcMar>
            <w:vAlign w:val="bottom"/>
          </w:tcPr>
          <w:p w14:paraId="5A1B3BC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C8" w14:textId="77777777" w:rsidR="00960BB8" w:rsidRDefault="00C06650">
            <w:pPr>
              <w:textAlignment w:val="top"/>
            </w:pPr>
            <w:hyperlink r:id="rId183" w:history="1">
              <w:r>
                <w:rPr>
                  <w:rStyle w:val="a5"/>
                  <w:rFonts w:ascii="Arial" w:eastAsia="宋体" w:hAnsi="Arial" w:cs="Arial"/>
                  <w:color w:val="262626"/>
                  <w:sz w:val="18"/>
                  <w:szCs w:val="18"/>
                </w:rPr>
                <w:t>Eleventh Supplemental Indenture to Open-Ended Indenture, dated as of Augu</w:t>
              </w:r>
              <w:r>
                <w:rPr>
                  <w:rStyle w:val="a5"/>
                  <w:rFonts w:ascii="Arial" w:eastAsia="宋体" w:hAnsi="Arial" w:cs="Arial"/>
                  <w:color w:val="262626"/>
                  <w:sz w:val="18"/>
                  <w:szCs w:val="18"/>
                </w:rPr>
                <w:t>st 14, 2017, among Intel Corporation, Wells Fargo Bank, National Association, as successor trustee, and Elavon Financial Services DAC, UK Branch, as paying agent</w:t>
              </w:r>
            </w:hyperlink>
          </w:p>
        </w:tc>
        <w:tc>
          <w:tcPr>
            <w:tcW w:w="0" w:type="auto"/>
            <w:gridSpan w:val="3"/>
            <w:shd w:val="clear" w:color="auto" w:fill="auto"/>
            <w:tcMar>
              <w:top w:w="0" w:type="dxa"/>
              <w:left w:w="20" w:type="dxa"/>
              <w:bottom w:w="0" w:type="dxa"/>
              <w:right w:w="20" w:type="dxa"/>
            </w:tcMar>
            <w:vAlign w:val="bottom"/>
          </w:tcPr>
          <w:p w14:paraId="5A1B3BC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CA"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BC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CC"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C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BCE" w14:textId="77777777" w:rsidR="00960BB8" w:rsidRDefault="00C06650">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5A1B3BC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BD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D1" w14:textId="77777777" w:rsidR="00960BB8" w:rsidRDefault="00C06650">
            <w:pPr>
              <w:jc w:val="right"/>
              <w:textAlignment w:val="top"/>
            </w:pPr>
            <w:r>
              <w:rPr>
                <w:rFonts w:ascii="Arial" w:eastAsia="宋体" w:hAnsi="Arial" w:cs="Arial"/>
                <w:color w:val="262626"/>
                <w:sz w:val="18"/>
                <w:szCs w:val="18"/>
              </w:rPr>
              <w:t>8/14/2017</w:t>
            </w:r>
          </w:p>
        </w:tc>
        <w:tc>
          <w:tcPr>
            <w:tcW w:w="0" w:type="auto"/>
            <w:gridSpan w:val="3"/>
            <w:shd w:val="clear" w:color="auto" w:fill="auto"/>
            <w:tcMar>
              <w:top w:w="0" w:type="dxa"/>
              <w:left w:w="20" w:type="dxa"/>
              <w:bottom w:w="0" w:type="dxa"/>
              <w:right w:w="20" w:type="dxa"/>
            </w:tcMar>
            <w:vAlign w:val="bottom"/>
          </w:tcPr>
          <w:p w14:paraId="5A1B3BD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D3" w14:textId="77777777" w:rsidR="00960BB8" w:rsidRDefault="00960BB8">
            <w:pPr>
              <w:rPr>
                <w:rFonts w:ascii="宋体"/>
              </w:rPr>
            </w:pPr>
          </w:p>
        </w:tc>
      </w:tr>
      <w:tr w:rsidR="00960BB8" w14:paraId="5A1B3BE2" w14:textId="77777777">
        <w:tc>
          <w:tcPr>
            <w:tcW w:w="0" w:type="auto"/>
            <w:gridSpan w:val="3"/>
            <w:shd w:val="clear" w:color="auto" w:fill="auto"/>
            <w:tcMar>
              <w:top w:w="40" w:type="dxa"/>
              <w:left w:w="20" w:type="dxa"/>
              <w:bottom w:w="40" w:type="dxa"/>
              <w:right w:w="20" w:type="dxa"/>
            </w:tcMar>
          </w:tcPr>
          <w:p w14:paraId="5A1B3BD5" w14:textId="77777777" w:rsidR="00960BB8" w:rsidRDefault="00C06650">
            <w:pPr>
              <w:jc w:val="center"/>
              <w:textAlignment w:val="top"/>
            </w:pPr>
            <w:r>
              <w:rPr>
                <w:rFonts w:ascii="Arial" w:eastAsia="宋体" w:hAnsi="Arial" w:cs="Arial"/>
                <w:color w:val="262626"/>
                <w:sz w:val="18"/>
                <w:szCs w:val="18"/>
              </w:rPr>
              <w:t>4.11</w:t>
            </w:r>
          </w:p>
        </w:tc>
        <w:tc>
          <w:tcPr>
            <w:tcW w:w="0" w:type="auto"/>
            <w:gridSpan w:val="3"/>
            <w:shd w:val="clear" w:color="auto" w:fill="auto"/>
            <w:tcMar>
              <w:top w:w="0" w:type="dxa"/>
              <w:left w:w="20" w:type="dxa"/>
              <w:bottom w:w="0" w:type="dxa"/>
              <w:right w:w="20" w:type="dxa"/>
            </w:tcMar>
            <w:vAlign w:val="bottom"/>
          </w:tcPr>
          <w:p w14:paraId="5A1B3BD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D7" w14:textId="77777777" w:rsidR="00960BB8" w:rsidRDefault="00C06650">
            <w:pPr>
              <w:spacing w:before="40"/>
              <w:textAlignment w:val="top"/>
            </w:pPr>
            <w:hyperlink r:id="rId184" w:history="1">
              <w:r>
                <w:rPr>
                  <w:rStyle w:val="a5"/>
                  <w:rFonts w:ascii="Arial" w:eastAsia="宋体" w:hAnsi="Arial" w:cs="Arial"/>
                  <w:color w:val="262626"/>
                  <w:sz w:val="18"/>
                  <w:szCs w:val="18"/>
                </w:rPr>
                <w:t xml:space="preserve">Twelfth Supplemental Indenture to Open-Ended Indenture, dated as of December 8, 2017, between Intel Corporation and </w:t>
              </w:r>
              <w:r>
                <w:rPr>
                  <w:rStyle w:val="a5"/>
                  <w:rFonts w:ascii="Arial" w:eastAsia="宋体" w:hAnsi="Arial" w:cs="Arial"/>
                  <w:color w:val="262626"/>
                  <w:sz w:val="18"/>
                  <w:szCs w:val="18"/>
                </w:rPr>
                <w:t>Wells Fargo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5A1B3BD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D9" w14:textId="77777777" w:rsidR="00960BB8" w:rsidRDefault="00C06650">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vAlign w:val="bottom"/>
          </w:tcPr>
          <w:p w14:paraId="5A1B3BD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DB"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BD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DD" w14:textId="77777777" w:rsidR="00960BB8" w:rsidRDefault="00C06650">
            <w:pPr>
              <w:jc w:val="right"/>
              <w:textAlignment w:val="top"/>
            </w:pPr>
            <w:r>
              <w:rPr>
                <w:rFonts w:ascii="Arial" w:eastAsia="宋体" w:hAnsi="Arial" w:cs="Arial"/>
                <w:color w:val="262626"/>
                <w:sz w:val="18"/>
                <w:szCs w:val="18"/>
              </w:rPr>
              <w:t>4.2.13</w:t>
            </w:r>
          </w:p>
        </w:tc>
        <w:tc>
          <w:tcPr>
            <w:tcW w:w="0" w:type="auto"/>
            <w:gridSpan w:val="3"/>
            <w:shd w:val="clear" w:color="auto" w:fill="auto"/>
            <w:tcMar>
              <w:top w:w="0" w:type="dxa"/>
              <w:left w:w="20" w:type="dxa"/>
              <w:bottom w:w="0" w:type="dxa"/>
              <w:right w:w="20" w:type="dxa"/>
            </w:tcMar>
            <w:vAlign w:val="bottom"/>
          </w:tcPr>
          <w:p w14:paraId="5A1B3BD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BDF" w14:textId="77777777" w:rsidR="00960BB8" w:rsidRDefault="00C06650">
            <w:pPr>
              <w:jc w:val="right"/>
              <w:textAlignment w:val="top"/>
            </w:pPr>
            <w:r>
              <w:rPr>
                <w:rFonts w:ascii="Arial" w:eastAsia="宋体" w:hAnsi="Arial" w:cs="Arial"/>
                <w:color w:val="262626"/>
                <w:sz w:val="18"/>
                <w:szCs w:val="18"/>
              </w:rPr>
              <w:t>2/16/2018</w:t>
            </w:r>
          </w:p>
        </w:tc>
        <w:tc>
          <w:tcPr>
            <w:tcW w:w="0" w:type="auto"/>
            <w:gridSpan w:val="3"/>
            <w:shd w:val="clear" w:color="auto" w:fill="auto"/>
            <w:tcMar>
              <w:top w:w="0" w:type="dxa"/>
              <w:left w:w="20" w:type="dxa"/>
              <w:bottom w:w="0" w:type="dxa"/>
              <w:right w:w="20" w:type="dxa"/>
            </w:tcMar>
            <w:vAlign w:val="bottom"/>
          </w:tcPr>
          <w:p w14:paraId="5A1B3BE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BE1" w14:textId="77777777" w:rsidR="00960BB8" w:rsidRDefault="00960BB8">
            <w:pPr>
              <w:rPr>
                <w:rFonts w:ascii="宋体"/>
              </w:rPr>
            </w:pPr>
          </w:p>
        </w:tc>
      </w:tr>
    </w:tbl>
    <w:p w14:paraId="5A1B3BE3"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3BED" w14:textId="77777777">
        <w:tc>
          <w:tcPr>
            <w:tcW w:w="50" w:type="pct"/>
            <w:shd w:val="clear" w:color="auto" w:fill="auto"/>
            <w:vAlign w:val="bottom"/>
          </w:tcPr>
          <w:p w14:paraId="5A1B3BE4" w14:textId="77777777" w:rsidR="00960BB8" w:rsidRDefault="00960BB8">
            <w:pPr>
              <w:rPr>
                <w:rFonts w:ascii="宋体"/>
              </w:rPr>
            </w:pPr>
          </w:p>
        </w:tc>
        <w:tc>
          <w:tcPr>
            <w:tcW w:w="283" w:type="pct"/>
            <w:shd w:val="clear" w:color="auto" w:fill="auto"/>
            <w:vAlign w:val="bottom"/>
          </w:tcPr>
          <w:p w14:paraId="5A1B3BE5" w14:textId="77777777" w:rsidR="00960BB8" w:rsidRDefault="00960BB8">
            <w:pPr>
              <w:rPr>
                <w:rFonts w:ascii="宋体"/>
              </w:rPr>
            </w:pPr>
          </w:p>
        </w:tc>
        <w:tc>
          <w:tcPr>
            <w:tcW w:w="5" w:type="pct"/>
            <w:shd w:val="clear" w:color="auto" w:fill="auto"/>
            <w:vAlign w:val="bottom"/>
          </w:tcPr>
          <w:p w14:paraId="5A1B3BE6" w14:textId="77777777" w:rsidR="00960BB8" w:rsidRDefault="00960BB8">
            <w:pPr>
              <w:rPr>
                <w:rFonts w:ascii="宋体"/>
              </w:rPr>
            </w:pPr>
          </w:p>
        </w:tc>
        <w:tc>
          <w:tcPr>
            <w:tcW w:w="50" w:type="pct"/>
            <w:shd w:val="clear" w:color="auto" w:fill="auto"/>
            <w:vAlign w:val="bottom"/>
          </w:tcPr>
          <w:p w14:paraId="5A1B3BE7" w14:textId="77777777" w:rsidR="00960BB8" w:rsidRDefault="00960BB8">
            <w:pPr>
              <w:rPr>
                <w:rFonts w:ascii="宋体"/>
              </w:rPr>
            </w:pPr>
          </w:p>
        </w:tc>
        <w:tc>
          <w:tcPr>
            <w:tcW w:w="2656" w:type="pct"/>
            <w:shd w:val="clear" w:color="auto" w:fill="auto"/>
            <w:vAlign w:val="bottom"/>
          </w:tcPr>
          <w:p w14:paraId="5A1B3BE8" w14:textId="77777777" w:rsidR="00960BB8" w:rsidRDefault="00960BB8">
            <w:pPr>
              <w:rPr>
                <w:rFonts w:ascii="宋体"/>
              </w:rPr>
            </w:pPr>
          </w:p>
        </w:tc>
        <w:tc>
          <w:tcPr>
            <w:tcW w:w="5" w:type="pct"/>
            <w:shd w:val="clear" w:color="auto" w:fill="auto"/>
            <w:vAlign w:val="bottom"/>
          </w:tcPr>
          <w:p w14:paraId="5A1B3BE9" w14:textId="77777777" w:rsidR="00960BB8" w:rsidRDefault="00960BB8">
            <w:pPr>
              <w:rPr>
                <w:rFonts w:ascii="宋体"/>
              </w:rPr>
            </w:pPr>
          </w:p>
        </w:tc>
        <w:tc>
          <w:tcPr>
            <w:tcW w:w="50" w:type="pct"/>
            <w:shd w:val="clear" w:color="auto" w:fill="auto"/>
            <w:vAlign w:val="bottom"/>
          </w:tcPr>
          <w:p w14:paraId="5A1B3BEA" w14:textId="77777777" w:rsidR="00960BB8" w:rsidRDefault="00960BB8">
            <w:pPr>
              <w:rPr>
                <w:rFonts w:ascii="宋体"/>
              </w:rPr>
            </w:pPr>
          </w:p>
        </w:tc>
        <w:tc>
          <w:tcPr>
            <w:tcW w:w="1894" w:type="pct"/>
            <w:shd w:val="clear" w:color="auto" w:fill="auto"/>
            <w:vAlign w:val="bottom"/>
          </w:tcPr>
          <w:p w14:paraId="5A1B3BEB" w14:textId="77777777" w:rsidR="00960BB8" w:rsidRDefault="00960BB8">
            <w:pPr>
              <w:rPr>
                <w:rFonts w:ascii="宋体"/>
              </w:rPr>
            </w:pPr>
          </w:p>
        </w:tc>
        <w:tc>
          <w:tcPr>
            <w:tcW w:w="5" w:type="pct"/>
            <w:shd w:val="clear" w:color="auto" w:fill="auto"/>
            <w:vAlign w:val="bottom"/>
          </w:tcPr>
          <w:p w14:paraId="5A1B3BEC" w14:textId="77777777" w:rsidR="00960BB8" w:rsidRDefault="00960BB8">
            <w:pPr>
              <w:rPr>
                <w:rFonts w:ascii="宋体"/>
              </w:rPr>
            </w:pPr>
          </w:p>
        </w:tc>
      </w:tr>
      <w:tr w:rsidR="00960BB8" w14:paraId="5A1B3BF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BEE"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EA" wp14:editId="5A1B44EB">
                  <wp:extent cx="304800" cy="304800"/>
                  <wp:effectExtent l="0" t="0" r="0" b="0"/>
                  <wp:docPr id="14" name="图片 32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BEF" w14:textId="77777777" w:rsidR="00960BB8" w:rsidRDefault="00C06650">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BF0" w14:textId="77777777" w:rsidR="00960BB8" w:rsidRDefault="00C06650">
            <w:pPr>
              <w:jc w:val="right"/>
              <w:textAlignment w:val="center"/>
            </w:pPr>
            <w:r>
              <w:rPr>
                <w:rFonts w:ascii="Arial" w:eastAsia="宋体" w:hAnsi="Arial" w:cs="Arial"/>
                <w:color w:val="262626"/>
                <w:sz w:val="16"/>
                <w:szCs w:val="16"/>
              </w:rPr>
              <w:t>120</w:t>
            </w:r>
          </w:p>
        </w:tc>
      </w:tr>
    </w:tbl>
    <w:p w14:paraId="5A1B3BF2" w14:textId="77777777" w:rsidR="00960BB8" w:rsidRDefault="00C06650">
      <w:r>
        <w:pict w14:anchorId="5A1B44EC">
          <v:rect id="_x0000_i1146" style="width:415.3pt;height:1.5pt" o:hralign="center" o:hrstd="t" o:hr="t" fillcolor="#a0a0a0" stroked="f"/>
        </w:pict>
      </w:r>
    </w:p>
    <w:p w14:paraId="5A1B3BF3" w14:textId="77777777" w:rsidR="00960BB8" w:rsidRDefault="00C06650">
      <w:pPr>
        <w:jc w:val="right"/>
      </w:pPr>
      <w:hyperlink r:id="rId185" w:anchor="i8aaa7b4dbd2e419ca0f5c30af85a11aa_16" w:history="1">
        <w:r>
          <w:rPr>
            <w:rStyle w:val="a5"/>
            <w:rFonts w:ascii="Arial" w:eastAsia="宋体" w:hAnsi="Arial" w:cs="Arial"/>
            <w:b/>
            <w:bCs/>
            <w:sz w:val="16"/>
            <w:szCs w:val="16"/>
          </w:rPr>
          <w:t>Table of Contents</w:t>
        </w:r>
      </w:hyperlink>
    </w:p>
    <w:p w14:paraId="5A1B3BF4" w14:textId="77777777" w:rsidR="00960BB8" w:rsidRDefault="00960BB8">
      <w:pPr>
        <w:jc w:val="right"/>
      </w:pPr>
    </w:p>
    <w:tbl>
      <w:tblPr>
        <w:tblW w:w="4973" w:type="pct"/>
        <w:tblCellMar>
          <w:top w:w="15" w:type="dxa"/>
          <w:left w:w="15" w:type="dxa"/>
          <w:bottom w:w="15" w:type="dxa"/>
          <w:right w:w="15" w:type="dxa"/>
        </w:tblCellMar>
        <w:tblLook w:val="04A0" w:firstRow="1" w:lastRow="0" w:firstColumn="1" w:lastColumn="0" w:noHBand="0" w:noVBand="1"/>
      </w:tblPr>
      <w:tblGrid>
        <w:gridCol w:w="83"/>
        <w:gridCol w:w="630"/>
        <w:gridCol w:w="36"/>
        <w:gridCol w:w="36"/>
        <w:gridCol w:w="36"/>
        <w:gridCol w:w="36"/>
        <w:gridCol w:w="42"/>
        <w:gridCol w:w="2597"/>
        <w:gridCol w:w="39"/>
        <w:gridCol w:w="36"/>
        <w:gridCol w:w="36"/>
        <w:gridCol w:w="36"/>
        <w:gridCol w:w="69"/>
        <w:gridCol w:w="415"/>
        <w:gridCol w:w="37"/>
        <w:gridCol w:w="37"/>
        <w:gridCol w:w="37"/>
        <w:gridCol w:w="37"/>
        <w:gridCol w:w="86"/>
        <w:gridCol w:w="987"/>
        <w:gridCol w:w="37"/>
        <w:gridCol w:w="37"/>
        <w:gridCol w:w="37"/>
        <w:gridCol w:w="37"/>
        <w:gridCol w:w="89"/>
        <w:gridCol w:w="544"/>
        <w:gridCol w:w="37"/>
        <w:gridCol w:w="37"/>
        <w:gridCol w:w="37"/>
        <w:gridCol w:w="36"/>
        <w:gridCol w:w="91"/>
        <w:gridCol w:w="841"/>
        <w:gridCol w:w="36"/>
        <w:gridCol w:w="36"/>
        <w:gridCol w:w="36"/>
        <w:gridCol w:w="36"/>
        <w:gridCol w:w="87"/>
        <w:gridCol w:w="816"/>
        <w:gridCol w:w="36"/>
      </w:tblGrid>
      <w:tr w:rsidR="00960BB8" w14:paraId="5A1B3C1C" w14:textId="77777777">
        <w:tc>
          <w:tcPr>
            <w:tcW w:w="50" w:type="pct"/>
            <w:shd w:val="clear" w:color="auto" w:fill="auto"/>
            <w:vAlign w:val="bottom"/>
          </w:tcPr>
          <w:p w14:paraId="5A1B3BF5" w14:textId="77777777" w:rsidR="00960BB8" w:rsidRDefault="00960BB8">
            <w:pPr>
              <w:rPr>
                <w:rFonts w:ascii="宋体"/>
              </w:rPr>
            </w:pPr>
          </w:p>
        </w:tc>
        <w:tc>
          <w:tcPr>
            <w:tcW w:w="384" w:type="pct"/>
            <w:shd w:val="clear" w:color="auto" w:fill="auto"/>
            <w:vAlign w:val="bottom"/>
          </w:tcPr>
          <w:p w14:paraId="5A1B3BF6" w14:textId="77777777" w:rsidR="00960BB8" w:rsidRDefault="00960BB8">
            <w:pPr>
              <w:rPr>
                <w:rFonts w:ascii="宋体"/>
              </w:rPr>
            </w:pPr>
          </w:p>
        </w:tc>
        <w:tc>
          <w:tcPr>
            <w:tcW w:w="5" w:type="pct"/>
            <w:shd w:val="clear" w:color="auto" w:fill="auto"/>
            <w:vAlign w:val="bottom"/>
          </w:tcPr>
          <w:p w14:paraId="5A1B3BF7" w14:textId="77777777" w:rsidR="00960BB8" w:rsidRDefault="00960BB8">
            <w:pPr>
              <w:rPr>
                <w:rFonts w:ascii="宋体"/>
              </w:rPr>
            </w:pPr>
          </w:p>
        </w:tc>
        <w:tc>
          <w:tcPr>
            <w:tcW w:w="5" w:type="pct"/>
            <w:shd w:val="clear" w:color="auto" w:fill="auto"/>
            <w:vAlign w:val="bottom"/>
          </w:tcPr>
          <w:p w14:paraId="5A1B3BF8" w14:textId="77777777" w:rsidR="00960BB8" w:rsidRDefault="00960BB8">
            <w:pPr>
              <w:rPr>
                <w:rFonts w:ascii="宋体"/>
              </w:rPr>
            </w:pPr>
          </w:p>
        </w:tc>
        <w:tc>
          <w:tcPr>
            <w:tcW w:w="24" w:type="pct"/>
            <w:shd w:val="clear" w:color="auto" w:fill="auto"/>
            <w:vAlign w:val="bottom"/>
          </w:tcPr>
          <w:p w14:paraId="5A1B3BF9" w14:textId="77777777" w:rsidR="00960BB8" w:rsidRDefault="00960BB8">
            <w:pPr>
              <w:rPr>
                <w:rFonts w:ascii="宋体"/>
              </w:rPr>
            </w:pPr>
          </w:p>
        </w:tc>
        <w:tc>
          <w:tcPr>
            <w:tcW w:w="5" w:type="pct"/>
            <w:shd w:val="clear" w:color="auto" w:fill="auto"/>
            <w:vAlign w:val="bottom"/>
          </w:tcPr>
          <w:p w14:paraId="5A1B3BFA" w14:textId="77777777" w:rsidR="00960BB8" w:rsidRDefault="00960BB8">
            <w:pPr>
              <w:rPr>
                <w:rFonts w:ascii="宋体"/>
              </w:rPr>
            </w:pPr>
          </w:p>
        </w:tc>
        <w:tc>
          <w:tcPr>
            <w:tcW w:w="50" w:type="pct"/>
            <w:shd w:val="clear" w:color="auto" w:fill="auto"/>
            <w:vAlign w:val="bottom"/>
          </w:tcPr>
          <w:p w14:paraId="5A1B3BFB" w14:textId="77777777" w:rsidR="00960BB8" w:rsidRDefault="00960BB8">
            <w:pPr>
              <w:rPr>
                <w:rFonts w:ascii="宋体"/>
              </w:rPr>
            </w:pPr>
          </w:p>
        </w:tc>
        <w:tc>
          <w:tcPr>
            <w:tcW w:w="1895" w:type="pct"/>
            <w:shd w:val="clear" w:color="auto" w:fill="auto"/>
            <w:vAlign w:val="bottom"/>
          </w:tcPr>
          <w:p w14:paraId="5A1B3BFC" w14:textId="77777777" w:rsidR="00960BB8" w:rsidRDefault="00960BB8">
            <w:pPr>
              <w:rPr>
                <w:rFonts w:ascii="宋体"/>
              </w:rPr>
            </w:pPr>
          </w:p>
        </w:tc>
        <w:tc>
          <w:tcPr>
            <w:tcW w:w="5" w:type="pct"/>
            <w:shd w:val="clear" w:color="auto" w:fill="auto"/>
            <w:vAlign w:val="bottom"/>
          </w:tcPr>
          <w:p w14:paraId="5A1B3BFD" w14:textId="77777777" w:rsidR="00960BB8" w:rsidRDefault="00960BB8">
            <w:pPr>
              <w:rPr>
                <w:rFonts w:ascii="宋体"/>
              </w:rPr>
            </w:pPr>
          </w:p>
        </w:tc>
        <w:tc>
          <w:tcPr>
            <w:tcW w:w="5" w:type="pct"/>
            <w:shd w:val="clear" w:color="auto" w:fill="auto"/>
            <w:vAlign w:val="bottom"/>
          </w:tcPr>
          <w:p w14:paraId="5A1B3BFE" w14:textId="77777777" w:rsidR="00960BB8" w:rsidRDefault="00960BB8">
            <w:pPr>
              <w:rPr>
                <w:rFonts w:ascii="宋体"/>
              </w:rPr>
            </w:pPr>
          </w:p>
        </w:tc>
        <w:tc>
          <w:tcPr>
            <w:tcW w:w="24" w:type="pct"/>
            <w:shd w:val="clear" w:color="auto" w:fill="auto"/>
            <w:vAlign w:val="bottom"/>
          </w:tcPr>
          <w:p w14:paraId="5A1B3BFF" w14:textId="77777777" w:rsidR="00960BB8" w:rsidRDefault="00960BB8">
            <w:pPr>
              <w:rPr>
                <w:rFonts w:ascii="宋体"/>
              </w:rPr>
            </w:pPr>
          </w:p>
        </w:tc>
        <w:tc>
          <w:tcPr>
            <w:tcW w:w="5" w:type="pct"/>
            <w:shd w:val="clear" w:color="auto" w:fill="auto"/>
            <w:vAlign w:val="bottom"/>
          </w:tcPr>
          <w:p w14:paraId="5A1B3C00" w14:textId="77777777" w:rsidR="00960BB8" w:rsidRDefault="00960BB8">
            <w:pPr>
              <w:rPr>
                <w:rFonts w:ascii="宋体"/>
              </w:rPr>
            </w:pPr>
          </w:p>
        </w:tc>
        <w:tc>
          <w:tcPr>
            <w:tcW w:w="50" w:type="pct"/>
            <w:shd w:val="clear" w:color="auto" w:fill="auto"/>
            <w:vAlign w:val="bottom"/>
          </w:tcPr>
          <w:p w14:paraId="5A1B3C01" w14:textId="77777777" w:rsidR="00960BB8" w:rsidRDefault="00960BB8">
            <w:pPr>
              <w:rPr>
                <w:rFonts w:ascii="宋体"/>
              </w:rPr>
            </w:pPr>
          </w:p>
        </w:tc>
        <w:tc>
          <w:tcPr>
            <w:tcW w:w="302" w:type="pct"/>
            <w:shd w:val="clear" w:color="auto" w:fill="auto"/>
            <w:vAlign w:val="bottom"/>
          </w:tcPr>
          <w:p w14:paraId="5A1B3C02" w14:textId="77777777" w:rsidR="00960BB8" w:rsidRDefault="00960BB8">
            <w:pPr>
              <w:rPr>
                <w:rFonts w:ascii="宋体"/>
              </w:rPr>
            </w:pPr>
          </w:p>
        </w:tc>
        <w:tc>
          <w:tcPr>
            <w:tcW w:w="5" w:type="pct"/>
            <w:shd w:val="clear" w:color="auto" w:fill="auto"/>
            <w:vAlign w:val="bottom"/>
          </w:tcPr>
          <w:p w14:paraId="5A1B3C03" w14:textId="77777777" w:rsidR="00960BB8" w:rsidRDefault="00960BB8">
            <w:pPr>
              <w:rPr>
                <w:rFonts w:ascii="宋体"/>
              </w:rPr>
            </w:pPr>
          </w:p>
        </w:tc>
        <w:tc>
          <w:tcPr>
            <w:tcW w:w="5" w:type="pct"/>
            <w:shd w:val="clear" w:color="auto" w:fill="auto"/>
            <w:vAlign w:val="bottom"/>
          </w:tcPr>
          <w:p w14:paraId="5A1B3C04" w14:textId="77777777" w:rsidR="00960BB8" w:rsidRDefault="00960BB8">
            <w:pPr>
              <w:rPr>
                <w:rFonts w:ascii="宋体"/>
              </w:rPr>
            </w:pPr>
          </w:p>
        </w:tc>
        <w:tc>
          <w:tcPr>
            <w:tcW w:w="24" w:type="pct"/>
            <w:shd w:val="clear" w:color="auto" w:fill="auto"/>
            <w:vAlign w:val="bottom"/>
          </w:tcPr>
          <w:p w14:paraId="5A1B3C05" w14:textId="77777777" w:rsidR="00960BB8" w:rsidRDefault="00960BB8">
            <w:pPr>
              <w:rPr>
                <w:rFonts w:ascii="宋体"/>
              </w:rPr>
            </w:pPr>
          </w:p>
        </w:tc>
        <w:tc>
          <w:tcPr>
            <w:tcW w:w="5" w:type="pct"/>
            <w:shd w:val="clear" w:color="auto" w:fill="auto"/>
            <w:vAlign w:val="bottom"/>
          </w:tcPr>
          <w:p w14:paraId="5A1B3C06" w14:textId="77777777" w:rsidR="00960BB8" w:rsidRDefault="00960BB8">
            <w:pPr>
              <w:rPr>
                <w:rFonts w:ascii="宋体"/>
              </w:rPr>
            </w:pPr>
          </w:p>
        </w:tc>
        <w:tc>
          <w:tcPr>
            <w:tcW w:w="50" w:type="pct"/>
            <w:shd w:val="clear" w:color="auto" w:fill="auto"/>
            <w:vAlign w:val="bottom"/>
          </w:tcPr>
          <w:p w14:paraId="5A1B3C07" w14:textId="77777777" w:rsidR="00960BB8" w:rsidRDefault="00960BB8">
            <w:pPr>
              <w:rPr>
                <w:rFonts w:ascii="宋体"/>
              </w:rPr>
            </w:pPr>
          </w:p>
        </w:tc>
        <w:tc>
          <w:tcPr>
            <w:tcW w:w="576" w:type="pct"/>
            <w:shd w:val="clear" w:color="auto" w:fill="auto"/>
            <w:vAlign w:val="bottom"/>
          </w:tcPr>
          <w:p w14:paraId="5A1B3C08" w14:textId="77777777" w:rsidR="00960BB8" w:rsidRDefault="00960BB8">
            <w:pPr>
              <w:rPr>
                <w:rFonts w:ascii="宋体"/>
              </w:rPr>
            </w:pPr>
          </w:p>
        </w:tc>
        <w:tc>
          <w:tcPr>
            <w:tcW w:w="5" w:type="pct"/>
            <w:shd w:val="clear" w:color="auto" w:fill="auto"/>
            <w:vAlign w:val="bottom"/>
          </w:tcPr>
          <w:p w14:paraId="5A1B3C09" w14:textId="77777777" w:rsidR="00960BB8" w:rsidRDefault="00960BB8">
            <w:pPr>
              <w:rPr>
                <w:rFonts w:ascii="宋体"/>
              </w:rPr>
            </w:pPr>
          </w:p>
        </w:tc>
        <w:tc>
          <w:tcPr>
            <w:tcW w:w="5" w:type="pct"/>
            <w:shd w:val="clear" w:color="auto" w:fill="auto"/>
            <w:vAlign w:val="bottom"/>
          </w:tcPr>
          <w:p w14:paraId="5A1B3C0A" w14:textId="77777777" w:rsidR="00960BB8" w:rsidRDefault="00960BB8">
            <w:pPr>
              <w:rPr>
                <w:rFonts w:ascii="宋体"/>
              </w:rPr>
            </w:pPr>
          </w:p>
        </w:tc>
        <w:tc>
          <w:tcPr>
            <w:tcW w:w="24" w:type="pct"/>
            <w:shd w:val="clear" w:color="auto" w:fill="auto"/>
            <w:vAlign w:val="bottom"/>
          </w:tcPr>
          <w:p w14:paraId="5A1B3C0B" w14:textId="77777777" w:rsidR="00960BB8" w:rsidRDefault="00960BB8">
            <w:pPr>
              <w:rPr>
                <w:rFonts w:ascii="宋体"/>
              </w:rPr>
            </w:pPr>
          </w:p>
        </w:tc>
        <w:tc>
          <w:tcPr>
            <w:tcW w:w="5" w:type="pct"/>
            <w:shd w:val="clear" w:color="auto" w:fill="auto"/>
            <w:vAlign w:val="bottom"/>
          </w:tcPr>
          <w:p w14:paraId="5A1B3C0C" w14:textId="77777777" w:rsidR="00960BB8" w:rsidRDefault="00960BB8">
            <w:pPr>
              <w:rPr>
                <w:rFonts w:ascii="宋体"/>
              </w:rPr>
            </w:pPr>
          </w:p>
        </w:tc>
        <w:tc>
          <w:tcPr>
            <w:tcW w:w="50" w:type="pct"/>
            <w:shd w:val="clear" w:color="auto" w:fill="auto"/>
            <w:vAlign w:val="bottom"/>
          </w:tcPr>
          <w:p w14:paraId="5A1B3C0D" w14:textId="77777777" w:rsidR="00960BB8" w:rsidRDefault="00960BB8">
            <w:pPr>
              <w:rPr>
                <w:rFonts w:ascii="宋体"/>
              </w:rPr>
            </w:pPr>
          </w:p>
        </w:tc>
        <w:tc>
          <w:tcPr>
            <w:tcW w:w="308" w:type="pct"/>
            <w:shd w:val="clear" w:color="auto" w:fill="auto"/>
            <w:vAlign w:val="bottom"/>
          </w:tcPr>
          <w:p w14:paraId="5A1B3C0E" w14:textId="77777777" w:rsidR="00960BB8" w:rsidRDefault="00960BB8">
            <w:pPr>
              <w:rPr>
                <w:rFonts w:ascii="宋体"/>
              </w:rPr>
            </w:pPr>
          </w:p>
        </w:tc>
        <w:tc>
          <w:tcPr>
            <w:tcW w:w="5" w:type="pct"/>
            <w:shd w:val="clear" w:color="auto" w:fill="auto"/>
            <w:vAlign w:val="bottom"/>
          </w:tcPr>
          <w:p w14:paraId="5A1B3C0F" w14:textId="77777777" w:rsidR="00960BB8" w:rsidRDefault="00960BB8">
            <w:pPr>
              <w:rPr>
                <w:rFonts w:ascii="宋体"/>
              </w:rPr>
            </w:pPr>
          </w:p>
        </w:tc>
        <w:tc>
          <w:tcPr>
            <w:tcW w:w="5" w:type="pct"/>
            <w:shd w:val="clear" w:color="auto" w:fill="auto"/>
            <w:vAlign w:val="bottom"/>
          </w:tcPr>
          <w:p w14:paraId="5A1B3C10" w14:textId="77777777" w:rsidR="00960BB8" w:rsidRDefault="00960BB8">
            <w:pPr>
              <w:rPr>
                <w:rFonts w:ascii="宋体"/>
              </w:rPr>
            </w:pPr>
          </w:p>
        </w:tc>
        <w:tc>
          <w:tcPr>
            <w:tcW w:w="24" w:type="pct"/>
            <w:shd w:val="clear" w:color="auto" w:fill="auto"/>
            <w:vAlign w:val="bottom"/>
          </w:tcPr>
          <w:p w14:paraId="5A1B3C11" w14:textId="77777777" w:rsidR="00960BB8" w:rsidRDefault="00960BB8">
            <w:pPr>
              <w:rPr>
                <w:rFonts w:ascii="宋体"/>
              </w:rPr>
            </w:pPr>
          </w:p>
        </w:tc>
        <w:tc>
          <w:tcPr>
            <w:tcW w:w="5" w:type="pct"/>
            <w:shd w:val="clear" w:color="auto" w:fill="auto"/>
            <w:vAlign w:val="bottom"/>
          </w:tcPr>
          <w:p w14:paraId="5A1B3C12" w14:textId="77777777" w:rsidR="00960BB8" w:rsidRDefault="00960BB8">
            <w:pPr>
              <w:rPr>
                <w:rFonts w:ascii="宋体"/>
              </w:rPr>
            </w:pPr>
          </w:p>
        </w:tc>
        <w:tc>
          <w:tcPr>
            <w:tcW w:w="50" w:type="pct"/>
            <w:shd w:val="clear" w:color="auto" w:fill="auto"/>
            <w:vAlign w:val="bottom"/>
          </w:tcPr>
          <w:p w14:paraId="5A1B3C13" w14:textId="77777777" w:rsidR="00960BB8" w:rsidRDefault="00960BB8">
            <w:pPr>
              <w:rPr>
                <w:rFonts w:ascii="宋体"/>
              </w:rPr>
            </w:pPr>
          </w:p>
        </w:tc>
        <w:tc>
          <w:tcPr>
            <w:tcW w:w="466" w:type="pct"/>
            <w:shd w:val="clear" w:color="auto" w:fill="auto"/>
            <w:vAlign w:val="bottom"/>
          </w:tcPr>
          <w:p w14:paraId="5A1B3C14" w14:textId="77777777" w:rsidR="00960BB8" w:rsidRDefault="00960BB8">
            <w:pPr>
              <w:rPr>
                <w:rFonts w:ascii="宋体"/>
              </w:rPr>
            </w:pPr>
          </w:p>
        </w:tc>
        <w:tc>
          <w:tcPr>
            <w:tcW w:w="5" w:type="pct"/>
            <w:shd w:val="clear" w:color="auto" w:fill="auto"/>
            <w:vAlign w:val="bottom"/>
          </w:tcPr>
          <w:p w14:paraId="5A1B3C15" w14:textId="77777777" w:rsidR="00960BB8" w:rsidRDefault="00960BB8">
            <w:pPr>
              <w:rPr>
                <w:rFonts w:ascii="宋体"/>
              </w:rPr>
            </w:pPr>
          </w:p>
        </w:tc>
        <w:tc>
          <w:tcPr>
            <w:tcW w:w="5" w:type="pct"/>
            <w:shd w:val="clear" w:color="auto" w:fill="auto"/>
            <w:vAlign w:val="bottom"/>
          </w:tcPr>
          <w:p w14:paraId="5A1B3C16" w14:textId="77777777" w:rsidR="00960BB8" w:rsidRDefault="00960BB8">
            <w:pPr>
              <w:rPr>
                <w:rFonts w:ascii="宋体"/>
              </w:rPr>
            </w:pPr>
          </w:p>
        </w:tc>
        <w:tc>
          <w:tcPr>
            <w:tcW w:w="24" w:type="pct"/>
            <w:shd w:val="clear" w:color="auto" w:fill="auto"/>
            <w:vAlign w:val="bottom"/>
          </w:tcPr>
          <w:p w14:paraId="5A1B3C17" w14:textId="77777777" w:rsidR="00960BB8" w:rsidRDefault="00960BB8">
            <w:pPr>
              <w:rPr>
                <w:rFonts w:ascii="宋体"/>
              </w:rPr>
            </w:pPr>
          </w:p>
        </w:tc>
        <w:tc>
          <w:tcPr>
            <w:tcW w:w="5" w:type="pct"/>
            <w:shd w:val="clear" w:color="auto" w:fill="auto"/>
            <w:vAlign w:val="bottom"/>
          </w:tcPr>
          <w:p w14:paraId="5A1B3C18" w14:textId="77777777" w:rsidR="00960BB8" w:rsidRDefault="00960BB8">
            <w:pPr>
              <w:rPr>
                <w:rFonts w:ascii="宋体"/>
              </w:rPr>
            </w:pPr>
          </w:p>
        </w:tc>
        <w:tc>
          <w:tcPr>
            <w:tcW w:w="50" w:type="pct"/>
            <w:shd w:val="clear" w:color="auto" w:fill="auto"/>
            <w:vAlign w:val="bottom"/>
          </w:tcPr>
          <w:p w14:paraId="5A1B3C19" w14:textId="77777777" w:rsidR="00960BB8" w:rsidRDefault="00960BB8">
            <w:pPr>
              <w:rPr>
                <w:rFonts w:ascii="宋体"/>
              </w:rPr>
            </w:pPr>
          </w:p>
        </w:tc>
        <w:tc>
          <w:tcPr>
            <w:tcW w:w="474" w:type="pct"/>
            <w:shd w:val="clear" w:color="auto" w:fill="auto"/>
            <w:vAlign w:val="bottom"/>
          </w:tcPr>
          <w:p w14:paraId="5A1B3C1A" w14:textId="77777777" w:rsidR="00960BB8" w:rsidRDefault="00960BB8">
            <w:pPr>
              <w:rPr>
                <w:rFonts w:ascii="宋体"/>
              </w:rPr>
            </w:pPr>
          </w:p>
        </w:tc>
        <w:tc>
          <w:tcPr>
            <w:tcW w:w="5" w:type="pct"/>
            <w:shd w:val="clear" w:color="auto" w:fill="auto"/>
            <w:vAlign w:val="bottom"/>
          </w:tcPr>
          <w:p w14:paraId="5A1B3C1B" w14:textId="77777777" w:rsidR="00960BB8" w:rsidRDefault="00960BB8">
            <w:pPr>
              <w:rPr>
                <w:rFonts w:ascii="宋体"/>
              </w:rPr>
            </w:pPr>
          </w:p>
        </w:tc>
      </w:tr>
      <w:tr w:rsidR="00960BB8" w14:paraId="5A1B3C25"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5A1B3C1D" w14:textId="77777777" w:rsidR="00960BB8" w:rsidRDefault="00C06650">
            <w:pPr>
              <w:jc w:val="center"/>
              <w:textAlignment w:val="bottom"/>
            </w:pPr>
            <w:r>
              <w:rPr>
                <w:rFonts w:ascii="Arial" w:eastAsia="宋体" w:hAnsi="Arial" w:cs="Arial"/>
                <w:b/>
                <w:bCs/>
                <w:color w:val="262626"/>
                <w:sz w:val="18"/>
                <w:szCs w:val="18"/>
              </w:rPr>
              <w:t>Exhibit</w:t>
            </w:r>
          </w:p>
          <w:p w14:paraId="5A1B3C1E" w14:textId="77777777" w:rsidR="00960BB8" w:rsidRDefault="00C06650">
            <w:pP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vAlign w:val="bottom"/>
          </w:tcPr>
          <w:p w14:paraId="5A1B3C1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2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21" w14:textId="77777777" w:rsidR="00960BB8" w:rsidRDefault="00960BB8">
            <w:pPr>
              <w:rPr>
                <w:rFonts w:ascii="宋体"/>
              </w:rPr>
            </w:pPr>
          </w:p>
        </w:tc>
        <w:tc>
          <w:tcPr>
            <w:tcW w:w="0" w:type="auto"/>
            <w:gridSpan w:val="21"/>
            <w:shd w:val="clear" w:color="auto" w:fill="auto"/>
            <w:tcMar>
              <w:top w:w="40" w:type="dxa"/>
              <w:left w:w="20" w:type="dxa"/>
              <w:bottom w:w="40" w:type="dxa"/>
              <w:right w:w="20" w:type="dxa"/>
            </w:tcMar>
            <w:vAlign w:val="bottom"/>
          </w:tcPr>
          <w:p w14:paraId="5A1B3C22" w14:textId="77777777" w:rsidR="00960BB8" w:rsidRDefault="00C06650">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5A1B3C23" w14:textId="77777777" w:rsidR="00960BB8" w:rsidRDefault="00960BB8">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5A1B3C24" w14:textId="77777777" w:rsidR="00960BB8" w:rsidRDefault="00C06650">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960BB8" w14:paraId="5A1B3C33"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5A1B3C26" w14:textId="77777777" w:rsidR="00960BB8" w:rsidRDefault="00960BB8">
            <w:pPr>
              <w:rPr>
                <w:rFonts w:ascii="宋体"/>
              </w:rPr>
            </w:pPr>
          </w:p>
        </w:tc>
        <w:tc>
          <w:tcPr>
            <w:tcW w:w="0" w:type="auto"/>
            <w:gridSpan w:val="3"/>
            <w:vMerge/>
            <w:shd w:val="clear" w:color="auto" w:fill="auto"/>
            <w:tcMar>
              <w:top w:w="0" w:type="dxa"/>
              <w:left w:w="20" w:type="dxa"/>
              <w:bottom w:w="0" w:type="dxa"/>
              <w:right w:w="20" w:type="dxa"/>
            </w:tcMar>
            <w:vAlign w:val="bottom"/>
          </w:tcPr>
          <w:p w14:paraId="5A1B3C27" w14:textId="77777777" w:rsidR="00960BB8" w:rsidRDefault="00960BB8">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3C28" w14:textId="77777777" w:rsidR="00960BB8" w:rsidRDefault="00C06650">
            <w:pP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vAlign w:val="bottom"/>
          </w:tcPr>
          <w:p w14:paraId="5A1B3C29"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C2A" w14:textId="77777777" w:rsidR="00960BB8" w:rsidRDefault="00C06650">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C2B"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C2C" w14:textId="77777777" w:rsidR="00960BB8" w:rsidRDefault="00C06650">
            <w:pPr>
              <w:jc w:val="center"/>
              <w:textAlignment w:val="bottom"/>
            </w:pPr>
            <w:r>
              <w:rPr>
                <w:rFonts w:ascii="Arial" w:eastAsia="宋体" w:hAnsi="Arial" w:cs="Arial"/>
                <w:b/>
                <w:bCs/>
                <w:color w:val="262626"/>
                <w:sz w:val="18"/>
                <w:szCs w:val="18"/>
              </w:rPr>
              <w:t>File 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C2D"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C2E" w14:textId="77777777" w:rsidR="00960BB8" w:rsidRDefault="00C06650">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C2F"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C30" w14:textId="77777777" w:rsidR="00960BB8" w:rsidRDefault="00C06650">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5A1B3C31" w14:textId="77777777" w:rsidR="00960BB8" w:rsidRDefault="00960BB8">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5A1B3C32" w14:textId="77777777" w:rsidR="00960BB8" w:rsidRDefault="00960BB8">
            <w:pPr>
              <w:jc w:val="center"/>
              <w:rPr>
                <w:rFonts w:ascii="宋体"/>
              </w:rPr>
            </w:pPr>
          </w:p>
        </w:tc>
      </w:tr>
      <w:tr w:rsidR="00960BB8" w14:paraId="5A1B3C42" w14:textId="77777777">
        <w:tc>
          <w:tcPr>
            <w:tcW w:w="0" w:type="auto"/>
            <w:gridSpan w:val="3"/>
            <w:shd w:val="clear" w:color="auto" w:fill="auto"/>
            <w:tcMar>
              <w:top w:w="40" w:type="dxa"/>
              <w:left w:w="20" w:type="dxa"/>
              <w:bottom w:w="40" w:type="dxa"/>
              <w:right w:w="20" w:type="dxa"/>
            </w:tcMar>
          </w:tcPr>
          <w:p w14:paraId="5A1B3C34" w14:textId="77777777" w:rsidR="00960BB8" w:rsidRDefault="00C06650">
            <w:pPr>
              <w:jc w:val="center"/>
              <w:textAlignment w:val="top"/>
            </w:pPr>
            <w:r>
              <w:rPr>
                <w:rFonts w:ascii="Arial" w:eastAsia="宋体" w:hAnsi="Arial" w:cs="Arial"/>
                <w:color w:val="262626"/>
                <w:sz w:val="18"/>
                <w:szCs w:val="18"/>
              </w:rPr>
              <w:t>4.12</w:t>
            </w:r>
          </w:p>
        </w:tc>
        <w:tc>
          <w:tcPr>
            <w:tcW w:w="0" w:type="auto"/>
            <w:gridSpan w:val="3"/>
            <w:shd w:val="clear" w:color="auto" w:fill="auto"/>
            <w:tcMar>
              <w:top w:w="0" w:type="dxa"/>
              <w:left w:w="20" w:type="dxa"/>
              <w:bottom w:w="0" w:type="dxa"/>
              <w:right w:w="20" w:type="dxa"/>
            </w:tcMar>
            <w:vAlign w:val="bottom"/>
          </w:tcPr>
          <w:p w14:paraId="5A1B3C3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C36" w14:textId="77777777" w:rsidR="00960BB8" w:rsidRDefault="00C06650">
            <w:pPr>
              <w:textAlignment w:val="bottom"/>
            </w:pPr>
            <w:hyperlink r:id="rId186" w:history="1">
              <w:r>
                <w:rPr>
                  <w:rStyle w:val="a5"/>
                  <w:rFonts w:ascii="Arial" w:eastAsia="宋体" w:hAnsi="Arial" w:cs="Arial"/>
                  <w:color w:val="262626"/>
                  <w:sz w:val="18"/>
                  <w:szCs w:val="18"/>
                </w:rPr>
                <w:t>Thirteenth Supplemental Indenture, dated as of November 21, 2019, between Intel Corporation and Wells Fargo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5A1B3C3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38" w14:textId="77777777" w:rsidR="00960BB8" w:rsidRDefault="00C06650">
            <w:pPr>
              <w:jc w:val="right"/>
              <w:textAlignment w:val="top"/>
            </w:pPr>
            <w:r>
              <w:rPr>
                <w:rFonts w:ascii="Arial" w:eastAsia="宋体" w:hAnsi="Arial" w:cs="Arial"/>
                <w:color w:val="262626"/>
                <w:sz w:val="18"/>
                <w:szCs w:val="18"/>
              </w:rPr>
              <w:t>8</w:t>
            </w:r>
            <w:r>
              <w:rPr>
                <w:rFonts w:ascii="Arial" w:eastAsia="宋体" w:hAnsi="Arial" w:cs="Arial"/>
                <w:color w:val="262626"/>
                <w:sz w:val="18"/>
                <w:szCs w:val="18"/>
              </w:rPr>
              <w:t>-K</w:t>
            </w:r>
          </w:p>
        </w:tc>
        <w:tc>
          <w:tcPr>
            <w:tcW w:w="0" w:type="auto"/>
            <w:gridSpan w:val="3"/>
            <w:shd w:val="clear" w:color="auto" w:fill="auto"/>
            <w:tcMar>
              <w:top w:w="0" w:type="dxa"/>
              <w:left w:w="20" w:type="dxa"/>
              <w:bottom w:w="0" w:type="dxa"/>
              <w:right w:w="20" w:type="dxa"/>
            </w:tcMar>
            <w:vAlign w:val="bottom"/>
          </w:tcPr>
          <w:p w14:paraId="5A1B3C3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3A"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3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C3C" w14:textId="77777777" w:rsidR="00960BB8" w:rsidRDefault="00C06650">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5A1B3C3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C3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3F" w14:textId="77777777" w:rsidR="00960BB8" w:rsidRDefault="00C06650">
            <w:pPr>
              <w:jc w:val="right"/>
              <w:textAlignment w:val="top"/>
            </w:pPr>
            <w:r>
              <w:rPr>
                <w:rFonts w:ascii="Arial" w:eastAsia="宋体" w:hAnsi="Arial" w:cs="Arial"/>
                <w:color w:val="262626"/>
                <w:sz w:val="18"/>
                <w:szCs w:val="18"/>
              </w:rPr>
              <w:t>11/21/2019</w:t>
            </w:r>
          </w:p>
        </w:tc>
        <w:tc>
          <w:tcPr>
            <w:tcW w:w="0" w:type="auto"/>
            <w:gridSpan w:val="3"/>
            <w:shd w:val="clear" w:color="auto" w:fill="auto"/>
            <w:tcMar>
              <w:top w:w="0" w:type="dxa"/>
              <w:left w:w="20" w:type="dxa"/>
              <w:bottom w:w="0" w:type="dxa"/>
              <w:right w:w="20" w:type="dxa"/>
            </w:tcMar>
            <w:vAlign w:val="bottom"/>
          </w:tcPr>
          <w:p w14:paraId="5A1B3C4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41" w14:textId="77777777" w:rsidR="00960BB8" w:rsidRDefault="00960BB8">
            <w:pPr>
              <w:rPr>
                <w:rFonts w:ascii="宋体"/>
              </w:rPr>
            </w:pPr>
          </w:p>
        </w:tc>
      </w:tr>
      <w:tr w:rsidR="00960BB8" w14:paraId="5A1B3C50" w14:textId="77777777">
        <w:tc>
          <w:tcPr>
            <w:tcW w:w="0" w:type="auto"/>
            <w:gridSpan w:val="3"/>
            <w:shd w:val="clear" w:color="auto" w:fill="auto"/>
            <w:tcMar>
              <w:top w:w="40" w:type="dxa"/>
              <w:left w:w="20" w:type="dxa"/>
              <w:bottom w:w="40" w:type="dxa"/>
              <w:right w:w="20" w:type="dxa"/>
            </w:tcMar>
          </w:tcPr>
          <w:p w14:paraId="5A1B3C43" w14:textId="77777777" w:rsidR="00960BB8" w:rsidRDefault="00C06650">
            <w:pPr>
              <w:jc w:val="center"/>
              <w:textAlignment w:val="top"/>
            </w:pPr>
            <w:r>
              <w:rPr>
                <w:rFonts w:ascii="Arial" w:eastAsia="宋体" w:hAnsi="Arial" w:cs="Arial"/>
                <w:color w:val="262626"/>
                <w:sz w:val="18"/>
                <w:szCs w:val="18"/>
              </w:rPr>
              <w:t>4.13</w:t>
            </w:r>
          </w:p>
        </w:tc>
        <w:tc>
          <w:tcPr>
            <w:tcW w:w="0" w:type="auto"/>
            <w:gridSpan w:val="3"/>
            <w:shd w:val="clear" w:color="auto" w:fill="auto"/>
            <w:tcMar>
              <w:top w:w="0" w:type="dxa"/>
              <w:left w:w="20" w:type="dxa"/>
              <w:bottom w:w="0" w:type="dxa"/>
              <w:right w:w="20" w:type="dxa"/>
            </w:tcMar>
            <w:vAlign w:val="bottom"/>
          </w:tcPr>
          <w:p w14:paraId="5A1B3C4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C45" w14:textId="77777777" w:rsidR="00960BB8" w:rsidRDefault="00C06650">
            <w:pPr>
              <w:textAlignment w:val="bottom"/>
            </w:pPr>
            <w:hyperlink r:id="rId187" w:history="1">
              <w:r>
                <w:rPr>
                  <w:rStyle w:val="a5"/>
                  <w:rFonts w:ascii="Arial" w:eastAsia="宋体" w:hAnsi="Arial" w:cs="Arial"/>
                  <w:color w:val="262626"/>
                  <w:sz w:val="18"/>
                  <w:szCs w:val="18"/>
                </w:rPr>
                <w:t>Fourteenth Supplemental Indenture, dated as of February 13, 2020, between Intel Corporation and Wells Fargo Bank, National As</w:t>
              </w:r>
              <w:r>
                <w:rPr>
                  <w:rStyle w:val="a5"/>
                  <w:rFonts w:ascii="Arial" w:eastAsia="宋体" w:hAnsi="Arial" w:cs="Arial"/>
                  <w:color w:val="262626"/>
                  <w:sz w:val="18"/>
                  <w:szCs w:val="18"/>
                </w:rPr>
                <w:t>sociation, as successor trustee</w:t>
              </w:r>
            </w:hyperlink>
          </w:p>
        </w:tc>
        <w:tc>
          <w:tcPr>
            <w:tcW w:w="0" w:type="auto"/>
            <w:gridSpan w:val="3"/>
            <w:shd w:val="clear" w:color="auto" w:fill="auto"/>
            <w:tcMar>
              <w:top w:w="0" w:type="dxa"/>
              <w:left w:w="20" w:type="dxa"/>
              <w:bottom w:w="0" w:type="dxa"/>
              <w:right w:w="20" w:type="dxa"/>
            </w:tcMar>
            <w:vAlign w:val="bottom"/>
          </w:tcPr>
          <w:p w14:paraId="5A1B3C4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47"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C4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49"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4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4B" w14:textId="77777777" w:rsidR="00960BB8" w:rsidRDefault="00C06650">
            <w:pPr>
              <w:jc w:val="right"/>
              <w:textAlignment w:val="top"/>
            </w:pPr>
            <w:r>
              <w:rPr>
                <w:rFonts w:ascii="Arial" w:eastAsia="宋体" w:hAnsi="Arial" w:cs="Arial"/>
                <w:color w:val="262626"/>
                <w:sz w:val="18"/>
                <w:szCs w:val="18"/>
              </w:rPr>
              <w:t>4.1</w:t>
            </w:r>
          </w:p>
        </w:tc>
        <w:tc>
          <w:tcPr>
            <w:tcW w:w="0" w:type="auto"/>
            <w:gridSpan w:val="3"/>
            <w:shd w:val="clear" w:color="auto" w:fill="auto"/>
            <w:tcMar>
              <w:top w:w="0" w:type="dxa"/>
              <w:left w:w="20" w:type="dxa"/>
              <w:bottom w:w="0" w:type="dxa"/>
              <w:right w:w="20" w:type="dxa"/>
            </w:tcMar>
            <w:vAlign w:val="bottom"/>
          </w:tcPr>
          <w:p w14:paraId="5A1B3C4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4D" w14:textId="77777777" w:rsidR="00960BB8" w:rsidRDefault="00C06650">
            <w:pPr>
              <w:jc w:val="right"/>
              <w:textAlignment w:val="top"/>
            </w:pPr>
            <w:r>
              <w:rPr>
                <w:rFonts w:ascii="Arial" w:eastAsia="宋体" w:hAnsi="Arial" w:cs="Arial"/>
                <w:color w:val="262626"/>
                <w:sz w:val="18"/>
                <w:szCs w:val="18"/>
              </w:rPr>
              <w:t>2/13/2020</w:t>
            </w:r>
          </w:p>
        </w:tc>
        <w:tc>
          <w:tcPr>
            <w:tcW w:w="0" w:type="auto"/>
            <w:gridSpan w:val="3"/>
            <w:shd w:val="clear" w:color="auto" w:fill="auto"/>
            <w:tcMar>
              <w:top w:w="0" w:type="dxa"/>
              <w:left w:w="20" w:type="dxa"/>
              <w:bottom w:w="0" w:type="dxa"/>
              <w:right w:w="20" w:type="dxa"/>
            </w:tcMar>
            <w:vAlign w:val="bottom"/>
          </w:tcPr>
          <w:p w14:paraId="5A1B3C4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4F" w14:textId="77777777" w:rsidR="00960BB8" w:rsidRDefault="00960BB8">
            <w:pPr>
              <w:rPr>
                <w:rFonts w:ascii="宋体"/>
              </w:rPr>
            </w:pPr>
          </w:p>
        </w:tc>
      </w:tr>
      <w:tr w:rsidR="00960BB8" w14:paraId="5A1B3C5F" w14:textId="77777777">
        <w:tc>
          <w:tcPr>
            <w:tcW w:w="0" w:type="auto"/>
            <w:gridSpan w:val="3"/>
            <w:shd w:val="clear" w:color="auto" w:fill="auto"/>
            <w:tcMar>
              <w:top w:w="40" w:type="dxa"/>
              <w:left w:w="20" w:type="dxa"/>
              <w:bottom w:w="40" w:type="dxa"/>
              <w:right w:w="20" w:type="dxa"/>
            </w:tcMar>
          </w:tcPr>
          <w:p w14:paraId="5A1B3C51" w14:textId="77777777" w:rsidR="00960BB8" w:rsidRDefault="00C06650">
            <w:pPr>
              <w:jc w:val="center"/>
              <w:textAlignment w:val="top"/>
            </w:pPr>
            <w:r>
              <w:rPr>
                <w:rFonts w:ascii="Arial" w:eastAsia="宋体" w:hAnsi="Arial" w:cs="Arial"/>
                <w:color w:val="262626"/>
                <w:sz w:val="18"/>
                <w:szCs w:val="18"/>
              </w:rPr>
              <w:t>4.14</w:t>
            </w:r>
          </w:p>
        </w:tc>
        <w:tc>
          <w:tcPr>
            <w:tcW w:w="0" w:type="auto"/>
            <w:gridSpan w:val="3"/>
            <w:shd w:val="clear" w:color="auto" w:fill="auto"/>
            <w:tcMar>
              <w:top w:w="0" w:type="dxa"/>
              <w:left w:w="20" w:type="dxa"/>
              <w:bottom w:w="0" w:type="dxa"/>
              <w:right w:w="20" w:type="dxa"/>
            </w:tcMar>
            <w:vAlign w:val="bottom"/>
          </w:tcPr>
          <w:p w14:paraId="5A1B3C5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53" w14:textId="77777777" w:rsidR="00960BB8" w:rsidRDefault="00C06650">
            <w:pPr>
              <w:textAlignment w:val="top"/>
            </w:pPr>
            <w:hyperlink r:id="rId188" w:history="1">
              <w:r>
                <w:rPr>
                  <w:rStyle w:val="a5"/>
                  <w:rFonts w:ascii="Arial" w:eastAsia="宋体" w:hAnsi="Arial" w:cs="Arial"/>
                  <w:color w:val="262626"/>
                  <w:sz w:val="18"/>
                  <w:szCs w:val="18"/>
                </w:rPr>
                <w:t>Fifteenth Supplemental Indenture, dated as of February 13, 2020, between Intel Corporation and Wells Fargo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5A1B3C5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55" w14:textId="77777777" w:rsidR="00960BB8" w:rsidRDefault="00C06650">
            <w:pPr>
              <w:jc w:val="right"/>
              <w:textAlignment w:val="top"/>
            </w:pPr>
            <w:r>
              <w:rPr>
                <w:rFonts w:ascii="Arial" w:eastAsia="宋体" w:hAnsi="Arial" w:cs="Arial"/>
                <w:color w:val="262626"/>
                <w:sz w:val="18"/>
                <w:szCs w:val="18"/>
              </w:rPr>
              <w:t>8-</w:t>
            </w:r>
            <w:r>
              <w:rPr>
                <w:rFonts w:ascii="Arial" w:eastAsia="宋体" w:hAnsi="Arial" w:cs="Arial"/>
                <w:color w:val="262626"/>
                <w:sz w:val="18"/>
                <w:szCs w:val="18"/>
              </w:rPr>
              <w:t>K</w:t>
            </w:r>
          </w:p>
        </w:tc>
        <w:tc>
          <w:tcPr>
            <w:tcW w:w="0" w:type="auto"/>
            <w:gridSpan w:val="3"/>
            <w:shd w:val="clear" w:color="auto" w:fill="auto"/>
            <w:tcMar>
              <w:top w:w="0" w:type="dxa"/>
              <w:left w:w="20" w:type="dxa"/>
              <w:bottom w:w="0" w:type="dxa"/>
              <w:right w:w="20" w:type="dxa"/>
            </w:tcMar>
            <w:vAlign w:val="bottom"/>
          </w:tcPr>
          <w:p w14:paraId="5A1B3C5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57"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5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C59" w14:textId="77777777" w:rsidR="00960BB8" w:rsidRDefault="00C06650">
            <w:pPr>
              <w:jc w:val="right"/>
              <w:textAlignment w:val="top"/>
            </w:pPr>
            <w:r>
              <w:rPr>
                <w:rFonts w:ascii="Arial" w:eastAsia="宋体" w:hAnsi="Arial" w:cs="Arial"/>
                <w:color w:val="262626"/>
                <w:sz w:val="18"/>
                <w:szCs w:val="18"/>
              </w:rPr>
              <w:t>4.2 </w:t>
            </w:r>
          </w:p>
        </w:tc>
        <w:tc>
          <w:tcPr>
            <w:tcW w:w="0" w:type="auto"/>
            <w:shd w:val="clear" w:color="auto" w:fill="auto"/>
            <w:tcMar>
              <w:top w:w="40" w:type="dxa"/>
              <w:left w:w="0" w:type="dxa"/>
              <w:bottom w:w="40" w:type="dxa"/>
              <w:right w:w="20" w:type="dxa"/>
            </w:tcMar>
          </w:tcPr>
          <w:p w14:paraId="5A1B3C5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C5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5C" w14:textId="77777777" w:rsidR="00960BB8" w:rsidRDefault="00C06650">
            <w:pPr>
              <w:jc w:val="right"/>
              <w:textAlignment w:val="top"/>
            </w:pPr>
            <w:r>
              <w:rPr>
                <w:rFonts w:ascii="Arial" w:eastAsia="宋体" w:hAnsi="Arial" w:cs="Arial"/>
                <w:color w:val="262626"/>
                <w:sz w:val="18"/>
                <w:szCs w:val="18"/>
              </w:rPr>
              <w:t>2/13/2020</w:t>
            </w:r>
          </w:p>
        </w:tc>
        <w:tc>
          <w:tcPr>
            <w:tcW w:w="0" w:type="auto"/>
            <w:gridSpan w:val="3"/>
            <w:shd w:val="clear" w:color="auto" w:fill="auto"/>
            <w:tcMar>
              <w:top w:w="0" w:type="dxa"/>
              <w:left w:w="20" w:type="dxa"/>
              <w:bottom w:w="0" w:type="dxa"/>
              <w:right w:w="20" w:type="dxa"/>
            </w:tcMar>
            <w:vAlign w:val="bottom"/>
          </w:tcPr>
          <w:p w14:paraId="5A1B3C5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5E" w14:textId="77777777" w:rsidR="00960BB8" w:rsidRDefault="00960BB8">
            <w:pPr>
              <w:rPr>
                <w:rFonts w:ascii="宋体"/>
              </w:rPr>
            </w:pPr>
          </w:p>
        </w:tc>
      </w:tr>
      <w:tr w:rsidR="00960BB8" w14:paraId="5A1B3C6E" w14:textId="77777777">
        <w:tc>
          <w:tcPr>
            <w:tcW w:w="0" w:type="auto"/>
            <w:gridSpan w:val="3"/>
            <w:shd w:val="clear" w:color="auto" w:fill="auto"/>
            <w:tcMar>
              <w:top w:w="40" w:type="dxa"/>
              <w:left w:w="20" w:type="dxa"/>
              <w:bottom w:w="40" w:type="dxa"/>
              <w:right w:w="20" w:type="dxa"/>
            </w:tcMar>
          </w:tcPr>
          <w:p w14:paraId="5A1B3C60" w14:textId="77777777" w:rsidR="00960BB8" w:rsidRDefault="00C06650">
            <w:pPr>
              <w:jc w:val="center"/>
              <w:textAlignment w:val="top"/>
            </w:pPr>
            <w:r>
              <w:rPr>
                <w:rFonts w:ascii="Arial" w:eastAsia="宋体" w:hAnsi="Arial" w:cs="Arial"/>
                <w:color w:val="262626"/>
                <w:sz w:val="18"/>
                <w:szCs w:val="18"/>
              </w:rPr>
              <w:t>4.15</w:t>
            </w:r>
          </w:p>
        </w:tc>
        <w:tc>
          <w:tcPr>
            <w:tcW w:w="0" w:type="auto"/>
            <w:gridSpan w:val="3"/>
            <w:shd w:val="clear" w:color="auto" w:fill="auto"/>
            <w:tcMar>
              <w:top w:w="0" w:type="dxa"/>
              <w:left w:w="20" w:type="dxa"/>
              <w:bottom w:w="0" w:type="dxa"/>
              <w:right w:w="20" w:type="dxa"/>
            </w:tcMar>
            <w:vAlign w:val="bottom"/>
          </w:tcPr>
          <w:p w14:paraId="5A1B3C6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C62" w14:textId="77777777" w:rsidR="00960BB8" w:rsidRDefault="00C06650">
            <w:pPr>
              <w:textAlignment w:val="bottom"/>
            </w:pPr>
            <w:hyperlink r:id="rId189" w:history="1">
              <w:r>
                <w:rPr>
                  <w:rStyle w:val="a5"/>
                  <w:rFonts w:ascii="Arial" w:eastAsia="宋体" w:hAnsi="Arial" w:cs="Arial"/>
                  <w:color w:val="262626"/>
                  <w:sz w:val="18"/>
                  <w:szCs w:val="18"/>
                </w:rPr>
                <w:t xml:space="preserve">Sixteenth Supplemental Indenture, dated as of March 25, 2020, between Intel Corporation </w:t>
              </w:r>
              <w:r>
                <w:rPr>
                  <w:rStyle w:val="a5"/>
                  <w:rFonts w:ascii="Arial" w:eastAsia="宋体" w:hAnsi="Arial" w:cs="Arial"/>
                  <w:color w:val="262626"/>
                  <w:sz w:val="18"/>
                  <w:szCs w:val="18"/>
                </w:rPr>
                <w:t>and Wells Fargo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5A1B3C6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64"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C6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66"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6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C68" w14:textId="77777777" w:rsidR="00960BB8" w:rsidRDefault="00C06650">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5A1B3C6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C6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6B" w14:textId="77777777" w:rsidR="00960BB8" w:rsidRDefault="00C06650">
            <w:pPr>
              <w:jc w:val="right"/>
              <w:textAlignment w:val="top"/>
            </w:pPr>
            <w:r>
              <w:rPr>
                <w:rFonts w:ascii="Arial" w:eastAsia="宋体" w:hAnsi="Arial" w:cs="Arial"/>
                <w:color w:val="262626"/>
                <w:sz w:val="18"/>
                <w:szCs w:val="18"/>
              </w:rPr>
              <w:t>3/25/2020</w:t>
            </w:r>
          </w:p>
        </w:tc>
        <w:tc>
          <w:tcPr>
            <w:tcW w:w="0" w:type="auto"/>
            <w:gridSpan w:val="3"/>
            <w:shd w:val="clear" w:color="auto" w:fill="auto"/>
            <w:tcMar>
              <w:top w:w="0" w:type="dxa"/>
              <w:left w:w="20" w:type="dxa"/>
              <w:bottom w:w="0" w:type="dxa"/>
              <w:right w:w="20" w:type="dxa"/>
            </w:tcMar>
            <w:vAlign w:val="bottom"/>
          </w:tcPr>
          <w:p w14:paraId="5A1B3C6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6D" w14:textId="77777777" w:rsidR="00960BB8" w:rsidRDefault="00960BB8">
            <w:pPr>
              <w:rPr>
                <w:rFonts w:ascii="宋体"/>
              </w:rPr>
            </w:pPr>
          </w:p>
        </w:tc>
      </w:tr>
      <w:tr w:rsidR="00960BB8" w14:paraId="5A1B3C7D" w14:textId="77777777">
        <w:tc>
          <w:tcPr>
            <w:tcW w:w="0" w:type="auto"/>
            <w:gridSpan w:val="3"/>
            <w:shd w:val="clear" w:color="auto" w:fill="auto"/>
            <w:tcMar>
              <w:top w:w="40" w:type="dxa"/>
              <w:left w:w="20" w:type="dxa"/>
              <w:bottom w:w="40" w:type="dxa"/>
              <w:right w:w="20" w:type="dxa"/>
            </w:tcMar>
          </w:tcPr>
          <w:p w14:paraId="5A1B3C6F" w14:textId="77777777" w:rsidR="00960BB8" w:rsidRDefault="00C06650">
            <w:pPr>
              <w:jc w:val="center"/>
              <w:textAlignment w:val="top"/>
            </w:pPr>
            <w:r>
              <w:rPr>
                <w:rFonts w:ascii="Arial" w:eastAsia="宋体" w:hAnsi="Arial" w:cs="Arial"/>
                <w:color w:val="262626"/>
                <w:sz w:val="18"/>
                <w:szCs w:val="18"/>
              </w:rPr>
              <w:t>4.16</w:t>
            </w:r>
          </w:p>
        </w:tc>
        <w:tc>
          <w:tcPr>
            <w:tcW w:w="0" w:type="auto"/>
            <w:gridSpan w:val="3"/>
            <w:shd w:val="clear" w:color="auto" w:fill="auto"/>
            <w:tcMar>
              <w:top w:w="0" w:type="dxa"/>
              <w:left w:w="20" w:type="dxa"/>
              <w:bottom w:w="0" w:type="dxa"/>
              <w:right w:w="20" w:type="dxa"/>
            </w:tcMar>
            <w:vAlign w:val="bottom"/>
          </w:tcPr>
          <w:p w14:paraId="5A1B3C7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C71" w14:textId="77777777" w:rsidR="00960BB8" w:rsidRDefault="00C06650">
            <w:pPr>
              <w:textAlignment w:val="bottom"/>
            </w:pPr>
            <w:hyperlink r:id="rId190" w:history="1">
              <w:r>
                <w:rPr>
                  <w:rStyle w:val="a5"/>
                  <w:rFonts w:ascii="Arial" w:eastAsia="宋体" w:hAnsi="Arial" w:cs="Arial"/>
                  <w:color w:val="262626"/>
                  <w:sz w:val="18"/>
                  <w:szCs w:val="18"/>
                </w:rPr>
                <w:t>Seventeenth Supplemental Indenture, dated as of August 12, 2021, between Intel Corporation and Wells Fargo Bank, National As</w:t>
              </w:r>
              <w:r>
                <w:rPr>
                  <w:rStyle w:val="a5"/>
                  <w:rFonts w:ascii="Arial" w:eastAsia="宋体" w:hAnsi="Arial" w:cs="Arial"/>
                  <w:color w:val="262626"/>
                  <w:sz w:val="18"/>
                  <w:szCs w:val="18"/>
                </w:rPr>
                <w:t>sociation, as successor trustee</w:t>
              </w:r>
            </w:hyperlink>
          </w:p>
        </w:tc>
        <w:tc>
          <w:tcPr>
            <w:tcW w:w="0" w:type="auto"/>
            <w:gridSpan w:val="3"/>
            <w:shd w:val="clear" w:color="auto" w:fill="auto"/>
            <w:tcMar>
              <w:top w:w="0" w:type="dxa"/>
              <w:left w:w="20" w:type="dxa"/>
              <w:bottom w:w="0" w:type="dxa"/>
              <w:right w:w="20" w:type="dxa"/>
            </w:tcMar>
            <w:vAlign w:val="bottom"/>
          </w:tcPr>
          <w:p w14:paraId="5A1B3C7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73"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C7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75"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76"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C77" w14:textId="77777777" w:rsidR="00960BB8" w:rsidRDefault="00C06650">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5A1B3C78"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C7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7A" w14:textId="77777777" w:rsidR="00960BB8" w:rsidRDefault="00C06650">
            <w:pPr>
              <w:jc w:val="right"/>
              <w:textAlignment w:val="top"/>
            </w:pPr>
            <w:r>
              <w:rPr>
                <w:rFonts w:ascii="Arial" w:eastAsia="宋体" w:hAnsi="Arial" w:cs="Arial"/>
                <w:color w:val="262626"/>
                <w:sz w:val="18"/>
                <w:szCs w:val="18"/>
              </w:rPr>
              <w:t>8/12/2021</w:t>
            </w:r>
          </w:p>
        </w:tc>
        <w:tc>
          <w:tcPr>
            <w:tcW w:w="0" w:type="auto"/>
            <w:gridSpan w:val="3"/>
            <w:shd w:val="clear" w:color="auto" w:fill="auto"/>
            <w:tcMar>
              <w:top w:w="0" w:type="dxa"/>
              <w:left w:w="20" w:type="dxa"/>
              <w:bottom w:w="0" w:type="dxa"/>
              <w:right w:w="20" w:type="dxa"/>
            </w:tcMar>
            <w:vAlign w:val="bottom"/>
          </w:tcPr>
          <w:p w14:paraId="5A1B3C7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7C" w14:textId="77777777" w:rsidR="00960BB8" w:rsidRDefault="00960BB8">
            <w:pPr>
              <w:rPr>
                <w:rFonts w:ascii="宋体"/>
              </w:rPr>
            </w:pPr>
          </w:p>
        </w:tc>
      </w:tr>
      <w:tr w:rsidR="00960BB8" w14:paraId="5A1B3C8C" w14:textId="77777777">
        <w:tc>
          <w:tcPr>
            <w:tcW w:w="0" w:type="auto"/>
            <w:gridSpan w:val="3"/>
            <w:shd w:val="clear" w:color="auto" w:fill="auto"/>
            <w:tcMar>
              <w:top w:w="40" w:type="dxa"/>
              <w:left w:w="20" w:type="dxa"/>
              <w:bottom w:w="40" w:type="dxa"/>
              <w:right w:w="20" w:type="dxa"/>
            </w:tcMar>
          </w:tcPr>
          <w:p w14:paraId="5A1B3C7E" w14:textId="77777777" w:rsidR="00960BB8" w:rsidRDefault="00C06650">
            <w:pPr>
              <w:jc w:val="center"/>
              <w:textAlignment w:val="top"/>
            </w:pPr>
            <w:r>
              <w:rPr>
                <w:rFonts w:ascii="Arial" w:eastAsia="宋体" w:hAnsi="Arial" w:cs="Arial"/>
                <w:color w:val="262626"/>
                <w:sz w:val="18"/>
                <w:szCs w:val="18"/>
              </w:rPr>
              <w:t>4.17</w:t>
            </w:r>
          </w:p>
        </w:tc>
        <w:tc>
          <w:tcPr>
            <w:tcW w:w="0" w:type="auto"/>
            <w:gridSpan w:val="3"/>
            <w:shd w:val="clear" w:color="auto" w:fill="auto"/>
            <w:tcMar>
              <w:top w:w="0" w:type="dxa"/>
              <w:left w:w="20" w:type="dxa"/>
              <w:bottom w:w="0" w:type="dxa"/>
              <w:right w:w="20" w:type="dxa"/>
            </w:tcMar>
            <w:vAlign w:val="bottom"/>
          </w:tcPr>
          <w:p w14:paraId="5A1B3C7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80" w14:textId="77777777" w:rsidR="00960BB8" w:rsidRDefault="00C06650">
            <w:pPr>
              <w:textAlignment w:val="top"/>
            </w:pPr>
            <w:hyperlink r:id="rId191" w:history="1">
              <w:r>
                <w:rPr>
                  <w:rStyle w:val="a5"/>
                  <w:rFonts w:ascii="Arial" w:eastAsia="宋体" w:hAnsi="Arial" w:cs="Arial"/>
                  <w:sz w:val="18"/>
                  <w:szCs w:val="18"/>
                </w:rPr>
                <w:t>Eighteenth Supplemental Indenture, dated as of August 5, 2022, between Intel Corporation and Computershare Trust Company, Na</w:t>
              </w:r>
              <w:r>
                <w:rPr>
                  <w:rStyle w:val="a5"/>
                  <w:rFonts w:ascii="Arial" w:eastAsia="宋体" w:hAnsi="Arial" w:cs="Arial"/>
                  <w:sz w:val="18"/>
                  <w:szCs w:val="18"/>
                </w:rPr>
                <w:t>tional Association (as successor to Wells Fargo Bank, National Association), as trustee</w:t>
              </w:r>
            </w:hyperlink>
          </w:p>
        </w:tc>
        <w:tc>
          <w:tcPr>
            <w:tcW w:w="0" w:type="auto"/>
            <w:gridSpan w:val="3"/>
            <w:shd w:val="clear" w:color="auto" w:fill="auto"/>
            <w:tcMar>
              <w:top w:w="0" w:type="dxa"/>
              <w:left w:w="20" w:type="dxa"/>
              <w:bottom w:w="0" w:type="dxa"/>
              <w:right w:w="20" w:type="dxa"/>
            </w:tcMar>
            <w:vAlign w:val="bottom"/>
          </w:tcPr>
          <w:p w14:paraId="5A1B3C8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82"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C8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84"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85"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C86" w14:textId="77777777" w:rsidR="00960BB8" w:rsidRDefault="00C06650">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5A1B3C87"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C8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89" w14:textId="77777777" w:rsidR="00960BB8" w:rsidRDefault="00C06650">
            <w:pPr>
              <w:jc w:val="right"/>
              <w:textAlignment w:val="top"/>
            </w:pPr>
            <w:r>
              <w:rPr>
                <w:rFonts w:ascii="Arial" w:eastAsia="宋体" w:hAnsi="Arial" w:cs="Arial"/>
                <w:color w:val="262626"/>
                <w:sz w:val="18"/>
                <w:szCs w:val="18"/>
              </w:rPr>
              <w:t>8/5/2022</w:t>
            </w:r>
          </w:p>
        </w:tc>
        <w:tc>
          <w:tcPr>
            <w:tcW w:w="0" w:type="auto"/>
            <w:gridSpan w:val="3"/>
            <w:shd w:val="clear" w:color="auto" w:fill="auto"/>
            <w:tcMar>
              <w:top w:w="0" w:type="dxa"/>
              <w:left w:w="20" w:type="dxa"/>
              <w:bottom w:w="0" w:type="dxa"/>
              <w:right w:w="20" w:type="dxa"/>
            </w:tcMar>
            <w:vAlign w:val="bottom"/>
          </w:tcPr>
          <w:p w14:paraId="5A1B3C8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8B" w14:textId="77777777" w:rsidR="00960BB8" w:rsidRDefault="00960BB8">
            <w:pPr>
              <w:rPr>
                <w:rFonts w:ascii="宋体"/>
              </w:rPr>
            </w:pPr>
          </w:p>
        </w:tc>
      </w:tr>
      <w:tr w:rsidR="00960BB8" w14:paraId="5A1B3C9B" w14:textId="77777777">
        <w:tc>
          <w:tcPr>
            <w:tcW w:w="0" w:type="auto"/>
            <w:gridSpan w:val="3"/>
            <w:shd w:val="clear" w:color="auto" w:fill="auto"/>
            <w:tcMar>
              <w:top w:w="40" w:type="dxa"/>
              <w:left w:w="20" w:type="dxa"/>
              <w:bottom w:w="40" w:type="dxa"/>
              <w:right w:w="20" w:type="dxa"/>
            </w:tcMar>
          </w:tcPr>
          <w:p w14:paraId="5A1B3C8D" w14:textId="77777777" w:rsidR="00960BB8" w:rsidRDefault="00C06650">
            <w:pPr>
              <w:jc w:val="center"/>
              <w:textAlignment w:val="top"/>
            </w:pPr>
            <w:r>
              <w:rPr>
                <w:rFonts w:ascii="Arial" w:eastAsia="宋体" w:hAnsi="Arial" w:cs="Arial"/>
                <w:color w:val="262626"/>
                <w:sz w:val="18"/>
                <w:szCs w:val="18"/>
              </w:rPr>
              <w:t>4.18</w:t>
            </w:r>
          </w:p>
        </w:tc>
        <w:tc>
          <w:tcPr>
            <w:tcW w:w="0" w:type="auto"/>
            <w:gridSpan w:val="3"/>
            <w:shd w:val="clear" w:color="auto" w:fill="auto"/>
            <w:tcMar>
              <w:top w:w="0" w:type="dxa"/>
              <w:left w:w="20" w:type="dxa"/>
              <w:bottom w:w="0" w:type="dxa"/>
              <w:right w:w="20" w:type="dxa"/>
            </w:tcMar>
            <w:vAlign w:val="bottom"/>
          </w:tcPr>
          <w:p w14:paraId="5A1B3C8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8F" w14:textId="77777777" w:rsidR="00960BB8" w:rsidRDefault="00C06650">
            <w:pPr>
              <w:textAlignment w:val="top"/>
            </w:pPr>
            <w:hyperlink r:id="rId192" w:history="1">
              <w:r>
                <w:rPr>
                  <w:rStyle w:val="a5"/>
                  <w:rFonts w:ascii="Arial" w:eastAsia="宋体" w:hAnsi="Arial" w:cs="Arial"/>
                  <w:sz w:val="18"/>
                  <w:szCs w:val="18"/>
                </w:rPr>
                <w:t>Description of Intel Securities Registered under Section 12 of the Exchange Act</w:t>
              </w:r>
            </w:hyperlink>
          </w:p>
        </w:tc>
        <w:tc>
          <w:tcPr>
            <w:tcW w:w="0" w:type="auto"/>
            <w:gridSpan w:val="3"/>
            <w:shd w:val="clear" w:color="auto" w:fill="auto"/>
            <w:tcMar>
              <w:top w:w="0" w:type="dxa"/>
              <w:left w:w="20" w:type="dxa"/>
              <w:bottom w:w="0" w:type="dxa"/>
              <w:right w:w="20" w:type="dxa"/>
            </w:tcMar>
            <w:vAlign w:val="bottom"/>
          </w:tcPr>
          <w:p w14:paraId="5A1B3C9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91" w14:textId="77777777" w:rsidR="00960BB8" w:rsidRDefault="00C06650">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vAlign w:val="bottom"/>
          </w:tcPr>
          <w:p w14:paraId="5A1B3C9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93"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9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C95" w14:textId="77777777" w:rsidR="00960BB8" w:rsidRDefault="00C06650">
            <w:pPr>
              <w:jc w:val="right"/>
              <w:textAlignment w:val="top"/>
            </w:pPr>
            <w:r>
              <w:rPr>
                <w:rFonts w:ascii="Arial" w:eastAsia="宋体" w:hAnsi="Arial" w:cs="Arial"/>
                <w:color w:val="262626"/>
                <w:sz w:val="18"/>
                <w:szCs w:val="18"/>
              </w:rPr>
              <w:t>4.18 </w:t>
            </w:r>
          </w:p>
        </w:tc>
        <w:tc>
          <w:tcPr>
            <w:tcW w:w="0" w:type="auto"/>
            <w:shd w:val="clear" w:color="auto" w:fill="auto"/>
            <w:tcMar>
              <w:top w:w="40" w:type="dxa"/>
              <w:left w:w="0" w:type="dxa"/>
              <w:bottom w:w="40" w:type="dxa"/>
              <w:right w:w="20" w:type="dxa"/>
            </w:tcMar>
          </w:tcPr>
          <w:p w14:paraId="5A1B3C9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C9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98" w14:textId="77777777" w:rsidR="00960BB8" w:rsidRDefault="00C06650">
            <w:pPr>
              <w:jc w:val="right"/>
              <w:textAlignment w:val="top"/>
            </w:pPr>
            <w:r>
              <w:rPr>
                <w:rFonts w:ascii="Arial" w:eastAsia="宋体" w:hAnsi="Arial" w:cs="Arial"/>
                <w:color w:val="262626"/>
                <w:sz w:val="18"/>
                <w:szCs w:val="18"/>
              </w:rPr>
              <w:t>1/27/2022</w:t>
            </w:r>
          </w:p>
        </w:tc>
        <w:tc>
          <w:tcPr>
            <w:tcW w:w="0" w:type="auto"/>
            <w:gridSpan w:val="3"/>
            <w:shd w:val="clear" w:color="auto" w:fill="auto"/>
            <w:tcMar>
              <w:top w:w="0" w:type="dxa"/>
              <w:left w:w="20" w:type="dxa"/>
              <w:bottom w:w="0" w:type="dxa"/>
              <w:right w:w="20" w:type="dxa"/>
            </w:tcMar>
            <w:vAlign w:val="bottom"/>
          </w:tcPr>
          <w:p w14:paraId="5A1B3C9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9A" w14:textId="77777777" w:rsidR="00960BB8" w:rsidRDefault="00960BB8">
            <w:pPr>
              <w:rPr>
                <w:rFonts w:ascii="宋体"/>
              </w:rPr>
            </w:pPr>
          </w:p>
        </w:tc>
      </w:tr>
      <w:tr w:rsidR="00960BB8" w14:paraId="5A1B3CAA" w14:textId="77777777">
        <w:tc>
          <w:tcPr>
            <w:tcW w:w="0" w:type="auto"/>
            <w:gridSpan w:val="3"/>
            <w:shd w:val="clear" w:color="auto" w:fill="auto"/>
            <w:tcMar>
              <w:top w:w="40" w:type="dxa"/>
              <w:left w:w="20" w:type="dxa"/>
              <w:bottom w:w="40" w:type="dxa"/>
              <w:right w:w="20" w:type="dxa"/>
            </w:tcMar>
          </w:tcPr>
          <w:p w14:paraId="5A1B3C9C" w14:textId="77777777" w:rsidR="00960BB8" w:rsidRDefault="00C06650">
            <w:pPr>
              <w:jc w:val="center"/>
              <w:textAlignment w:val="top"/>
            </w:pPr>
            <w:r>
              <w:rPr>
                <w:rFonts w:ascii="Arial" w:eastAsia="宋体" w:hAnsi="Arial" w:cs="Arial"/>
                <w:color w:val="262626"/>
                <w:sz w:val="18"/>
                <w:szCs w:val="18"/>
              </w:rPr>
              <w:t>10.1</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C9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9E" w14:textId="77777777" w:rsidR="00960BB8" w:rsidRDefault="00C06650">
            <w:pPr>
              <w:spacing w:before="20"/>
              <w:textAlignment w:val="top"/>
            </w:pPr>
            <w:hyperlink r:id="rId193" w:history="1">
              <w:r>
                <w:rPr>
                  <w:rStyle w:val="a5"/>
                  <w:rFonts w:ascii="Arial" w:eastAsia="宋体" w:hAnsi="Arial" w:cs="Arial"/>
                  <w:sz w:val="18"/>
                  <w:szCs w:val="18"/>
                </w:rPr>
                <w:t>Intel Corporation 2006 Equity Incentive Plan, as amended and restated, effective May 12, 2022</w:t>
              </w:r>
            </w:hyperlink>
          </w:p>
        </w:tc>
        <w:tc>
          <w:tcPr>
            <w:tcW w:w="0" w:type="auto"/>
            <w:gridSpan w:val="3"/>
            <w:shd w:val="clear" w:color="auto" w:fill="auto"/>
            <w:tcMar>
              <w:top w:w="0" w:type="dxa"/>
              <w:left w:w="20" w:type="dxa"/>
              <w:bottom w:w="0" w:type="dxa"/>
              <w:right w:w="20" w:type="dxa"/>
            </w:tcMar>
            <w:vAlign w:val="bottom"/>
          </w:tcPr>
          <w:p w14:paraId="5A1B3C9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A0"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CA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A2"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A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CA4" w14:textId="77777777" w:rsidR="00960BB8" w:rsidRDefault="00C06650">
            <w:pPr>
              <w:jc w:val="right"/>
              <w:textAlignment w:val="top"/>
            </w:pPr>
            <w:r>
              <w:rPr>
                <w:rFonts w:ascii="Arial" w:eastAsia="宋体" w:hAnsi="Arial" w:cs="Arial"/>
                <w:color w:val="262626"/>
                <w:sz w:val="18"/>
                <w:szCs w:val="18"/>
              </w:rPr>
              <w:t>10.2 </w:t>
            </w:r>
          </w:p>
        </w:tc>
        <w:tc>
          <w:tcPr>
            <w:tcW w:w="0" w:type="auto"/>
            <w:shd w:val="clear" w:color="auto" w:fill="auto"/>
            <w:tcMar>
              <w:top w:w="40" w:type="dxa"/>
              <w:left w:w="0" w:type="dxa"/>
              <w:bottom w:w="40" w:type="dxa"/>
              <w:right w:w="20" w:type="dxa"/>
            </w:tcMar>
          </w:tcPr>
          <w:p w14:paraId="5A1B3CA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CA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A7" w14:textId="77777777" w:rsidR="00960BB8" w:rsidRDefault="00C06650">
            <w:pPr>
              <w:jc w:val="right"/>
              <w:textAlignment w:val="top"/>
            </w:pPr>
            <w:r>
              <w:rPr>
                <w:rFonts w:ascii="Arial" w:eastAsia="宋体" w:hAnsi="Arial" w:cs="Arial"/>
                <w:color w:val="262626"/>
                <w:sz w:val="18"/>
                <w:szCs w:val="18"/>
              </w:rPr>
              <w:t>7/29/2022</w:t>
            </w:r>
          </w:p>
        </w:tc>
        <w:tc>
          <w:tcPr>
            <w:tcW w:w="0" w:type="auto"/>
            <w:gridSpan w:val="3"/>
            <w:shd w:val="clear" w:color="auto" w:fill="auto"/>
            <w:tcMar>
              <w:top w:w="0" w:type="dxa"/>
              <w:left w:w="20" w:type="dxa"/>
              <w:bottom w:w="0" w:type="dxa"/>
              <w:right w:w="20" w:type="dxa"/>
            </w:tcMar>
            <w:vAlign w:val="bottom"/>
          </w:tcPr>
          <w:p w14:paraId="5A1B3CA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A9" w14:textId="77777777" w:rsidR="00960BB8" w:rsidRDefault="00960BB8">
            <w:pPr>
              <w:rPr>
                <w:rFonts w:ascii="宋体"/>
              </w:rPr>
            </w:pPr>
          </w:p>
        </w:tc>
      </w:tr>
      <w:tr w:rsidR="00960BB8" w14:paraId="5A1B3CBA" w14:textId="77777777">
        <w:tc>
          <w:tcPr>
            <w:tcW w:w="0" w:type="auto"/>
            <w:gridSpan w:val="3"/>
            <w:shd w:val="clear" w:color="auto" w:fill="auto"/>
            <w:tcMar>
              <w:top w:w="40" w:type="dxa"/>
              <w:left w:w="20" w:type="dxa"/>
              <w:bottom w:w="40" w:type="dxa"/>
              <w:right w:w="20" w:type="dxa"/>
            </w:tcMar>
          </w:tcPr>
          <w:p w14:paraId="5A1B3CAB" w14:textId="77777777" w:rsidR="00960BB8" w:rsidRDefault="00C06650">
            <w:pPr>
              <w:jc w:val="center"/>
              <w:textAlignment w:val="top"/>
            </w:pPr>
            <w:r>
              <w:rPr>
                <w:rFonts w:ascii="Arial" w:eastAsia="宋体" w:hAnsi="Arial" w:cs="Arial"/>
                <w:color w:val="262626"/>
                <w:sz w:val="18"/>
                <w:szCs w:val="18"/>
              </w:rPr>
              <w:t>10.1.2</w:t>
            </w:r>
            <w:r>
              <w:rPr>
                <w:rFonts w:ascii="Arial" w:eastAsia="宋体" w:hAnsi="Arial" w:cs="Arial"/>
                <w:color w:val="262626"/>
                <w:sz w:val="11"/>
                <w:szCs w:val="11"/>
              </w:rPr>
              <w:t>†</w:t>
            </w:r>
          </w:p>
          <w:p w14:paraId="5A1B3CAC" w14:textId="77777777" w:rsidR="00960BB8" w:rsidRDefault="00960BB8">
            <w:pPr>
              <w:textAlignment w:val="top"/>
            </w:pPr>
          </w:p>
        </w:tc>
        <w:tc>
          <w:tcPr>
            <w:tcW w:w="0" w:type="auto"/>
            <w:gridSpan w:val="3"/>
            <w:shd w:val="clear" w:color="auto" w:fill="auto"/>
            <w:tcMar>
              <w:top w:w="0" w:type="dxa"/>
              <w:left w:w="20" w:type="dxa"/>
              <w:bottom w:w="0" w:type="dxa"/>
              <w:right w:w="20" w:type="dxa"/>
            </w:tcMar>
            <w:vAlign w:val="bottom"/>
          </w:tcPr>
          <w:p w14:paraId="5A1B3CA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AE" w14:textId="77777777" w:rsidR="00960BB8" w:rsidRDefault="00C06650">
            <w:pPr>
              <w:textAlignment w:val="top"/>
            </w:pPr>
            <w:hyperlink r:id="rId194" w:history="1">
              <w:r>
                <w:rPr>
                  <w:rStyle w:val="a5"/>
                  <w:rFonts w:ascii="Arial" w:eastAsia="宋体" w:hAnsi="Arial" w:cs="Arial"/>
                  <w:color w:val="262626"/>
                  <w:sz w:val="18"/>
                  <w:szCs w:val="18"/>
                </w:rPr>
                <w:t>Intel Corporation Form of Notice of Grant - Restricted Stock Units</w:t>
              </w:r>
            </w:hyperlink>
          </w:p>
        </w:tc>
        <w:tc>
          <w:tcPr>
            <w:tcW w:w="0" w:type="auto"/>
            <w:gridSpan w:val="3"/>
            <w:shd w:val="clear" w:color="auto" w:fill="auto"/>
            <w:tcMar>
              <w:top w:w="0" w:type="dxa"/>
              <w:left w:w="20" w:type="dxa"/>
              <w:bottom w:w="0" w:type="dxa"/>
              <w:right w:w="20" w:type="dxa"/>
            </w:tcMar>
            <w:vAlign w:val="bottom"/>
          </w:tcPr>
          <w:p w14:paraId="5A1B3CA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B0"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CB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B2"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B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CB4" w14:textId="77777777" w:rsidR="00960BB8" w:rsidRDefault="00C06650">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5A1B3CB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CB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B7" w14:textId="77777777" w:rsidR="00960BB8" w:rsidRDefault="00C06650">
            <w:pPr>
              <w:jc w:val="right"/>
              <w:textAlignment w:val="top"/>
            </w:pPr>
            <w:r>
              <w:rPr>
                <w:rFonts w:ascii="Arial" w:eastAsia="宋体" w:hAnsi="Arial" w:cs="Arial"/>
                <w:color w:val="262626"/>
                <w:sz w:val="18"/>
                <w:szCs w:val="18"/>
              </w:rPr>
              <w:t>10/25/2018</w:t>
            </w:r>
          </w:p>
        </w:tc>
        <w:tc>
          <w:tcPr>
            <w:tcW w:w="0" w:type="auto"/>
            <w:gridSpan w:val="3"/>
            <w:shd w:val="clear" w:color="auto" w:fill="auto"/>
            <w:tcMar>
              <w:top w:w="0" w:type="dxa"/>
              <w:left w:w="20" w:type="dxa"/>
              <w:bottom w:w="0" w:type="dxa"/>
              <w:right w:w="20" w:type="dxa"/>
            </w:tcMar>
            <w:vAlign w:val="bottom"/>
          </w:tcPr>
          <w:p w14:paraId="5A1B3CB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B9" w14:textId="77777777" w:rsidR="00960BB8" w:rsidRDefault="00960BB8">
            <w:pPr>
              <w:rPr>
                <w:rFonts w:ascii="宋体"/>
              </w:rPr>
            </w:pPr>
          </w:p>
        </w:tc>
      </w:tr>
      <w:tr w:rsidR="00960BB8" w14:paraId="5A1B3CCA" w14:textId="77777777">
        <w:tc>
          <w:tcPr>
            <w:tcW w:w="0" w:type="auto"/>
            <w:gridSpan w:val="3"/>
            <w:shd w:val="clear" w:color="auto" w:fill="auto"/>
            <w:tcMar>
              <w:top w:w="40" w:type="dxa"/>
              <w:left w:w="20" w:type="dxa"/>
              <w:bottom w:w="40" w:type="dxa"/>
              <w:right w:w="20" w:type="dxa"/>
            </w:tcMar>
          </w:tcPr>
          <w:p w14:paraId="5A1B3CBB" w14:textId="77777777" w:rsidR="00960BB8" w:rsidRDefault="00C06650">
            <w:pPr>
              <w:jc w:val="center"/>
              <w:textAlignment w:val="top"/>
            </w:pPr>
            <w:r>
              <w:rPr>
                <w:rFonts w:ascii="Arial" w:eastAsia="宋体" w:hAnsi="Arial" w:cs="Arial"/>
                <w:color w:val="262626"/>
                <w:sz w:val="18"/>
                <w:szCs w:val="18"/>
              </w:rPr>
              <w:t>10.1.3</w:t>
            </w:r>
            <w:r>
              <w:rPr>
                <w:rFonts w:ascii="Arial" w:eastAsia="宋体" w:hAnsi="Arial" w:cs="Arial"/>
                <w:color w:val="262626"/>
                <w:sz w:val="11"/>
                <w:szCs w:val="11"/>
              </w:rPr>
              <w:t>†</w:t>
            </w:r>
          </w:p>
          <w:p w14:paraId="5A1B3CBC" w14:textId="77777777" w:rsidR="00960BB8" w:rsidRDefault="00960BB8">
            <w:pPr>
              <w:textAlignment w:val="top"/>
            </w:pPr>
          </w:p>
        </w:tc>
        <w:tc>
          <w:tcPr>
            <w:tcW w:w="0" w:type="auto"/>
            <w:gridSpan w:val="3"/>
            <w:shd w:val="clear" w:color="auto" w:fill="auto"/>
            <w:tcMar>
              <w:top w:w="0" w:type="dxa"/>
              <w:left w:w="20" w:type="dxa"/>
              <w:bottom w:w="0" w:type="dxa"/>
              <w:right w:w="20" w:type="dxa"/>
            </w:tcMar>
            <w:vAlign w:val="bottom"/>
          </w:tcPr>
          <w:p w14:paraId="5A1B3CB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CBE" w14:textId="77777777" w:rsidR="00960BB8" w:rsidRDefault="00C06650">
            <w:pPr>
              <w:textAlignment w:val="bottom"/>
            </w:pPr>
            <w:hyperlink r:id="rId195" w:history="1">
              <w:r>
                <w:rPr>
                  <w:rStyle w:val="a5"/>
                  <w:rFonts w:ascii="Arial" w:eastAsia="宋体" w:hAnsi="Arial" w:cs="Arial"/>
                  <w:color w:val="262626"/>
                  <w:sz w:val="18"/>
                  <w:szCs w:val="18"/>
                </w:rPr>
                <w:t xml:space="preserve">Intel Corporation Form of Restricted Stock Unit Grant Agreement under the 2006 Equity Incentive Plan (for RSUs with </w:t>
              </w:r>
              <w:r>
                <w:rPr>
                  <w:rStyle w:val="a5"/>
                  <w:rFonts w:ascii="Arial" w:eastAsia="宋体" w:hAnsi="Arial" w:cs="Arial"/>
                  <w:color w:val="262626"/>
                  <w:sz w:val="18"/>
                  <w:szCs w:val="18"/>
                </w:rPr>
                <w:t>retirement vesting terms granted to executives on or after January 30, 2019)</w:t>
              </w:r>
            </w:hyperlink>
          </w:p>
        </w:tc>
        <w:tc>
          <w:tcPr>
            <w:tcW w:w="0" w:type="auto"/>
            <w:gridSpan w:val="3"/>
            <w:shd w:val="clear" w:color="auto" w:fill="auto"/>
            <w:tcMar>
              <w:top w:w="0" w:type="dxa"/>
              <w:left w:w="20" w:type="dxa"/>
              <w:bottom w:w="0" w:type="dxa"/>
              <w:right w:w="20" w:type="dxa"/>
            </w:tcMar>
            <w:vAlign w:val="bottom"/>
          </w:tcPr>
          <w:p w14:paraId="5A1B3CB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C0"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CC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C2"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C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CC4" w14:textId="77777777" w:rsidR="00960BB8" w:rsidRDefault="00C06650">
            <w:pPr>
              <w:jc w:val="right"/>
              <w:textAlignment w:val="top"/>
            </w:pPr>
            <w:r>
              <w:rPr>
                <w:rFonts w:ascii="Arial" w:eastAsia="宋体" w:hAnsi="Arial" w:cs="Arial"/>
                <w:color w:val="262626"/>
                <w:sz w:val="18"/>
                <w:szCs w:val="18"/>
              </w:rPr>
              <w:t>10.3 </w:t>
            </w:r>
          </w:p>
        </w:tc>
        <w:tc>
          <w:tcPr>
            <w:tcW w:w="0" w:type="auto"/>
            <w:shd w:val="clear" w:color="auto" w:fill="auto"/>
            <w:tcMar>
              <w:top w:w="40" w:type="dxa"/>
              <w:left w:w="0" w:type="dxa"/>
              <w:bottom w:w="40" w:type="dxa"/>
              <w:right w:w="20" w:type="dxa"/>
            </w:tcMar>
          </w:tcPr>
          <w:p w14:paraId="5A1B3CC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CC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C7" w14:textId="77777777" w:rsidR="00960BB8" w:rsidRDefault="00C06650">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5A1B3CC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C9" w14:textId="77777777" w:rsidR="00960BB8" w:rsidRDefault="00960BB8">
            <w:pPr>
              <w:rPr>
                <w:rFonts w:ascii="宋体"/>
              </w:rPr>
            </w:pPr>
          </w:p>
        </w:tc>
      </w:tr>
      <w:tr w:rsidR="00960BB8" w14:paraId="5A1B3CDA" w14:textId="77777777">
        <w:tc>
          <w:tcPr>
            <w:tcW w:w="0" w:type="auto"/>
            <w:gridSpan w:val="3"/>
            <w:shd w:val="clear" w:color="auto" w:fill="auto"/>
            <w:tcMar>
              <w:top w:w="40" w:type="dxa"/>
              <w:left w:w="20" w:type="dxa"/>
              <w:bottom w:w="40" w:type="dxa"/>
              <w:right w:w="20" w:type="dxa"/>
            </w:tcMar>
          </w:tcPr>
          <w:p w14:paraId="5A1B3CCB" w14:textId="77777777" w:rsidR="00960BB8" w:rsidRDefault="00C06650">
            <w:pPr>
              <w:jc w:val="center"/>
              <w:textAlignment w:val="top"/>
            </w:pPr>
            <w:r>
              <w:rPr>
                <w:rFonts w:ascii="Arial" w:eastAsia="宋体" w:hAnsi="Arial" w:cs="Arial"/>
                <w:color w:val="262626"/>
                <w:sz w:val="18"/>
                <w:szCs w:val="18"/>
              </w:rPr>
              <w:t>10.1.4</w:t>
            </w:r>
            <w:r>
              <w:rPr>
                <w:rFonts w:ascii="Arial" w:eastAsia="宋体" w:hAnsi="Arial" w:cs="Arial"/>
                <w:color w:val="262626"/>
                <w:sz w:val="11"/>
                <w:szCs w:val="11"/>
              </w:rPr>
              <w:t>†</w:t>
            </w:r>
          </w:p>
          <w:p w14:paraId="5A1B3CCC" w14:textId="77777777" w:rsidR="00960BB8" w:rsidRDefault="00960BB8">
            <w:pPr>
              <w:textAlignment w:val="top"/>
            </w:pPr>
          </w:p>
        </w:tc>
        <w:tc>
          <w:tcPr>
            <w:tcW w:w="0" w:type="auto"/>
            <w:gridSpan w:val="3"/>
            <w:shd w:val="clear" w:color="auto" w:fill="auto"/>
            <w:tcMar>
              <w:top w:w="0" w:type="dxa"/>
              <w:left w:w="20" w:type="dxa"/>
              <w:bottom w:w="0" w:type="dxa"/>
              <w:right w:w="20" w:type="dxa"/>
            </w:tcMar>
            <w:vAlign w:val="bottom"/>
          </w:tcPr>
          <w:p w14:paraId="5A1B3CC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CCE" w14:textId="77777777" w:rsidR="00960BB8" w:rsidRDefault="00C06650">
            <w:pPr>
              <w:textAlignment w:val="bottom"/>
            </w:pPr>
            <w:hyperlink r:id="rId196" w:history="1">
              <w:r>
                <w:rPr>
                  <w:rStyle w:val="a5"/>
                  <w:rFonts w:ascii="Arial" w:eastAsia="宋体" w:hAnsi="Arial" w:cs="Arial"/>
                  <w:color w:val="262626"/>
                  <w:sz w:val="18"/>
                  <w:szCs w:val="18"/>
                </w:rPr>
                <w:t xml:space="preserve">Intel Corporation Form of Restricted Stock Unit Grant Agreement under the 2006 Equity Incentive Plan (for RSUs without </w:t>
              </w:r>
              <w:r>
                <w:rPr>
                  <w:rStyle w:val="a5"/>
                  <w:rFonts w:ascii="Arial" w:eastAsia="宋体" w:hAnsi="Arial" w:cs="Arial"/>
                  <w:color w:val="262626"/>
                  <w:sz w:val="18"/>
                  <w:szCs w:val="18"/>
                </w:rPr>
                <w:t>retirement vesting terms granted to executives on or after January 30, 2019)</w:t>
              </w:r>
            </w:hyperlink>
          </w:p>
        </w:tc>
        <w:tc>
          <w:tcPr>
            <w:tcW w:w="0" w:type="auto"/>
            <w:gridSpan w:val="3"/>
            <w:shd w:val="clear" w:color="auto" w:fill="auto"/>
            <w:tcMar>
              <w:top w:w="0" w:type="dxa"/>
              <w:left w:w="20" w:type="dxa"/>
              <w:bottom w:w="0" w:type="dxa"/>
              <w:right w:w="20" w:type="dxa"/>
            </w:tcMar>
            <w:vAlign w:val="bottom"/>
          </w:tcPr>
          <w:p w14:paraId="5A1B3CC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D0"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CD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D2"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D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CD4" w14:textId="77777777" w:rsidR="00960BB8" w:rsidRDefault="00C06650">
            <w:pPr>
              <w:jc w:val="right"/>
              <w:textAlignment w:val="top"/>
            </w:pPr>
            <w:r>
              <w:rPr>
                <w:rFonts w:ascii="Arial" w:eastAsia="宋体" w:hAnsi="Arial" w:cs="Arial"/>
                <w:color w:val="262626"/>
                <w:sz w:val="18"/>
                <w:szCs w:val="18"/>
              </w:rPr>
              <w:t>10.4 </w:t>
            </w:r>
          </w:p>
        </w:tc>
        <w:tc>
          <w:tcPr>
            <w:tcW w:w="0" w:type="auto"/>
            <w:shd w:val="clear" w:color="auto" w:fill="auto"/>
            <w:tcMar>
              <w:top w:w="40" w:type="dxa"/>
              <w:left w:w="0" w:type="dxa"/>
              <w:bottom w:w="40" w:type="dxa"/>
              <w:right w:w="20" w:type="dxa"/>
            </w:tcMar>
          </w:tcPr>
          <w:p w14:paraId="5A1B3CD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CD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D7" w14:textId="77777777" w:rsidR="00960BB8" w:rsidRDefault="00C06650">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5A1B3CD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D9" w14:textId="77777777" w:rsidR="00960BB8" w:rsidRDefault="00960BB8">
            <w:pPr>
              <w:rPr>
                <w:rFonts w:ascii="宋体"/>
              </w:rPr>
            </w:pPr>
          </w:p>
        </w:tc>
      </w:tr>
      <w:tr w:rsidR="00960BB8" w14:paraId="5A1B3CEA" w14:textId="77777777">
        <w:tc>
          <w:tcPr>
            <w:tcW w:w="0" w:type="auto"/>
            <w:gridSpan w:val="3"/>
            <w:shd w:val="clear" w:color="auto" w:fill="auto"/>
            <w:tcMar>
              <w:top w:w="40" w:type="dxa"/>
              <w:left w:w="20" w:type="dxa"/>
              <w:bottom w:w="40" w:type="dxa"/>
              <w:right w:w="20" w:type="dxa"/>
            </w:tcMar>
          </w:tcPr>
          <w:p w14:paraId="5A1B3CDB" w14:textId="77777777" w:rsidR="00960BB8" w:rsidRDefault="00C06650">
            <w:pPr>
              <w:jc w:val="center"/>
              <w:textAlignment w:val="top"/>
            </w:pPr>
            <w:r>
              <w:rPr>
                <w:rFonts w:ascii="Arial" w:eastAsia="宋体" w:hAnsi="Arial" w:cs="Arial"/>
                <w:color w:val="262626"/>
                <w:sz w:val="18"/>
                <w:szCs w:val="18"/>
              </w:rPr>
              <w:t>10.1.5</w:t>
            </w:r>
            <w:r>
              <w:rPr>
                <w:rFonts w:ascii="Arial" w:eastAsia="宋体" w:hAnsi="Arial" w:cs="Arial"/>
                <w:color w:val="262626"/>
                <w:sz w:val="11"/>
                <w:szCs w:val="11"/>
              </w:rPr>
              <w:t>†</w:t>
            </w:r>
          </w:p>
          <w:p w14:paraId="5A1B3CDC" w14:textId="77777777" w:rsidR="00960BB8" w:rsidRDefault="00960BB8">
            <w:pPr>
              <w:textAlignment w:val="top"/>
            </w:pPr>
          </w:p>
        </w:tc>
        <w:tc>
          <w:tcPr>
            <w:tcW w:w="0" w:type="auto"/>
            <w:gridSpan w:val="3"/>
            <w:shd w:val="clear" w:color="auto" w:fill="auto"/>
            <w:tcMar>
              <w:top w:w="0" w:type="dxa"/>
              <w:left w:w="20" w:type="dxa"/>
              <w:bottom w:w="0" w:type="dxa"/>
              <w:right w:w="20" w:type="dxa"/>
            </w:tcMar>
            <w:vAlign w:val="bottom"/>
          </w:tcPr>
          <w:p w14:paraId="5A1B3CD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DE" w14:textId="77777777" w:rsidR="00960BB8" w:rsidRDefault="00C06650">
            <w:pPr>
              <w:textAlignment w:val="top"/>
            </w:pPr>
            <w:hyperlink r:id="rId197" w:history="1">
              <w:r>
                <w:rPr>
                  <w:rStyle w:val="a5"/>
                  <w:rFonts w:ascii="Arial" w:eastAsia="宋体" w:hAnsi="Arial" w:cs="Arial"/>
                  <w:color w:val="262626"/>
                  <w:sz w:val="18"/>
                  <w:szCs w:val="18"/>
                </w:rPr>
                <w:t>Intel Corporation Form of Restricted Stock Unit Grant Agreement under the 2006 Equity Incentive Plan (for performance-b</w:t>
              </w:r>
              <w:r>
                <w:rPr>
                  <w:rStyle w:val="a5"/>
                  <w:rFonts w:ascii="Arial" w:eastAsia="宋体" w:hAnsi="Arial" w:cs="Arial"/>
                  <w:color w:val="262626"/>
                  <w:sz w:val="18"/>
                  <w:szCs w:val="18"/>
                </w:rPr>
                <w:t>ased RSUs granted to grandfathered executives on or after January 30, 2019)</w:t>
              </w:r>
            </w:hyperlink>
          </w:p>
        </w:tc>
        <w:tc>
          <w:tcPr>
            <w:tcW w:w="0" w:type="auto"/>
            <w:gridSpan w:val="3"/>
            <w:shd w:val="clear" w:color="auto" w:fill="auto"/>
            <w:tcMar>
              <w:top w:w="0" w:type="dxa"/>
              <w:left w:w="20" w:type="dxa"/>
              <w:bottom w:w="0" w:type="dxa"/>
              <w:right w:w="20" w:type="dxa"/>
            </w:tcMar>
            <w:vAlign w:val="bottom"/>
          </w:tcPr>
          <w:p w14:paraId="5A1B3CD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E0"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CE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E2"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E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CE4" w14:textId="77777777" w:rsidR="00960BB8" w:rsidRDefault="00C06650">
            <w:pPr>
              <w:jc w:val="right"/>
              <w:textAlignment w:val="top"/>
            </w:pPr>
            <w:r>
              <w:rPr>
                <w:rFonts w:ascii="Arial" w:eastAsia="宋体" w:hAnsi="Arial" w:cs="Arial"/>
                <w:color w:val="262626"/>
                <w:sz w:val="18"/>
                <w:szCs w:val="18"/>
              </w:rPr>
              <w:t>10.5 </w:t>
            </w:r>
          </w:p>
        </w:tc>
        <w:tc>
          <w:tcPr>
            <w:tcW w:w="0" w:type="auto"/>
            <w:shd w:val="clear" w:color="auto" w:fill="auto"/>
            <w:tcMar>
              <w:top w:w="40" w:type="dxa"/>
              <w:left w:w="0" w:type="dxa"/>
              <w:bottom w:w="40" w:type="dxa"/>
              <w:right w:w="20" w:type="dxa"/>
            </w:tcMar>
          </w:tcPr>
          <w:p w14:paraId="5A1B3CE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CE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E7" w14:textId="77777777" w:rsidR="00960BB8" w:rsidRDefault="00C06650">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5A1B3CE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E9" w14:textId="77777777" w:rsidR="00960BB8" w:rsidRDefault="00960BB8">
            <w:pPr>
              <w:rPr>
                <w:rFonts w:ascii="宋体"/>
              </w:rPr>
            </w:pPr>
          </w:p>
        </w:tc>
      </w:tr>
      <w:tr w:rsidR="00960BB8" w14:paraId="5A1B3CF9" w14:textId="77777777">
        <w:tc>
          <w:tcPr>
            <w:tcW w:w="0" w:type="auto"/>
            <w:gridSpan w:val="3"/>
            <w:shd w:val="clear" w:color="auto" w:fill="auto"/>
            <w:tcMar>
              <w:top w:w="40" w:type="dxa"/>
              <w:left w:w="20" w:type="dxa"/>
              <w:bottom w:w="40" w:type="dxa"/>
              <w:right w:w="20" w:type="dxa"/>
            </w:tcMar>
          </w:tcPr>
          <w:p w14:paraId="5A1B3CEB" w14:textId="77777777" w:rsidR="00960BB8" w:rsidRDefault="00C06650">
            <w:pPr>
              <w:jc w:val="center"/>
              <w:textAlignment w:val="top"/>
            </w:pPr>
            <w:r>
              <w:rPr>
                <w:rFonts w:ascii="Arial" w:eastAsia="宋体" w:hAnsi="Arial" w:cs="Arial"/>
                <w:color w:val="262626"/>
                <w:sz w:val="18"/>
                <w:szCs w:val="18"/>
              </w:rPr>
              <w:t>10.1.6</w:t>
            </w:r>
            <w:r>
              <w:rPr>
                <w:rFonts w:ascii="Arial" w:eastAsia="宋体" w:hAnsi="Arial" w:cs="Arial"/>
                <w:color w:val="262626"/>
                <w:sz w:val="11"/>
                <w:szCs w:val="11"/>
              </w:rPr>
              <w:t>†</w:t>
            </w:r>
          </w:p>
          <w:p w14:paraId="5A1B3CEC" w14:textId="77777777" w:rsidR="00960BB8" w:rsidRDefault="00960BB8">
            <w:pPr>
              <w:textAlignment w:val="top"/>
            </w:pPr>
          </w:p>
        </w:tc>
        <w:tc>
          <w:tcPr>
            <w:tcW w:w="0" w:type="auto"/>
            <w:gridSpan w:val="3"/>
            <w:shd w:val="clear" w:color="auto" w:fill="auto"/>
            <w:tcMar>
              <w:top w:w="0" w:type="dxa"/>
              <w:left w:w="20" w:type="dxa"/>
              <w:bottom w:w="0" w:type="dxa"/>
              <w:right w:w="20" w:type="dxa"/>
            </w:tcMar>
            <w:vAlign w:val="bottom"/>
          </w:tcPr>
          <w:p w14:paraId="5A1B3CE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EE" w14:textId="77777777" w:rsidR="00960BB8" w:rsidRDefault="00C06650">
            <w:pPr>
              <w:textAlignment w:val="top"/>
            </w:pPr>
            <w:hyperlink r:id="rId198" w:history="1">
              <w:r>
                <w:rPr>
                  <w:rStyle w:val="a5"/>
                  <w:rFonts w:ascii="Arial" w:eastAsia="宋体" w:hAnsi="Arial" w:cs="Arial"/>
                  <w:color w:val="262626"/>
                  <w:sz w:val="18"/>
                  <w:szCs w:val="18"/>
                </w:rPr>
                <w:t>Intel Corporation Form of Restricted Stock Unit Grant Agreement under the 2006 Equity Incentive Plan (for performance-based RSUs granted to non-grandfathere</w:t>
              </w:r>
              <w:r>
                <w:rPr>
                  <w:rStyle w:val="a5"/>
                  <w:rFonts w:ascii="Arial" w:eastAsia="宋体" w:hAnsi="Arial" w:cs="Arial"/>
                  <w:color w:val="262626"/>
                  <w:sz w:val="18"/>
                  <w:szCs w:val="18"/>
                </w:rPr>
                <w:t>d executives on or after January 30, 2019)</w:t>
              </w:r>
            </w:hyperlink>
          </w:p>
        </w:tc>
        <w:tc>
          <w:tcPr>
            <w:tcW w:w="0" w:type="auto"/>
            <w:gridSpan w:val="3"/>
            <w:shd w:val="clear" w:color="auto" w:fill="auto"/>
            <w:tcMar>
              <w:top w:w="0" w:type="dxa"/>
              <w:left w:w="20" w:type="dxa"/>
              <w:bottom w:w="0" w:type="dxa"/>
              <w:right w:w="20" w:type="dxa"/>
            </w:tcMar>
            <w:vAlign w:val="bottom"/>
          </w:tcPr>
          <w:p w14:paraId="5A1B3CE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F0"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CF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F2"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CF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F4" w14:textId="77777777" w:rsidR="00960BB8" w:rsidRDefault="00C06650">
            <w:pPr>
              <w:jc w:val="right"/>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5A1B3CF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F6" w14:textId="77777777" w:rsidR="00960BB8" w:rsidRDefault="00C06650">
            <w:pPr>
              <w:jc w:val="right"/>
              <w:textAlignment w:val="top"/>
            </w:pPr>
            <w:r>
              <w:rPr>
                <w:rFonts w:ascii="Arial" w:eastAsia="宋体" w:hAnsi="Arial" w:cs="Arial"/>
                <w:color w:val="262626"/>
                <w:sz w:val="18"/>
                <w:szCs w:val="18"/>
              </w:rPr>
              <w:t>4/24/2020</w:t>
            </w:r>
          </w:p>
        </w:tc>
        <w:tc>
          <w:tcPr>
            <w:tcW w:w="0" w:type="auto"/>
            <w:gridSpan w:val="3"/>
            <w:shd w:val="clear" w:color="auto" w:fill="auto"/>
            <w:tcMar>
              <w:top w:w="0" w:type="dxa"/>
              <w:left w:w="20" w:type="dxa"/>
              <w:bottom w:w="0" w:type="dxa"/>
              <w:right w:w="20" w:type="dxa"/>
            </w:tcMar>
            <w:vAlign w:val="bottom"/>
          </w:tcPr>
          <w:p w14:paraId="5A1B3CF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CF8" w14:textId="77777777" w:rsidR="00960BB8" w:rsidRDefault="00960BB8">
            <w:pPr>
              <w:rPr>
                <w:rFonts w:ascii="宋体"/>
              </w:rPr>
            </w:pPr>
          </w:p>
        </w:tc>
      </w:tr>
      <w:tr w:rsidR="00960BB8" w14:paraId="5A1B3D09" w14:textId="77777777">
        <w:tc>
          <w:tcPr>
            <w:tcW w:w="0" w:type="auto"/>
            <w:gridSpan w:val="3"/>
            <w:shd w:val="clear" w:color="auto" w:fill="auto"/>
            <w:tcMar>
              <w:top w:w="40" w:type="dxa"/>
              <w:left w:w="20" w:type="dxa"/>
              <w:bottom w:w="40" w:type="dxa"/>
              <w:right w:w="20" w:type="dxa"/>
            </w:tcMar>
          </w:tcPr>
          <w:p w14:paraId="5A1B3CFA" w14:textId="77777777" w:rsidR="00960BB8" w:rsidRDefault="00C06650">
            <w:pPr>
              <w:jc w:val="center"/>
              <w:textAlignment w:val="top"/>
            </w:pPr>
            <w:r>
              <w:rPr>
                <w:rFonts w:ascii="Arial" w:eastAsia="宋体" w:hAnsi="Arial" w:cs="Arial"/>
                <w:color w:val="262626"/>
                <w:sz w:val="18"/>
                <w:szCs w:val="18"/>
              </w:rPr>
              <w:t>10.1.7</w:t>
            </w:r>
            <w:r>
              <w:rPr>
                <w:rFonts w:ascii="Arial" w:eastAsia="宋体" w:hAnsi="Arial" w:cs="Arial"/>
                <w:color w:val="262626"/>
                <w:sz w:val="11"/>
                <w:szCs w:val="11"/>
              </w:rPr>
              <w:t>†</w:t>
            </w:r>
          </w:p>
          <w:p w14:paraId="5A1B3CFB" w14:textId="77777777" w:rsidR="00960BB8" w:rsidRDefault="00960BB8">
            <w:pPr>
              <w:textAlignment w:val="top"/>
            </w:pPr>
          </w:p>
        </w:tc>
        <w:tc>
          <w:tcPr>
            <w:tcW w:w="0" w:type="auto"/>
            <w:gridSpan w:val="3"/>
            <w:shd w:val="clear" w:color="auto" w:fill="auto"/>
            <w:tcMar>
              <w:top w:w="0" w:type="dxa"/>
              <w:left w:w="20" w:type="dxa"/>
              <w:bottom w:w="0" w:type="dxa"/>
              <w:right w:w="20" w:type="dxa"/>
            </w:tcMar>
            <w:vAlign w:val="bottom"/>
          </w:tcPr>
          <w:p w14:paraId="5A1B3CF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FD" w14:textId="77777777" w:rsidR="00960BB8" w:rsidRDefault="00C06650">
            <w:pPr>
              <w:textAlignment w:val="top"/>
            </w:pPr>
            <w:hyperlink r:id="rId199" w:history="1">
              <w:r>
                <w:rPr>
                  <w:rStyle w:val="a5"/>
                  <w:rFonts w:ascii="Arial" w:eastAsia="宋体" w:hAnsi="Arial" w:cs="Arial"/>
                  <w:color w:val="262626"/>
                  <w:sz w:val="18"/>
                  <w:szCs w:val="18"/>
                </w:rPr>
                <w:t>Intel Corporation Form of Restricted Stock Unit Grant Agreement under the 2006 Equity Incentive Plan (for strategic growth performance-based RSUs granted to exe</w:t>
              </w:r>
              <w:r>
                <w:rPr>
                  <w:rStyle w:val="a5"/>
                  <w:rFonts w:ascii="Arial" w:eastAsia="宋体" w:hAnsi="Arial" w:cs="Arial"/>
                  <w:color w:val="262626"/>
                  <w:sz w:val="18"/>
                  <w:szCs w:val="18"/>
                </w:rPr>
                <w:t>cutives on or after February 1, 2019)</w:t>
              </w:r>
            </w:hyperlink>
          </w:p>
        </w:tc>
        <w:tc>
          <w:tcPr>
            <w:tcW w:w="0" w:type="auto"/>
            <w:gridSpan w:val="3"/>
            <w:shd w:val="clear" w:color="auto" w:fill="auto"/>
            <w:tcMar>
              <w:top w:w="0" w:type="dxa"/>
              <w:left w:w="20" w:type="dxa"/>
              <w:bottom w:w="0" w:type="dxa"/>
              <w:right w:w="20" w:type="dxa"/>
            </w:tcMar>
            <w:vAlign w:val="bottom"/>
          </w:tcPr>
          <w:p w14:paraId="5A1B3CF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CFF"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D0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01"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D0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03" w14:textId="77777777" w:rsidR="00960BB8" w:rsidRDefault="00C06650">
            <w:pPr>
              <w:jc w:val="right"/>
              <w:textAlignment w:val="top"/>
            </w:pPr>
            <w:r>
              <w:rPr>
                <w:rFonts w:ascii="Arial" w:eastAsia="宋体" w:hAnsi="Arial" w:cs="Arial"/>
                <w:color w:val="262626"/>
                <w:sz w:val="18"/>
                <w:szCs w:val="18"/>
              </w:rPr>
              <w:t>10.6 </w:t>
            </w:r>
          </w:p>
        </w:tc>
        <w:tc>
          <w:tcPr>
            <w:tcW w:w="0" w:type="auto"/>
            <w:shd w:val="clear" w:color="auto" w:fill="auto"/>
            <w:tcMar>
              <w:top w:w="40" w:type="dxa"/>
              <w:left w:w="0" w:type="dxa"/>
              <w:bottom w:w="40" w:type="dxa"/>
              <w:right w:w="20" w:type="dxa"/>
            </w:tcMar>
          </w:tcPr>
          <w:p w14:paraId="5A1B3D0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0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06" w14:textId="77777777" w:rsidR="00960BB8" w:rsidRDefault="00C06650">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5A1B3D0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08" w14:textId="77777777" w:rsidR="00960BB8" w:rsidRDefault="00960BB8">
            <w:pPr>
              <w:rPr>
                <w:rFonts w:ascii="宋体"/>
              </w:rPr>
            </w:pPr>
          </w:p>
        </w:tc>
      </w:tr>
      <w:tr w:rsidR="00960BB8" w14:paraId="5A1B3D19" w14:textId="77777777">
        <w:tc>
          <w:tcPr>
            <w:tcW w:w="0" w:type="auto"/>
            <w:gridSpan w:val="3"/>
            <w:shd w:val="clear" w:color="auto" w:fill="auto"/>
            <w:tcMar>
              <w:top w:w="40" w:type="dxa"/>
              <w:left w:w="20" w:type="dxa"/>
              <w:bottom w:w="40" w:type="dxa"/>
              <w:right w:w="20" w:type="dxa"/>
            </w:tcMar>
          </w:tcPr>
          <w:p w14:paraId="5A1B3D0A" w14:textId="77777777" w:rsidR="00960BB8" w:rsidRDefault="00C06650">
            <w:pPr>
              <w:jc w:val="center"/>
              <w:textAlignment w:val="top"/>
            </w:pPr>
            <w:r>
              <w:rPr>
                <w:rFonts w:ascii="Arial" w:eastAsia="宋体" w:hAnsi="Arial" w:cs="Arial"/>
                <w:color w:val="262626"/>
                <w:sz w:val="18"/>
                <w:szCs w:val="18"/>
              </w:rPr>
              <w:t>10.1.8</w:t>
            </w:r>
            <w:r>
              <w:rPr>
                <w:rFonts w:ascii="Arial" w:eastAsia="宋体" w:hAnsi="Arial" w:cs="Arial"/>
                <w:color w:val="262626"/>
                <w:sz w:val="11"/>
                <w:szCs w:val="11"/>
              </w:rPr>
              <w:t>†</w:t>
            </w:r>
          </w:p>
          <w:p w14:paraId="5A1B3D0B" w14:textId="77777777" w:rsidR="00960BB8" w:rsidRDefault="00960BB8">
            <w:pPr>
              <w:textAlignment w:val="top"/>
            </w:pPr>
          </w:p>
        </w:tc>
        <w:tc>
          <w:tcPr>
            <w:tcW w:w="0" w:type="auto"/>
            <w:gridSpan w:val="3"/>
            <w:shd w:val="clear" w:color="auto" w:fill="auto"/>
            <w:tcMar>
              <w:top w:w="0" w:type="dxa"/>
              <w:left w:w="20" w:type="dxa"/>
              <w:bottom w:w="0" w:type="dxa"/>
              <w:right w:w="20" w:type="dxa"/>
            </w:tcMar>
            <w:vAlign w:val="bottom"/>
          </w:tcPr>
          <w:p w14:paraId="5A1B3D0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D0D" w14:textId="77777777" w:rsidR="00960BB8" w:rsidRDefault="00C06650">
            <w:pPr>
              <w:textAlignment w:val="bottom"/>
            </w:pPr>
            <w:hyperlink r:id="rId200" w:history="1">
              <w:r>
                <w:rPr>
                  <w:rStyle w:val="a5"/>
                  <w:rFonts w:ascii="Arial" w:eastAsia="宋体" w:hAnsi="Arial" w:cs="Arial"/>
                  <w:sz w:val="18"/>
                  <w:szCs w:val="18"/>
                </w:rPr>
                <w:t>First Amendment to Option Agreement (Performance Options) between Intel and Patrick Gelsinger, dated November 18, 20</w:t>
              </w:r>
              <w:r>
                <w:rPr>
                  <w:rStyle w:val="a5"/>
                  <w:rFonts w:ascii="Arial" w:eastAsia="宋体" w:hAnsi="Arial" w:cs="Arial"/>
                  <w:sz w:val="18"/>
                  <w:szCs w:val="18"/>
                </w:rPr>
                <w:t>22</w:t>
              </w:r>
            </w:hyperlink>
          </w:p>
        </w:tc>
        <w:tc>
          <w:tcPr>
            <w:tcW w:w="0" w:type="auto"/>
            <w:gridSpan w:val="3"/>
            <w:shd w:val="clear" w:color="auto" w:fill="auto"/>
            <w:tcMar>
              <w:top w:w="0" w:type="dxa"/>
              <w:left w:w="20" w:type="dxa"/>
              <w:bottom w:w="0" w:type="dxa"/>
              <w:right w:w="20" w:type="dxa"/>
            </w:tcMar>
            <w:vAlign w:val="bottom"/>
          </w:tcPr>
          <w:p w14:paraId="5A1B3D0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0F"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D1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11"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D1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13" w14:textId="77777777" w:rsidR="00960BB8" w:rsidRDefault="00C06650">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5A1B3D1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1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16" w14:textId="77777777" w:rsidR="00960BB8" w:rsidRDefault="00C06650">
            <w:pPr>
              <w:jc w:val="right"/>
              <w:textAlignment w:val="top"/>
            </w:pPr>
            <w:r>
              <w:rPr>
                <w:rFonts w:ascii="Arial" w:eastAsia="宋体" w:hAnsi="Arial" w:cs="Arial"/>
                <w:color w:val="262626"/>
                <w:sz w:val="18"/>
                <w:szCs w:val="18"/>
              </w:rPr>
              <w:t>11/22/2022</w:t>
            </w:r>
          </w:p>
        </w:tc>
        <w:tc>
          <w:tcPr>
            <w:tcW w:w="0" w:type="auto"/>
            <w:gridSpan w:val="3"/>
            <w:shd w:val="clear" w:color="auto" w:fill="auto"/>
            <w:tcMar>
              <w:top w:w="0" w:type="dxa"/>
              <w:left w:w="20" w:type="dxa"/>
              <w:bottom w:w="0" w:type="dxa"/>
              <w:right w:w="20" w:type="dxa"/>
            </w:tcMar>
            <w:vAlign w:val="bottom"/>
          </w:tcPr>
          <w:p w14:paraId="5A1B3D1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18" w14:textId="77777777" w:rsidR="00960BB8" w:rsidRDefault="00960BB8">
            <w:pPr>
              <w:rPr>
                <w:rFonts w:ascii="宋体"/>
              </w:rPr>
            </w:pPr>
          </w:p>
        </w:tc>
      </w:tr>
    </w:tbl>
    <w:p w14:paraId="5A1B3D1A"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3D24" w14:textId="77777777">
        <w:tc>
          <w:tcPr>
            <w:tcW w:w="50" w:type="pct"/>
            <w:shd w:val="clear" w:color="auto" w:fill="auto"/>
            <w:vAlign w:val="bottom"/>
          </w:tcPr>
          <w:p w14:paraId="5A1B3D1B" w14:textId="77777777" w:rsidR="00960BB8" w:rsidRDefault="00960BB8">
            <w:pPr>
              <w:rPr>
                <w:rFonts w:ascii="宋体"/>
              </w:rPr>
            </w:pPr>
          </w:p>
        </w:tc>
        <w:tc>
          <w:tcPr>
            <w:tcW w:w="283" w:type="pct"/>
            <w:shd w:val="clear" w:color="auto" w:fill="auto"/>
            <w:vAlign w:val="bottom"/>
          </w:tcPr>
          <w:p w14:paraId="5A1B3D1C" w14:textId="77777777" w:rsidR="00960BB8" w:rsidRDefault="00960BB8">
            <w:pPr>
              <w:rPr>
                <w:rFonts w:ascii="宋体"/>
              </w:rPr>
            </w:pPr>
          </w:p>
        </w:tc>
        <w:tc>
          <w:tcPr>
            <w:tcW w:w="5" w:type="pct"/>
            <w:shd w:val="clear" w:color="auto" w:fill="auto"/>
            <w:vAlign w:val="bottom"/>
          </w:tcPr>
          <w:p w14:paraId="5A1B3D1D" w14:textId="77777777" w:rsidR="00960BB8" w:rsidRDefault="00960BB8">
            <w:pPr>
              <w:rPr>
                <w:rFonts w:ascii="宋体"/>
              </w:rPr>
            </w:pPr>
          </w:p>
        </w:tc>
        <w:tc>
          <w:tcPr>
            <w:tcW w:w="50" w:type="pct"/>
            <w:shd w:val="clear" w:color="auto" w:fill="auto"/>
            <w:vAlign w:val="bottom"/>
          </w:tcPr>
          <w:p w14:paraId="5A1B3D1E" w14:textId="77777777" w:rsidR="00960BB8" w:rsidRDefault="00960BB8">
            <w:pPr>
              <w:rPr>
                <w:rFonts w:ascii="宋体"/>
              </w:rPr>
            </w:pPr>
          </w:p>
        </w:tc>
        <w:tc>
          <w:tcPr>
            <w:tcW w:w="2656" w:type="pct"/>
            <w:shd w:val="clear" w:color="auto" w:fill="auto"/>
            <w:vAlign w:val="bottom"/>
          </w:tcPr>
          <w:p w14:paraId="5A1B3D1F" w14:textId="77777777" w:rsidR="00960BB8" w:rsidRDefault="00960BB8">
            <w:pPr>
              <w:rPr>
                <w:rFonts w:ascii="宋体"/>
              </w:rPr>
            </w:pPr>
          </w:p>
        </w:tc>
        <w:tc>
          <w:tcPr>
            <w:tcW w:w="5" w:type="pct"/>
            <w:shd w:val="clear" w:color="auto" w:fill="auto"/>
            <w:vAlign w:val="bottom"/>
          </w:tcPr>
          <w:p w14:paraId="5A1B3D20" w14:textId="77777777" w:rsidR="00960BB8" w:rsidRDefault="00960BB8">
            <w:pPr>
              <w:rPr>
                <w:rFonts w:ascii="宋体"/>
              </w:rPr>
            </w:pPr>
          </w:p>
        </w:tc>
        <w:tc>
          <w:tcPr>
            <w:tcW w:w="50" w:type="pct"/>
            <w:shd w:val="clear" w:color="auto" w:fill="auto"/>
            <w:vAlign w:val="bottom"/>
          </w:tcPr>
          <w:p w14:paraId="5A1B3D21" w14:textId="77777777" w:rsidR="00960BB8" w:rsidRDefault="00960BB8">
            <w:pPr>
              <w:rPr>
                <w:rFonts w:ascii="宋体"/>
              </w:rPr>
            </w:pPr>
          </w:p>
        </w:tc>
        <w:tc>
          <w:tcPr>
            <w:tcW w:w="1894" w:type="pct"/>
            <w:shd w:val="clear" w:color="auto" w:fill="auto"/>
            <w:vAlign w:val="bottom"/>
          </w:tcPr>
          <w:p w14:paraId="5A1B3D22" w14:textId="77777777" w:rsidR="00960BB8" w:rsidRDefault="00960BB8">
            <w:pPr>
              <w:rPr>
                <w:rFonts w:ascii="宋体"/>
              </w:rPr>
            </w:pPr>
          </w:p>
        </w:tc>
        <w:tc>
          <w:tcPr>
            <w:tcW w:w="5" w:type="pct"/>
            <w:shd w:val="clear" w:color="auto" w:fill="auto"/>
            <w:vAlign w:val="bottom"/>
          </w:tcPr>
          <w:p w14:paraId="5A1B3D23" w14:textId="77777777" w:rsidR="00960BB8" w:rsidRDefault="00960BB8">
            <w:pPr>
              <w:rPr>
                <w:rFonts w:ascii="宋体"/>
              </w:rPr>
            </w:pPr>
          </w:p>
        </w:tc>
      </w:tr>
      <w:tr w:rsidR="00960BB8" w14:paraId="5A1B3D2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D25"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ED" wp14:editId="5A1B44EE">
                  <wp:extent cx="304800" cy="304800"/>
                  <wp:effectExtent l="0" t="0" r="0" b="0"/>
                  <wp:docPr id="188" name="图片 331"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331"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D26" w14:textId="77777777" w:rsidR="00960BB8" w:rsidRDefault="00C06650">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D27" w14:textId="77777777" w:rsidR="00960BB8" w:rsidRDefault="00C06650">
            <w:pPr>
              <w:jc w:val="right"/>
              <w:textAlignment w:val="center"/>
            </w:pPr>
            <w:r>
              <w:rPr>
                <w:rFonts w:ascii="Arial" w:eastAsia="宋体" w:hAnsi="Arial" w:cs="Arial"/>
                <w:color w:val="262626"/>
                <w:sz w:val="16"/>
                <w:szCs w:val="16"/>
              </w:rPr>
              <w:t>121</w:t>
            </w:r>
          </w:p>
        </w:tc>
      </w:tr>
    </w:tbl>
    <w:p w14:paraId="5A1B3D29" w14:textId="77777777" w:rsidR="00960BB8" w:rsidRDefault="00C06650">
      <w:r>
        <w:pict w14:anchorId="5A1B44EF">
          <v:rect id="_x0000_i1147" style="width:415.3pt;height:1.5pt" o:hralign="center" o:hrstd="t" o:hr="t" fillcolor="#a0a0a0" stroked="f"/>
        </w:pict>
      </w:r>
    </w:p>
    <w:p w14:paraId="5A1B3D2A" w14:textId="77777777" w:rsidR="00960BB8" w:rsidRDefault="00C06650">
      <w:pPr>
        <w:jc w:val="right"/>
      </w:pPr>
      <w:hyperlink r:id="rId201" w:anchor="i8aaa7b4dbd2e419ca0f5c30af85a11aa_16" w:history="1">
        <w:r>
          <w:rPr>
            <w:rStyle w:val="a5"/>
            <w:rFonts w:ascii="Arial" w:eastAsia="宋体" w:hAnsi="Arial" w:cs="Arial"/>
            <w:b/>
            <w:bCs/>
            <w:sz w:val="16"/>
            <w:szCs w:val="16"/>
          </w:rPr>
          <w:t>Table of Contents</w:t>
        </w:r>
      </w:hyperlink>
    </w:p>
    <w:p w14:paraId="5A1B3D2B" w14:textId="77777777" w:rsidR="00960BB8" w:rsidRDefault="00960BB8">
      <w:pPr>
        <w:jc w:val="right"/>
      </w:pPr>
    </w:p>
    <w:tbl>
      <w:tblPr>
        <w:tblW w:w="4973" w:type="pct"/>
        <w:tblCellMar>
          <w:top w:w="15" w:type="dxa"/>
          <w:left w:w="15" w:type="dxa"/>
          <w:bottom w:w="15" w:type="dxa"/>
          <w:right w:w="15" w:type="dxa"/>
        </w:tblCellMar>
        <w:tblLook w:val="04A0" w:firstRow="1" w:lastRow="0" w:firstColumn="1" w:lastColumn="0" w:noHBand="0" w:noVBand="1"/>
      </w:tblPr>
      <w:tblGrid>
        <w:gridCol w:w="83"/>
        <w:gridCol w:w="630"/>
        <w:gridCol w:w="36"/>
        <w:gridCol w:w="36"/>
        <w:gridCol w:w="36"/>
        <w:gridCol w:w="36"/>
        <w:gridCol w:w="42"/>
        <w:gridCol w:w="2598"/>
        <w:gridCol w:w="38"/>
        <w:gridCol w:w="36"/>
        <w:gridCol w:w="36"/>
        <w:gridCol w:w="36"/>
        <w:gridCol w:w="69"/>
        <w:gridCol w:w="415"/>
        <w:gridCol w:w="37"/>
        <w:gridCol w:w="37"/>
        <w:gridCol w:w="37"/>
        <w:gridCol w:w="37"/>
        <w:gridCol w:w="86"/>
        <w:gridCol w:w="987"/>
        <w:gridCol w:w="37"/>
        <w:gridCol w:w="37"/>
        <w:gridCol w:w="37"/>
        <w:gridCol w:w="37"/>
        <w:gridCol w:w="89"/>
        <w:gridCol w:w="544"/>
        <w:gridCol w:w="37"/>
        <w:gridCol w:w="37"/>
        <w:gridCol w:w="37"/>
        <w:gridCol w:w="36"/>
        <w:gridCol w:w="91"/>
        <w:gridCol w:w="841"/>
        <w:gridCol w:w="36"/>
        <w:gridCol w:w="36"/>
        <w:gridCol w:w="36"/>
        <w:gridCol w:w="36"/>
        <w:gridCol w:w="87"/>
        <w:gridCol w:w="816"/>
        <w:gridCol w:w="36"/>
      </w:tblGrid>
      <w:tr w:rsidR="00960BB8" w14:paraId="5A1B3D53" w14:textId="77777777">
        <w:tc>
          <w:tcPr>
            <w:tcW w:w="50" w:type="pct"/>
            <w:shd w:val="clear" w:color="auto" w:fill="auto"/>
            <w:vAlign w:val="bottom"/>
          </w:tcPr>
          <w:p w14:paraId="5A1B3D2C" w14:textId="77777777" w:rsidR="00960BB8" w:rsidRDefault="00960BB8">
            <w:pPr>
              <w:rPr>
                <w:rFonts w:ascii="宋体"/>
              </w:rPr>
            </w:pPr>
          </w:p>
        </w:tc>
        <w:tc>
          <w:tcPr>
            <w:tcW w:w="384" w:type="pct"/>
            <w:shd w:val="clear" w:color="auto" w:fill="auto"/>
            <w:vAlign w:val="bottom"/>
          </w:tcPr>
          <w:p w14:paraId="5A1B3D2D" w14:textId="77777777" w:rsidR="00960BB8" w:rsidRDefault="00960BB8">
            <w:pPr>
              <w:rPr>
                <w:rFonts w:ascii="宋体"/>
              </w:rPr>
            </w:pPr>
          </w:p>
        </w:tc>
        <w:tc>
          <w:tcPr>
            <w:tcW w:w="5" w:type="pct"/>
            <w:shd w:val="clear" w:color="auto" w:fill="auto"/>
            <w:vAlign w:val="bottom"/>
          </w:tcPr>
          <w:p w14:paraId="5A1B3D2E" w14:textId="77777777" w:rsidR="00960BB8" w:rsidRDefault="00960BB8">
            <w:pPr>
              <w:rPr>
                <w:rFonts w:ascii="宋体"/>
              </w:rPr>
            </w:pPr>
          </w:p>
        </w:tc>
        <w:tc>
          <w:tcPr>
            <w:tcW w:w="5" w:type="pct"/>
            <w:shd w:val="clear" w:color="auto" w:fill="auto"/>
            <w:vAlign w:val="bottom"/>
          </w:tcPr>
          <w:p w14:paraId="5A1B3D2F" w14:textId="77777777" w:rsidR="00960BB8" w:rsidRDefault="00960BB8">
            <w:pPr>
              <w:rPr>
                <w:rFonts w:ascii="宋体"/>
              </w:rPr>
            </w:pPr>
          </w:p>
        </w:tc>
        <w:tc>
          <w:tcPr>
            <w:tcW w:w="24" w:type="pct"/>
            <w:shd w:val="clear" w:color="auto" w:fill="auto"/>
            <w:vAlign w:val="bottom"/>
          </w:tcPr>
          <w:p w14:paraId="5A1B3D30" w14:textId="77777777" w:rsidR="00960BB8" w:rsidRDefault="00960BB8">
            <w:pPr>
              <w:rPr>
                <w:rFonts w:ascii="宋体"/>
              </w:rPr>
            </w:pPr>
          </w:p>
        </w:tc>
        <w:tc>
          <w:tcPr>
            <w:tcW w:w="5" w:type="pct"/>
            <w:shd w:val="clear" w:color="auto" w:fill="auto"/>
            <w:vAlign w:val="bottom"/>
          </w:tcPr>
          <w:p w14:paraId="5A1B3D31" w14:textId="77777777" w:rsidR="00960BB8" w:rsidRDefault="00960BB8">
            <w:pPr>
              <w:rPr>
                <w:rFonts w:ascii="宋体"/>
              </w:rPr>
            </w:pPr>
          </w:p>
        </w:tc>
        <w:tc>
          <w:tcPr>
            <w:tcW w:w="50" w:type="pct"/>
            <w:shd w:val="clear" w:color="auto" w:fill="auto"/>
            <w:vAlign w:val="bottom"/>
          </w:tcPr>
          <w:p w14:paraId="5A1B3D32" w14:textId="77777777" w:rsidR="00960BB8" w:rsidRDefault="00960BB8">
            <w:pPr>
              <w:rPr>
                <w:rFonts w:ascii="宋体"/>
              </w:rPr>
            </w:pPr>
          </w:p>
        </w:tc>
        <w:tc>
          <w:tcPr>
            <w:tcW w:w="1895" w:type="pct"/>
            <w:shd w:val="clear" w:color="auto" w:fill="auto"/>
            <w:vAlign w:val="bottom"/>
          </w:tcPr>
          <w:p w14:paraId="5A1B3D33" w14:textId="77777777" w:rsidR="00960BB8" w:rsidRDefault="00960BB8">
            <w:pPr>
              <w:rPr>
                <w:rFonts w:ascii="宋体"/>
              </w:rPr>
            </w:pPr>
          </w:p>
        </w:tc>
        <w:tc>
          <w:tcPr>
            <w:tcW w:w="5" w:type="pct"/>
            <w:shd w:val="clear" w:color="auto" w:fill="auto"/>
            <w:vAlign w:val="bottom"/>
          </w:tcPr>
          <w:p w14:paraId="5A1B3D34" w14:textId="77777777" w:rsidR="00960BB8" w:rsidRDefault="00960BB8">
            <w:pPr>
              <w:rPr>
                <w:rFonts w:ascii="宋体"/>
              </w:rPr>
            </w:pPr>
          </w:p>
        </w:tc>
        <w:tc>
          <w:tcPr>
            <w:tcW w:w="5" w:type="pct"/>
            <w:shd w:val="clear" w:color="auto" w:fill="auto"/>
            <w:vAlign w:val="bottom"/>
          </w:tcPr>
          <w:p w14:paraId="5A1B3D35" w14:textId="77777777" w:rsidR="00960BB8" w:rsidRDefault="00960BB8">
            <w:pPr>
              <w:rPr>
                <w:rFonts w:ascii="宋体"/>
              </w:rPr>
            </w:pPr>
          </w:p>
        </w:tc>
        <w:tc>
          <w:tcPr>
            <w:tcW w:w="24" w:type="pct"/>
            <w:shd w:val="clear" w:color="auto" w:fill="auto"/>
            <w:vAlign w:val="bottom"/>
          </w:tcPr>
          <w:p w14:paraId="5A1B3D36" w14:textId="77777777" w:rsidR="00960BB8" w:rsidRDefault="00960BB8">
            <w:pPr>
              <w:rPr>
                <w:rFonts w:ascii="宋体"/>
              </w:rPr>
            </w:pPr>
          </w:p>
        </w:tc>
        <w:tc>
          <w:tcPr>
            <w:tcW w:w="5" w:type="pct"/>
            <w:shd w:val="clear" w:color="auto" w:fill="auto"/>
            <w:vAlign w:val="bottom"/>
          </w:tcPr>
          <w:p w14:paraId="5A1B3D37" w14:textId="77777777" w:rsidR="00960BB8" w:rsidRDefault="00960BB8">
            <w:pPr>
              <w:rPr>
                <w:rFonts w:ascii="宋体"/>
              </w:rPr>
            </w:pPr>
          </w:p>
        </w:tc>
        <w:tc>
          <w:tcPr>
            <w:tcW w:w="50" w:type="pct"/>
            <w:shd w:val="clear" w:color="auto" w:fill="auto"/>
            <w:vAlign w:val="bottom"/>
          </w:tcPr>
          <w:p w14:paraId="5A1B3D38" w14:textId="77777777" w:rsidR="00960BB8" w:rsidRDefault="00960BB8">
            <w:pPr>
              <w:rPr>
                <w:rFonts w:ascii="宋体"/>
              </w:rPr>
            </w:pPr>
          </w:p>
        </w:tc>
        <w:tc>
          <w:tcPr>
            <w:tcW w:w="302" w:type="pct"/>
            <w:shd w:val="clear" w:color="auto" w:fill="auto"/>
            <w:vAlign w:val="bottom"/>
          </w:tcPr>
          <w:p w14:paraId="5A1B3D39" w14:textId="77777777" w:rsidR="00960BB8" w:rsidRDefault="00960BB8">
            <w:pPr>
              <w:rPr>
                <w:rFonts w:ascii="宋体"/>
              </w:rPr>
            </w:pPr>
          </w:p>
        </w:tc>
        <w:tc>
          <w:tcPr>
            <w:tcW w:w="5" w:type="pct"/>
            <w:shd w:val="clear" w:color="auto" w:fill="auto"/>
            <w:vAlign w:val="bottom"/>
          </w:tcPr>
          <w:p w14:paraId="5A1B3D3A" w14:textId="77777777" w:rsidR="00960BB8" w:rsidRDefault="00960BB8">
            <w:pPr>
              <w:rPr>
                <w:rFonts w:ascii="宋体"/>
              </w:rPr>
            </w:pPr>
          </w:p>
        </w:tc>
        <w:tc>
          <w:tcPr>
            <w:tcW w:w="5" w:type="pct"/>
            <w:shd w:val="clear" w:color="auto" w:fill="auto"/>
            <w:vAlign w:val="bottom"/>
          </w:tcPr>
          <w:p w14:paraId="5A1B3D3B" w14:textId="77777777" w:rsidR="00960BB8" w:rsidRDefault="00960BB8">
            <w:pPr>
              <w:rPr>
                <w:rFonts w:ascii="宋体"/>
              </w:rPr>
            </w:pPr>
          </w:p>
        </w:tc>
        <w:tc>
          <w:tcPr>
            <w:tcW w:w="24" w:type="pct"/>
            <w:shd w:val="clear" w:color="auto" w:fill="auto"/>
            <w:vAlign w:val="bottom"/>
          </w:tcPr>
          <w:p w14:paraId="5A1B3D3C" w14:textId="77777777" w:rsidR="00960BB8" w:rsidRDefault="00960BB8">
            <w:pPr>
              <w:rPr>
                <w:rFonts w:ascii="宋体"/>
              </w:rPr>
            </w:pPr>
          </w:p>
        </w:tc>
        <w:tc>
          <w:tcPr>
            <w:tcW w:w="5" w:type="pct"/>
            <w:shd w:val="clear" w:color="auto" w:fill="auto"/>
            <w:vAlign w:val="bottom"/>
          </w:tcPr>
          <w:p w14:paraId="5A1B3D3D" w14:textId="77777777" w:rsidR="00960BB8" w:rsidRDefault="00960BB8">
            <w:pPr>
              <w:rPr>
                <w:rFonts w:ascii="宋体"/>
              </w:rPr>
            </w:pPr>
          </w:p>
        </w:tc>
        <w:tc>
          <w:tcPr>
            <w:tcW w:w="50" w:type="pct"/>
            <w:shd w:val="clear" w:color="auto" w:fill="auto"/>
            <w:vAlign w:val="bottom"/>
          </w:tcPr>
          <w:p w14:paraId="5A1B3D3E" w14:textId="77777777" w:rsidR="00960BB8" w:rsidRDefault="00960BB8">
            <w:pPr>
              <w:rPr>
                <w:rFonts w:ascii="宋体"/>
              </w:rPr>
            </w:pPr>
          </w:p>
        </w:tc>
        <w:tc>
          <w:tcPr>
            <w:tcW w:w="576" w:type="pct"/>
            <w:shd w:val="clear" w:color="auto" w:fill="auto"/>
            <w:vAlign w:val="bottom"/>
          </w:tcPr>
          <w:p w14:paraId="5A1B3D3F" w14:textId="77777777" w:rsidR="00960BB8" w:rsidRDefault="00960BB8">
            <w:pPr>
              <w:rPr>
                <w:rFonts w:ascii="宋体"/>
              </w:rPr>
            </w:pPr>
          </w:p>
        </w:tc>
        <w:tc>
          <w:tcPr>
            <w:tcW w:w="5" w:type="pct"/>
            <w:shd w:val="clear" w:color="auto" w:fill="auto"/>
            <w:vAlign w:val="bottom"/>
          </w:tcPr>
          <w:p w14:paraId="5A1B3D40" w14:textId="77777777" w:rsidR="00960BB8" w:rsidRDefault="00960BB8">
            <w:pPr>
              <w:rPr>
                <w:rFonts w:ascii="宋体"/>
              </w:rPr>
            </w:pPr>
          </w:p>
        </w:tc>
        <w:tc>
          <w:tcPr>
            <w:tcW w:w="5" w:type="pct"/>
            <w:shd w:val="clear" w:color="auto" w:fill="auto"/>
            <w:vAlign w:val="bottom"/>
          </w:tcPr>
          <w:p w14:paraId="5A1B3D41" w14:textId="77777777" w:rsidR="00960BB8" w:rsidRDefault="00960BB8">
            <w:pPr>
              <w:rPr>
                <w:rFonts w:ascii="宋体"/>
              </w:rPr>
            </w:pPr>
          </w:p>
        </w:tc>
        <w:tc>
          <w:tcPr>
            <w:tcW w:w="24" w:type="pct"/>
            <w:shd w:val="clear" w:color="auto" w:fill="auto"/>
            <w:vAlign w:val="bottom"/>
          </w:tcPr>
          <w:p w14:paraId="5A1B3D42" w14:textId="77777777" w:rsidR="00960BB8" w:rsidRDefault="00960BB8">
            <w:pPr>
              <w:rPr>
                <w:rFonts w:ascii="宋体"/>
              </w:rPr>
            </w:pPr>
          </w:p>
        </w:tc>
        <w:tc>
          <w:tcPr>
            <w:tcW w:w="5" w:type="pct"/>
            <w:shd w:val="clear" w:color="auto" w:fill="auto"/>
            <w:vAlign w:val="bottom"/>
          </w:tcPr>
          <w:p w14:paraId="5A1B3D43" w14:textId="77777777" w:rsidR="00960BB8" w:rsidRDefault="00960BB8">
            <w:pPr>
              <w:rPr>
                <w:rFonts w:ascii="宋体"/>
              </w:rPr>
            </w:pPr>
          </w:p>
        </w:tc>
        <w:tc>
          <w:tcPr>
            <w:tcW w:w="50" w:type="pct"/>
            <w:shd w:val="clear" w:color="auto" w:fill="auto"/>
            <w:vAlign w:val="bottom"/>
          </w:tcPr>
          <w:p w14:paraId="5A1B3D44" w14:textId="77777777" w:rsidR="00960BB8" w:rsidRDefault="00960BB8">
            <w:pPr>
              <w:rPr>
                <w:rFonts w:ascii="宋体"/>
              </w:rPr>
            </w:pPr>
          </w:p>
        </w:tc>
        <w:tc>
          <w:tcPr>
            <w:tcW w:w="308" w:type="pct"/>
            <w:shd w:val="clear" w:color="auto" w:fill="auto"/>
            <w:vAlign w:val="bottom"/>
          </w:tcPr>
          <w:p w14:paraId="5A1B3D45" w14:textId="77777777" w:rsidR="00960BB8" w:rsidRDefault="00960BB8">
            <w:pPr>
              <w:rPr>
                <w:rFonts w:ascii="宋体"/>
              </w:rPr>
            </w:pPr>
          </w:p>
        </w:tc>
        <w:tc>
          <w:tcPr>
            <w:tcW w:w="5" w:type="pct"/>
            <w:shd w:val="clear" w:color="auto" w:fill="auto"/>
            <w:vAlign w:val="bottom"/>
          </w:tcPr>
          <w:p w14:paraId="5A1B3D46" w14:textId="77777777" w:rsidR="00960BB8" w:rsidRDefault="00960BB8">
            <w:pPr>
              <w:rPr>
                <w:rFonts w:ascii="宋体"/>
              </w:rPr>
            </w:pPr>
          </w:p>
        </w:tc>
        <w:tc>
          <w:tcPr>
            <w:tcW w:w="5" w:type="pct"/>
            <w:shd w:val="clear" w:color="auto" w:fill="auto"/>
            <w:vAlign w:val="bottom"/>
          </w:tcPr>
          <w:p w14:paraId="5A1B3D47" w14:textId="77777777" w:rsidR="00960BB8" w:rsidRDefault="00960BB8">
            <w:pPr>
              <w:rPr>
                <w:rFonts w:ascii="宋体"/>
              </w:rPr>
            </w:pPr>
          </w:p>
        </w:tc>
        <w:tc>
          <w:tcPr>
            <w:tcW w:w="24" w:type="pct"/>
            <w:shd w:val="clear" w:color="auto" w:fill="auto"/>
            <w:vAlign w:val="bottom"/>
          </w:tcPr>
          <w:p w14:paraId="5A1B3D48" w14:textId="77777777" w:rsidR="00960BB8" w:rsidRDefault="00960BB8">
            <w:pPr>
              <w:rPr>
                <w:rFonts w:ascii="宋体"/>
              </w:rPr>
            </w:pPr>
          </w:p>
        </w:tc>
        <w:tc>
          <w:tcPr>
            <w:tcW w:w="5" w:type="pct"/>
            <w:shd w:val="clear" w:color="auto" w:fill="auto"/>
            <w:vAlign w:val="bottom"/>
          </w:tcPr>
          <w:p w14:paraId="5A1B3D49" w14:textId="77777777" w:rsidR="00960BB8" w:rsidRDefault="00960BB8">
            <w:pPr>
              <w:rPr>
                <w:rFonts w:ascii="宋体"/>
              </w:rPr>
            </w:pPr>
          </w:p>
        </w:tc>
        <w:tc>
          <w:tcPr>
            <w:tcW w:w="50" w:type="pct"/>
            <w:shd w:val="clear" w:color="auto" w:fill="auto"/>
            <w:vAlign w:val="bottom"/>
          </w:tcPr>
          <w:p w14:paraId="5A1B3D4A" w14:textId="77777777" w:rsidR="00960BB8" w:rsidRDefault="00960BB8">
            <w:pPr>
              <w:rPr>
                <w:rFonts w:ascii="宋体"/>
              </w:rPr>
            </w:pPr>
          </w:p>
        </w:tc>
        <w:tc>
          <w:tcPr>
            <w:tcW w:w="466" w:type="pct"/>
            <w:shd w:val="clear" w:color="auto" w:fill="auto"/>
            <w:vAlign w:val="bottom"/>
          </w:tcPr>
          <w:p w14:paraId="5A1B3D4B" w14:textId="77777777" w:rsidR="00960BB8" w:rsidRDefault="00960BB8">
            <w:pPr>
              <w:rPr>
                <w:rFonts w:ascii="宋体"/>
              </w:rPr>
            </w:pPr>
          </w:p>
        </w:tc>
        <w:tc>
          <w:tcPr>
            <w:tcW w:w="5" w:type="pct"/>
            <w:shd w:val="clear" w:color="auto" w:fill="auto"/>
            <w:vAlign w:val="bottom"/>
          </w:tcPr>
          <w:p w14:paraId="5A1B3D4C" w14:textId="77777777" w:rsidR="00960BB8" w:rsidRDefault="00960BB8">
            <w:pPr>
              <w:rPr>
                <w:rFonts w:ascii="宋体"/>
              </w:rPr>
            </w:pPr>
          </w:p>
        </w:tc>
        <w:tc>
          <w:tcPr>
            <w:tcW w:w="5" w:type="pct"/>
            <w:shd w:val="clear" w:color="auto" w:fill="auto"/>
            <w:vAlign w:val="bottom"/>
          </w:tcPr>
          <w:p w14:paraId="5A1B3D4D" w14:textId="77777777" w:rsidR="00960BB8" w:rsidRDefault="00960BB8">
            <w:pPr>
              <w:rPr>
                <w:rFonts w:ascii="宋体"/>
              </w:rPr>
            </w:pPr>
          </w:p>
        </w:tc>
        <w:tc>
          <w:tcPr>
            <w:tcW w:w="24" w:type="pct"/>
            <w:shd w:val="clear" w:color="auto" w:fill="auto"/>
            <w:vAlign w:val="bottom"/>
          </w:tcPr>
          <w:p w14:paraId="5A1B3D4E" w14:textId="77777777" w:rsidR="00960BB8" w:rsidRDefault="00960BB8">
            <w:pPr>
              <w:rPr>
                <w:rFonts w:ascii="宋体"/>
              </w:rPr>
            </w:pPr>
          </w:p>
        </w:tc>
        <w:tc>
          <w:tcPr>
            <w:tcW w:w="5" w:type="pct"/>
            <w:shd w:val="clear" w:color="auto" w:fill="auto"/>
            <w:vAlign w:val="bottom"/>
          </w:tcPr>
          <w:p w14:paraId="5A1B3D4F" w14:textId="77777777" w:rsidR="00960BB8" w:rsidRDefault="00960BB8">
            <w:pPr>
              <w:rPr>
                <w:rFonts w:ascii="宋体"/>
              </w:rPr>
            </w:pPr>
          </w:p>
        </w:tc>
        <w:tc>
          <w:tcPr>
            <w:tcW w:w="50" w:type="pct"/>
            <w:shd w:val="clear" w:color="auto" w:fill="auto"/>
            <w:vAlign w:val="bottom"/>
          </w:tcPr>
          <w:p w14:paraId="5A1B3D50" w14:textId="77777777" w:rsidR="00960BB8" w:rsidRDefault="00960BB8">
            <w:pPr>
              <w:rPr>
                <w:rFonts w:ascii="宋体"/>
              </w:rPr>
            </w:pPr>
          </w:p>
        </w:tc>
        <w:tc>
          <w:tcPr>
            <w:tcW w:w="474" w:type="pct"/>
            <w:shd w:val="clear" w:color="auto" w:fill="auto"/>
            <w:vAlign w:val="bottom"/>
          </w:tcPr>
          <w:p w14:paraId="5A1B3D51" w14:textId="77777777" w:rsidR="00960BB8" w:rsidRDefault="00960BB8">
            <w:pPr>
              <w:rPr>
                <w:rFonts w:ascii="宋体"/>
              </w:rPr>
            </w:pPr>
          </w:p>
        </w:tc>
        <w:tc>
          <w:tcPr>
            <w:tcW w:w="5" w:type="pct"/>
            <w:shd w:val="clear" w:color="auto" w:fill="auto"/>
            <w:vAlign w:val="bottom"/>
          </w:tcPr>
          <w:p w14:paraId="5A1B3D52" w14:textId="77777777" w:rsidR="00960BB8" w:rsidRDefault="00960BB8">
            <w:pPr>
              <w:rPr>
                <w:rFonts w:ascii="宋体"/>
              </w:rPr>
            </w:pPr>
          </w:p>
        </w:tc>
      </w:tr>
      <w:tr w:rsidR="00960BB8" w14:paraId="5A1B3D5C"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5A1B3D54" w14:textId="77777777" w:rsidR="00960BB8" w:rsidRDefault="00C06650">
            <w:pPr>
              <w:jc w:val="center"/>
              <w:textAlignment w:val="bottom"/>
            </w:pPr>
            <w:r>
              <w:rPr>
                <w:rFonts w:ascii="Arial" w:eastAsia="宋体" w:hAnsi="Arial" w:cs="Arial"/>
                <w:b/>
                <w:bCs/>
                <w:color w:val="262626"/>
                <w:sz w:val="18"/>
                <w:szCs w:val="18"/>
              </w:rPr>
              <w:t>Exhibit</w:t>
            </w:r>
          </w:p>
          <w:p w14:paraId="5A1B3D55" w14:textId="77777777" w:rsidR="00960BB8" w:rsidRDefault="00C06650">
            <w:pP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vAlign w:val="bottom"/>
          </w:tcPr>
          <w:p w14:paraId="5A1B3D5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5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58" w14:textId="77777777" w:rsidR="00960BB8" w:rsidRDefault="00960BB8">
            <w:pPr>
              <w:rPr>
                <w:rFonts w:ascii="宋体"/>
              </w:rPr>
            </w:pPr>
          </w:p>
        </w:tc>
        <w:tc>
          <w:tcPr>
            <w:tcW w:w="0" w:type="auto"/>
            <w:gridSpan w:val="21"/>
            <w:shd w:val="clear" w:color="auto" w:fill="auto"/>
            <w:tcMar>
              <w:top w:w="40" w:type="dxa"/>
              <w:left w:w="20" w:type="dxa"/>
              <w:bottom w:w="40" w:type="dxa"/>
              <w:right w:w="20" w:type="dxa"/>
            </w:tcMar>
            <w:vAlign w:val="bottom"/>
          </w:tcPr>
          <w:p w14:paraId="5A1B3D59" w14:textId="77777777" w:rsidR="00960BB8" w:rsidRDefault="00C06650">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5A1B3D5A" w14:textId="77777777" w:rsidR="00960BB8" w:rsidRDefault="00960BB8">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5A1B3D5B" w14:textId="77777777" w:rsidR="00960BB8" w:rsidRDefault="00C06650">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960BB8" w14:paraId="5A1B3D6A"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5A1B3D5D" w14:textId="77777777" w:rsidR="00960BB8" w:rsidRDefault="00960BB8">
            <w:pPr>
              <w:rPr>
                <w:rFonts w:ascii="宋体"/>
              </w:rPr>
            </w:pPr>
          </w:p>
        </w:tc>
        <w:tc>
          <w:tcPr>
            <w:tcW w:w="0" w:type="auto"/>
            <w:gridSpan w:val="3"/>
            <w:vMerge/>
            <w:shd w:val="clear" w:color="auto" w:fill="auto"/>
            <w:tcMar>
              <w:top w:w="0" w:type="dxa"/>
              <w:left w:w="20" w:type="dxa"/>
              <w:bottom w:w="0" w:type="dxa"/>
              <w:right w:w="20" w:type="dxa"/>
            </w:tcMar>
            <w:vAlign w:val="bottom"/>
          </w:tcPr>
          <w:p w14:paraId="5A1B3D5E" w14:textId="77777777" w:rsidR="00960BB8" w:rsidRDefault="00960BB8">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3D5F" w14:textId="77777777" w:rsidR="00960BB8" w:rsidRDefault="00C06650">
            <w:pP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vAlign w:val="bottom"/>
          </w:tcPr>
          <w:p w14:paraId="5A1B3D60"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D61" w14:textId="77777777" w:rsidR="00960BB8" w:rsidRDefault="00C06650">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D62"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D63" w14:textId="77777777" w:rsidR="00960BB8" w:rsidRDefault="00C06650">
            <w:pPr>
              <w:jc w:val="center"/>
              <w:textAlignment w:val="bottom"/>
            </w:pPr>
            <w:r>
              <w:rPr>
                <w:rFonts w:ascii="Arial" w:eastAsia="宋体" w:hAnsi="Arial" w:cs="Arial"/>
                <w:b/>
                <w:bCs/>
                <w:color w:val="262626"/>
                <w:sz w:val="18"/>
                <w:szCs w:val="18"/>
              </w:rPr>
              <w:t>File 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D64"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D65" w14:textId="77777777" w:rsidR="00960BB8" w:rsidRDefault="00C06650">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D66"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D67" w14:textId="77777777" w:rsidR="00960BB8" w:rsidRDefault="00C06650">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5A1B3D68" w14:textId="77777777" w:rsidR="00960BB8" w:rsidRDefault="00960BB8">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5A1B3D69" w14:textId="77777777" w:rsidR="00960BB8" w:rsidRDefault="00960BB8">
            <w:pPr>
              <w:jc w:val="center"/>
              <w:rPr>
                <w:rFonts w:ascii="宋体"/>
              </w:rPr>
            </w:pPr>
          </w:p>
        </w:tc>
      </w:tr>
      <w:tr w:rsidR="00960BB8" w14:paraId="5A1B3D7A" w14:textId="77777777">
        <w:tc>
          <w:tcPr>
            <w:tcW w:w="0" w:type="auto"/>
            <w:gridSpan w:val="3"/>
            <w:shd w:val="clear" w:color="auto" w:fill="auto"/>
            <w:tcMar>
              <w:top w:w="40" w:type="dxa"/>
              <w:left w:w="20" w:type="dxa"/>
              <w:bottom w:w="40" w:type="dxa"/>
              <w:right w:w="20" w:type="dxa"/>
            </w:tcMar>
          </w:tcPr>
          <w:p w14:paraId="5A1B3D6B" w14:textId="77777777" w:rsidR="00960BB8" w:rsidRDefault="00C06650">
            <w:pPr>
              <w:jc w:val="center"/>
              <w:textAlignment w:val="top"/>
            </w:pPr>
            <w:r>
              <w:rPr>
                <w:rFonts w:ascii="Arial" w:eastAsia="宋体" w:hAnsi="Arial" w:cs="Arial"/>
                <w:color w:val="262626"/>
                <w:sz w:val="18"/>
                <w:szCs w:val="18"/>
              </w:rPr>
              <w:t>10.1.9</w:t>
            </w:r>
            <w:r>
              <w:rPr>
                <w:rFonts w:ascii="Arial" w:eastAsia="宋体" w:hAnsi="Arial" w:cs="Arial"/>
                <w:color w:val="262626"/>
                <w:sz w:val="11"/>
                <w:szCs w:val="11"/>
              </w:rPr>
              <w:t>†</w:t>
            </w:r>
          </w:p>
          <w:p w14:paraId="5A1B3D6C" w14:textId="77777777" w:rsidR="00960BB8" w:rsidRDefault="00960BB8">
            <w:pPr>
              <w:textAlignment w:val="top"/>
            </w:pPr>
          </w:p>
        </w:tc>
        <w:tc>
          <w:tcPr>
            <w:tcW w:w="0" w:type="auto"/>
            <w:gridSpan w:val="3"/>
            <w:shd w:val="clear" w:color="auto" w:fill="auto"/>
            <w:tcMar>
              <w:top w:w="0" w:type="dxa"/>
              <w:left w:w="20" w:type="dxa"/>
              <w:bottom w:w="0" w:type="dxa"/>
              <w:right w:w="20" w:type="dxa"/>
            </w:tcMar>
            <w:vAlign w:val="bottom"/>
          </w:tcPr>
          <w:p w14:paraId="5A1B3D6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D6E" w14:textId="77777777" w:rsidR="00960BB8" w:rsidRDefault="00C06650">
            <w:pPr>
              <w:textAlignment w:val="bottom"/>
            </w:pPr>
            <w:hyperlink r:id="rId202" w:history="1">
              <w:r>
                <w:rPr>
                  <w:rStyle w:val="a5"/>
                  <w:rFonts w:ascii="Arial" w:eastAsia="宋体" w:hAnsi="Arial" w:cs="Arial"/>
                  <w:sz w:val="18"/>
                  <w:szCs w:val="18"/>
                </w:rPr>
                <w:t>First Amendment to Restricted Stock Unit Agreement (Strategic Growth PSUs) betwee</w:t>
              </w:r>
              <w:r>
                <w:rPr>
                  <w:rStyle w:val="a5"/>
                  <w:rFonts w:ascii="Arial" w:eastAsia="宋体" w:hAnsi="Arial" w:cs="Arial"/>
                  <w:sz w:val="18"/>
                  <w:szCs w:val="18"/>
                </w:rPr>
                <w:t>n Intel and Patrick Gelsinger, dated November 18, 2022</w:t>
              </w:r>
            </w:hyperlink>
          </w:p>
        </w:tc>
        <w:tc>
          <w:tcPr>
            <w:tcW w:w="0" w:type="auto"/>
            <w:gridSpan w:val="3"/>
            <w:shd w:val="clear" w:color="auto" w:fill="auto"/>
            <w:tcMar>
              <w:top w:w="0" w:type="dxa"/>
              <w:left w:w="20" w:type="dxa"/>
              <w:bottom w:w="0" w:type="dxa"/>
              <w:right w:w="20" w:type="dxa"/>
            </w:tcMar>
            <w:vAlign w:val="bottom"/>
          </w:tcPr>
          <w:p w14:paraId="5A1B3D6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70"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D7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72"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D7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74" w14:textId="77777777" w:rsidR="00960BB8" w:rsidRDefault="00C06650">
            <w:pPr>
              <w:jc w:val="right"/>
              <w:textAlignment w:val="top"/>
            </w:pPr>
            <w:r>
              <w:rPr>
                <w:rFonts w:ascii="Arial" w:eastAsia="宋体" w:hAnsi="Arial" w:cs="Arial"/>
                <w:color w:val="262626"/>
                <w:sz w:val="18"/>
                <w:szCs w:val="18"/>
              </w:rPr>
              <w:t>10.2 </w:t>
            </w:r>
          </w:p>
        </w:tc>
        <w:tc>
          <w:tcPr>
            <w:tcW w:w="0" w:type="auto"/>
            <w:shd w:val="clear" w:color="auto" w:fill="auto"/>
            <w:tcMar>
              <w:top w:w="40" w:type="dxa"/>
              <w:left w:w="0" w:type="dxa"/>
              <w:bottom w:w="40" w:type="dxa"/>
              <w:right w:w="20" w:type="dxa"/>
            </w:tcMar>
          </w:tcPr>
          <w:p w14:paraId="5A1B3D7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7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77" w14:textId="77777777" w:rsidR="00960BB8" w:rsidRDefault="00C06650">
            <w:pPr>
              <w:jc w:val="right"/>
              <w:textAlignment w:val="top"/>
            </w:pPr>
            <w:r>
              <w:rPr>
                <w:rFonts w:ascii="Arial" w:eastAsia="宋体" w:hAnsi="Arial" w:cs="Arial"/>
                <w:color w:val="262626"/>
                <w:sz w:val="18"/>
                <w:szCs w:val="18"/>
              </w:rPr>
              <w:t>11/22/2022</w:t>
            </w:r>
          </w:p>
        </w:tc>
        <w:tc>
          <w:tcPr>
            <w:tcW w:w="0" w:type="auto"/>
            <w:gridSpan w:val="3"/>
            <w:shd w:val="clear" w:color="auto" w:fill="auto"/>
            <w:tcMar>
              <w:top w:w="0" w:type="dxa"/>
              <w:left w:w="20" w:type="dxa"/>
              <w:bottom w:w="0" w:type="dxa"/>
              <w:right w:w="20" w:type="dxa"/>
            </w:tcMar>
            <w:vAlign w:val="bottom"/>
          </w:tcPr>
          <w:p w14:paraId="5A1B3D7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79" w14:textId="77777777" w:rsidR="00960BB8" w:rsidRDefault="00960BB8">
            <w:pPr>
              <w:rPr>
                <w:rFonts w:ascii="宋体"/>
              </w:rPr>
            </w:pPr>
          </w:p>
        </w:tc>
      </w:tr>
      <w:tr w:rsidR="00960BB8" w14:paraId="5A1B3D8A" w14:textId="77777777">
        <w:tc>
          <w:tcPr>
            <w:tcW w:w="0" w:type="auto"/>
            <w:gridSpan w:val="3"/>
            <w:shd w:val="clear" w:color="auto" w:fill="auto"/>
            <w:tcMar>
              <w:top w:w="40" w:type="dxa"/>
              <w:left w:w="20" w:type="dxa"/>
              <w:bottom w:w="40" w:type="dxa"/>
              <w:right w:w="20" w:type="dxa"/>
            </w:tcMar>
          </w:tcPr>
          <w:p w14:paraId="5A1B3D7B" w14:textId="77777777" w:rsidR="00960BB8" w:rsidRDefault="00C06650">
            <w:pPr>
              <w:jc w:val="center"/>
              <w:textAlignment w:val="top"/>
            </w:pPr>
            <w:r>
              <w:rPr>
                <w:rFonts w:ascii="Arial" w:eastAsia="宋体" w:hAnsi="Arial" w:cs="Arial"/>
                <w:color w:val="262626"/>
                <w:sz w:val="18"/>
                <w:szCs w:val="18"/>
              </w:rPr>
              <w:t>10.1.10</w:t>
            </w:r>
            <w:r>
              <w:rPr>
                <w:rFonts w:ascii="Arial" w:eastAsia="宋体" w:hAnsi="Arial" w:cs="Arial"/>
                <w:color w:val="262626"/>
                <w:sz w:val="11"/>
                <w:szCs w:val="11"/>
              </w:rPr>
              <w:t>†</w:t>
            </w:r>
          </w:p>
          <w:p w14:paraId="5A1B3D7C" w14:textId="77777777" w:rsidR="00960BB8" w:rsidRDefault="00960BB8">
            <w:pPr>
              <w:textAlignment w:val="top"/>
            </w:pPr>
          </w:p>
        </w:tc>
        <w:tc>
          <w:tcPr>
            <w:tcW w:w="0" w:type="auto"/>
            <w:gridSpan w:val="3"/>
            <w:shd w:val="clear" w:color="auto" w:fill="auto"/>
            <w:tcMar>
              <w:top w:w="0" w:type="dxa"/>
              <w:left w:w="20" w:type="dxa"/>
              <w:bottom w:w="0" w:type="dxa"/>
              <w:right w:w="20" w:type="dxa"/>
            </w:tcMar>
            <w:vAlign w:val="bottom"/>
          </w:tcPr>
          <w:p w14:paraId="5A1B3D7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D7E" w14:textId="77777777" w:rsidR="00960BB8" w:rsidRDefault="00C06650">
            <w:pPr>
              <w:textAlignment w:val="bottom"/>
            </w:pPr>
            <w:hyperlink r:id="rId203" w:history="1">
              <w:r>
                <w:rPr>
                  <w:rStyle w:val="a5"/>
                  <w:rFonts w:ascii="Arial" w:eastAsia="宋体" w:hAnsi="Arial" w:cs="Arial"/>
                  <w:sz w:val="18"/>
                  <w:szCs w:val="18"/>
                </w:rPr>
                <w:t>First Amendment to Restricted Stock Unit Agreement (Outperformance PSUs) between Intel and Patrick Gelsinger, dated No</w:t>
              </w:r>
              <w:r>
                <w:rPr>
                  <w:rStyle w:val="a5"/>
                  <w:rFonts w:ascii="Arial" w:eastAsia="宋体" w:hAnsi="Arial" w:cs="Arial"/>
                  <w:sz w:val="18"/>
                  <w:szCs w:val="18"/>
                </w:rPr>
                <w:t>vember 18, 2022</w:t>
              </w:r>
            </w:hyperlink>
          </w:p>
        </w:tc>
        <w:tc>
          <w:tcPr>
            <w:tcW w:w="0" w:type="auto"/>
            <w:gridSpan w:val="3"/>
            <w:shd w:val="clear" w:color="auto" w:fill="auto"/>
            <w:tcMar>
              <w:top w:w="0" w:type="dxa"/>
              <w:left w:w="20" w:type="dxa"/>
              <w:bottom w:w="0" w:type="dxa"/>
              <w:right w:w="20" w:type="dxa"/>
            </w:tcMar>
            <w:vAlign w:val="bottom"/>
          </w:tcPr>
          <w:p w14:paraId="5A1B3D7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80"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D8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82"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D83"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84" w14:textId="77777777" w:rsidR="00960BB8" w:rsidRDefault="00C06650">
            <w:pPr>
              <w:jc w:val="right"/>
              <w:textAlignment w:val="top"/>
            </w:pPr>
            <w:r>
              <w:rPr>
                <w:rFonts w:ascii="Arial" w:eastAsia="宋体" w:hAnsi="Arial" w:cs="Arial"/>
                <w:color w:val="262626"/>
                <w:sz w:val="18"/>
                <w:szCs w:val="18"/>
              </w:rPr>
              <w:t>10.3 </w:t>
            </w:r>
          </w:p>
        </w:tc>
        <w:tc>
          <w:tcPr>
            <w:tcW w:w="0" w:type="auto"/>
            <w:shd w:val="clear" w:color="auto" w:fill="auto"/>
            <w:tcMar>
              <w:top w:w="40" w:type="dxa"/>
              <w:left w:w="0" w:type="dxa"/>
              <w:bottom w:w="40" w:type="dxa"/>
              <w:right w:w="20" w:type="dxa"/>
            </w:tcMar>
          </w:tcPr>
          <w:p w14:paraId="5A1B3D85"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8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87" w14:textId="77777777" w:rsidR="00960BB8" w:rsidRDefault="00C06650">
            <w:pPr>
              <w:jc w:val="right"/>
              <w:textAlignment w:val="top"/>
            </w:pPr>
            <w:r>
              <w:rPr>
                <w:rFonts w:ascii="Arial" w:eastAsia="宋体" w:hAnsi="Arial" w:cs="Arial"/>
                <w:color w:val="262626"/>
                <w:sz w:val="18"/>
                <w:szCs w:val="18"/>
              </w:rPr>
              <w:t>11/22/2022</w:t>
            </w:r>
          </w:p>
        </w:tc>
        <w:tc>
          <w:tcPr>
            <w:tcW w:w="0" w:type="auto"/>
            <w:gridSpan w:val="3"/>
            <w:shd w:val="clear" w:color="auto" w:fill="auto"/>
            <w:tcMar>
              <w:top w:w="0" w:type="dxa"/>
              <w:left w:w="20" w:type="dxa"/>
              <w:bottom w:w="0" w:type="dxa"/>
              <w:right w:w="20" w:type="dxa"/>
            </w:tcMar>
            <w:vAlign w:val="bottom"/>
          </w:tcPr>
          <w:p w14:paraId="5A1B3D8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89" w14:textId="77777777" w:rsidR="00960BB8" w:rsidRDefault="00960BB8">
            <w:pPr>
              <w:rPr>
                <w:rFonts w:ascii="宋体"/>
              </w:rPr>
            </w:pPr>
          </w:p>
        </w:tc>
      </w:tr>
      <w:tr w:rsidR="00960BB8" w14:paraId="5A1B3D99" w14:textId="77777777">
        <w:tc>
          <w:tcPr>
            <w:tcW w:w="0" w:type="auto"/>
            <w:gridSpan w:val="3"/>
            <w:shd w:val="clear" w:color="auto" w:fill="auto"/>
            <w:tcMar>
              <w:top w:w="40" w:type="dxa"/>
              <w:left w:w="20" w:type="dxa"/>
              <w:bottom w:w="40" w:type="dxa"/>
              <w:right w:w="20" w:type="dxa"/>
            </w:tcMar>
          </w:tcPr>
          <w:p w14:paraId="5A1B3D8B" w14:textId="77777777" w:rsidR="00960BB8" w:rsidRDefault="00C06650">
            <w:pPr>
              <w:jc w:val="center"/>
              <w:textAlignment w:val="top"/>
            </w:pPr>
            <w:r>
              <w:rPr>
                <w:rFonts w:ascii="Arial" w:eastAsia="宋体" w:hAnsi="Arial" w:cs="Arial"/>
                <w:color w:val="262626"/>
                <w:sz w:val="18"/>
                <w:szCs w:val="18"/>
              </w:rPr>
              <w:t>10.1.11</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D8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D8D" w14:textId="77777777" w:rsidR="00960BB8" w:rsidRDefault="00C06650">
            <w:pPr>
              <w:textAlignment w:val="bottom"/>
            </w:pPr>
            <w:hyperlink r:id="rId204" w:history="1">
              <w:r>
                <w:rPr>
                  <w:rStyle w:val="a5"/>
                  <w:rFonts w:ascii="Arial" w:eastAsia="宋体" w:hAnsi="Arial" w:cs="Arial"/>
                  <w:color w:val="262626"/>
                  <w:sz w:val="18"/>
                  <w:szCs w:val="18"/>
                </w:rPr>
                <w:t>Intel Corporation Restricted Stock Unit Grant Agreement under the 2006 Equity Incentive Plan (for performance-based RSU</w:t>
              </w:r>
              <w:r>
                <w:rPr>
                  <w:rStyle w:val="a5"/>
                  <w:rFonts w:ascii="Arial" w:eastAsia="宋体" w:hAnsi="Arial" w:cs="Arial"/>
                  <w:color w:val="262626"/>
                  <w:sz w:val="18"/>
                  <w:szCs w:val="18"/>
                </w:rPr>
                <w:t>s granted to Robert Swan for interim CEO service on January 30, 2019)</w:t>
              </w:r>
            </w:hyperlink>
          </w:p>
        </w:tc>
        <w:tc>
          <w:tcPr>
            <w:tcW w:w="0" w:type="auto"/>
            <w:gridSpan w:val="3"/>
            <w:shd w:val="clear" w:color="auto" w:fill="auto"/>
            <w:tcMar>
              <w:top w:w="0" w:type="dxa"/>
              <w:left w:w="20" w:type="dxa"/>
              <w:bottom w:w="0" w:type="dxa"/>
              <w:right w:w="20" w:type="dxa"/>
            </w:tcMar>
            <w:vAlign w:val="bottom"/>
          </w:tcPr>
          <w:p w14:paraId="5A1B3D8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8F"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D9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91"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D92"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93" w14:textId="77777777" w:rsidR="00960BB8" w:rsidRDefault="00C06650">
            <w:pPr>
              <w:jc w:val="right"/>
              <w:textAlignment w:val="top"/>
            </w:pPr>
            <w:r>
              <w:rPr>
                <w:rFonts w:ascii="Arial" w:eastAsia="宋体" w:hAnsi="Arial" w:cs="Arial"/>
                <w:color w:val="262626"/>
                <w:sz w:val="18"/>
                <w:szCs w:val="18"/>
              </w:rPr>
              <w:t>10.9 </w:t>
            </w:r>
          </w:p>
        </w:tc>
        <w:tc>
          <w:tcPr>
            <w:tcW w:w="0" w:type="auto"/>
            <w:shd w:val="clear" w:color="auto" w:fill="auto"/>
            <w:tcMar>
              <w:top w:w="40" w:type="dxa"/>
              <w:left w:w="0" w:type="dxa"/>
              <w:bottom w:w="40" w:type="dxa"/>
              <w:right w:w="20" w:type="dxa"/>
            </w:tcMar>
          </w:tcPr>
          <w:p w14:paraId="5A1B3D94"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9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96" w14:textId="77777777" w:rsidR="00960BB8" w:rsidRDefault="00C06650">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5A1B3D9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98" w14:textId="77777777" w:rsidR="00960BB8" w:rsidRDefault="00960BB8">
            <w:pPr>
              <w:rPr>
                <w:rFonts w:ascii="宋体"/>
              </w:rPr>
            </w:pPr>
          </w:p>
        </w:tc>
      </w:tr>
      <w:tr w:rsidR="00960BB8" w14:paraId="5A1B3DA8" w14:textId="77777777">
        <w:tc>
          <w:tcPr>
            <w:tcW w:w="0" w:type="auto"/>
            <w:gridSpan w:val="3"/>
            <w:shd w:val="clear" w:color="auto" w:fill="auto"/>
            <w:tcMar>
              <w:top w:w="40" w:type="dxa"/>
              <w:left w:w="20" w:type="dxa"/>
              <w:bottom w:w="40" w:type="dxa"/>
              <w:right w:w="20" w:type="dxa"/>
            </w:tcMar>
          </w:tcPr>
          <w:p w14:paraId="5A1B3D9A" w14:textId="77777777" w:rsidR="00960BB8" w:rsidRDefault="00C06650">
            <w:pPr>
              <w:jc w:val="center"/>
              <w:textAlignment w:val="top"/>
            </w:pPr>
            <w:r>
              <w:rPr>
                <w:rFonts w:ascii="Arial" w:eastAsia="宋体" w:hAnsi="Arial" w:cs="Arial"/>
                <w:color w:val="262626"/>
                <w:sz w:val="18"/>
                <w:szCs w:val="18"/>
              </w:rPr>
              <w:t>10.1.12</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D9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D9C" w14:textId="77777777" w:rsidR="00960BB8" w:rsidRDefault="00C06650">
            <w:pPr>
              <w:textAlignment w:val="bottom"/>
            </w:pPr>
            <w:hyperlink r:id="rId205" w:history="1">
              <w:r>
                <w:rPr>
                  <w:rStyle w:val="a5"/>
                  <w:rFonts w:ascii="Arial" w:eastAsia="宋体" w:hAnsi="Arial" w:cs="Arial"/>
                  <w:color w:val="262626"/>
                  <w:sz w:val="18"/>
                  <w:szCs w:val="18"/>
                </w:rPr>
                <w:t xml:space="preserve">Intel Corporation Form of Stock Option Grant Agreement under the 2006 Equity Incentive Plan (for strategic growth </w:t>
              </w:r>
              <w:r>
                <w:rPr>
                  <w:rStyle w:val="a5"/>
                  <w:rFonts w:ascii="Arial" w:eastAsia="宋体" w:hAnsi="Arial" w:cs="Arial"/>
                  <w:color w:val="262626"/>
                  <w:sz w:val="18"/>
                  <w:szCs w:val="18"/>
                </w:rPr>
                <w:t>performance-based stock options granted to executives on or after February 1, 2019)</w:t>
              </w:r>
            </w:hyperlink>
          </w:p>
        </w:tc>
        <w:tc>
          <w:tcPr>
            <w:tcW w:w="0" w:type="auto"/>
            <w:gridSpan w:val="3"/>
            <w:shd w:val="clear" w:color="auto" w:fill="auto"/>
            <w:tcMar>
              <w:top w:w="0" w:type="dxa"/>
              <w:left w:w="20" w:type="dxa"/>
              <w:bottom w:w="0" w:type="dxa"/>
              <w:right w:w="20" w:type="dxa"/>
            </w:tcMar>
            <w:vAlign w:val="bottom"/>
          </w:tcPr>
          <w:p w14:paraId="5A1B3D9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9E"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D9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A0"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DA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A2" w14:textId="77777777" w:rsidR="00960BB8" w:rsidRDefault="00C06650">
            <w:pPr>
              <w:jc w:val="right"/>
              <w:textAlignment w:val="top"/>
            </w:pPr>
            <w:r>
              <w:rPr>
                <w:rFonts w:ascii="Arial" w:eastAsia="宋体" w:hAnsi="Arial" w:cs="Arial"/>
                <w:color w:val="262626"/>
                <w:sz w:val="18"/>
                <w:szCs w:val="18"/>
              </w:rPr>
              <w:t>10.7 </w:t>
            </w:r>
          </w:p>
        </w:tc>
        <w:tc>
          <w:tcPr>
            <w:tcW w:w="0" w:type="auto"/>
            <w:shd w:val="clear" w:color="auto" w:fill="auto"/>
            <w:tcMar>
              <w:top w:w="40" w:type="dxa"/>
              <w:left w:w="0" w:type="dxa"/>
              <w:bottom w:w="40" w:type="dxa"/>
              <w:right w:w="20" w:type="dxa"/>
            </w:tcMar>
          </w:tcPr>
          <w:p w14:paraId="5A1B3DA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A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A5" w14:textId="77777777" w:rsidR="00960BB8" w:rsidRDefault="00C06650">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5A1B3DA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A7" w14:textId="77777777" w:rsidR="00960BB8" w:rsidRDefault="00960BB8">
            <w:pPr>
              <w:rPr>
                <w:rFonts w:ascii="宋体"/>
              </w:rPr>
            </w:pPr>
          </w:p>
        </w:tc>
      </w:tr>
      <w:tr w:rsidR="00960BB8" w14:paraId="5A1B3DB7" w14:textId="77777777">
        <w:tc>
          <w:tcPr>
            <w:tcW w:w="0" w:type="auto"/>
            <w:gridSpan w:val="3"/>
            <w:shd w:val="clear" w:color="auto" w:fill="auto"/>
            <w:tcMar>
              <w:top w:w="40" w:type="dxa"/>
              <w:left w:w="20" w:type="dxa"/>
              <w:bottom w:w="40" w:type="dxa"/>
              <w:right w:w="20" w:type="dxa"/>
            </w:tcMar>
          </w:tcPr>
          <w:p w14:paraId="5A1B3DA9" w14:textId="77777777" w:rsidR="00960BB8" w:rsidRDefault="00C06650">
            <w:pPr>
              <w:jc w:val="center"/>
              <w:textAlignment w:val="top"/>
            </w:pPr>
            <w:r>
              <w:rPr>
                <w:rFonts w:ascii="Arial" w:eastAsia="宋体" w:hAnsi="Arial" w:cs="Arial"/>
                <w:color w:val="262626"/>
                <w:sz w:val="18"/>
                <w:szCs w:val="18"/>
              </w:rPr>
              <w:t>10.1.13</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DA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AB" w14:textId="77777777" w:rsidR="00960BB8" w:rsidRDefault="00C06650">
            <w:pPr>
              <w:textAlignment w:val="top"/>
            </w:pPr>
            <w:hyperlink r:id="rId206" w:history="1">
              <w:r>
                <w:rPr>
                  <w:rStyle w:val="a5"/>
                  <w:rFonts w:ascii="Arial" w:eastAsia="宋体" w:hAnsi="Arial" w:cs="Arial"/>
                  <w:color w:val="262626"/>
                  <w:sz w:val="18"/>
                  <w:szCs w:val="18"/>
                </w:rPr>
                <w:t>Intel Corporation Form of Non-Employee Director Restricted Stock Unit Grant Agreement under the 2006 Equity Incentive Plan (for RSUs granted to non-employee di</w:t>
              </w:r>
              <w:r>
                <w:rPr>
                  <w:rStyle w:val="a5"/>
                  <w:rFonts w:ascii="Arial" w:eastAsia="宋体" w:hAnsi="Arial" w:cs="Arial"/>
                  <w:color w:val="262626"/>
                  <w:sz w:val="18"/>
                  <w:szCs w:val="18"/>
                </w:rPr>
                <w:t>rectors on or after January 30, 2019)</w:t>
              </w:r>
            </w:hyperlink>
          </w:p>
        </w:tc>
        <w:tc>
          <w:tcPr>
            <w:tcW w:w="0" w:type="auto"/>
            <w:gridSpan w:val="3"/>
            <w:shd w:val="clear" w:color="auto" w:fill="auto"/>
            <w:tcMar>
              <w:top w:w="0" w:type="dxa"/>
              <w:left w:w="20" w:type="dxa"/>
              <w:bottom w:w="0" w:type="dxa"/>
              <w:right w:w="20" w:type="dxa"/>
            </w:tcMar>
            <w:vAlign w:val="bottom"/>
          </w:tcPr>
          <w:p w14:paraId="5A1B3DA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AD"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DA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AF"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DB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B1" w14:textId="77777777" w:rsidR="00960BB8" w:rsidRDefault="00C06650">
            <w:pPr>
              <w:jc w:val="right"/>
              <w:textAlignment w:val="top"/>
            </w:pPr>
            <w:r>
              <w:rPr>
                <w:rFonts w:ascii="Arial" w:eastAsia="宋体" w:hAnsi="Arial" w:cs="Arial"/>
                <w:color w:val="262626"/>
                <w:sz w:val="18"/>
                <w:szCs w:val="18"/>
              </w:rPr>
              <w:t>10.11 </w:t>
            </w:r>
          </w:p>
        </w:tc>
        <w:tc>
          <w:tcPr>
            <w:tcW w:w="0" w:type="auto"/>
            <w:shd w:val="clear" w:color="auto" w:fill="auto"/>
            <w:tcMar>
              <w:top w:w="40" w:type="dxa"/>
              <w:left w:w="0" w:type="dxa"/>
              <w:bottom w:w="40" w:type="dxa"/>
              <w:right w:w="20" w:type="dxa"/>
            </w:tcMar>
          </w:tcPr>
          <w:p w14:paraId="5A1B3DB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B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B4" w14:textId="77777777" w:rsidR="00960BB8" w:rsidRDefault="00C06650">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5A1B3DB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B6" w14:textId="77777777" w:rsidR="00960BB8" w:rsidRDefault="00960BB8">
            <w:pPr>
              <w:rPr>
                <w:rFonts w:ascii="宋体"/>
              </w:rPr>
            </w:pPr>
          </w:p>
        </w:tc>
      </w:tr>
      <w:tr w:rsidR="00960BB8" w14:paraId="5A1B3DC6" w14:textId="77777777">
        <w:tc>
          <w:tcPr>
            <w:tcW w:w="0" w:type="auto"/>
            <w:gridSpan w:val="3"/>
            <w:shd w:val="clear" w:color="auto" w:fill="auto"/>
            <w:tcMar>
              <w:top w:w="40" w:type="dxa"/>
              <w:left w:w="20" w:type="dxa"/>
              <w:bottom w:w="40" w:type="dxa"/>
              <w:right w:w="20" w:type="dxa"/>
            </w:tcMar>
          </w:tcPr>
          <w:p w14:paraId="5A1B3DB8" w14:textId="77777777" w:rsidR="00960BB8" w:rsidRDefault="00C06650">
            <w:pPr>
              <w:jc w:val="center"/>
              <w:textAlignment w:val="top"/>
            </w:pPr>
            <w:r>
              <w:rPr>
                <w:rFonts w:ascii="Arial" w:eastAsia="宋体" w:hAnsi="Arial" w:cs="Arial"/>
                <w:color w:val="262626"/>
                <w:sz w:val="18"/>
                <w:szCs w:val="18"/>
              </w:rPr>
              <w:t>10.1.14</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DB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BA" w14:textId="77777777" w:rsidR="00960BB8" w:rsidRDefault="00C06650">
            <w:pPr>
              <w:textAlignment w:val="top"/>
            </w:pPr>
            <w:hyperlink r:id="rId207" w:history="1">
              <w:r>
                <w:rPr>
                  <w:rStyle w:val="a5"/>
                  <w:rFonts w:ascii="Arial" w:eastAsia="宋体" w:hAnsi="Arial" w:cs="Arial"/>
                  <w:sz w:val="18"/>
                  <w:szCs w:val="18"/>
                </w:rPr>
                <w:t>Intel Corporation Form of Non-Employee Director Restricted Stock Unit Agreement under the 2006 Equity Incentive Pla</w:t>
              </w:r>
              <w:r>
                <w:rPr>
                  <w:rStyle w:val="a5"/>
                  <w:rFonts w:ascii="Arial" w:eastAsia="宋体" w:hAnsi="Arial" w:cs="Arial"/>
                  <w:sz w:val="18"/>
                  <w:szCs w:val="18"/>
                </w:rPr>
                <w:t>n (for RSUs granted to non-employee directors on or after May 12, 2022)</w:t>
              </w:r>
            </w:hyperlink>
          </w:p>
        </w:tc>
        <w:tc>
          <w:tcPr>
            <w:tcW w:w="0" w:type="auto"/>
            <w:gridSpan w:val="3"/>
            <w:shd w:val="clear" w:color="auto" w:fill="auto"/>
            <w:tcMar>
              <w:top w:w="0" w:type="dxa"/>
              <w:left w:w="20" w:type="dxa"/>
              <w:bottom w:w="0" w:type="dxa"/>
              <w:right w:w="20" w:type="dxa"/>
            </w:tcMar>
            <w:vAlign w:val="bottom"/>
          </w:tcPr>
          <w:p w14:paraId="5A1B3DB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BC"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DB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BE" w14:textId="77777777" w:rsidR="00960BB8" w:rsidRDefault="00C06650">
            <w:pPr>
              <w:jc w:val="right"/>
              <w:textAlignment w:val="top"/>
            </w:pPr>
            <w:r>
              <w:rPr>
                <w:rFonts w:ascii="Arial" w:eastAsia="宋体" w:hAnsi="Arial" w:cs="Arial"/>
                <w:color w:val="262626"/>
                <w:sz w:val="18"/>
                <w:szCs w:val="18"/>
              </w:rPr>
              <w:t>000-6217</w:t>
            </w:r>
          </w:p>
        </w:tc>
        <w:tc>
          <w:tcPr>
            <w:tcW w:w="0" w:type="auto"/>
            <w:gridSpan w:val="3"/>
            <w:shd w:val="clear" w:color="auto" w:fill="auto"/>
            <w:tcMar>
              <w:top w:w="0" w:type="dxa"/>
              <w:left w:w="20" w:type="dxa"/>
              <w:bottom w:w="0" w:type="dxa"/>
              <w:right w:w="20" w:type="dxa"/>
            </w:tcMar>
            <w:vAlign w:val="bottom"/>
          </w:tcPr>
          <w:p w14:paraId="5A1B3DB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C0" w14:textId="77777777" w:rsidR="00960BB8" w:rsidRDefault="00C06650">
            <w:pPr>
              <w:jc w:val="right"/>
              <w:textAlignment w:val="top"/>
            </w:pPr>
            <w:r>
              <w:rPr>
                <w:rFonts w:ascii="Arial" w:eastAsia="宋体" w:hAnsi="Arial" w:cs="Arial"/>
                <w:color w:val="262626"/>
                <w:sz w:val="18"/>
                <w:szCs w:val="18"/>
              </w:rPr>
              <w:t>10.3 </w:t>
            </w:r>
          </w:p>
        </w:tc>
        <w:tc>
          <w:tcPr>
            <w:tcW w:w="0" w:type="auto"/>
            <w:shd w:val="clear" w:color="auto" w:fill="auto"/>
            <w:tcMar>
              <w:top w:w="40" w:type="dxa"/>
              <w:left w:w="0" w:type="dxa"/>
              <w:bottom w:w="40" w:type="dxa"/>
              <w:right w:w="20" w:type="dxa"/>
            </w:tcMar>
          </w:tcPr>
          <w:p w14:paraId="5A1B3DC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C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C3" w14:textId="77777777" w:rsidR="00960BB8" w:rsidRDefault="00C06650">
            <w:pPr>
              <w:jc w:val="right"/>
              <w:textAlignment w:val="top"/>
            </w:pPr>
            <w:r>
              <w:rPr>
                <w:rFonts w:ascii="Arial" w:eastAsia="宋体" w:hAnsi="Arial" w:cs="Arial"/>
                <w:color w:val="262626"/>
                <w:sz w:val="18"/>
                <w:szCs w:val="18"/>
              </w:rPr>
              <w:t>10/28/2022</w:t>
            </w:r>
          </w:p>
        </w:tc>
        <w:tc>
          <w:tcPr>
            <w:tcW w:w="0" w:type="auto"/>
            <w:gridSpan w:val="3"/>
            <w:shd w:val="clear" w:color="auto" w:fill="auto"/>
            <w:tcMar>
              <w:top w:w="0" w:type="dxa"/>
              <w:left w:w="20" w:type="dxa"/>
              <w:bottom w:w="0" w:type="dxa"/>
              <w:right w:w="20" w:type="dxa"/>
            </w:tcMar>
            <w:vAlign w:val="bottom"/>
          </w:tcPr>
          <w:p w14:paraId="5A1B3DC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C5" w14:textId="77777777" w:rsidR="00960BB8" w:rsidRDefault="00960BB8">
            <w:pPr>
              <w:rPr>
                <w:rFonts w:ascii="宋体"/>
              </w:rPr>
            </w:pPr>
          </w:p>
        </w:tc>
      </w:tr>
      <w:tr w:rsidR="00960BB8" w14:paraId="5A1B3DD5" w14:textId="77777777">
        <w:tc>
          <w:tcPr>
            <w:tcW w:w="0" w:type="auto"/>
            <w:gridSpan w:val="3"/>
            <w:shd w:val="clear" w:color="auto" w:fill="auto"/>
            <w:tcMar>
              <w:top w:w="40" w:type="dxa"/>
              <w:left w:w="20" w:type="dxa"/>
              <w:bottom w:w="40" w:type="dxa"/>
              <w:right w:w="20" w:type="dxa"/>
            </w:tcMar>
          </w:tcPr>
          <w:p w14:paraId="5A1B3DC7" w14:textId="77777777" w:rsidR="00960BB8" w:rsidRDefault="00C06650">
            <w:pPr>
              <w:jc w:val="center"/>
              <w:textAlignment w:val="top"/>
            </w:pPr>
            <w:r>
              <w:rPr>
                <w:rFonts w:ascii="Arial" w:eastAsia="宋体" w:hAnsi="Arial" w:cs="Arial"/>
                <w:color w:val="262626"/>
                <w:sz w:val="18"/>
                <w:szCs w:val="18"/>
              </w:rPr>
              <w:t>10.1.15</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DC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C9" w14:textId="77777777" w:rsidR="00960BB8" w:rsidRDefault="00C06650">
            <w:pPr>
              <w:textAlignment w:val="top"/>
            </w:pPr>
            <w:hyperlink r:id="rId208" w:history="1">
              <w:r>
                <w:rPr>
                  <w:rStyle w:val="a5"/>
                  <w:rFonts w:ascii="Arial" w:eastAsia="宋体" w:hAnsi="Arial" w:cs="Arial"/>
                  <w:color w:val="262626"/>
                  <w:sz w:val="18"/>
                  <w:szCs w:val="18"/>
                </w:rPr>
                <w:t>Intel Corporation 2021 Inducement Plan</w:t>
              </w:r>
            </w:hyperlink>
          </w:p>
        </w:tc>
        <w:tc>
          <w:tcPr>
            <w:tcW w:w="0" w:type="auto"/>
            <w:gridSpan w:val="3"/>
            <w:shd w:val="clear" w:color="auto" w:fill="auto"/>
            <w:tcMar>
              <w:top w:w="0" w:type="dxa"/>
              <w:left w:w="20" w:type="dxa"/>
              <w:bottom w:w="0" w:type="dxa"/>
              <w:right w:w="20" w:type="dxa"/>
            </w:tcMar>
            <w:vAlign w:val="bottom"/>
          </w:tcPr>
          <w:p w14:paraId="5A1B3DC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CB" w14:textId="77777777" w:rsidR="00960BB8" w:rsidRDefault="00C06650">
            <w:pPr>
              <w:jc w:val="right"/>
              <w:textAlignment w:val="top"/>
            </w:pPr>
            <w:r>
              <w:rPr>
                <w:rFonts w:ascii="Arial" w:eastAsia="宋体" w:hAnsi="Arial" w:cs="Arial"/>
                <w:color w:val="262626"/>
                <w:sz w:val="18"/>
                <w:szCs w:val="18"/>
              </w:rPr>
              <w:t>S-8</w:t>
            </w:r>
          </w:p>
        </w:tc>
        <w:tc>
          <w:tcPr>
            <w:tcW w:w="0" w:type="auto"/>
            <w:gridSpan w:val="3"/>
            <w:shd w:val="clear" w:color="auto" w:fill="auto"/>
            <w:tcMar>
              <w:top w:w="0" w:type="dxa"/>
              <w:left w:w="20" w:type="dxa"/>
              <w:bottom w:w="0" w:type="dxa"/>
              <w:right w:w="20" w:type="dxa"/>
            </w:tcMar>
            <w:vAlign w:val="bottom"/>
          </w:tcPr>
          <w:p w14:paraId="5A1B3DC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CD" w14:textId="77777777" w:rsidR="00960BB8" w:rsidRDefault="00C06650">
            <w:pPr>
              <w:jc w:val="right"/>
              <w:textAlignment w:val="top"/>
            </w:pPr>
            <w:r>
              <w:rPr>
                <w:rFonts w:ascii="Arial" w:eastAsia="宋体" w:hAnsi="Arial" w:cs="Arial"/>
                <w:color w:val="262626"/>
                <w:sz w:val="18"/>
                <w:szCs w:val="18"/>
              </w:rPr>
              <w:t>333-253077</w:t>
            </w:r>
          </w:p>
        </w:tc>
        <w:tc>
          <w:tcPr>
            <w:tcW w:w="0" w:type="auto"/>
            <w:gridSpan w:val="3"/>
            <w:shd w:val="clear" w:color="auto" w:fill="auto"/>
            <w:tcMar>
              <w:top w:w="0" w:type="dxa"/>
              <w:left w:w="20" w:type="dxa"/>
              <w:bottom w:w="0" w:type="dxa"/>
              <w:right w:w="20" w:type="dxa"/>
            </w:tcMar>
            <w:vAlign w:val="bottom"/>
          </w:tcPr>
          <w:p w14:paraId="5A1B3DC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CF" w14:textId="77777777" w:rsidR="00960BB8" w:rsidRDefault="00C06650">
            <w:pPr>
              <w:jc w:val="right"/>
              <w:textAlignment w:val="top"/>
            </w:pPr>
            <w:r>
              <w:rPr>
                <w:rFonts w:ascii="Arial" w:eastAsia="宋体" w:hAnsi="Arial" w:cs="Arial"/>
                <w:color w:val="262626"/>
                <w:sz w:val="18"/>
                <w:szCs w:val="18"/>
              </w:rPr>
              <w:t>99.1 </w:t>
            </w:r>
          </w:p>
        </w:tc>
        <w:tc>
          <w:tcPr>
            <w:tcW w:w="0" w:type="auto"/>
            <w:shd w:val="clear" w:color="auto" w:fill="auto"/>
            <w:tcMar>
              <w:top w:w="40" w:type="dxa"/>
              <w:left w:w="0" w:type="dxa"/>
              <w:bottom w:w="40" w:type="dxa"/>
              <w:right w:w="20" w:type="dxa"/>
            </w:tcMar>
          </w:tcPr>
          <w:p w14:paraId="5A1B3DD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D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D2" w14:textId="77777777" w:rsidR="00960BB8" w:rsidRDefault="00C06650">
            <w:pPr>
              <w:jc w:val="right"/>
              <w:textAlignment w:val="top"/>
            </w:pPr>
            <w:r>
              <w:rPr>
                <w:rFonts w:ascii="Arial" w:eastAsia="宋体" w:hAnsi="Arial" w:cs="Arial"/>
                <w:color w:val="262626"/>
                <w:sz w:val="18"/>
                <w:szCs w:val="18"/>
              </w:rPr>
              <w:t>2/12/2021</w:t>
            </w:r>
          </w:p>
        </w:tc>
        <w:tc>
          <w:tcPr>
            <w:tcW w:w="0" w:type="auto"/>
            <w:gridSpan w:val="3"/>
            <w:shd w:val="clear" w:color="auto" w:fill="auto"/>
            <w:tcMar>
              <w:top w:w="0" w:type="dxa"/>
              <w:left w:w="20" w:type="dxa"/>
              <w:bottom w:w="0" w:type="dxa"/>
              <w:right w:w="20" w:type="dxa"/>
            </w:tcMar>
            <w:vAlign w:val="bottom"/>
          </w:tcPr>
          <w:p w14:paraId="5A1B3DD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D4" w14:textId="77777777" w:rsidR="00960BB8" w:rsidRDefault="00960BB8">
            <w:pPr>
              <w:rPr>
                <w:rFonts w:ascii="宋体"/>
              </w:rPr>
            </w:pPr>
          </w:p>
        </w:tc>
      </w:tr>
      <w:tr w:rsidR="00960BB8" w14:paraId="5A1B3DE4" w14:textId="77777777">
        <w:tc>
          <w:tcPr>
            <w:tcW w:w="0" w:type="auto"/>
            <w:gridSpan w:val="3"/>
            <w:shd w:val="clear" w:color="auto" w:fill="auto"/>
            <w:tcMar>
              <w:top w:w="40" w:type="dxa"/>
              <w:left w:w="20" w:type="dxa"/>
              <w:bottom w:w="40" w:type="dxa"/>
              <w:right w:w="20" w:type="dxa"/>
            </w:tcMar>
          </w:tcPr>
          <w:p w14:paraId="5A1B3DD6" w14:textId="77777777" w:rsidR="00960BB8" w:rsidRDefault="00C06650">
            <w:pPr>
              <w:jc w:val="center"/>
              <w:textAlignment w:val="top"/>
            </w:pPr>
            <w:r>
              <w:rPr>
                <w:rFonts w:ascii="Arial" w:eastAsia="宋体" w:hAnsi="Arial" w:cs="Arial"/>
                <w:color w:val="262626"/>
                <w:sz w:val="18"/>
                <w:szCs w:val="18"/>
              </w:rPr>
              <w:t>10.1.16</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DD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D8" w14:textId="77777777" w:rsidR="00960BB8" w:rsidRDefault="00C06650">
            <w:pPr>
              <w:textAlignment w:val="top"/>
            </w:pPr>
            <w:hyperlink r:id="rId209" w:history="1">
              <w:r>
                <w:rPr>
                  <w:rStyle w:val="a5"/>
                  <w:rFonts w:ascii="Arial" w:eastAsia="宋体" w:hAnsi="Arial" w:cs="Arial"/>
                  <w:color w:val="262626"/>
                  <w:sz w:val="18"/>
                  <w:szCs w:val="18"/>
                </w:rPr>
                <w:t>Intel Corporation Restricted Stock Unit Agreement under the 2021 Inducement Plan (for time-vesting RSUs)</w:t>
              </w:r>
            </w:hyperlink>
          </w:p>
        </w:tc>
        <w:tc>
          <w:tcPr>
            <w:tcW w:w="0" w:type="auto"/>
            <w:gridSpan w:val="3"/>
            <w:shd w:val="clear" w:color="auto" w:fill="auto"/>
            <w:tcMar>
              <w:top w:w="0" w:type="dxa"/>
              <w:left w:w="20" w:type="dxa"/>
              <w:bottom w:w="0" w:type="dxa"/>
              <w:right w:w="20" w:type="dxa"/>
            </w:tcMar>
            <w:vAlign w:val="bottom"/>
          </w:tcPr>
          <w:p w14:paraId="5A1B3DD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DA"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DD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DC" w14:textId="77777777" w:rsidR="00960BB8" w:rsidRDefault="00C06650">
            <w:pPr>
              <w:jc w:val="right"/>
              <w:textAlignment w:val="top"/>
            </w:pPr>
            <w:r>
              <w:rPr>
                <w:rFonts w:ascii="Arial" w:eastAsia="宋体" w:hAnsi="Arial" w:cs="Arial"/>
                <w:color w:val="262626"/>
                <w:sz w:val="18"/>
                <w:szCs w:val="18"/>
              </w:rPr>
              <w:t>0</w:t>
            </w:r>
            <w:r>
              <w:rPr>
                <w:rFonts w:ascii="Arial" w:eastAsia="宋体" w:hAnsi="Arial" w:cs="Arial"/>
                <w:color w:val="262626"/>
                <w:sz w:val="18"/>
                <w:szCs w:val="18"/>
              </w:rPr>
              <w:t>00-06217</w:t>
            </w:r>
          </w:p>
        </w:tc>
        <w:tc>
          <w:tcPr>
            <w:tcW w:w="0" w:type="auto"/>
            <w:gridSpan w:val="3"/>
            <w:shd w:val="clear" w:color="auto" w:fill="auto"/>
            <w:tcMar>
              <w:top w:w="0" w:type="dxa"/>
              <w:left w:w="20" w:type="dxa"/>
              <w:bottom w:w="0" w:type="dxa"/>
              <w:right w:w="20" w:type="dxa"/>
            </w:tcMar>
            <w:vAlign w:val="bottom"/>
          </w:tcPr>
          <w:p w14:paraId="5A1B3DD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DE" w14:textId="77777777" w:rsidR="00960BB8" w:rsidRDefault="00C06650">
            <w:pPr>
              <w:jc w:val="right"/>
              <w:textAlignment w:val="top"/>
            </w:pPr>
            <w:r>
              <w:rPr>
                <w:rFonts w:ascii="Arial" w:eastAsia="宋体" w:hAnsi="Arial" w:cs="Arial"/>
                <w:color w:val="262626"/>
                <w:sz w:val="18"/>
                <w:szCs w:val="18"/>
              </w:rPr>
              <w:t>10.3 </w:t>
            </w:r>
          </w:p>
        </w:tc>
        <w:tc>
          <w:tcPr>
            <w:tcW w:w="0" w:type="auto"/>
            <w:shd w:val="clear" w:color="auto" w:fill="auto"/>
            <w:tcMar>
              <w:top w:w="40" w:type="dxa"/>
              <w:left w:w="0" w:type="dxa"/>
              <w:bottom w:w="40" w:type="dxa"/>
              <w:right w:w="20" w:type="dxa"/>
            </w:tcMar>
          </w:tcPr>
          <w:p w14:paraId="5A1B3DD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E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E1" w14:textId="77777777" w:rsidR="00960BB8" w:rsidRDefault="00C06650">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5A1B3DE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E3" w14:textId="77777777" w:rsidR="00960BB8" w:rsidRDefault="00960BB8">
            <w:pPr>
              <w:rPr>
                <w:rFonts w:ascii="宋体"/>
              </w:rPr>
            </w:pPr>
          </w:p>
        </w:tc>
      </w:tr>
      <w:tr w:rsidR="00960BB8" w14:paraId="5A1B3DF3" w14:textId="77777777">
        <w:tc>
          <w:tcPr>
            <w:tcW w:w="0" w:type="auto"/>
            <w:gridSpan w:val="3"/>
            <w:shd w:val="clear" w:color="auto" w:fill="auto"/>
            <w:tcMar>
              <w:top w:w="40" w:type="dxa"/>
              <w:left w:w="20" w:type="dxa"/>
              <w:bottom w:w="40" w:type="dxa"/>
              <w:right w:w="20" w:type="dxa"/>
            </w:tcMar>
          </w:tcPr>
          <w:p w14:paraId="5A1B3DE5" w14:textId="77777777" w:rsidR="00960BB8" w:rsidRDefault="00C06650">
            <w:pPr>
              <w:jc w:val="center"/>
              <w:textAlignment w:val="top"/>
            </w:pPr>
            <w:r>
              <w:rPr>
                <w:rFonts w:ascii="Arial" w:eastAsia="宋体" w:hAnsi="Arial" w:cs="Arial"/>
                <w:color w:val="262626"/>
                <w:sz w:val="18"/>
                <w:szCs w:val="18"/>
              </w:rPr>
              <w:t>10.1.17</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DE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E7" w14:textId="77777777" w:rsidR="00960BB8" w:rsidRDefault="00C06650">
            <w:pPr>
              <w:textAlignment w:val="top"/>
            </w:pPr>
            <w:hyperlink r:id="rId210" w:history="1">
              <w:r>
                <w:rPr>
                  <w:rStyle w:val="a5"/>
                  <w:rFonts w:ascii="Arial" w:eastAsia="宋体" w:hAnsi="Arial" w:cs="Arial"/>
                  <w:color w:val="262626"/>
                  <w:sz w:val="18"/>
                  <w:szCs w:val="18"/>
                </w:rPr>
                <w:t>Intel Corporation Restricted Stock Unit Agreement under the 2021 Inducement Plan (for optional investment matching RSUs)</w:t>
              </w:r>
            </w:hyperlink>
          </w:p>
        </w:tc>
        <w:tc>
          <w:tcPr>
            <w:tcW w:w="0" w:type="auto"/>
            <w:gridSpan w:val="3"/>
            <w:shd w:val="clear" w:color="auto" w:fill="auto"/>
            <w:tcMar>
              <w:top w:w="0" w:type="dxa"/>
              <w:left w:w="20" w:type="dxa"/>
              <w:bottom w:w="0" w:type="dxa"/>
              <w:right w:w="20" w:type="dxa"/>
            </w:tcMar>
            <w:vAlign w:val="bottom"/>
          </w:tcPr>
          <w:p w14:paraId="5A1B3DE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E9"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DE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EB"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DE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ED" w14:textId="77777777" w:rsidR="00960BB8" w:rsidRDefault="00C06650">
            <w:pPr>
              <w:jc w:val="right"/>
              <w:textAlignment w:val="top"/>
            </w:pPr>
            <w:r>
              <w:rPr>
                <w:rFonts w:ascii="Arial" w:eastAsia="宋体" w:hAnsi="Arial" w:cs="Arial"/>
                <w:color w:val="262626"/>
                <w:sz w:val="18"/>
                <w:szCs w:val="18"/>
              </w:rPr>
              <w:t>10.4 </w:t>
            </w:r>
          </w:p>
        </w:tc>
        <w:tc>
          <w:tcPr>
            <w:tcW w:w="0" w:type="auto"/>
            <w:shd w:val="clear" w:color="auto" w:fill="auto"/>
            <w:tcMar>
              <w:top w:w="40" w:type="dxa"/>
              <w:left w:w="0" w:type="dxa"/>
              <w:bottom w:w="40" w:type="dxa"/>
              <w:right w:w="20" w:type="dxa"/>
            </w:tcMar>
          </w:tcPr>
          <w:p w14:paraId="5A1B3DE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E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F0" w14:textId="77777777" w:rsidR="00960BB8" w:rsidRDefault="00C06650">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5A1B3DF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DF2" w14:textId="77777777" w:rsidR="00960BB8" w:rsidRDefault="00960BB8">
            <w:pPr>
              <w:rPr>
                <w:rFonts w:ascii="宋体"/>
              </w:rPr>
            </w:pPr>
          </w:p>
        </w:tc>
      </w:tr>
      <w:tr w:rsidR="00960BB8" w14:paraId="5A1B3E02" w14:textId="77777777">
        <w:tc>
          <w:tcPr>
            <w:tcW w:w="0" w:type="auto"/>
            <w:gridSpan w:val="3"/>
            <w:shd w:val="clear" w:color="auto" w:fill="auto"/>
            <w:tcMar>
              <w:top w:w="40" w:type="dxa"/>
              <w:left w:w="20" w:type="dxa"/>
              <w:bottom w:w="40" w:type="dxa"/>
              <w:right w:w="20" w:type="dxa"/>
            </w:tcMar>
          </w:tcPr>
          <w:p w14:paraId="5A1B3DF4" w14:textId="77777777" w:rsidR="00960BB8" w:rsidRDefault="00C06650">
            <w:pPr>
              <w:jc w:val="center"/>
              <w:textAlignment w:val="top"/>
            </w:pPr>
            <w:r>
              <w:rPr>
                <w:rFonts w:ascii="Arial" w:eastAsia="宋体" w:hAnsi="Arial" w:cs="Arial"/>
                <w:color w:val="262626"/>
                <w:sz w:val="18"/>
                <w:szCs w:val="18"/>
              </w:rPr>
              <w:t>10.1.18</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DF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F6" w14:textId="77777777" w:rsidR="00960BB8" w:rsidRDefault="00C06650">
            <w:pPr>
              <w:textAlignment w:val="top"/>
            </w:pPr>
            <w:hyperlink r:id="rId211" w:history="1">
              <w:r>
                <w:rPr>
                  <w:rStyle w:val="a5"/>
                  <w:rFonts w:ascii="Arial" w:eastAsia="宋体" w:hAnsi="Arial" w:cs="Arial"/>
                  <w:color w:val="262626"/>
                  <w:sz w:val="18"/>
                  <w:szCs w:val="18"/>
                </w:rPr>
                <w:t>Intel Corporation Restricted Stock Unit Agreement under the 2021 Inducement Plan (for relative TSR performance-based</w:t>
              </w:r>
              <w:r>
                <w:rPr>
                  <w:rStyle w:val="a5"/>
                  <w:rFonts w:ascii="Arial" w:eastAsia="宋体" w:hAnsi="Arial" w:cs="Arial"/>
                  <w:color w:val="262626"/>
                  <w:sz w:val="18"/>
                  <w:szCs w:val="18"/>
                </w:rPr>
                <w:t xml:space="preserve"> RSUs)</w:t>
              </w:r>
            </w:hyperlink>
          </w:p>
        </w:tc>
        <w:tc>
          <w:tcPr>
            <w:tcW w:w="0" w:type="auto"/>
            <w:gridSpan w:val="3"/>
            <w:shd w:val="clear" w:color="auto" w:fill="auto"/>
            <w:tcMar>
              <w:top w:w="0" w:type="dxa"/>
              <w:left w:w="20" w:type="dxa"/>
              <w:bottom w:w="0" w:type="dxa"/>
              <w:right w:w="20" w:type="dxa"/>
            </w:tcMar>
            <w:vAlign w:val="bottom"/>
          </w:tcPr>
          <w:p w14:paraId="5A1B3DF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F8"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DF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FA"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DF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DFC" w14:textId="77777777" w:rsidR="00960BB8" w:rsidRDefault="00C06650">
            <w:pPr>
              <w:jc w:val="right"/>
              <w:textAlignment w:val="top"/>
            </w:pPr>
            <w:r>
              <w:rPr>
                <w:rFonts w:ascii="Arial" w:eastAsia="宋体" w:hAnsi="Arial" w:cs="Arial"/>
                <w:color w:val="262626"/>
                <w:sz w:val="18"/>
                <w:szCs w:val="18"/>
              </w:rPr>
              <w:t>10.5 </w:t>
            </w:r>
          </w:p>
        </w:tc>
        <w:tc>
          <w:tcPr>
            <w:tcW w:w="0" w:type="auto"/>
            <w:shd w:val="clear" w:color="auto" w:fill="auto"/>
            <w:tcMar>
              <w:top w:w="40" w:type="dxa"/>
              <w:left w:w="0" w:type="dxa"/>
              <w:bottom w:w="40" w:type="dxa"/>
              <w:right w:w="20" w:type="dxa"/>
            </w:tcMar>
          </w:tcPr>
          <w:p w14:paraId="5A1B3DF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DF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DFF" w14:textId="77777777" w:rsidR="00960BB8" w:rsidRDefault="00C06650">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5A1B3E0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01" w14:textId="77777777" w:rsidR="00960BB8" w:rsidRDefault="00960BB8">
            <w:pPr>
              <w:rPr>
                <w:rFonts w:ascii="宋体"/>
              </w:rPr>
            </w:pPr>
          </w:p>
        </w:tc>
      </w:tr>
      <w:tr w:rsidR="00960BB8" w14:paraId="5A1B3E11" w14:textId="77777777">
        <w:tc>
          <w:tcPr>
            <w:tcW w:w="0" w:type="auto"/>
            <w:gridSpan w:val="3"/>
            <w:shd w:val="clear" w:color="auto" w:fill="auto"/>
            <w:tcMar>
              <w:top w:w="40" w:type="dxa"/>
              <w:left w:w="20" w:type="dxa"/>
              <w:bottom w:w="40" w:type="dxa"/>
              <w:right w:w="20" w:type="dxa"/>
            </w:tcMar>
          </w:tcPr>
          <w:p w14:paraId="5A1B3E03" w14:textId="77777777" w:rsidR="00960BB8" w:rsidRDefault="00C06650">
            <w:pPr>
              <w:jc w:val="center"/>
              <w:textAlignment w:val="top"/>
            </w:pPr>
            <w:r>
              <w:rPr>
                <w:rFonts w:ascii="Arial" w:eastAsia="宋体" w:hAnsi="Arial" w:cs="Arial"/>
                <w:color w:val="262626"/>
                <w:sz w:val="18"/>
                <w:szCs w:val="18"/>
              </w:rPr>
              <w:t>10.1.19</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E0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05" w14:textId="77777777" w:rsidR="00960BB8" w:rsidRDefault="00C06650">
            <w:pPr>
              <w:textAlignment w:val="top"/>
            </w:pPr>
            <w:hyperlink r:id="rId212" w:history="1">
              <w:r>
                <w:rPr>
                  <w:rStyle w:val="a5"/>
                  <w:rFonts w:ascii="Arial" w:eastAsia="宋体" w:hAnsi="Arial" w:cs="Arial"/>
                  <w:color w:val="262626"/>
                  <w:sz w:val="18"/>
                  <w:szCs w:val="18"/>
                </w:rPr>
                <w:t>Intel Corporation Restricted Stock Unit Agreement under the 2021 Inducement Plan (for strategic growth performance-b</w:t>
              </w:r>
              <w:r>
                <w:rPr>
                  <w:rStyle w:val="a5"/>
                  <w:rFonts w:ascii="Arial" w:eastAsia="宋体" w:hAnsi="Arial" w:cs="Arial"/>
                  <w:color w:val="262626"/>
                  <w:sz w:val="18"/>
                  <w:szCs w:val="18"/>
                </w:rPr>
                <w:t>ased RSUs)</w:t>
              </w:r>
            </w:hyperlink>
          </w:p>
        </w:tc>
        <w:tc>
          <w:tcPr>
            <w:tcW w:w="0" w:type="auto"/>
            <w:gridSpan w:val="3"/>
            <w:shd w:val="clear" w:color="auto" w:fill="auto"/>
            <w:tcMar>
              <w:top w:w="0" w:type="dxa"/>
              <w:left w:w="20" w:type="dxa"/>
              <w:bottom w:w="0" w:type="dxa"/>
              <w:right w:w="20" w:type="dxa"/>
            </w:tcMar>
            <w:vAlign w:val="bottom"/>
          </w:tcPr>
          <w:p w14:paraId="5A1B3E0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07"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E0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09"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E0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E0B" w14:textId="77777777" w:rsidR="00960BB8" w:rsidRDefault="00C06650">
            <w:pPr>
              <w:jc w:val="right"/>
              <w:textAlignment w:val="top"/>
            </w:pPr>
            <w:r>
              <w:rPr>
                <w:rFonts w:ascii="Arial" w:eastAsia="宋体" w:hAnsi="Arial" w:cs="Arial"/>
                <w:color w:val="262626"/>
                <w:sz w:val="18"/>
                <w:szCs w:val="18"/>
              </w:rPr>
              <w:t>10.6 </w:t>
            </w:r>
          </w:p>
        </w:tc>
        <w:tc>
          <w:tcPr>
            <w:tcW w:w="0" w:type="auto"/>
            <w:shd w:val="clear" w:color="auto" w:fill="auto"/>
            <w:tcMar>
              <w:top w:w="40" w:type="dxa"/>
              <w:left w:w="0" w:type="dxa"/>
              <w:bottom w:w="40" w:type="dxa"/>
              <w:right w:w="20" w:type="dxa"/>
            </w:tcMar>
          </w:tcPr>
          <w:p w14:paraId="5A1B3E0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E0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0E" w14:textId="77777777" w:rsidR="00960BB8" w:rsidRDefault="00C06650">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5A1B3E0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10" w14:textId="77777777" w:rsidR="00960BB8" w:rsidRDefault="00960BB8">
            <w:pPr>
              <w:rPr>
                <w:rFonts w:ascii="宋体"/>
              </w:rPr>
            </w:pPr>
          </w:p>
        </w:tc>
      </w:tr>
      <w:tr w:rsidR="00960BB8" w14:paraId="5A1B3E20" w14:textId="77777777">
        <w:tc>
          <w:tcPr>
            <w:tcW w:w="0" w:type="auto"/>
            <w:gridSpan w:val="3"/>
            <w:shd w:val="clear" w:color="auto" w:fill="auto"/>
            <w:tcMar>
              <w:top w:w="40" w:type="dxa"/>
              <w:left w:w="20" w:type="dxa"/>
              <w:bottom w:w="40" w:type="dxa"/>
              <w:right w:w="20" w:type="dxa"/>
            </w:tcMar>
          </w:tcPr>
          <w:p w14:paraId="5A1B3E12" w14:textId="77777777" w:rsidR="00960BB8" w:rsidRDefault="00C06650">
            <w:pPr>
              <w:jc w:val="center"/>
              <w:textAlignment w:val="top"/>
            </w:pPr>
            <w:r>
              <w:rPr>
                <w:rFonts w:ascii="Arial" w:eastAsia="宋体" w:hAnsi="Arial" w:cs="Arial"/>
                <w:color w:val="262626"/>
                <w:sz w:val="18"/>
                <w:szCs w:val="18"/>
              </w:rPr>
              <w:t>10.1.20</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E1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14" w14:textId="77777777" w:rsidR="00960BB8" w:rsidRDefault="00C06650">
            <w:pPr>
              <w:textAlignment w:val="top"/>
            </w:pPr>
            <w:hyperlink r:id="rId213" w:history="1">
              <w:r>
                <w:rPr>
                  <w:rStyle w:val="a5"/>
                  <w:rFonts w:ascii="Arial" w:eastAsia="宋体" w:hAnsi="Arial" w:cs="Arial"/>
                  <w:color w:val="262626"/>
                  <w:sz w:val="18"/>
                  <w:szCs w:val="18"/>
                </w:rPr>
                <w:t>Intel Corporation Restricted Stock Unit Agreement under the 2021 Inducement Plan (for outperformance performance-bas</w:t>
              </w:r>
              <w:r>
                <w:rPr>
                  <w:rStyle w:val="a5"/>
                  <w:rFonts w:ascii="Arial" w:eastAsia="宋体" w:hAnsi="Arial" w:cs="Arial"/>
                  <w:color w:val="262626"/>
                  <w:sz w:val="18"/>
                  <w:szCs w:val="18"/>
                </w:rPr>
                <w:t>ed RSUs)</w:t>
              </w:r>
            </w:hyperlink>
          </w:p>
        </w:tc>
        <w:tc>
          <w:tcPr>
            <w:tcW w:w="0" w:type="auto"/>
            <w:gridSpan w:val="3"/>
            <w:shd w:val="clear" w:color="auto" w:fill="auto"/>
            <w:tcMar>
              <w:top w:w="0" w:type="dxa"/>
              <w:left w:w="20" w:type="dxa"/>
              <w:bottom w:w="0" w:type="dxa"/>
              <w:right w:w="20" w:type="dxa"/>
            </w:tcMar>
            <w:vAlign w:val="bottom"/>
          </w:tcPr>
          <w:p w14:paraId="5A1B3E1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16"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E1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18"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E1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E1A" w14:textId="77777777" w:rsidR="00960BB8" w:rsidRDefault="00C06650">
            <w:pPr>
              <w:jc w:val="right"/>
              <w:textAlignment w:val="top"/>
            </w:pPr>
            <w:r>
              <w:rPr>
                <w:rFonts w:ascii="Arial" w:eastAsia="宋体" w:hAnsi="Arial" w:cs="Arial"/>
                <w:color w:val="262626"/>
                <w:sz w:val="18"/>
                <w:szCs w:val="18"/>
              </w:rPr>
              <w:t>10.7 </w:t>
            </w:r>
          </w:p>
        </w:tc>
        <w:tc>
          <w:tcPr>
            <w:tcW w:w="0" w:type="auto"/>
            <w:shd w:val="clear" w:color="auto" w:fill="auto"/>
            <w:tcMar>
              <w:top w:w="40" w:type="dxa"/>
              <w:left w:w="0" w:type="dxa"/>
              <w:bottom w:w="40" w:type="dxa"/>
              <w:right w:w="20" w:type="dxa"/>
            </w:tcMar>
          </w:tcPr>
          <w:p w14:paraId="5A1B3E1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E1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1D" w14:textId="77777777" w:rsidR="00960BB8" w:rsidRDefault="00C06650">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5A1B3E1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1F" w14:textId="77777777" w:rsidR="00960BB8" w:rsidRDefault="00960BB8">
            <w:pPr>
              <w:rPr>
                <w:rFonts w:ascii="宋体"/>
              </w:rPr>
            </w:pPr>
          </w:p>
        </w:tc>
      </w:tr>
      <w:tr w:rsidR="00960BB8" w14:paraId="5A1B3E2F" w14:textId="77777777">
        <w:tc>
          <w:tcPr>
            <w:tcW w:w="0" w:type="auto"/>
            <w:gridSpan w:val="3"/>
            <w:shd w:val="clear" w:color="auto" w:fill="auto"/>
            <w:tcMar>
              <w:top w:w="40" w:type="dxa"/>
              <w:left w:w="20" w:type="dxa"/>
              <w:bottom w:w="40" w:type="dxa"/>
              <w:right w:w="20" w:type="dxa"/>
            </w:tcMar>
          </w:tcPr>
          <w:p w14:paraId="5A1B3E21" w14:textId="77777777" w:rsidR="00960BB8" w:rsidRDefault="00C06650">
            <w:pPr>
              <w:jc w:val="center"/>
              <w:textAlignment w:val="top"/>
            </w:pPr>
            <w:r>
              <w:rPr>
                <w:rFonts w:ascii="Arial" w:eastAsia="宋体" w:hAnsi="Arial" w:cs="Arial"/>
                <w:color w:val="262626"/>
                <w:sz w:val="18"/>
                <w:szCs w:val="18"/>
              </w:rPr>
              <w:t>10.1.21</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E2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23" w14:textId="77777777" w:rsidR="00960BB8" w:rsidRDefault="00C06650">
            <w:pPr>
              <w:textAlignment w:val="top"/>
            </w:pPr>
            <w:hyperlink r:id="rId214" w:history="1">
              <w:r>
                <w:rPr>
                  <w:rStyle w:val="a5"/>
                  <w:rFonts w:ascii="Arial" w:eastAsia="宋体" w:hAnsi="Arial" w:cs="Arial"/>
                  <w:color w:val="262626"/>
                  <w:sz w:val="18"/>
                  <w:szCs w:val="18"/>
                </w:rPr>
                <w:t xml:space="preserve">Intel Corporation Option Agreement under the 2021 Inducement Plan (for strategic growth </w:t>
              </w:r>
              <w:r>
                <w:rPr>
                  <w:rStyle w:val="a5"/>
                  <w:rFonts w:ascii="Arial" w:eastAsia="宋体" w:hAnsi="Arial" w:cs="Arial"/>
                  <w:color w:val="262626"/>
                  <w:sz w:val="18"/>
                  <w:szCs w:val="18"/>
                </w:rPr>
                <w:t>performance-based stock options)</w:t>
              </w:r>
            </w:hyperlink>
          </w:p>
        </w:tc>
        <w:tc>
          <w:tcPr>
            <w:tcW w:w="0" w:type="auto"/>
            <w:gridSpan w:val="3"/>
            <w:shd w:val="clear" w:color="auto" w:fill="auto"/>
            <w:tcMar>
              <w:top w:w="0" w:type="dxa"/>
              <w:left w:w="20" w:type="dxa"/>
              <w:bottom w:w="0" w:type="dxa"/>
              <w:right w:w="20" w:type="dxa"/>
            </w:tcMar>
            <w:vAlign w:val="bottom"/>
          </w:tcPr>
          <w:p w14:paraId="5A1B3E2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25"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E2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27"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E2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E29" w14:textId="77777777" w:rsidR="00960BB8" w:rsidRDefault="00C06650">
            <w:pPr>
              <w:jc w:val="right"/>
              <w:textAlignment w:val="top"/>
            </w:pPr>
            <w:r>
              <w:rPr>
                <w:rFonts w:ascii="Arial" w:eastAsia="宋体" w:hAnsi="Arial" w:cs="Arial"/>
                <w:color w:val="262626"/>
                <w:sz w:val="18"/>
                <w:szCs w:val="18"/>
              </w:rPr>
              <w:t>10.8 </w:t>
            </w:r>
          </w:p>
        </w:tc>
        <w:tc>
          <w:tcPr>
            <w:tcW w:w="0" w:type="auto"/>
            <w:shd w:val="clear" w:color="auto" w:fill="auto"/>
            <w:tcMar>
              <w:top w:w="40" w:type="dxa"/>
              <w:left w:w="0" w:type="dxa"/>
              <w:bottom w:w="40" w:type="dxa"/>
              <w:right w:w="20" w:type="dxa"/>
            </w:tcMar>
          </w:tcPr>
          <w:p w14:paraId="5A1B3E2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E2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2C" w14:textId="77777777" w:rsidR="00960BB8" w:rsidRDefault="00C06650">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5A1B3E2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2E" w14:textId="77777777" w:rsidR="00960BB8" w:rsidRDefault="00960BB8">
            <w:pPr>
              <w:rPr>
                <w:rFonts w:ascii="宋体"/>
              </w:rPr>
            </w:pPr>
          </w:p>
        </w:tc>
      </w:tr>
      <w:tr w:rsidR="00960BB8" w14:paraId="5A1B3E3E" w14:textId="77777777">
        <w:tc>
          <w:tcPr>
            <w:tcW w:w="0" w:type="auto"/>
            <w:gridSpan w:val="3"/>
            <w:shd w:val="clear" w:color="auto" w:fill="auto"/>
            <w:tcMar>
              <w:top w:w="40" w:type="dxa"/>
              <w:left w:w="20" w:type="dxa"/>
              <w:bottom w:w="40" w:type="dxa"/>
              <w:right w:w="20" w:type="dxa"/>
            </w:tcMar>
          </w:tcPr>
          <w:p w14:paraId="5A1B3E30" w14:textId="77777777" w:rsidR="00960BB8" w:rsidRDefault="00C06650">
            <w:pPr>
              <w:jc w:val="center"/>
              <w:textAlignment w:val="top"/>
            </w:pPr>
            <w:r>
              <w:rPr>
                <w:rFonts w:ascii="Arial" w:eastAsia="宋体" w:hAnsi="Arial" w:cs="Arial"/>
                <w:color w:val="262626"/>
                <w:sz w:val="18"/>
                <w:szCs w:val="18"/>
              </w:rPr>
              <w:t>10.2</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E3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32" w14:textId="77777777" w:rsidR="00960BB8" w:rsidRDefault="00C06650">
            <w:pPr>
              <w:textAlignment w:val="top"/>
            </w:pPr>
            <w:hyperlink r:id="rId215" w:history="1">
              <w:r>
                <w:rPr>
                  <w:rStyle w:val="a5"/>
                  <w:rFonts w:ascii="Arial" w:eastAsia="宋体" w:hAnsi="Arial" w:cs="Arial"/>
                  <w:color w:val="262626"/>
                  <w:sz w:val="18"/>
                  <w:szCs w:val="18"/>
                </w:rPr>
                <w:t>Intel Corporation Executive Annual Performanc</w:t>
              </w:r>
              <w:r>
                <w:rPr>
                  <w:rStyle w:val="a5"/>
                  <w:rFonts w:ascii="Arial" w:eastAsia="宋体" w:hAnsi="Arial" w:cs="Arial"/>
                  <w:color w:val="262626"/>
                  <w:sz w:val="18"/>
                  <w:szCs w:val="18"/>
                </w:rPr>
                <w:t>e Bonus Plan, effective as of January 1, 2020</w:t>
              </w:r>
            </w:hyperlink>
          </w:p>
        </w:tc>
        <w:tc>
          <w:tcPr>
            <w:tcW w:w="0" w:type="auto"/>
            <w:gridSpan w:val="3"/>
            <w:shd w:val="clear" w:color="auto" w:fill="auto"/>
            <w:tcMar>
              <w:top w:w="0" w:type="dxa"/>
              <w:left w:w="20" w:type="dxa"/>
              <w:bottom w:w="0" w:type="dxa"/>
              <w:right w:w="20" w:type="dxa"/>
            </w:tcMar>
            <w:vAlign w:val="bottom"/>
          </w:tcPr>
          <w:p w14:paraId="5A1B3E3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34"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E3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36"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E3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E38" w14:textId="77777777" w:rsidR="00960BB8" w:rsidRDefault="00C06650">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5A1B3E3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E3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3B" w14:textId="77777777" w:rsidR="00960BB8" w:rsidRDefault="00C06650">
            <w:pPr>
              <w:jc w:val="right"/>
              <w:textAlignment w:val="top"/>
            </w:pPr>
            <w:r>
              <w:rPr>
                <w:rFonts w:ascii="Arial" w:eastAsia="宋体" w:hAnsi="Arial" w:cs="Arial"/>
                <w:color w:val="262626"/>
                <w:sz w:val="18"/>
                <w:szCs w:val="18"/>
              </w:rPr>
              <w:t>1/22/2020</w:t>
            </w:r>
          </w:p>
        </w:tc>
        <w:tc>
          <w:tcPr>
            <w:tcW w:w="0" w:type="auto"/>
            <w:gridSpan w:val="3"/>
            <w:shd w:val="clear" w:color="auto" w:fill="auto"/>
            <w:tcMar>
              <w:top w:w="0" w:type="dxa"/>
              <w:left w:w="20" w:type="dxa"/>
              <w:bottom w:w="0" w:type="dxa"/>
              <w:right w:w="20" w:type="dxa"/>
            </w:tcMar>
            <w:vAlign w:val="bottom"/>
          </w:tcPr>
          <w:p w14:paraId="5A1B3E3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3D" w14:textId="77777777" w:rsidR="00960BB8" w:rsidRDefault="00960BB8">
            <w:pPr>
              <w:rPr>
                <w:rFonts w:ascii="宋体"/>
              </w:rPr>
            </w:pPr>
          </w:p>
        </w:tc>
      </w:tr>
      <w:tr w:rsidR="00960BB8" w14:paraId="5A1B3E4C" w14:textId="77777777">
        <w:tc>
          <w:tcPr>
            <w:tcW w:w="0" w:type="auto"/>
            <w:gridSpan w:val="3"/>
            <w:shd w:val="clear" w:color="auto" w:fill="auto"/>
            <w:tcMar>
              <w:top w:w="40" w:type="dxa"/>
              <w:left w:w="20" w:type="dxa"/>
              <w:bottom w:w="40" w:type="dxa"/>
              <w:right w:w="20" w:type="dxa"/>
            </w:tcMar>
          </w:tcPr>
          <w:p w14:paraId="5A1B3E3F" w14:textId="77777777" w:rsidR="00960BB8" w:rsidRDefault="00C06650">
            <w:pPr>
              <w:jc w:val="center"/>
              <w:textAlignment w:val="top"/>
            </w:pPr>
            <w:r>
              <w:rPr>
                <w:rFonts w:ascii="Arial" w:eastAsia="宋体" w:hAnsi="Arial" w:cs="Arial"/>
                <w:color w:val="262626"/>
                <w:sz w:val="18"/>
                <w:szCs w:val="18"/>
              </w:rPr>
              <w:t>10.3</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E4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41" w14:textId="77777777" w:rsidR="00960BB8" w:rsidRDefault="00C06650">
            <w:pPr>
              <w:textAlignment w:val="top"/>
            </w:pPr>
            <w:hyperlink r:id="rId216" w:history="1">
              <w:r>
                <w:rPr>
                  <w:rStyle w:val="a5"/>
                  <w:rFonts w:ascii="Arial" w:eastAsia="宋体" w:hAnsi="Arial" w:cs="Arial"/>
                  <w:color w:val="262626"/>
                  <w:sz w:val="18"/>
                  <w:szCs w:val="18"/>
                </w:rPr>
                <w:t>Intel Corporation Sheltered Employee Retirement Plan Plus, as amended and restated, effective January 1, 2020</w:t>
              </w:r>
            </w:hyperlink>
          </w:p>
        </w:tc>
        <w:tc>
          <w:tcPr>
            <w:tcW w:w="0" w:type="auto"/>
            <w:gridSpan w:val="3"/>
            <w:shd w:val="clear" w:color="auto" w:fill="auto"/>
            <w:tcMar>
              <w:top w:w="0" w:type="dxa"/>
              <w:left w:w="20" w:type="dxa"/>
              <w:bottom w:w="0" w:type="dxa"/>
              <w:right w:w="20" w:type="dxa"/>
            </w:tcMar>
            <w:vAlign w:val="bottom"/>
          </w:tcPr>
          <w:p w14:paraId="5A1B3E4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43"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E4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45"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E4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47" w14:textId="77777777" w:rsidR="00960BB8" w:rsidRDefault="00C06650">
            <w:pPr>
              <w:jc w:val="right"/>
              <w:textAlignment w:val="top"/>
            </w:pPr>
            <w:r>
              <w:rPr>
                <w:rFonts w:ascii="Arial" w:eastAsia="宋体" w:hAnsi="Arial" w:cs="Arial"/>
                <w:color w:val="262626"/>
                <w:sz w:val="18"/>
                <w:szCs w:val="18"/>
              </w:rPr>
              <w:t>10.3</w:t>
            </w:r>
          </w:p>
        </w:tc>
        <w:tc>
          <w:tcPr>
            <w:tcW w:w="0" w:type="auto"/>
            <w:gridSpan w:val="3"/>
            <w:shd w:val="clear" w:color="auto" w:fill="auto"/>
            <w:tcMar>
              <w:top w:w="0" w:type="dxa"/>
              <w:left w:w="20" w:type="dxa"/>
              <w:bottom w:w="0" w:type="dxa"/>
              <w:right w:w="20" w:type="dxa"/>
            </w:tcMar>
            <w:vAlign w:val="bottom"/>
          </w:tcPr>
          <w:p w14:paraId="5A1B3E4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49" w14:textId="77777777" w:rsidR="00960BB8" w:rsidRDefault="00C06650">
            <w:pPr>
              <w:jc w:val="right"/>
              <w:textAlignment w:val="top"/>
            </w:pPr>
            <w:r>
              <w:rPr>
                <w:rFonts w:ascii="Arial" w:eastAsia="宋体" w:hAnsi="Arial" w:cs="Arial"/>
                <w:color w:val="262626"/>
                <w:sz w:val="18"/>
                <w:szCs w:val="18"/>
              </w:rPr>
              <w:t>4/24/2020</w:t>
            </w:r>
          </w:p>
        </w:tc>
        <w:tc>
          <w:tcPr>
            <w:tcW w:w="0" w:type="auto"/>
            <w:gridSpan w:val="3"/>
            <w:shd w:val="clear" w:color="auto" w:fill="auto"/>
            <w:tcMar>
              <w:top w:w="0" w:type="dxa"/>
              <w:left w:w="20" w:type="dxa"/>
              <w:bottom w:w="0" w:type="dxa"/>
              <w:right w:w="20" w:type="dxa"/>
            </w:tcMar>
            <w:vAlign w:val="bottom"/>
          </w:tcPr>
          <w:p w14:paraId="5A1B3E4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4B" w14:textId="77777777" w:rsidR="00960BB8" w:rsidRDefault="00960BB8">
            <w:pPr>
              <w:rPr>
                <w:rFonts w:ascii="宋体"/>
              </w:rPr>
            </w:pPr>
          </w:p>
        </w:tc>
      </w:tr>
      <w:tr w:rsidR="00960BB8" w14:paraId="5A1B3E5B" w14:textId="77777777">
        <w:tc>
          <w:tcPr>
            <w:tcW w:w="0" w:type="auto"/>
            <w:gridSpan w:val="3"/>
            <w:shd w:val="clear" w:color="auto" w:fill="auto"/>
            <w:tcMar>
              <w:top w:w="40" w:type="dxa"/>
              <w:left w:w="20" w:type="dxa"/>
              <w:bottom w:w="40" w:type="dxa"/>
              <w:right w:w="20" w:type="dxa"/>
            </w:tcMar>
          </w:tcPr>
          <w:p w14:paraId="5A1B3E4D" w14:textId="77777777" w:rsidR="00960BB8" w:rsidRDefault="00C06650">
            <w:pPr>
              <w:jc w:val="center"/>
              <w:textAlignment w:val="top"/>
            </w:pPr>
            <w:r>
              <w:rPr>
                <w:rFonts w:ascii="Arial" w:eastAsia="宋体" w:hAnsi="Arial" w:cs="Arial"/>
                <w:color w:val="262626"/>
                <w:sz w:val="18"/>
                <w:szCs w:val="18"/>
              </w:rPr>
              <w:t>10.4</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E4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4F" w14:textId="77777777" w:rsidR="00960BB8" w:rsidRDefault="00C06650">
            <w:pPr>
              <w:textAlignment w:val="top"/>
            </w:pPr>
            <w:hyperlink r:id="rId217" w:history="1">
              <w:r>
                <w:rPr>
                  <w:rStyle w:val="a5"/>
                  <w:rFonts w:ascii="Arial" w:eastAsia="宋体" w:hAnsi="Arial" w:cs="Arial"/>
                  <w:sz w:val="18"/>
                  <w:szCs w:val="18"/>
                </w:rPr>
                <w:t>First Amendment to Intel Corporation Sheltered Employee Retirement Plan Plus dated January 1, 2020</w:t>
              </w:r>
            </w:hyperlink>
          </w:p>
        </w:tc>
        <w:tc>
          <w:tcPr>
            <w:tcW w:w="0" w:type="auto"/>
            <w:gridSpan w:val="3"/>
            <w:shd w:val="clear" w:color="auto" w:fill="auto"/>
            <w:tcMar>
              <w:top w:w="0" w:type="dxa"/>
              <w:left w:w="20" w:type="dxa"/>
              <w:bottom w:w="0" w:type="dxa"/>
              <w:right w:w="20" w:type="dxa"/>
            </w:tcMar>
            <w:vAlign w:val="bottom"/>
          </w:tcPr>
          <w:p w14:paraId="5A1B3E5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51"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E5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53"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E54"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E55" w14:textId="77777777" w:rsidR="00960BB8" w:rsidRDefault="00C06650">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5A1B3E56"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E5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58" w14:textId="77777777" w:rsidR="00960BB8" w:rsidRDefault="00C06650">
            <w:pPr>
              <w:jc w:val="right"/>
              <w:textAlignment w:val="top"/>
            </w:pPr>
            <w:r>
              <w:rPr>
                <w:rFonts w:ascii="Arial" w:eastAsia="宋体" w:hAnsi="Arial" w:cs="Arial"/>
                <w:color w:val="262626"/>
                <w:sz w:val="18"/>
                <w:szCs w:val="18"/>
              </w:rPr>
              <w:t>7/29/2022</w:t>
            </w:r>
          </w:p>
        </w:tc>
        <w:tc>
          <w:tcPr>
            <w:tcW w:w="0" w:type="auto"/>
            <w:gridSpan w:val="3"/>
            <w:shd w:val="clear" w:color="auto" w:fill="auto"/>
            <w:tcMar>
              <w:top w:w="0" w:type="dxa"/>
              <w:left w:w="20" w:type="dxa"/>
              <w:bottom w:w="0" w:type="dxa"/>
              <w:right w:w="20" w:type="dxa"/>
            </w:tcMar>
            <w:vAlign w:val="bottom"/>
          </w:tcPr>
          <w:p w14:paraId="5A1B3E5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5A" w14:textId="77777777" w:rsidR="00960BB8" w:rsidRDefault="00960BB8">
            <w:pPr>
              <w:rPr>
                <w:rFonts w:ascii="宋体"/>
              </w:rPr>
            </w:pPr>
          </w:p>
        </w:tc>
      </w:tr>
      <w:tr w:rsidR="00960BB8" w14:paraId="5A1B3E69" w14:textId="77777777">
        <w:tc>
          <w:tcPr>
            <w:tcW w:w="0" w:type="auto"/>
            <w:gridSpan w:val="3"/>
            <w:shd w:val="clear" w:color="auto" w:fill="auto"/>
            <w:tcMar>
              <w:top w:w="40" w:type="dxa"/>
              <w:left w:w="20" w:type="dxa"/>
              <w:bottom w:w="40" w:type="dxa"/>
              <w:right w:w="20" w:type="dxa"/>
            </w:tcMar>
          </w:tcPr>
          <w:p w14:paraId="5A1B3E5C" w14:textId="77777777" w:rsidR="00960BB8" w:rsidRDefault="00C06650">
            <w:pPr>
              <w:jc w:val="center"/>
              <w:textAlignment w:val="top"/>
            </w:pPr>
            <w:r>
              <w:rPr>
                <w:rFonts w:ascii="Arial" w:eastAsia="宋体" w:hAnsi="Arial" w:cs="Arial"/>
                <w:color w:val="262626"/>
                <w:sz w:val="18"/>
                <w:szCs w:val="18"/>
              </w:rPr>
              <w:t>10.5</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E5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5E" w14:textId="77777777" w:rsidR="00960BB8" w:rsidRDefault="00C06650">
            <w:pPr>
              <w:textAlignment w:val="top"/>
            </w:pPr>
            <w:hyperlink r:id="rId218" w:history="1">
              <w:r>
                <w:rPr>
                  <w:rStyle w:val="a5"/>
                  <w:rFonts w:ascii="Arial" w:eastAsia="宋体" w:hAnsi="Arial" w:cs="Arial"/>
                  <w:sz w:val="18"/>
                  <w:szCs w:val="18"/>
                </w:rPr>
                <w:t>Second Amendment to Intel Corporation Sheltered Employee Retirement Plan Plus dated January 1, 2023</w:t>
              </w:r>
            </w:hyperlink>
          </w:p>
        </w:tc>
        <w:tc>
          <w:tcPr>
            <w:tcW w:w="0" w:type="auto"/>
            <w:gridSpan w:val="3"/>
            <w:shd w:val="clear" w:color="auto" w:fill="auto"/>
            <w:tcMar>
              <w:top w:w="0" w:type="dxa"/>
              <w:left w:w="20" w:type="dxa"/>
              <w:bottom w:w="0" w:type="dxa"/>
              <w:right w:w="20" w:type="dxa"/>
            </w:tcMar>
            <w:vAlign w:val="bottom"/>
          </w:tcPr>
          <w:p w14:paraId="5A1B3E5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6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6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6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6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6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6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6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6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E68" w14:textId="77777777" w:rsidR="00960BB8" w:rsidRDefault="00C06650">
            <w:pPr>
              <w:jc w:val="center"/>
              <w:textAlignment w:val="bottom"/>
            </w:pPr>
            <w:r>
              <w:rPr>
                <w:rFonts w:ascii="Arial" w:eastAsia="宋体" w:hAnsi="Arial" w:cs="Arial"/>
                <w:color w:val="262626"/>
                <w:sz w:val="18"/>
                <w:szCs w:val="18"/>
              </w:rPr>
              <w:t>X</w:t>
            </w:r>
          </w:p>
        </w:tc>
      </w:tr>
      <w:tr w:rsidR="00960BB8" w14:paraId="5A1B3E78" w14:textId="77777777">
        <w:tc>
          <w:tcPr>
            <w:tcW w:w="0" w:type="auto"/>
            <w:gridSpan w:val="3"/>
            <w:shd w:val="clear" w:color="auto" w:fill="auto"/>
            <w:tcMar>
              <w:top w:w="40" w:type="dxa"/>
              <w:left w:w="20" w:type="dxa"/>
              <w:bottom w:w="40" w:type="dxa"/>
              <w:right w:w="20" w:type="dxa"/>
            </w:tcMar>
          </w:tcPr>
          <w:p w14:paraId="5A1B3E6A" w14:textId="77777777" w:rsidR="00960BB8" w:rsidRDefault="00C06650">
            <w:pPr>
              <w:jc w:val="center"/>
              <w:textAlignment w:val="top"/>
            </w:pPr>
            <w:r>
              <w:rPr>
                <w:rFonts w:ascii="Arial" w:eastAsia="宋体" w:hAnsi="Arial" w:cs="Arial"/>
                <w:color w:val="262626"/>
                <w:sz w:val="18"/>
                <w:szCs w:val="18"/>
              </w:rPr>
              <w:t>10.6</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E6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6C" w14:textId="77777777" w:rsidR="00960BB8" w:rsidRDefault="00C06650">
            <w:pPr>
              <w:textAlignment w:val="top"/>
            </w:pPr>
            <w:hyperlink r:id="rId219" w:history="1">
              <w:r>
                <w:rPr>
                  <w:rStyle w:val="a5"/>
                  <w:rFonts w:ascii="Arial" w:eastAsia="宋体" w:hAnsi="Arial" w:cs="Arial"/>
                  <w:sz w:val="18"/>
                  <w:szCs w:val="18"/>
                </w:rPr>
                <w:t>Intel Corporation 2006 Employee Stock Purchase Plan, as amended and restated, effective February 12, 2022</w:t>
              </w:r>
            </w:hyperlink>
          </w:p>
        </w:tc>
        <w:tc>
          <w:tcPr>
            <w:tcW w:w="0" w:type="auto"/>
            <w:gridSpan w:val="3"/>
            <w:shd w:val="clear" w:color="auto" w:fill="auto"/>
            <w:tcMar>
              <w:top w:w="0" w:type="dxa"/>
              <w:left w:w="20" w:type="dxa"/>
              <w:bottom w:w="0" w:type="dxa"/>
              <w:right w:w="20" w:type="dxa"/>
            </w:tcMar>
            <w:vAlign w:val="bottom"/>
          </w:tcPr>
          <w:p w14:paraId="5A1B3E6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6E"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E6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70"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E7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E72" w14:textId="77777777" w:rsidR="00960BB8" w:rsidRDefault="00C06650">
            <w:pPr>
              <w:jc w:val="right"/>
              <w:textAlignment w:val="top"/>
            </w:pPr>
            <w:r>
              <w:rPr>
                <w:rFonts w:ascii="Arial" w:eastAsia="宋体" w:hAnsi="Arial" w:cs="Arial"/>
                <w:color w:val="262626"/>
                <w:sz w:val="18"/>
                <w:szCs w:val="18"/>
              </w:rPr>
              <w:t>10.2 </w:t>
            </w:r>
          </w:p>
        </w:tc>
        <w:tc>
          <w:tcPr>
            <w:tcW w:w="0" w:type="auto"/>
            <w:shd w:val="clear" w:color="auto" w:fill="auto"/>
            <w:tcMar>
              <w:top w:w="40" w:type="dxa"/>
              <w:left w:w="0" w:type="dxa"/>
              <w:bottom w:w="40" w:type="dxa"/>
              <w:right w:w="20" w:type="dxa"/>
            </w:tcMar>
          </w:tcPr>
          <w:p w14:paraId="5A1B3E7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E7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75" w14:textId="77777777" w:rsidR="00960BB8" w:rsidRDefault="00C06650">
            <w:pPr>
              <w:jc w:val="right"/>
              <w:textAlignment w:val="top"/>
            </w:pPr>
            <w:r>
              <w:rPr>
                <w:rFonts w:ascii="Arial" w:eastAsia="宋体" w:hAnsi="Arial" w:cs="Arial"/>
                <w:color w:val="262626"/>
                <w:sz w:val="18"/>
                <w:szCs w:val="18"/>
              </w:rPr>
              <w:t>4/29/2022</w:t>
            </w:r>
          </w:p>
        </w:tc>
        <w:tc>
          <w:tcPr>
            <w:tcW w:w="0" w:type="auto"/>
            <w:gridSpan w:val="3"/>
            <w:shd w:val="clear" w:color="auto" w:fill="auto"/>
            <w:tcMar>
              <w:top w:w="0" w:type="dxa"/>
              <w:left w:w="20" w:type="dxa"/>
              <w:bottom w:w="0" w:type="dxa"/>
              <w:right w:w="20" w:type="dxa"/>
            </w:tcMar>
            <w:vAlign w:val="bottom"/>
          </w:tcPr>
          <w:p w14:paraId="5A1B3E7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77" w14:textId="77777777" w:rsidR="00960BB8" w:rsidRDefault="00960BB8">
            <w:pPr>
              <w:rPr>
                <w:rFonts w:ascii="宋体"/>
              </w:rPr>
            </w:pPr>
          </w:p>
        </w:tc>
      </w:tr>
    </w:tbl>
    <w:p w14:paraId="5A1B3E79"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3E83" w14:textId="77777777">
        <w:tc>
          <w:tcPr>
            <w:tcW w:w="50" w:type="pct"/>
            <w:shd w:val="clear" w:color="auto" w:fill="auto"/>
            <w:vAlign w:val="bottom"/>
          </w:tcPr>
          <w:p w14:paraId="5A1B3E7A" w14:textId="77777777" w:rsidR="00960BB8" w:rsidRDefault="00960BB8">
            <w:pPr>
              <w:rPr>
                <w:rFonts w:ascii="宋体"/>
              </w:rPr>
            </w:pPr>
          </w:p>
        </w:tc>
        <w:tc>
          <w:tcPr>
            <w:tcW w:w="283" w:type="pct"/>
            <w:shd w:val="clear" w:color="auto" w:fill="auto"/>
            <w:vAlign w:val="bottom"/>
          </w:tcPr>
          <w:p w14:paraId="5A1B3E7B" w14:textId="77777777" w:rsidR="00960BB8" w:rsidRDefault="00960BB8">
            <w:pPr>
              <w:rPr>
                <w:rFonts w:ascii="宋体"/>
              </w:rPr>
            </w:pPr>
          </w:p>
        </w:tc>
        <w:tc>
          <w:tcPr>
            <w:tcW w:w="5" w:type="pct"/>
            <w:shd w:val="clear" w:color="auto" w:fill="auto"/>
            <w:vAlign w:val="bottom"/>
          </w:tcPr>
          <w:p w14:paraId="5A1B3E7C" w14:textId="77777777" w:rsidR="00960BB8" w:rsidRDefault="00960BB8">
            <w:pPr>
              <w:rPr>
                <w:rFonts w:ascii="宋体"/>
              </w:rPr>
            </w:pPr>
          </w:p>
        </w:tc>
        <w:tc>
          <w:tcPr>
            <w:tcW w:w="50" w:type="pct"/>
            <w:shd w:val="clear" w:color="auto" w:fill="auto"/>
            <w:vAlign w:val="bottom"/>
          </w:tcPr>
          <w:p w14:paraId="5A1B3E7D" w14:textId="77777777" w:rsidR="00960BB8" w:rsidRDefault="00960BB8">
            <w:pPr>
              <w:rPr>
                <w:rFonts w:ascii="宋体"/>
              </w:rPr>
            </w:pPr>
          </w:p>
        </w:tc>
        <w:tc>
          <w:tcPr>
            <w:tcW w:w="2656" w:type="pct"/>
            <w:shd w:val="clear" w:color="auto" w:fill="auto"/>
            <w:vAlign w:val="bottom"/>
          </w:tcPr>
          <w:p w14:paraId="5A1B3E7E" w14:textId="77777777" w:rsidR="00960BB8" w:rsidRDefault="00960BB8">
            <w:pPr>
              <w:rPr>
                <w:rFonts w:ascii="宋体"/>
              </w:rPr>
            </w:pPr>
          </w:p>
        </w:tc>
        <w:tc>
          <w:tcPr>
            <w:tcW w:w="5" w:type="pct"/>
            <w:shd w:val="clear" w:color="auto" w:fill="auto"/>
            <w:vAlign w:val="bottom"/>
          </w:tcPr>
          <w:p w14:paraId="5A1B3E7F" w14:textId="77777777" w:rsidR="00960BB8" w:rsidRDefault="00960BB8">
            <w:pPr>
              <w:rPr>
                <w:rFonts w:ascii="宋体"/>
              </w:rPr>
            </w:pPr>
          </w:p>
        </w:tc>
        <w:tc>
          <w:tcPr>
            <w:tcW w:w="50" w:type="pct"/>
            <w:shd w:val="clear" w:color="auto" w:fill="auto"/>
            <w:vAlign w:val="bottom"/>
          </w:tcPr>
          <w:p w14:paraId="5A1B3E80" w14:textId="77777777" w:rsidR="00960BB8" w:rsidRDefault="00960BB8">
            <w:pPr>
              <w:rPr>
                <w:rFonts w:ascii="宋体"/>
              </w:rPr>
            </w:pPr>
          </w:p>
        </w:tc>
        <w:tc>
          <w:tcPr>
            <w:tcW w:w="1894" w:type="pct"/>
            <w:shd w:val="clear" w:color="auto" w:fill="auto"/>
            <w:vAlign w:val="bottom"/>
          </w:tcPr>
          <w:p w14:paraId="5A1B3E81" w14:textId="77777777" w:rsidR="00960BB8" w:rsidRDefault="00960BB8">
            <w:pPr>
              <w:rPr>
                <w:rFonts w:ascii="宋体"/>
              </w:rPr>
            </w:pPr>
          </w:p>
        </w:tc>
        <w:tc>
          <w:tcPr>
            <w:tcW w:w="5" w:type="pct"/>
            <w:shd w:val="clear" w:color="auto" w:fill="auto"/>
            <w:vAlign w:val="bottom"/>
          </w:tcPr>
          <w:p w14:paraId="5A1B3E82" w14:textId="77777777" w:rsidR="00960BB8" w:rsidRDefault="00960BB8">
            <w:pPr>
              <w:rPr>
                <w:rFonts w:ascii="宋体"/>
              </w:rPr>
            </w:pPr>
          </w:p>
        </w:tc>
      </w:tr>
      <w:tr w:rsidR="00960BB8" w14:paraId="5A1B3E8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E84"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F0" wp14:editId="5A1B44F1">
                  <wp:extent cx="304800" cy="304800"/>
                  <wp:effectExtent l="0" t="0" r="0" b="0"/>
                  <wp:docPr id="184" name="图片 33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33"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E85" w14:textId="77777777" w:rsidR="00960BB8" w:rsidRDefault="00C06650">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3E86" w14:textId="77777777" w:rsidR="00960BB8" w:rsidRDefault="00C06650">
            <w:pPr>
              <w:jc w:val="right"/>
              <w:textAlignment w:val="center"/>
            </w:pPr>
            <w:r>
              <w:rPr>
                <w:rFonts w:ascii="Arial" w:eastAsia="宋体" w:hAnsi="Arial" w:cs="Arial"/>
                <w:color w:val="262626"/>
                <w:sz w:val="16"/>
                <w:szCs w:val="16"/>
              </w:rPr>
              <w:t>122</w:t>
            </w:r>
          </w:p>
        </w:tc>
      </w:tr>
    </w:tbl>
    <w:p w14:paraId="5A1B3E88" w14:textId="77777777" w:rsidR="00960BB8" w:rsidRDefault="00C06650">
      <w:r>
        <w:pict w14:anchorId="5A1B44F2">
          <v:rect id="_x0000_i1148" style="width:415.3pt;height:1.5pt" o:hralign="center" o:hrstd="t" o:hr="t" fillcolor="#a0a0a0" stroked="f"/>
        </w:pict>
      </w:r>
    </w:p>
    <w:p w14:paraId="5A1B3E89" w14:textId="77777777" w:rsidR="00960BB8" w:rsidRDefault="00C06650">
      <w:pPr>
        <w:jc w:val="right"/>
      </w:pPr>
      <w:hyperlink r:id="rId220" w:anchor="i8aaa7b4dbd2e419ca0f5c30af85a11aa_16" w:history="1">
        <w:r>
          <w:rPr>
            <w:rStyle w:val="a5"/>
            <w:rFonts w:ascii="Arial" w:eastAsia="宋体" w:hAnsi="Arial" w:cs="Arial"/>
            <w:b/>
            <w:bCs/>
            <w:sz w:val="16"/>
            <w:szCs w:val="16"/>
          </w:rPr>
          <w:t>Table of Contents</w:t>
        </w:r>
      </w:hyperlink>
    </w:p>
    <w:p w14:paraId="5A1B3E8A" w14:textId="77777777" w:rsidR="00960BB8" w:rsidRDefault="00960BB8">
      <w:pPr>
        <w:jc w:val="right"/>
      </w:pPr>
    </w:p>
    <w:tbl>
      <w:tblPr>
        <w:tblW w:w="4973" w:type="pct"/>
        <w:tblCellMar>
          <w:top w:w="15" w:type="dxa"/>
          <w:left w:w="15" w:type="dxa"/>
          <w:bottom w:w="15" w:type="dxa"/>
          <w:right w:w="15" w:type="dxa"/>
        </w:tblCellMar>
        <w:tblLook w:val="04A0" w:firstRow="1" w:lastRow="0" w:firstColumn="1" w:lastColumn="0" w:noHBand="0" w:noVBand="1"/>
      </w:tblPr>
      <w:tblGrid>
        <w:gridCol w:w="83"/>
        <w:gridCol w:w="630"/>
        <w:gridCol w:w="36"/>
        <w:gridCol w:w="36"/>
        <w:gridCol w:w="36"/>
        <w:gridCol w:w="36"/>
        <w:gridCol w:w="38"/>
        <w:gridCol w:w="2603"/>
        <w:gridCol w:w="37"/>
        <w:gridCol w:w="36"/>
        <w:gridCol w:w="36"/>
        <w:gridCol w:w="36"/>
        <w:gridCol w:w="69"/>
        <w:gridCol w:w="415"/>
        <w:gridCol w:w="37"/>
        <w:gridCol w:w="37"/>
        <w:gridCol w:w="37"/>
        <w:gridCol w:w="37"/>
        <w:gridCol w:w="86"/>
        <w:gridCol w:w="987"/>
        <w:gridCol w:w="37"/>
        <w:gridCol w:w="37"/>
        <w:gridCol w:w="37"/>
        <w:gridCol w:w="37"/>
        <w:gridCol w:w="89"/>
        <w:gridCol w:w="544"/>
        <w:gridCol w:w="37"/>
        <w:gridCol w:w="37"/>
        <w:gridCol w:w="37"/>
        <w:gridCol w:w="36"/>
        <w:gridCol w:w="91"/>
        <w:gridCol w:w="841"/>
        <w:gridCol w:w="36"/>
        <w:gridCol w:w="36"/>
        <w:gridCol w:w="36"/>
        <w:gridCol w:w="36"/>
        <w:gridCol w:w="87"/>
        <w:gridCol w:w="816"/>
        <w:gridCol w:w="36"/>
      </w:tblGrid>
      <w:tr w:rsidR="00960BB8" w14:paraId="5A1B3EB2" w14:textId="77777777">
        <w:tc>
          <w:tcPr>
            <w:tcW w:w="50" w:type="pct"/>
            <w:shd w:val="clear" w:color="auto" w:fill="auto"/>
            <w:vAlign w:val="bottom"/>
          </w:tcPr>
          <w:p w14:paraId="5A1B3E8B" w14:textId="77777777" w:rsidR="00960BB8" w:rsidRDefault="00960BB8">
            <w:pPr>
              <w:rPr>
                <w:rFonts w:ascii="宋体"/>
              </w:rPr>
            </w:pPr>
          </w:p>
        </w:tc>
        <w:tc>
          <w:tcPr>
            <w:tcW w:w="384" w:type="pct"/>
            <w:shd w:val="clear" w:color="auto" w:fill="auto"/>
            <w:vAlign w:val="bottom"/>
          </w:tcPr>
          <w:p w14:paraId="5A1B3E8C" w14:textId="77777777" w:rsidR="00960BB8" w:rsidRDefault="00960BB8">
            <w:pPr>
              <w:rPr>
                <w:rFonts w:ascii="宋体"/>
              </w:rPr>
            </w:pPr>
          </w:p>
        </w:tc>
        <w:tc>
          <w:tcPr>
            <w:tcW w:w="5" w:type="pct"/>
            <w:shd w:val="clear" w:color="auto" w:fill="auto"/>
            <w:vAlign w:val="bottom"/>
          </w:tcPr>
          <w:p w14:paraId="5A1B3E8D" w14:textId="77777777" w:rsidR="00960BB8" w:rsidRDefault="00960BB8">
            <w:pPr>
              <w:rPr>
                <w:rFonts w:ascii="宋体"/>
              </w:rPr>
            </w:pPr>
          </w:p>
        </w:tc>
        <w:tc>
          <w:tcPr>
            <w:tcW w:w="5" w:type="pct"/>
            <w:shd w:val="clear" w:color="auto" w:fill="auto"/>
            <w:vAlign w:val="bottom"/>
          </w:tcPr>
          <w:p w14:paraId="5A1B3E8E" w14:textId="77777777" w:rsidR="00960BB8" w:rsidRDefault="00960BB8">
            <w:pPr>
              <w:rPr>
                <w:rFonts w:ascii="宋体"/>
              </w:rPr>
            </w:pPr>
          </w:p>
        </w:tc>
        <w:tc>
          <w:tcPr>
            <w:tcW w:w="24" w:type="pct"/>
            <w:shd w:val="clear" w:color="auto" w:fill="auto"/>
            <w:vAlign w:val="bottom"/>
          </w:tcPr>
          <w:p w14:paraId="5A1B3E8F" w14:textId="77777777" w:rsidR="00960BB8" w:rsidRDefault="00960BB8">
            <w:pPr>
              <w:rPr>
                <w:rFonts w:ascii="宋体"/>
              </w:rPr>
            </w:pPr>
          </w:p>
        </w:tc>
        <w:tc>
          <w:tcPr>
            <w:tcW w:w="5" w:type="pct"/>
            <w:shd w:val="clear" w:color="auto" w:fill="auto"/>
            <w:vAlign w:val="bottom"/>
          </w:tcPr>
          <w:p w14:paraId="5A1B3E90" w14:textId="77777777" w:rsidR="00960BB8" w:rsidRDefault="00960BB8">
            <w:pPr>
              <w:rPr>
                <w:rFonts w:ascii="宋体"/>
              </w:rPr>
            </w:pPr>
          </w:p>
        </w:tc>
        <w:tc>
          <w:tcPr>
            <w:tcW w:w="50" w:type="pct"/>
            <w:shd w:val="clear" w:color="auto" w:fill="auto"/>
            <w:vAlign w:val="bottom"/>
          </w:tcPr>
          <w:p w14:paraId="5A1B3E91" w14:textId="77777777" w:rsidR="00960BB8" w:rsidRDefault="00960BB8">
            <w:pPr>
              <w:rPr>
                <w:rFonts w:ascii="宋体"/>
              </w:rPr>
            </w:pPr>
          </w:p>
        </w:tc>
        <w:tc>
          <w:tcPr>
            <w:tcW w:w="1895" w:type="pct"/>
            <w:shd w:val="clear" w:color="auto" w:fill="auto"/>
            <w:vAlign w:val="bottom"/>
          </w:tcPr>
          <w:p w14:paraId="5A1B3E92" w14:textId="77777777" w:rsidR="00960BB8" w:rsidRDefault="00960BB8">
            <w:pPr>
              <w:rPr>
                <w:rFonts w:ascii="宋体"/>
              </w:rPr>
            </w:pPr>
          </w:p>
        </w:tc>
        <w:tc>
          <w:tcPr>
            <w:tcW w:w="5" w:type="pct"/>
            <w:shd w:val="clear" w:color="auto" w:fill="auto"/>
            <w:vAlign w:val="bottom"/>
          </w:tcPr>
          <w:p w14:paraId="5A1B3E93" w14:textId="77777777" w:rsidR="00960BB8" w:rsidRDefault="00960BB8">
            <w:pPr>
              <w:rPr>
                <w:rFonts w:ascii="宋体"/>
              </w:rPr>
            </w:pPr>
          </w:p>
        </w:tc>
        <w:tc>
          <w:tcPr>
            <w:tcW w:w="5" w:type="pct"/>
            <w:shd w:val="clear" w:color="auto" w:fill="auto"/>
            <w:vAlign w:val="bottom"/>
          </w:tcPr>
          <w:p w14:paraId="5A1B3E94" w14:textId="77777777" w:rsidR="00960BB8" w:rsidRDefault="00960BB8">
            <w:pPr>
              <w:rPr>
                <w:rFonts w:ascii="宋体"/>
              </w:rPr>
            </w:pPr>
          </w:p>
        </w:tc>
        <w:tc>
          <w:tcPr>
            <w:tcW w:w="24" w:type="pct"/>
            <w:shd w:val="clear" w:color="auto" w:fill="auto"/>
            <w:vAlign w:val="bottom"/>
          </w:tcPr>
          <w:p w14:paraId="5A1B3E95" w14:textId="77777777" w:rsidR="00960BB8" w:rsidRDefault="00960BB8">
            <w:pPr>
              <w:rPr>
                <w:rFonts w:ascii="宋体"/>
              </w:rPr>
            </w:pPr>
          </w:p>
        </w:tc>
        <w:tc>
          <w:tcPr>
            <w:tcW w:w="5" w:type="pct"/>
            <w:shd w:val="clear" w:color="auto" w:fill="auto"/>
            <w:vAlign w:val="bottom"/>
          </w:tcPr>
          <w:p w14:paraId="5A1B3E96" w14:textId="77777777" w:rsidR="00960BB8" w:rsidRDefault="00960BB8">
            <w:pPr>
              <w:rPr>
                <w:rFonts w:ascii="宋体"/>
              </w:rPr>
            </w:pPr>
          </w:p>
        </w:tc>
        <w:tc>
          <w:tcPr>
            <w:tcW w:w="50" w:type="pct"/>
            <w:shd w:val="clear" w:color="auto" w:fill="auto"/>
            <w:vAlign w:val="bottom"/>
          </w:tcPr>
          <w:p w14:paraId="5A1B3E97" w14:textId="77777777" w:rsidR="00960BB8" w:rsidRDefault="00960BB8">
            <w:pPr>
              <w:rPr>
                <w:rFonts w:ascii="宋体"/>
              </w:rPr>
            </w:pPr>
          </w:p>
        </w:tc>
        <w:tc>
          <w:tcPr>
            <w:tcW w:w="302" w:type="pct"/>
            <w:shd w:val="clear" w:color="auto" w:fill="auto"/>
            <w:vAlign w:val="bottom"/>
          </w:tcPr>
          <w:p w14:paraId="5A1B3E98" w14:textId="77777777" w:rsidR="00960BB8" w:rsidRDefault="00960BB8">
            <w:pPr>
              <w:rPr>
                <w:rFonts w:ascii="宋体"/>
              </w:rPr>
            </w:pPr>
          </w:p>
        </w:tc>
        <w:tc>
          <w:tcPr>
            <w:tcW w:w="5" w:type="pct"/>
            <w:shd w:val="clear" w:color="auto" w:fill="auto"/>
            <w:vAlign w:val="bottom"/>
          </w:tcPr>
          <w:p w14:paraId="5A1B3E99" w14:textId="77777777" w:rsidR="00960BB8" w:rsidRDefault="00960BB8">
            <w:pPr>
              <w:rPr>
                <w:rFonts w:ascii="宋体"/>
              </w:rPr>
            </w:pPr>
          </w:p>
        </w:tc>
        <w:tc>
          <w:tcPr>
            <w:tcW w:w="5" w:type="pct"/>
            <w:shd w:val="clear" w:color="auto" w:fill="auto"/>
            <w:vAlign w:val="bottom"/>
          </w:tcPr>
          <w:p w14:paraId="5A1B3E9A" w14:textId="77777777" w:rsidR="00960BB8" w:rsidRDefault="00960BB8">
            <w:pPr>
              <w:rPr>
                <w:rFonts w:ascii="宋体"/>
              </w:rPr>
            </w:pPr>
          </w:p>
        </w:tc>
        <w:tc>
          <w:tcPr>
            <w:tcW w:w="24" w:type="pct"/>
            <w:shd w:val="clear" w:color="auto" w:fill="auto"/>
            <w:vAlign w:val="bottom"/>
          </w:tcPr>
          <w:p w14:paraId="5A1B3E9B" w14:textId="77777777" w:rsidR="00960BB8" w:rsidRDefault="00960BB8">
            <w:pPr>
              <w:rPr>
                <w:rFonts w:ascii="宋体"/>
              </w:rPr>
            </w:pPr>
          </w:p>
        </w:tc>
        <w:tc>
          <w:tcPr>
            <w:tcW w:w="5" w:type="pct"/>
            <w:shd w:val="clear" w:color="auto" w:fill="auto"/>
            <w:vAlign w:val="bottom"/>
          </w:tcPr>
          <w:p w14:paraId="5A1B3E9C" w14:textId="77777777" w:rsidR="00960BB8" w:rsidRDefault="00960BB8">
            <w:pPr>
              <w:rPr>
                <w:rFonts w:ascii="宋体"/>
              </w:rPr>
            </w:pPr>
          </w:p>
        </w:tc>
        <w:tc>
          <w:tcPr>
            <w:tcW w:w="50" w:type="pct"/>
            <w:shd w:val="clear" w:color="auto" w:fill="auto"/>
            <w:vAlign w:val="bottom"/>
          </w:tcPr>
          <w:p w14:paraId="5A1B3E9D" w14:textId="77777777" w:rsidR="00960BB8" w:rsidRDefault="00960BB8">
            <w:pPr>
              <w:rPr>
                <w:rFonts w:ascii="宋体"/>
              </w:rPr>
            </w:pPr>
          </w:p>
        </w:tc>
        <w:tc>
          <w:tcPr>
            <w:tcW w:w="576" w:type="pct"/>
            <w:shd w:val="clear" w:color="auto" w:fill="auto"/>
            <w:vAlign w:val="bottom"/>
          </w:tcPr>
          <w:p w14:paraId="5A1B3E9E" w14:textId="77777777" w:rsidR="00960BB8" w:rsidRDefault="00960BB8">
            <w:pPr>
              <w:rPr>
                <w:rFonts w:ascii="宋体"/>
              </w:rPr>
            </w:pPr>
          </w:p>
        </w:tc>
        <w:tc>
          <w:tcPr>
            <w:tcW w:w="5" w:type="pct"/>
            <w:shd w:val="clear" w:color="auto" w:fill="auto"/>
            <w:vAlign w:val="bottom"/>
          </w:tcPr>
          <w:p w14:paraId="5A1B3E9F" w14:textId="77777777" w:rsidR="00960BB8" w:rsidRDefault="00960BB8">
            <w:pPr>
              <w:rPr>
                <w:rFonts w:ascii="宋体"/>
              </w:rPr>
            </w:pPr>
          </w:p>
        </w:tc>
        <w:tc>
          <w:tcPr>
            <w:tcW w:w="5" w:type="pct"/>
            <w:shd w:val="clear" w:color="auto" w:fill="auto"/>
            <w:vAlign w:val="bottom"/>
          </w:tcPr>
          <w:p w14:paraId="5A1B3EA0" w14:textId="77777777" w:rsidR="00960BB8" w:rsidRDefault="00960BB8">
            <w:pPr>
              <w:rPr>
                <w:rFonts w:ascii="宋体"/>
              </w:rPr>
            </w:pPr>
          </w:p>
        </w:tc>
        <w:tc>
          <w:tcPr>
            <w:tcW w:w="24" w:type="pct"/>
            <w:shd w:val="clear" w:color="auto" w:fill="auto"/>
            <w:vAlign w:val="bottom"/>
          </w:tcPr>
          <w:p w14:paraId="5A1B3EA1" w14:textId="77777777" w:rsidR="00960BB8" w:rsidRDefault="00960BB8">
            <w:pPr>
              <w:rPr>
                <w:rFonts w:ascii="宋体"/>
              </w:rPr>
            </w:pPr>
          </w:p>
        </w:tc>
        <w:tc>
          <w:tcPr>
            <w:tcW w:w="5" w:type="pct"/>
            <w:shd w:val="clear" w:color="auto" w:fill="auto"/>
            <w:vAlign w:val="bottom"/>
          </w:tcPr>
          <w:p w14:paraId="5A1B3EA2" w14:textId="77777777" w:rsidR="00960BB8" w:rsidRDefault="00960BB8">
            <w:pPr>
              <w:rPr>
                <w:rFonts w:ascii="宋体"/>
              </w:rPr>
            </w:pPr>
          </w:p>
        </w:tc>
        <w:tc>
          <w:tcPr>
            <w:tcW w:w="50" w:type="pct"/>
            <w:shd w:val="clear" w:color="auto" w:fill="auto"/>
            <w:vAlign w:val="bottom"/>
          </w:tcPr>
          <w:p w14:paraId="5A1B3EA3" w14:textId="77777777" w:rsidR="00960BB8" w:rsidRDefault="00960BB8">
            <w:pPr>
              <w:rPr>
                <w:rFonts w:ascii="宋体"/>
              </w:rPr>
            </w:pPr>
          </w:p>
        </w:tc>
        <w:tc>
          <w:tcPr>
            <w:tcW w:w="308" w:type="pct"/>
            <w:shd w:val="clear" w:color="auto" w:fill="auto"/>
            <w:vAlign w:val="bottom"/>
          </w:tcPr>
          <w:p w14:paraId="5A1B3EA4" w14:textId="77777777" w:rsidR="00960BB8" w:rsidRDefault="00960BB8">
            <w:pPr>
              <w:rPr>
                <w:rFonts w:ascii="宋体"/>
              </w:rPr>
            </w:pPr>
          </w:p>
        </w:tc>
        <w:tc>
          <w:tcPr>
            <w:tcW w:w="5" w:type="pct"/>
            <w:shd w:val="clear" w:color="auto" w:fill="auto"/>
            <w:vAlign w:val="bottom"/>
          </w:tcPr>
          <w:p w14:paraId="5A1B3EA5" w14:textId="77777777" w:rsidR="00960BB8" w:rsidRDefault="00960BB8">
            <w:pPr>
              <w:rPr>
                <w:rFonts w:ascii="宋体"/>
              </w:rPr>
            </w:pPr>
          </w:p>
        </w:tc>
        <w:tc>
          <w:tcPr>
            <w:tcW w:w="5" w:type="pct"/>
            <w:shd w:val="clear" w:color="auto" w:fill="auto"/>
            <w:vAlign w:val="bottom"/>
          </w:tcPr>
          <w:p w14:paraId="5A1B3EA6" w14:textId="77777777" w:rsidR="00960BB8" w:rsidRDefault="00960BB8">
            <w:pPr>
              <w:rPr>
                <w:rFonts w:ascii="宋体"/>
              </w:rPr>
            </w:pPr>
          </w:p>
        </w:tc>
        <w:tc>
          <w:tcPr>
            <w:tcW w:w="24" w:type="pct"/>
            <w:shd w:val="clear" w:color="auto" w:fill="auto"/>
            <w:vAlign w:val="bottom"/>
          </w:tcPr>
          <w:p w14:paraId="5A1B3EA7" w14:textId="77777777" w:rsidR="00960BB8" w:rsidRDefault="00960BB8">
            <w:pPr>
              <w:rPr>
                <w:rFonts w:ascii="宋体"/>
              </w:rPr>
            </w:pPr>
          </w:p>
        </w:tc>
        <w:tc>
          <w:tcPr>
            <w:tcW w:w="5" w:type="pct"/>
            <w:shd w:val="clear" w:color="auto" w:fill="auto"/>
            <w:vAlign w:val="bottom"/>
          </w:tcPr>
          <w:p w14:paraId="5A1B3EA8" w14:textId="77777777" w:rsidR="00960BB8" w:rsidRDefault="00960BB8">
            <w:pPr>
              <w:rPr>
                <w:rFonts w:ascii="宋体"/>
              </w:rPr>
            </w:pPr>
          </w:p>
        </w:tc>
        <w:tc>
          <w:tcPr>
            <w:tcW w:w="50" w:type="pct"/>
            <w:shd w:val="clear" w:color="auto" w:fill="auto"/>
            <w:vAlign w:val="bottom"/>
          </w:tcPr>
          <w:p w14:paraId="5A1B3EA9" w14:textId="77777777" w:rsidR="00960BB8" w:rsidRDefault="00960BB8">
            <w:pPr>
              <w:rPr>
                <w:rFonts w:ascii="宋体"/>
              </w:rPr>
            </w:pPr>
          </w:p>
        </w:tc>
        <w:tc>
          <w:tcPr>
            <w:tcW w:w="466" w:type="pct"/>
            <w:shd w:val="clear" w:color="auto" w:fill="auto"/>
            <w:vAlign w:val="bottom"/>
          </w:tcPr>
          <w:p w14:paraId="5A1B3EAA" w14:textId="77777777" w:rsidR="00960BB8" w:rsidRDefault="00960BB8">
            <w:pPr>
              <w:rPr>
                <w:rFonts w:ascii="宋体"/>
              </w:rPr>
            </w:pPr>
          </w:p>
        </w:tc>
        <w:tc>
          <w:tcPr>
            <w:tcW w:w="5" w:type="pct"/>
            <w:shd w:val="clear" w:color="auto" w:fill="auto"/>
            <w:vAlign w:val="bottom"/>
          </w:tcPr>
          <w:p w14:paraId="5A1B3EAB" w14:textId="77777777" w:rsidR="00960BB8" w:rsidRDefault="00960BB8">
            <w:pPr>
              <w:rPr>
                <w:rFonts w:ascii="宋体"/>
              </w:rPr>
            </w:pPr>
          </w:p>
        </w:tc>
        <w:tc>
          <w:tcPr>
            <w:tcW w:w="5" w:type="pct"/>
            <w:shd w:val="clear" w:color="auto" w:fill="auto"/>
            <w:vAlign w:val="bottom"/>
          </w:tcPr>
          <w:p w14:paraId="5A1B3EAC" w14:textId="77777777" w:rsidR="00960BB8" w:rsidRDefault="00960BB8">
            <w:pPr>
              <w:rPr>
                <w:rFonts w:ascii="宋体"/>
              </w:rPr>
            </w:pPr>
          </w:p>
        </w:tc>
        <w:tc>
          <w:tcPr>
            <w:tcW w:w="24" w:type="pct"/>
            <w:shd w:val="clear" w:color="auto" w:fill="auto"/>
            <w:vAlign w:val="bottom"/>
          </w:tcPr>
          <w:p w14:paraId="5A1B3EAD" w14:textId="77777777" w:rsidR="00960BB8" w:rsidRDefault="00960BB8">
            <w:pPr>
              <w:rPr>
                <w:rFonts w:ascii="宋体"/>
              </w:rPr>
            </w:pPr>
          </w:p>
        </w:tc>
        <w:tc>
          <w:tcPr>
            <w:tcW w:w="5" w:type="pct"/>
            <w:shd w:val="clear" w:color="auto" w:fill="auto"/>
            <w:vAlign w:val="bottom"/>
          </w:tcPr>
          <w:p w14:paraId="5A1B3EAE" w14:textId="77777777" w:rsidR="00960BB8" w:rsidRDefault="00960BB8">
            <w:pPr>
              <w:rPr>
                <w:rFonts w:ascii="宋体"/>
              </w:rPr>
            </w:pPr>
          </w:p>
        </w:tc>
        <w:tc>
          <w:tcPr>
            <w:tcW w:w="50" w:type="pct"/>
            <w:shd w:val="clear" w:color="auto" w:fill="auto"/>
            <w:vAlign w:val="bottom"/>
          </w:tcPr>
          <w:p w14:paraId="5A1B3EAF" w14:textId="77777777" w:rsidR="00960BB8" w:rsidRDefault="00960BB8">
            <w:pPr>
              <w:rPr>
                <w:rFonts w:ascii="宋体"/>
              </w:rPr>
            </w:pPr>
          </w:p>
        </w:tc>
        <w:tc>
          <w:tcPr>
            <w:tcW w:w="474" w:type="pct"/>
            <w:shd w:val="clear" w:color="auto" w:fill="auto"/>
            <w:vAlign w:val="bottom"/>
          </w:tcPr>
          <w:p w14:paraId="5A1B3EB0" w14:textId="77777777" w:rsidR="00960BB8" w:rsidRDefault="00960BB8">
            <w:pPr>
              <w:rPr>
                <w:rFonts w:ascii="宋体"/>
              </w:rPr>
            </w:pPr>
          </w:p>
        </w:tc>
        <w:tc>
          <w:tcPr>
            <w:tcW w:w="5" w:type="pct"/>
            <w:shd w:val="clear" w:color="auto" w:fill="auto"/>
            <w:vAlign w:val="bottom"/>
          </w:tcPr>
          <w:p w14:paraId="5A1B3EB1" w14:textId="77777777" w:rsidR="00960BB8" w:rsidRDefault="00960BB8">
            <w:pPr>
              <w:rPr>
                <w:rFonts w:ascii="宋体"/>
              </w:rPr>
            </w:pPr>
          </w:p>
        </w:tc>
      </w:tr>
      <w:tr w:rsidR="00960BB8" w14:paraId="5A1B3EBB"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5A1B3EB3" w14:textId="77777777" w:rsidR="00960BB8" w:rsidRDefault="00C06650">
            <w:pPr>
              <w:jc w:val="center"/>
              <w:textAlignment w:val="bottom"/>
            </w:pPr>
            <w:r>
              <w:rPr>
                <w:rFonts w:ascii="Arial" w:eastAsia="宋体" w:hAnsi="Arial" w:cs="Arial"/>
                <w:b/>
                <w:bCs/>
                <w:color w:val="262626"/>
                <w:sz w:val="18"/>
                <w:szCs w:val="18"/>
              </w:rPr>
              <w:t>Exhibit</w:t>
            </w:r>
          </w:p>
          <w:p w14:paraId="5A1B3EB4" w14:textId="77777777" w:rsidR="00960BB8" w:rsidRDefault="00C06650">
            <w:pP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vAlign w:val="bottom"/>
          </w:tcPr>
          <w:p w14:paraId="5A1B3EB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B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B7" w14:textId="77777777" w:rsidR="00960BB8" w:rsidRDefault="00960BB8">
            <w:pPr>
              <w:rPr>
                <w:rFonts w:ascii="宋体"/>
              </w:rPr>
            </w:pPr>
          </w:p>
        </w:tc>
        <w:tc>
          <w:tcPr>
            <w:tcW w:w="0" w:type="auto"/>
            <w:gridSpan w:val="21"/>
            <w:shd w:val="clear" w:color="auto" w:fill="auto"/>
            <w:tcMar>
              <w:top w:w="40" w:type="dxa"/>
              <w:left w:w="20" w:type="dxa"/>
              <w:bottom w:w="40" w:type="dxa"/>
              <w:right w:w="20" w:type="dxa"/>
            </w:tcMar>
            <w:vAlign w:val="bottom"/>
          </w:tcPr>
          <w:p w14:paraId="5A1B3EB8" w14:textId="77777777" w:rsidR="00960BB8" w:rsidRDefault="00C06650">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5A1B3EB9" w14:textId="77777777" w:rsidR="00960BB8" w:rsidRDefault="00960BB8">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5A1B3EBA" w14:textId="77777777" w:rsidR="00960BB8" w:rsidRDefault="00C06650">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960BB8" w14:paraId="5A1B3EC9"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5A1B3EBC" w14:textId="77777777" w:rsidR="00960BB8" w:rsidRDefault="00960BB8">
            <w:pPr>
              <w:rPr>
                <w:rFonts w:ascii="宋体"/>
              </w:rPr>
            </w:pPr>
          </w:p>
        </w:tc>
        <w:tc>
          <w:tcPr>
            <w:tcW w:w="0" w:type="auto"/>
            <w:gridSpan w:val="3"/>
            <w:vMerge/>
            <w:shd w:val="clear" w:color="auto" w:fill="auto"/>
            <w:tcMar>
              <w:top w:w="0" w:type="dxa"/>
              <w:left w:w="20" w:type="dxa"/>
              <w:bottom w:w="0" w:type="dxa"/>
              <w:right w:w="20" w:type="dxa"/>
            </w:tcMar>
            <w:vAlign w:val="bottom"/>
          </w:tcPr>
          <w:p w14:paraId="5A1B3EBD" w14:textId="77777777" w:rsidR="00960BB8" w:rsidRDefault="00960BB8">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A1B3EBE" w14:textId="77777777" w:rsidR="00960BB8" w:rsidRDefault="00C06650">
            <w:pPr>
              <w:textAlignment w:val="bottom"/>
            </w:pPr>
            <w:r>
              <w:rPr>
                <w:rFonts w:ascii="Arial" w:eastAsia="宋体" w:hAnsi="Arial" w:cs="Arial"/>
                <w:b/>
                <w:bCs/>
                <w:color w:val="262626"/>
                <w:sz w:val="18"/>
                <w:szCs w:val="18"/>
              </w:rPr>
              <w:t xml:space="preserve">Exhibit </w:t>
            </w:r>
            <w:r>
              <w:rPr>
                <w:rFonts w:ascii="Arial" w:eastAsia="宋体" w:hAnsi="Arial" w:cs="Arial"/>
                <w:b/>
                <w:bCs/>
                <w:color w:val="262626"/>
                <w:sz w:val="18"/>
                <w:szCs w:val="18"/>
              </w:rPr>
              <w:t>Description</w:t>
            </w:r>
          </w:p>
        </w:tc>
        <w:tc>
          <w:tcPr>
            <w:tcW w:w="0" w:type="auto"/>
            <w:gridSpan w:val="3"/>
            <w:shd w:val="clear" w:color="auto" w:fill="auto"/>
            <w:tcMar>
              <w:top w:w="0" w:type="dxa"/>
              <w:left w:w="20" w:type="dxa"/>
              <w:bottom w:w="0" w:type="dxa"/>
              <w:right w:w="20" w:type="dxa"/>
            </w:tcMar>
            <w:vAlign w:val="bottom"/>
          </w:tcPr>
          <w:p w14:paraId="5A1B3EBF"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EC0" w14:textId="77777777" w:rsidR="00960BB8" w:rsidRDefault="00C06650">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EC1"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EC2" w14:textId="77777777" w:rsidR="00960BB8" w:rsidRDefault="00C06650">
            <w:pPr>
              <w:jc w:val="center"/>
              <w:textAlignment w:val="bottom"/>
            </w:pPr>
            <w:r>
              <w:rPr>
                <w:rFonts w:ascii="Arial" w:eastAsia="宋体" w:hAnsi="Arial" w:cs="Arial"/>
                <w:b/>
                <w:bCs/>
                <w:color w:val="262626"/>
                <w:sz w:val="18"/>
                <w:szCs w:val="18"/>
              </w:rPr>
              <w:t>File 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EC3"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EC4" w14:textId="77777777" w:rsidR="00960BB8" w:rsidRDefault="00C06650">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3EC5" w14:textId="77777777" w:rsidR="00960BB8" w:rsidRDefault="00960BB8">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5A1B3EC6" w14:textId="77777777" w:rsidR="00960BB8" w:rsidRDefault="00C06650">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5A1B3EC7" w14:textId="77777777" w:rsidR="00960BB8" w:rsidRDefault="00960BB8">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5A1B3EC8" w14:textId="77777777" w:rsidR="00960BB8" w:rsidRDefault="00960BB8">
            <w:pPr>
              <w:jc w:val="center"/>
              <w:rPr>
                <w:rFonts w:ascii="宋体"/>
              </w:rPr>
            </w:pPr>
          </w:p>
        </w:tc>
      </w:tr>
      <w:tr w:rsidR="00960BB8" w14:paraId="5A1B3ED8" w14:textId="77777777">
        <w:tc>
          <w:tcPr>
            <w:tcW w:w="0" w:type="auto"/>
            <w:gridSpan w:val="3"/>
            <w:shd w:val="clear" w:color="auto" w:fill="auto"/>
            <w:tcMar>
              <w:top w:w="40" w:type="dxa"/>
              <w:left w:w="20" w:type="dxa"/>
              <w:bottom w:w="40" w:type="dxa"/>
              <w:right w:w="20" w:type="dxa"/>
            </w:tcMar>
          </w:tcPr>
          <w:p w14:paraId="5A1B3ECA" w14:textId="77777777" w:rsidR="00960BB8" w:rsidRDefault="00C06650">
            <w:pPr>
              <w:jc w:val="center"/>
              <w:textAlignment w:val="top"/>
            </w:pPr>
            <w:r>
              <w:rPr>
                <w:rFonts w:ascii="Arial" w:eastAsia="宋体" w:hAnsi="Arial" w:cs="Arial"/>
                <w:color w:val="262626"/>
                <w:sz w:val="18"/>
                <w:szCs w:val="18"/>
              </w:rPr>
              <w:t>10.7</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EC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CC" w14:textId="77777777" w:rsidR="00960BB8" w:rsidRDefault="00C06650">
            <w:pPr>
              <w:textAlignment w:val="top"/>
            </w:pPr>
            <w:hyperlink r:id="rId221" w:history="1">
              <w:r>
                <w:rPr>
                  <w:rStyle w:val="a5"/>
                  <w:rFonts w:ascii="Arial" w:eastAsia="宋体" w:hAnsi="Arial" w:cs="Arial"/>
                  <w:color w:val="262626"/>
                  <w:sz w:val="18"/>
                  <w:szCs w:val="18"/>
                </w:rPr>
                <w:t>Intel Corporation 2006 Deferral Plan for Outside Directors, effective November 15, 2006</w:t>
              </w:r>
            </w:hyperlink>
          </w:p>
        </w:tc>
        <w:tc>
          <w:tcPr>
            <w:tcW w:w="0" w:type="auto"/>
            <w:gridSpan w:val="3"/>
            <w:shd w:val="clear" w:color="auto" w:fill="auto"/>
            <w:tcMar>
              <w:top w:w="0" w:type="dxa"/>
              <w:left w:w="20" w:type="dxa"/>
              <w:bottom w:w="0" w:type="dxa"/>
              <w:right w:w="20" w:type="dxa"/>
            </w:tcMar>
            <w:vAlign w:val="bottom"/>
          </w:tcPr>
          <w:p w14:paraId="5A1B3EC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CE" w14:textId="77777777" w:rsidR="00960BB8" w:rsidRDefault="00C06650">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vAlign w:val="bottom"/>
          </w:tcPr>
          <w:p w14:paraId="5A1B3EC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D0"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ED1"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ED2" w14:textId="77777777" w:rsidR="00960BB8" w:rsidRDefault="00C06650">
            <w:pPr>
              <w:jc w:val="right"/>
              <w:textAlignment w:val="top"/>
            </w:pPr>
            <w:r>
              <w:rPr>
                <w:rFonts w:ascii="Arial" w:eastAsia="宋体" w:hAnsi="Arial" w:cs="Arial"/>
                <w:color w:val="262626"/>
                <w:sz w:val="18"/>
                <w:szCs w:val="18"/>
              </w:rPr>
              <w:t>10.41 </w:t>
            </w:r>
          </w:p>
        </w:tc>
        <w:tc>
          <w:tcPr>
            <w:tcW w:w="0" w:type="auto"/>
            <w:shd w:val="clear" w:color="auto" w:fill="auto"/>
            <w:tcMar>
              <w:top w:w="40" w:type="dxa"/>
              <w:left w:w="0" w:type="dxa"/>
              <w:bottom w:w="40" w:type="dxa"/>
              <w:right w:w="20" w:type="dxa"/>
            </w:tcMar>
          </w:tcPr>
          <w:p w14:paraId="5A1B3ED3"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ED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D5" w14:textId="77777777" w:rsidR="00960BB8" w:rsidRDefault="00C06650">
            <w:pPr>
              <w:jc w:val="right"/>
              <w:textAlignment w:val="top"/>
            </w:pPr>
            <w:r>
              <w:rPr>
                <w:rFonts w:ascii="Arial" w:eastAsia="宋体" w:hAnsi="Arial" w:cs="Arial"/>
                <w:color w:val="262626"/>
                <w:sz w:val="18"/>
                <w:szCs w:val="18"/>
              </w:rPr>
              <w:t>2/26/2007</w:t>
            </w:r>
          </w:p>
        </w:tc>
        <w:tc>
          <w:tcPr>
            <w:tcW w:w="0" w:type="auto"/>
            <w:gridSpan w:val="3"/>
            <w:shd w:val="clear" w:color="auto" w:fill="auto"/>
            <w:tcMar>
              <w:top w:w="0" w:type="dxa"/>
              <w:left w:w="20" w:type="dxa"/>
              <w:bottom w:w="0" w:type="dxa"/>
              <w:right w:w="20" w:type="dxa"/>
            </w:tcMar>
            <w:vAlign w:val="bottom"/>
          </w:tcPr>
          <w:p w14:paraId="5A1B3ED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D7" w14:textId="77777777" w:rsidR="00960BB8" w:rsidRDefault="00960BB8">
            <w:pPr>
              <w:rPr>
                <w:rFonts w:ascii="宋体"/>
              </w:rPr>
            </w:pPr>
          </w:p>
        </w:tc>
      </w:tr>
      <w:tr w:rsidR="00960BB8" w14:paraId="5A1B3EE7" w14:textId="77777777">
        <w:tc>
          <w:tcPr>
            <w:tcW w:w="0" w:type="auto"/>
            <w:gridSpan w:val="3"/>
            <w:shd w:val="clear" w:color="auto" w:fill="auto"/>
            <w:tcMar>
              <w:top w:w="40" w:type="dxa"/>
              <w:left w:w="20" w:type="dxa"/>
              <w:bottom w:w="40" w:type="dxa"/>
              <w:right w:w="20" w:type="dxa"/>
            </w:tcMar>
          </w:tcPr>
          <w:p w14:paraId="5A1B3ED9" w14:textId="77777777" w:rsidR="00960BB8" w:rsidRDefault="00C06650">
            <w:pPr>
              <w:jc w:val="center"/>
              <w:textAlignment w:val="top"/>
            </w:pPr>
            <w:r>
              <w:rPr>
                <w:rFonts w:ascii="Arial" w:eastAsia="宋体" w:hAnsi="Arial" w:cs="Arial"/>
                <w:color w:val="262626"/>
                <w:sz w:val="18"/>
                <w:szCs w:val="18"/>
              </w:rPr>
              <w:t>10.8</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ED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DB" w14:textId="77777777" w:rsidR="00960BB8" w:rsidRDefault="00C06650">
            <w:pPr>
              <w:textAlignment w:val="top"/>
            </w:pPr>
            <w:hyperlink r:id="rId222" w:history="1">
              <w:r>
                <w:rPr>
                  <w:rStyle w:val="a5"/>
                  <w:rFonts w:ascii="Arial" w:eastAsia="宋体" w:hAnsi="Arial" w:cs="Arial"/>
                  <w:color w:val="262626"/>
                  <w:sz w:val="18"/>
                  <w:szCs w:val="18"/>
                </w:rPr>
                <w:t>Form of Indemnification Agreement with Directors and Executive Officers</w:t>
              </w:r>
            </w:hyperlink>
          </w:p>
        </w:tc>
        <w:tc>
          <w:tcPr>
            <w:tcW w:w="0" w:type="auto"/>
            <w:gridSpan w:val="3"/>
            <w:shd w:val="clear" w:color="auto" w:fill="auto"/>
            <w:tcMar>
              <w:top w:w="0" w:type="dxa"/>
              <w:left w:w="20" w:type="dxa"/>
              <w:bottom w:w="0" w:type="dxa"/>
              <w:right w:w="20" w:type="dxa"/>
            </w:tcMar>
            <w:vAlign w:val="bottom"/>
          </w:tcPr>
          <w:p w14:paraId="5A1B3ED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DD" w14:textId="77777777" w:rsidR="00960BB8" w:rsidRDefault="00C06650">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vAlign w:val="bottom"/>
          </w:tcPr>
          <w:p w14:paraId="5A1B3ED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DF"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EE0"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EE1" w14:textId="77777777" w:rsidR="00960BB8" w:rsidRDefault="00C06650">
            <w:pPr>
              <w:jc w:val="right"/>
              <w:textAlignment w:val="top"/>
            </w:pPr>
            <w:r>
              <w:rPr>
                <w:rFonts w:ascii="Arial" w:eastAsia="宋体" w:hAnsi="Arial" w:cs="Arial"/>
                <w:color w:val="262626"/>
                <w:sz w:val="18"/>
                <w:szCs w:val="18"/>
              </w:rPr>
              <w:t>10.15 </w:t>
            </w:r>
          </w:p>
        </w:tc>
        <w:tc>
          <w:tcPr>
            <w:tcW w:w="0" w:type="auto"/>
            <w:shd w:val="clear" w:color="auto" w:fill="auto"/>
            <w:tcMar>
              <w:top w:w="40" w:type="dxa"/>
              <w:left w:w="0" w:type="dxa"/>
              <w:bottom w:w="40" w:type="dxa"/>
              <w:right w:w="20" w:type="dxa"/>
            </w:tcMar>
          </w:tcPr>
          <w:p w14:paraId="5A1B3EE2"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EE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E4" w14:textId="77777777" w:rsidR="00960BB8" w:rsidRDefault="00C06650">
            <w:pPr>
              <w:jc w:val="right"/>
              <w:textAlignment w:val="top"/>
            </w:pPr>
            <w:r>
              <w:rPr>
                <w:rFonts w:ascii="Arial" w:eastAsia="宋体" w:hAnsi="Arial" w:cs="Arial"/>
                <w:color w:val="262626"/>
                <w:sz w:val="18"/>
                <w:szCs w:val="18"/>
              </w:rPr>
              <w:t>2/22/2005</w:t>
            </w:r>
          </w:p>
        </w:tc>
        <w:tc>
          <w:tcPr>
            <w:tcW w:w="0" w:type="auto"/>
            <w:gridSpan w:val="3"/>
            <w:shd w:val="clear" w:color="auto" w:fill="auto"/>
            <w:tcMar>
              <w:top w:w="0" w:type="dxa"/>
              <w:left w:w="20" w:type="dxa"/>
              <w:bottom w:w="0" w:type="dxa"/>
              <w:right w:w="20" w:type="dxa"/>
            </w:tcMar>
            <w:vAlign w:val="bottom"/>
          </w:tcPr>
          <w:p w14:paraId="5A1B3EE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E6" w14:textId="77777777" w:rsidR="00960BB8" w:rsidRDefault="00960BB8">
            <w:pPr>
              <w:rPr>
                <w:rFonts w:ascii="宋体"/>
              </w:rPr>
            </w:pPr>
          </w:p>
        </w:tc>
      </w:tr>
      <w:tr w:rsidR="00960BB8" w14:paraId="5A1B3EF6" w14:textId="77777777">
        <w:tc>
          <w:tcPr>
            <w:tcW w:w="0" w:type="auto"/>
            <w:gridSpan w:val="3"/>
            <w:shd w:val="clear" w:color="auto" w:fill="auto"/>
            <w:tcMar>
              <w:top w:w="40" w:type="dxa"/>
              <w:left w:w="20" w:type="dxa"/>
              <w:bottom w:w="40" w:type="dxa"/>
              <w:right w:w="20" w:type="dxa"/>
            </w:tcMar>
          </w:tcPr>
          <w:p w14:paraId="5A1B3EE8" w14:textId="77777777" w:rsidR="00960BB8" w:rsidRDefault="00C06650">
            <w:pPr>
              <w:jc w:val="center"/>
              <w:textAlignment w:val="top"/>
            </w:pPr>
            <w:r>
              <w:rPr>
                <w:rFonts w:ascii="Arial" w:eastAsia="宋体" w:hAnsi="Arial" w:cs="Arial"/>
                <w:color w:val="262626"/>
                <w:sz w:val="18"/>
                <w:szCs w:val="18"/>
              </w:rPr>
              <w:t>10.9</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EE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EA" w14:textId="77777777" w:rsidR="00960BB8" w:rsidRDefault="00C06650">
            <w:pPr>
              <w:spacing w:before="40" w:after="160"/>
              <w:textAlignment w:val="top"/>
            </w:pPr>
            <w:hyperlink r:id="rId223" w:history="1">
              <w:r>
                <w:rPr>
                  <w:rStyle w:val="a5"/>
                  <w:rFonts w:ascii="Arial" w:eastAsia="宋体" w:hAnsi="Arial" w:cs="Arial"/>
                  <w:color w:val="262626"/>
                  <w:sz w:val="18"/>
                  <w:szCs w:val="18"/>
                </w:rPr>
                <w:t xml:space="preserve">Form of Indemnification Agreement with Directors and Executive Officers (for Directors and Executive Officers who </w:t>
              </w:r>
              <w:r>
                <w:rPr>
                  <w:rStyle w:val="a5"/>
                  <w:rFonts w:ascii="Arial" w:eastAsia="宋体" w:hAnsi="Arial" w:cs="Arial"/>
                  <w:color w:val="262626"/>
                  <w:sz w:val="18"/>
                  <w:szCs w:val="18"/>
                </w:rPr>
                <w:t>joined Intel after July 1, 2016)</w:t>
              </w:r>
            </w:hyperlink>
          </w:p>
        </w:tc>
        <w:tc>
          <w:tcPr>
            <w:tcW w:w="0" w:type="auto"/>
            <w:gridSpan w:val="3"/>
            <w:shd w:val="clear" w:color="auto" w:fill="auto"/>
            <w:tcMar>
              <w:top w:w="0" w:type="dxa"/>
              <w:left w:w="20" w:type="dxa"/>
              <w:bottom w:w="0" w:type="dxa"/>
              <w:right w:w="20" w:type="dxa"/>
            </w:tcMar>
            <w:vAlign w:val="bottom"/>
          </w:tcPr>
          <w:p w14:paraId="5A1B3EE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EC"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EE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EE"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EEF"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EF0" w14:textId="77777777" w:rsidR="00960BB8" w:rsidRDefault="00C06650">
            <w:pPr>
              <w:jc w:val="right"/>
              <w:textAlignment w:val="top"/>
            </w:pPr>
            <w:r>
              <w:rPr>
                <w:rFonts w:ascii="Arial" w:eastAsia="宋体" w:hAnsi="Arial" w:cs="Arial"/>
                <w:color w:val="262626"/>
                <w:sz w:val="18"/>
                <w:szCs w:val="18"/>
              </w:rPr>
              <w:t>10.2 </w:t>
            </w:r>
          </w:p>
        </w:tc>
        <w:tc>
          <w:tcPr>
            <w:tcW w:w="0" w:type="auto"/>
            <w:shd w:val="clear" w:color="auto" w:fill="auto"/>
            <w:tcMar>
              <w:top w:w="40" w:type="dxa"/>
              <w:left w:w="0" w:type="dxa"/>
              <w:bottom w:w="40" w:type="dxa"/>
              <w:right w:w="20" w:type="dxa"/>
            </w:tcMar>
          </w:tcPr>
          <w:p w14:paraId="5A1B3EF1"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EF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F3" w14:textId="77777777" w:rsidR="00960BB8" w:rsidRDefault="00C06650">
            <w:pPr>
              <w:jc w:val="right"/>
              <w:textAlignment w:val="top"/>
            </w:pPr>
            <w:r>
              <w:rPr>
                <w:rFonts w:ascii="Arial" w:eastAsia="宋体" w:hAnsi="Arial" w:cs="Arial"/>
                <w:color w:val="262626"/>
                <w:sz w:val="18"/>
                <w:szCs w:val="18"/>
              </w:rPr>
              <w:t>10/31/2016</w:t>
            </w:r>
          </w:p>
        </w:tc>
        <w:tc>
          <w:tcPr>
            <w:tcW w:w="0" w:type="auto"/>
            <w:gridSpan w:val="3"/>
            <w:shd w:val="clear" w:color="auto" w:fill="auto"/>
            <w:tcMar>
              <w:top w:w="0" w:type="dxa"/>
              <w:left w:w="20" w:type="dxa"/>
              <w:bottom w:w="0" w:type="dxa"/>
              <w:right w:w="20" w:type="dxa"/>
            </w:tcMar>
            <w:vAlign w:val="bottom"/>
          </w:tcPr>
          <w:p w14:paraId="5A1B3EF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EF5" w14:textId="77777777" w:rsidR="00960BB8" w:rsidRDefault="00960BB8">
            <w:pPr>
              <w:rPr>
                <w:rFonts w:ascii="宋体"/>
              </w:rPr>
            </w:pPr>
          </w:p>
        </w:tc>
      </w:tr>
      <w:tr w:rsidR="00960BB8" w14:paraId="5A1B3F05" w14:textId="77777777">
        <w:tc>
          <w:tcPr>
            <w:tcW w:w="0" w:type="auto"/>
            <w:gridSpan w:val="3"/>
            <w:shd w:val="clear" w:color="auto" w:fill="auto"/>
            <w:tcMar>
              <w:top w:w="40" w:type="dxa"/>
              <w:left w:w="20" w:type="dxa"/>
              <w:bottom w:w="40" w:type="dxa"/>
              <w:right w:w="20" w:type="dxa"/>
            </w:tcMar>
          </w:tcPr>
          <w:p w14:paraId="5A1B3EF7" w14:textId="77777777" w:rsidR="00960BB8" w:rsidRDefault="00C06650">
            <w:pPr>
              <w:jc w:val="center"/>
              <w:textAlignment w:val="top"/>
            </w:pPr>
            <w:r>
              <w:rPr>
                <w:rFonts w:ascii="Arial" w:eastAsia="宋体" w:hAnsi="Arial" w:cs="Arial"/>
                <w:color w:val="262626"/>
                <w:sz w:val="18"/>
                <w:szCs w:val="18"/>
              </w:rPr>
              <w:t>10.10</w:t>
            </w:r>
          </w:p>
        </w:tc>
        <w:tc>
          <w:tcPr>
            <w:tcW w:w="0" w:type="auto"/>
            <w:gridSpan w:val="3"/>
            <w:shd w:val="clear" w:color="auto" w:fill="auto"/>
            <w:tcMar>
              <w:top w:w="0" w:type="dxa"/>
              <w:left w:w="20" w:type="dxa"/>
              <w:bottom w:w="0" w:type="dxa"/>
              <w:right w:w="20" w:type="dxa"/>
            </w:tcMar>
            <w:vAlign w:val="bottom"/>
          </w:tcPr>
          <w:p w14:paraId="5A1B3EF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F9" w14:textId="77777777" w:rsidR="00960BB8" w:rsidRDefault="00C06650">
            <w:pPr>
              <w:textAlignment w:val="top"/>
            </w:pPr>
            <w:hyperlink r:id="rId224" w:history="1">
              <w:r>
                <w:rPr>
                  <w:rStyle w:val="a5"/>
                  <w:rFonts w:ascii="Arial" w:eastAsia="宋体" w:hAnsi="Arial" w:cs="Arial"/>
                  <w:color w:val="262626"/>
                  <w:sz w:val="18"/>
                  <w:szCs w:val="18"/>
                </w:rPr>
                <w:t>Settlement Agreement Between Advanced Micro Devices, Inc. and Intel Corporation, dated November 11, 2009</w:t>
              </w:r>
            </w:hyperlink>
          </w:p>
        </w:tc>
        <w:tc>
          <w:tcPr>
            <w:tcW w:w="0" w:type="auto"/>
            <w:gridSpan w:val="3"/>
            <w:shd w:val="clear" w:color="auto" w:fill="auto"/>
            <w:tcMar>
              <w:top w:w="0" w:type="dxa"/>
              <w:left w:w="20" w:type="dxa"/>
              <w:bottom w:w="0" w:type="dxa"/>
              <w:right w:w="20" w:type="dxa"/>
            </w:tcMar>
            <w:vAlign w:val="bottom"/>
          </w:tcPr>
          <w:p w14:paraId="5A1B3EF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FB"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EF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EFD"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EFE"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EFF" w14:textId="77777777" w:rsidR="00960BB8" w:rsidRDefault="00C06650">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5A1B3F00"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F0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02" w14:textId="77777777" w:rsidR="00960BB8" w:rsidRDefault="00C06650">
            <w:pPr>
              <w:jc w:val="right"/>
              <w:textAlignment w:val="top"/>
            </w:pPr>
            <w:r>
              <w:rPr>
                <w:rFonts w:ascii="Arial" w:eastAsia="宋体" w:hAnsi="Arial" w:cs="Arial"/>
                <w:color w:val="262626"/>
                <w:sz w:val="18"/>
                <w:szCs w:val="18"/>
              </w:rPr>
              <w:t>11/12/2009</w:t>
            </w:r>
          </w:p>
        </w:tc>
        <w:tc>
          <w:tcPr>
            <w:tcW w:w="0" w:type="auto"/>
            <w:gridSpan w:val="3"/>
            <w:shd w:val="clear" w:color="auto" w:fill="auto"/>
            <w:tcMar>
              <w:top w:w="0" w:type="dxa"/>
              <w:left w:w="20" w:type="dxa"/>
              <w:bottom w:w="0" w:type="dxa"/>
              <w:right w:w="20" w:type="dxa"/>
            </w:tcMar>
            <w:vAlign w:val="bottom"/>
          </w:tcPr>
          <w:p w14:paraId="5A1B3F0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04" w14:textId="77777777" w:rsidR="00960BB8" w:rsidRDefault="00960BB8">
            <w:pPr>
              <w:rPr>
                <w:rFonts w:ascii="宋体"/>
              </w:rPr>
            </w:pPr>
          </w:p>
        </w:tc>
      </w:tr>
      <w:tr w:rsidR="00960BB8" w14:paraId="5A1B3F14" w14:textId="77777777">
        <w:tc>
          <w:tcPr>
            <w:tcW w:w="0" w:type="auto"/>
            <w:gridSpan w:val="3"/>
            <w:shd w:val="clear" w:color="auto" w:fill="auto"/>
            <w:tcMar>
              <w:top w:w="40" w:type="dxa"/>
              <w:left w:w="20" w:type="dxa"/>
              <w:bottom w:w="40" w:type="dxa"/>
              <w:right w:w="20" w:type="dxa"/>
            </w:tcMar>
          </w:tcPr>
          <w:p w14:paraId="5A1B3F06" w14:textId="77777777" w:rsidR="00960BB8" w:rsidRDefault="00C06650">
            <w:pPr>
              <w:jc w:val="center"/>
              <w:textAlignment w:val="top"/>
            </w:pPr>
            <w:r>
              <w:rPr>
                <w:rFonts w:ascii="Arial" w:eastAsia="宋体" w:hAnsi="Arial" w:cs="Arial"/>
                <w:color w:val="262626"/>
                <w:sz w:val="18"/>
                <w:szCs w:val="18"/>
              </w:rPr>
              <w:t>10.11</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F0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08" w14:textId="77777777" w:rsidR="00960BB8" w:rsidRDefault="00C06650">
            <w:pPr>
              <w:textAlignment w:val="top"/>
            </w:pPr>
            <w:hyperlink r:id="rId225" w:history="1">
              <w:r>
                <w:rPr>
                  <w:rStyle w:val="a5"/>
                  <w:rFonts w:ascii="Arial" w:eastAsia="宋体" w:hAnsi="Arial" w:cs="Arial"/>
                  <w:color w:val="262626"/>
                  <w:sz w:val="18"/>
                  <w:szCs w:val="18"/>
                </w:rPr>
                <w:t>Patent Cross License Agreement between NVIDIA Corporation and Intel Corporation, dated Januar</w:t>
              </w:r>
              <w:r>
                <w:rPr>
                  <w:rStyle w:val="a5"/>
                  <w:rFonts w:ascii="Arial" w:eastAsia="宋体" w:hAnsi="Arial" w:cs="Arial"/>
                  <w:color w:val="262626"/>
                  <w:sz w:val="18"/>
                  <w:szCs w:val="18"/>
                </w:rPr>
                <w:t>y 10, 2011</w:t>
              </w:r>
            </w:hyperlink>
          </w:p>
        </w:tc>
        <w:tc>
          <w:tcPr>
            <w:tcW w:w="0" w:type="auto"/>
            <w:gridSpan w:val="3"/>
            <w:shd w:val="clear" w:color="auto" w:fill="auto"/>
            <w:tcMar>
              <w:top w:w="0" w:type="dxa"/>
              <w:left w:w="20" w:type="dxa"/>
              <w:bottom w:w="0" w:type="dxa"/>
              <w:right w:w="20" w:type="dxa"/>
            </w:tcMar>
            <w:vAlign w:val="bottom"/>
          </w:tcPr>
          <w:p w14:paraId="5A1B3F0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0A"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F0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0C"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F0D"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F0E" w14:textId="77777777" w:rsidR="00960BB8" w:rsidRDefault="00C06650">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5A1B3F0F"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F1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11" w14:textId="77777777" w:rsidR="00960BB8" w:rsidRDefault="00C06650">
            <w:pPr>
              <w:jc w:val="right"/>
              <w:textAlignment w:val="top"/>
            </w:pPr>
            <w:r>
              <w:rPr>
                <w:rFonts w:ascii="Arial" w:eastAsia="宋体" w:hAnsi="Arial" w:cs="Arial"/>
                <w:color w:val="262626"/>
                <w:sz w:val="18"/>
                <w:szCs w:val="18"/>
              </w:rPr>
              <w:t>1/10/2011</w:t>
            </w:r>
          </w:p>
        </w:tc>
        <w:tc>
          <w:tcPr>
            <w:tcW w:w="0" w:type="auto"/>
            <w:gridSpan w:val="3"/>
            <w:shd w:val="clear" w:color="auto" w:fill="auto"/>
            <w:tcMar>
              <w:top w:w="0" w:type="dxa"/>
              <w:left w:w="20" w:type="dxa"/>
              <w:bottom w:w="0" w:type="dxa"/>
              <w:right w:w="20" w:type="dxa"/>
            </w:tcMar>
            <w:vAlign w:val="bottom"/>
          </w:tcPr>
          <w:p w14:paraId="5A1B3F1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13" w14:textId="77777777" w:rsidR="00960BB8" w:rsidRDefault="00960BB8">
            <w:pPr>
              <w:rPr>
                <w:rFonts w:ascii="宋体"/>
              </w:rPr>
            </w:pPr>
          </w:p>
        </w:tc>
      </w:tr>
      <w:tr w:rsidR="00960BB8" w14:paraId="5A1B3F23" w14:textId="77777777">
        <w:tc>
          <w:tcPr>
            <w:tcW w:w="0" w:type="auto"/>
            <w:gridSpan w:val="3"/>
            <w:shd w:val="clear" w:color="auto" w:fill="auto"/>
            <w:tcMar>
              <w:top w:w="40" w:type="dxa"/>
              <w:left w:w="20" w:type="dxa"/>
              <w:bottom w:w="40" w:type="dxa"/>
              <w:right w:w="20" w:type="dxa"/>
            </w:tcMar>
          </w:tcPr>
          <w:p w14:paraId="5A1B3F15" w14:textId="77777777" w:rsidR="00960BB8" w:rsidRDefault="00C06650">
            <w:pPr>
              <w:jc w:val="center"/>
              <w:textAlignment w:val="top"/>
            </w:pPr>
            <w:r>
              <w:rPr>
                <w:rFonts w:ascii="Arial" w:eastAsia="宋体" w:hAnsi="Arial" w:cs="Arial"/>
                <w:color w:val="262626"/>
                <w:sz w:val="18"/>
                <w:szCs w:val="18"/>
              </w:rPr>
              <w:t>10.12^</w:t>
            </w:r>
          </w:p>
        </w:tc>
        <w:tc>
          <w:tcPr>
            <w:tcW w:w="0" w:type="auto"/>
            <w:gridSpan w:val="3"/>
            <w:shd w:val="clear" w:color="auto" w:fill="auto"/>
            <w:tcMar>
              <w:top w:w="0" w:type="dxa"/>
              <w:left w:w="20" w:type="dxa"/>
              <w:bottom w:w="0" w:type="dxa"/>
              <w:right w:w="20" w:type="dxa"/>
            </w:tcMar>
            <w:vAlign w:val="bottom"/>
          </w:tcPr>
          <w:p w14:paraId="5A1B3F1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17" w14:textId="77777777" w:rsidR="00960BB8" w:rsidRDefault="00C06650">
            <w:pPr>
              <w:textAlignment w:val="top"/>
            </w:pPr>
            <w:hyperlink r:id="rId226" w:history="1">
              <w:r>
                <w:rPr>
                  <w:rStyle w:val="a5"/>
                  <w:rFonts w:ascii="Arial" w:eastAsia="宋体" w:hAnsi="Arial" w:cs="Arial"/>
                  <w:sz w:val="18"/>
                  <w:szCs w:val="18"/>
                </w:rPr>
                <w:t xml:space="preserve">Purchase and Contribution Agreement, dated as of August 22, 2022, by and among Intel Corporation, Arizona Fab </w:t>
              </w:r>
              <w:r>
                <w:rPr>
                  <w:rStyle w:val="a5"/>
                  <w:rFonts w:ascii="Arial" w:eastAsia="宋体" w:hAnsi="Arial" w:cs="Arial"/>
                  <w:sz w:val="18"/>
                  <w:szCs w:val="18"/>
                </w:rPr>
                <w:t>HoldCo Inc., Foundry JV Holdco LLC, and Arizona Fab LLC</w:t>
              </w:r>
            </w:hyperlink>
          </w:p>
        </w:tc>
        <w:tc>
          <w:tcPr>
            <w:tcW w:w="0" w:type="auto"/>
            <w:gridSpan w:val="3"/>
            <w:shd w:val="clear" w:color="auto" w:fill="auto"/>
            <w:tcMar>
              <w:top w:w="0" w:type="dxa"/>
              <w:left w:w="20" w:type="dxa"/>
              <w:bottom w:w="0" w:type="dxa"/>
              <w:right w:w="20" w:type="dxa"/>
            </w:tcMar>
            <w:vAlign w:val="bottom"/>
          </w:tcPr>
          <w:p w14:paraId="5A1B3F1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19"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F1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1B"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F1C"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F1D" w14:textId="77777777" w:rsidR="00960BB8" w:rsidRDefault="00C06650">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5A1B3F1E"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F1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20" w14:textId="77777777" w:rsidR="00960BB8" w:rsidRDefault="00C06650">
            <w:pPr>
              <w:jc w:val="right"/>
              <w:textAlignment w:val="top"/>
            </w:pPr>
            <w:r>
              <w:rPr>
                <w:rFonts w:ascii="Arial" w:eastAsia="宋体" w:hAnsi="Arial" w:cs="Arial"/>
                <w:color w:val="262626"/>
                <w:sz w:val="18"/>
                <w:szCs w:val="18"/>
              </w:rPr>
              <w:t>8/23/2022</w:t>
            </w:r>
          </w:p>
        </w:tc>
        <w:tc>
          <w:tcPr>
            <w:tcW w:w="0" w:type="auto"/>
            <w:gridSpan w:val="3"/>
            <w:shd w:val="clear" w:color="auto" w:fill="auto"/>
            <w:tcMar>
              <w:top w:w="0" w:type="dxa"/>
              <w:left w:w="20" w:type="dxa"/>
              <w:bottom w:w="0" w:type="dxa"/>
              <w:right w:w="20" w:type="dxa"/>
            </w:tcMar>
            <w:vAlign w:val="bottom"/>
          </w:tcPr>
          <w:p w14:paraId="5A1B3F2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22" w14:textId="77777777" w:rsidR="00960BB8" w:rsidRDefault="00960BB8">
            <w:pPr>
              <w:rPr>
                <w:rFonts w:ascii="宋体"/>
              </w:rPr>
            </w:pPr>
          </w:p>
        </w:tc>
      </w:tr>
      <w:tr w:rsidR="00960BB8" w14:paraId="5A1B3F32" w14:textId="77777777">
        <w:tc>
          <w:tcPr>
            <w:tcW w:w="0" w:type="auto"/>
            <w:gridSpan w:val="3"/>
            <w:shd w:val="clear" w:color="auto" w:fill="auto"/>
            <w:tcMar>
              <w:top w:w="40" w:type="dxa"/>
              <w:left w:w="20" w:type="dxa"/>
              <w:bottom w:w="40" w:type="dxa"/>
              <w:right w:w="20" w:type="dxa"/>
            </w:tcMar>
          </w:tcPr>
          <w:p w14:paraId="5A1B3F24" w14:textId="77777777" w:rsidR="00960BB8" w:rsidRDefault="00C06650">
            <w:pPr>
              <w:jc w:val="center"/>
              <w:textAlignment w:val="top"/>
            </w:pPr>
            <w:r>
              <w:rPr>
                <w:rFonts w:ascii="Arial" w:eastAsia="宋体" w:hAnsi="Arial" w:cs="Arial"/>
                <w:color w:val="262626"/>
                <w:sz w:val="18"/>
                <w:szCs w:val="18"/>
              </w:rPr>
              <w:t>10.13^</w:t>
            </w:r>
          </w:p>
        </w:tc>
        <w:tc>
          <w:tcPr>
            <w:tcW w:w="0" w:type="auto"/>
            <w:gridSpan w:val="3"/>
            <w:shd w:val="clear" w:color="auto" w:fill="auto"/>
            <w:tcMar>
              <w:top w:w="0" w:type="dxa"/>
              <w:left w:w="20" w:type="dxa"/>
              <w:bottom w:w="0" w:type="dxa"/>
              <w:right w:w="20" w:type="dxa"/>
            </w:tcMar>
            <w:vAlign w:val="bottom"/>
          </w:tcPr>
          <w:p w14:paraId="5A1B3F2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26" w14:textId="77777777" w:rsidR="00960BB8" w:rsidRDefault="00C06650">
            <w:pPr>
              <w:textAlignment w:val="top"/>
            </w:pPr>
            <w:hyperlink r:id="rId227" w:history="1">
              <w:r>
                <w:rPr>
                  <w:rStyle w:val="a5"/>
                  <w:rFonts w:ascii="Arial" w:eastAsia="宋体" w:hAnsi="Arial" w:cs="Arial"/>
                  <w:sz w:val="18"/>
                  <w:szCs w:val="18"/>
                </w:rPr>
                <w:t>Amended and Restated Limited Liability Company Agreement of Arizona Fab LLC by and between Arizona Fab HoldCo Inc. and</w:t>
              </w:r>
              <w:r>
                <w:rPr>
                  <w:rStyle w:val="a5"/>
                  <w:rFonts w:ascii="Arial" w:eastAsia="宋体" w:hAnsi="Arial" w:cs="Arial"/>
                  <w:sz w:val="18"/>
                  <w:szCs w:val="18"/>
                </w:rPr>
                <w:t xml:space="preserve"> Foundry JV Holdco LLC</w:t>
              </w:r>
            </w:hyperlink>
          </w:p>
        </w:tc>
        <w:tc>
          <w:tcPr>
            <w:tcW w:w="0" w:type="auto"/>
            <w:gridSpan w:val="3"/>
            <w:shd w:val="clear" w:color="auto" w:fill="auto"/>
            <w:tcMar>
              <w:top w:w="0" w:type="dxa"/>
              <w:left w:w="20" w:type="dxa"/>
              <w:bottom w:w="0" w:type="dxa"/>
              <w:right w:w="20" w:type="dxa"/>
            </w:tcMar>
            <w:vAlign w:val="bottom"/>
          </w:tcPr>
          <w:p w14:paraId="5A1B3F2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28" w14:textId="77777777" w:rsidR="00960BB8" w:rsidRDefault="00C06650">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F2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2A"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F2B"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F2C" w14:textId="77777777" w:rsidR="00960BB8" w:rsidRDefault="00C06650">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5A1B3F2D"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F2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2F" w14:textId="77777777" w:rsidR="00960BB8" w:rsidRDefault="00C06650">
            <w:pPr>
              <w:jc w:val="right"/>
              <w:textAlignment w:val="top"/>
            </w:pPr>
            <w:r>
              <w:rPr>
                <w:rFonts w:ascii="Arial" w:eastAsia="宋体" w:hAnsi="Arial" w:cs="Arial"/>
                <w:color w:val="262626"/>
                <w:sz w:val="18"/>
                <w:szCs w:val="18"/>
              </w:rPr>
              <w:t>11/22/2022</w:t>
            </w:r>
          </w:p>
        </w:tc>
        <w:tc>
          <w:tcPr>
            <w:tcW w:w="0" w:type="auto"/>
            <w:gridSpan w:val="3"/>
            <w:shd w:val="clear" w:color="auto" w:fill="auto"/>
            <w:tcMar>
              <w:top w:w="0" w:type="dxa"/>
              <w:left w:w="20" w:type="dxa"/>
              <w:bottom w:w="0" w:type="dxa"/>
              <w:right w:w="20" w:type="dxa"/>
            </w:tcMar>
            <w:vAlign w:val="bottom"/>
          </w:tcPr>
          <w:p w14:paraId="5A1B3F3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31" w14:textId="77777777" w:rsidR="00960BB8" w:rsidRDefault="00960BB8">
            <w:pPr>
              <w:rPr>
                <w:rFonts w:ascii="宋体"/>
              </w:rPr>
            </w:pPr>
          </w:p>
        </w:tc>
      </w:tr>
      <w:tr w:rsidR="00960BB8" w14:paraId="5A1B3F41" w14:textId="77777777">
        <w:tc>
          <w:tcPr>
            <w:tcW w:w="0" w:type="auto"/>
            <w:gridSpan w:val="3"/>
            <w:shd w:val="clear" w:color="auto" w:fill="auto"/>
            <w:tcMar>
              <w:top w:w="40" w:type="dxa"/>
              <w:left w:w="20" w:type="dxa"/>
              <w:bottom w:w="40" w:type="dxa"/>
              <w:right w:w="20" w:type="dxa"/>
            </w:tcMar>
          </w:tcPr>
          <w:p w14:paraId="5A1B3F33" w14:textId="77777777" w:rsidR="00960BB8" w:rsidRDefault="00C06650">
            <w:pPr>
              <w:jc w:val="center"/>
              <w:textAlignment w:val="top"/>
            </w:pPr>
            <w:r>
              <w:rPr>
                <w:rFonts w:ascii="Arial" w:eastAsia="宋体" w:hAnsi="Arial" w:cs="Arial"/>
                <w:color w:val="262626"/>
                <w:sz w:val="18"/>
                <w:szCs w:val="18"/>
              </w:rPr>
              <w:t>10.14</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F3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35" w14:textId="77777777" w:rsidR="00960BB8" w:rsidRDefault="00C06650">
            <w:pPr>
              <w:textAlignment w:val="top"/>
            </w:pPr>
            <w:hyperlink r:id="rId228" w:history="1">
              <w:r>
                <w:rPr>
                  <w:rStyle w:val="a5"/>
                  <w:rFonts w:ascii="Arial" w:eastAsia="宋体" w:hAnsi="Arial" w:cs="Arial"/>
                  <w:color w:val="262626"/>
                  <w:sz w:val="18"/>
                  <w:szCs w:val="18"/>
                </w:rPr>
                <w:t>Offer Letter between Intel Corporation and Sandra Rivera, dated June 21, 2021</w:t>
              </w:r>
            </w:hyperlink>
          </w:p>
        </w:tc>
        <w:tc>
          <w:tcPr>
            <w:tcW w:w="0" w:type="auto"/>
            <w:gridSpan w:val="3"/>
            <w:shd w:val="clear" w:color="auto" w:fill="auto"/>
            <w:tcMar>
              <w:top w:w="0" w:type="dxa"/>
              <w:left w:w="20" w:type="dxa"/>
              <w:bottom w:w="0" w:type="dxa"/>
              <w:right w:w="20" w:type="dxa"/>
            </w:tcMar>
            <w:vAlign w:val="bottom"/>
          </w:tcPr>
          <w:p w14:paraId="5A1B3F3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37" w14:textId="77777777" w:rsidR="00960BB8" w:rsidRDefault="00C06650">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F3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39" w14:textId="77777777" w:rsidR="00960BB8" w:rsidRDefault="00C06650">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F3A"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tcPr>
          <w:p w14:paraId="5A1B3F3B" w14:textId="77777777" w:rsidR="00960BB8" w:rsidRDefault="00C06650">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5A1B3F3C"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F3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3E" w14:textId="77777777" w:rsidR="00960BB8" w:rsidRDefault="00C06650">
            <w:pPr>
              <w:jc w:val="right"/>
              <w:textAlignment w:val="top"/>
            </w:pPr>
            <w:r>
              <w:rPr>
                <w:rFonts w:ascii="Arial" w:eastAsia="宋体" w:hAnsi="Arial" w:cs="Arial"/>
                <w:color w:val="262626"/>
                <w:sz w:val="18"/>
                <w:szCs w:val="18"/>
              </w:rPr>
              <w:t>7/23/2021</w:t>
            </w:r>
          </w:p>
        </w:tc>
        <w:tc>
          <w:tcPr>
            <w:tcW w:w="0" w:type="auto"/>
            <w:gridSpan w:val="3"/>
            <w:shd w:val="clear" w:color="auto" w:fill="auto"/>
            <w:tcMar>
              <w:top w:w="0" w:type="dxa"/>
              <w:left w:w="20" w:type="dxa"/>
              <w:bottom w:w="0" w:type="dxa"/>
              <w:right w:w="20" w:type="dxa"/>
            </w:tcMar>
            <w:vAlign w:val="bottom"/>
          </w:tcPr>
          <w:p w14:paraId="5A1B3F3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40" w14:textId="77777777" w:rsidR="00960BB8" w:rsidRDefault="00960BB8">
            <w:pPr>
              <w:rPr>
                <w:rFonts w:ascii="宋体"/>
              </w:rPr>
            </w:pPr>
          </w:p>
        </w:tc>
      </w:tr>
      <w:tr w:rsidR="00960BB8" w14:paraId="5A1B3F50" w14:textId="77777777">
        <w:tc>
          <w:tcPr>
            <w:tcW w:w="0" w:type="auto"/>
            <w:gridSpan w:val="3"/>
            <w:shd w:val="clear" w:color="auto" w:fill="auto"/>
            <w:tcMar>
              <w:top w:w="40" w:type="dxa"/>
              <w:left w:w="20" w:type="dxa"/>
              <w:bottom w:w="40" w:type="dxa"/>
              <w:right w:w="20" w:type="dxa"/>
            </w:tcMar>
          </w:tcPr>
          <w:p w14:paraId="5A1B3F42" w14:textId="77777777" w:rsidR="00960BB8" w:rsidRDefault="00C06650">
            <w:pPr>
              <w:jc w:val="center"/>
              <w:textAlignment w:val="top"/>
            </w:pPr>
            <w:r>
              <w:rPr>
                <w:rFonts w:ascii="Arial" w:eastAsia="宋体" w:hAnsi="Arial" w:cs="Arial"/>
                <w:color w:val="262626"/>
                <w:sz w:val="18"/>
                <w:szCs w:val="18"/>
              </w:rPr>
              <w:t>10.15</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F4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44" w14:textId="77777777" w:rsidR="00960BB8" w:rsidRDefault="00C06650">
            <w:pPr>
              <w:textAlignment w:val="bottom"/>
            </w:pPr>
            <w:hyperlink r:id="rId229" w:history="1">
              <w:r>
                <w:rPr>
                  <w:rStyle w:val="a5"/>
                  <w:rFonts w:ascii="Arial" w:eastAsia="宋体" w:hAnsi="Arial" w:cs="Arial"/>
                  <w:color w:val="262626"/>
                  <w:sz w:val="18"/>
                  <w:szCs w:val="18"/>
                </w:rPr>
                <w:t>Offer Letter between Intel Corporation and Patrick Gelsinger, dated January 13, 2021</w:t>
              </w:r>
            </w:hyperlink>
          </w:p>
        </w:tc>
        <w:tc>
          <w:tcPr>
            <w:tcW w:w="0" w:type="auto"/>
            <w:gridSpan w:val="3"/>
            <w:shd w:val="clear" w:color="auto" w:fill="auto"/>
            <w:tcMar>
              <w:top w:w="0" w:type="dxa"/>
              <w:left w:w="20" w:type="dxa"/>
              <w:bottom w:w="0" w:type="dxa"/>
              <w:right w:w="20" w:type="dxa"/>
            </w:tcMar>
            <w:vAlign w:val="bottom"/>
          </w:tcPr>
          <w:p w14:paraId="5A1B3F4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46" w14:textId="77777777" w:rsidR="00960BB8" w:rsidRDefault="00C06650">
            <w:pPr>
              <w:jc w:val="right"/>
              <w:textAlignment w:val="bottom"/>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F4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48" w14:textId="77777777" w:rsidR="00960BB8" w:rsidRDefault="00C06650">
            <w:pPr>
              <w:jc w:val="right"/>
              <w:textAlignment w:val="bottom"/>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F49"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F4A" w14:textId="77777777" w:rsidR="00960BB8" w:rsidRDefault="00C06650">
            <w:pPr>
              <w:jc w:val="right"/>
              <w:textAlignment w:val="bottom"/>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vAlign w:val="bottom"/>
          </w:tcPr>
          <w:p w14:paraId="5A1B3F4B"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F4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4D" w14:textId="77777777" w:rsidR="00960BB8" w:rsidRDefault="00C06650">
            <w:pPr>
              <w:jc w:val="right"/>
              <w:textAlignment w:val="bottom"/>
            </w:pPr>
            <w:r>
              <w:rPr>
                <w:rFonts w:ascii="Arial" w:eastAsia="宋体" w:hAnsi="Arial" w:cs="Arial"/>
                <w:color w:val="262626"/>
                <w:sz w:val="18"/>
                <w:szCs w:val="18"/>
              </w:rPr>
              <w:t>1/14/2021</w:t>
            </w:r>
          </w:p>
        </w:tc>
        <w:tc>
          <w:tcPr>
            <w:tcW w:w="0" w:type="auto"/>
            <w:gridSpan w:val="3"/>
            <w:shd w:val="clear" w:color="auto" w:fill="auto"/>
            <w:tcMar>
              <w:top w:w="0" w:type="dxa"/>
              <w:left w:w="20" w:type="dxa"/>
              <w:bottom w:w="0" w:type="dxa"/>
              <w:right w:w="20" w:type="dxa"/>
            </w:tcMar>
            <w:vAlign w:val="bottom"/>
          </w:tcPr>
          <w:p w14:paraId="5A1B3F4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4F" w14:textId="77777777" w:rsidR="00960BB8" w:rsidRDefault="00960BB8">
            <w:pPr>
              <w:rPr>
                <w:rFonts w:ascii="宋体"/>
              </w:rPr>
            </w:pPr>
          </w:p>
        </w:tc>
      </w:tr>
      <w:tr w:rsidR="00960BB8" w14:paraId="5A1B3F5F" w14:textId="77777777">
        <w:tc>
          <w:tcPr>
            <w:tcW w:w="0" w:type="auto"/>
            <w:gridSpan w:val="3"/>
            <w:shd w:val="clear" w:color="auto" w:fill="auto"/>
            <w:tcMar>
              <w:top w:w="40" w:type="dxa"/>
              <w:left w:w="20" w:type="dxa"/>
              <w:bottom w:w="40" w:type="dxa"/>
              <w:right w:w="20" w:type="dxa"/>
            </w:tcMar>
          </w:tcPr>
          <w:p w14:paraId="5A1B3F51" w14:textId="77777777" w:rsidR="00960BB8" w:rsidRDefault="00C06650">
            <w:pPr>
              <w:jc w:val="center"/>
              <w:textAlignment w:val="top"/>
            </w:pPr>
            <w:r>
              <w:rPr>
                <w:rFonts w:ascii="Arial" w:eastAsia="宋体" w:hAnsi="Arial" w:cs="Arial"/>
                <w:color w:val="262626"/>
                <w:sz w:val="18"/>
                <w:szCs w:val="18"/>
              </w:rPr>
              <w:t>10.16</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F5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53" w14:textId="77777777" w:rsidR="00960BB8" w:rsidRDefault="00C06650">
            <w:pPr>
              <w:textAlignment w:val="bottom"/>
            </w:pPr>
            <w:hyperlink r:id="rId230" w:history="1">
              <w:r>
                <w:rPr>
                  <w:rStyle w:val="a5"/>
                  <w:rFonts w:ascii="Arial" w:eastAsia="宋体" w:hAnsi="Arial" w:cs="Arial"/>
                  <w:sz w:val="18"/>
                  <w:szCs w:val="18"/>
                </w:rPr>
                <w:t>Offer Letter between Intel Corporation and David A. Zinsner dated January 6, 2022</w:t>
              </w:r>
            </w:hyperlink>
          </w:p>
        </w:tc>
        <w:tc>
          <w:tcPr>
            <w:tcW w:w="0" w:type="auto"/>
            <w:gridSpan w:val="3"/>
            <w:shd w:val="clear" w:color="auto" w:fill="auto"/>
            <w:tcMar>
              <w:top w:w="0" w:type="dxa"/>
              <w:left w:w="20" w:type="dxa"/>
              <w:bottom w:w="0" w:type="dxa"/>
              <w:right w:w="20" w:type="dxa"/>
            </w:tcMar>
            <w:vAlign w:val="bottom"/>
          </w:tcPr>
          <w:p w14:paraId="5A1B3F5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55" w14:textId="77777777" w:rsidR="00960BB8" w:rsidRDefault="00C06650">
            <w:pPr>
              <w:jc w:val="right"/>
              <w:textAlignment w:val="bottom"/>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F5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57" w14:textId="77777777" w:rsidR="00960BB8" w:rsidRDefault="00C06650">
            <w:pPr>
              <w:jc w:val="right"/>
              <w:textAlignment w:val="bottom"/>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F58"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F59" w14:textId="77777777" w:rsidR="00960BB8" w:rsidRDefault="00C06650">
            <w:pPr>
              <w:jc w:val="right"/>
              <w:textAlignment w:val="bottom"/>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vAlign w:val="bottom"/>
          </w:tcPr>
          <w:p w14:paraId="5A1B3F5A"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F5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5C" w14:textId="77777777" w:rsidR="00960BB8" w:rsidRDefault="00C06650">
            <w:pPr>
              <w:jc w:val="right"/>
              <w:textAlignment w:val="bottom"/>
            </w:pPr>
            <w:r>
              <w:rPr>
                <w:rFonts w:ascii="Arial" w:eastAsia="宋体" w:hAnsi="Arial" w:cs="Arial"/>
                <w:color w:val="262626"/>
                <w:sz w:val="18"/>
                <w:szCs w:val="18"/>
              </w:rPr>
              <w:t>1/10/2022</w:t>
            </w:r>
          </w:p>
        </w:tc>
        <w:tc>
          <w:tcPr>
            <w:tcW w:w="0" w:type="auto"/>
            <w:gridSpan w:val="3"/>
            <w:shd w:val="clear" w:color="auto" w:fill="auto"/>
            <w:tcMar>
              <w:top w:w="0" w:type="dxa"/>
              <w:left w:w="20" w:type="dxa"/>
              <w:bottom w:w="0" w:type="dxa"/>
              <w:right w:w="20" w:type="dxa"/>
            </w:tcMar>
            <w:vAlign w:val="bottom"/>
          </w:tcPr>
          <w:p w14:paraId="5A1B3F5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5E" w14:textId="77777777" w:rsidR="00960BB8" w:rsidRDefault="00960BB8">
            <w:pPr>
              <w:rPr>
                <w:rFonts w:ascii="宋体"/>
              </w:rPr>
            </w:pPr>
          </w:p>
        </w:tc>
      </w:tr>
      <w:tr w:rsidR="00960BB8" w14:paraId="5A1B3F6E" w14:textId="77777777">
        <w:tc>
          <w:tcPr>
            <w:tcW w:w="0" w:type="auto"/>
            <w:gridSpan w:val="3"/>
            <w:shd w:val="clear" w:color="auto" w:fill="auto"/>
            <w:tcMar>
              <w:top w:w="40" w:type="dxa"/>
              <w:left w:w="20" w:type="dxa"/>
              <w:bottom w:w="40" w:type="dxa"/>
              <w:right w:w="20" w:type="dxa"/>
            </w:tcMar>
          </w:tcPr>
          <w:p w14:paraId="5A1B3F60" w14:textId="77777777" w:rsidR="00960BB8" w:rsidRDefault="00C06650">
            <w:pPr>
              <w:jc w:val="center"/>
              <w:textAlignment w:val="top"/>
            </w:pPr>
            <w:r>
              <w:rPr>
                <w:rFonts w:ascii="Arial" w:eastAsia="宋体" w:hAnsi="Arial" w:cs="Arial"/>
                <w:color w:val="262626"/>
                <w:sz w:val="18"/>
                <w:szCs w:val="18"/>
              </w:rPr>
              <w:t>10.17</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F6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62" w14:textId="77777777" w:rsidR="00960BB8" w:rsidRDefault="00C06650">
            <w:pPr>
              <w:textAlignment w:val="bottom"/>
            </w:pPr>
            <w:hyperlink r:id="rId231" w:history="1">
              <w:r>
                <w:rPr>
                  <w:rStyle w:val="a5"/>
                  <w:rFonts w:ascii="Arial" w:eastAsia="宋体" w:hAnsi="Arial" w:cs="Arial"/>
                  <w:color w:val="262626"/>
                  <w:sz w:val="18"/>
                  <w:szCs w:val="18"/>
                </w:rPr>
                <w:t>Lease Agreement between Intel Corporation and Steven R. Rodgers</w:t>
              </w:r>
            </w:hyperlink>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5A1B3F6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64" w14:textId="77777777" w:rsidR="00960BB8" w:rsidRDefault="00C06650">
            <w:pPr>
              <w:jc w:val="right"/>
              <w:textAlignment w:val="bottom"/>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5A1B3F6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66" w14:textId="77777777" w:rsidR="00960BB8" w:rsidRDefault="00C06650">
            <w:pPr>
              <w:jc w:val="right"/>
              <w:textAlignment w:val="bottom"/>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F67" w14:textId="77777777" w:rsidR="00960BB8" w:rsidRDefault="00960BB8">
            <w:pPr>
              <w:rPr>
                <w:rFonts w:ascii="宋体"/>
              </w:rPr>
            </w:pPr>
          </w:p>
        </w:tc>
        <w:tc>
          <w:tcPr>
            <w:tcW w:w="0" w:type="auto"/>
            <w:gridSpan w:val="2"/>
            <w:shd w:val="clear" w:color="auto" w:fill="auto"/>
            <w:tcMar>
              <w:top w:w="40" w:type="dxa"/>
              <w:left w:w="20" w:type="dxa"/>
              <w:bottom w:w="40" w:type="dxa"/>
              <w:right w:w="0" w:type="dxa"/>
            </w:tcMar>
            <w:vAlign w:val="bottom"/>
          </w:tcPr>
          <w:p w14:paraId="5A1B3F68" w14:textId="77777777" w:rsidR="00960BB8" w:rsidRDefault="00C06650">
            <w:pPr>
              <w:jc w:val="right"/>
              <w:textAlignment w:val="bottom"/>
            </w:pPr>
            <w:r>
              <w:rPr>
                <w:rFonts w:ascii="Arial" w:eastAsia="宋体" w:hAnsi="Arial" w:cs="Arial"/>
                <w:color w:val="262626"/>
                <w:sz w:val="18"/>
                <w:szCs w:val="18"/>
              </w:rPr>
              <w:t>10.12 </w:t>
            </w:r>
          </w:p>
        </w:tc>
        <w:tc>
          <w:tcPr>
            <w:tcW w:w="0" w:type="auto"/>
            <w:shd w:val="clear" w:color="auto" w:fill="auto"/>
            <w:tcMar>
              <w:top w:w="40" w:type="dxa"/>
              <w:left w:w="0" w:type="dxa"/>
              <w:bottom w:w="40" w:type="dxa"/>
              <w:right w:w="20" w:type="dxa"/>
            </w:tcMar>
            <w:vAlign w:val="bottom"/>
          </w:tcPr>
          <w:p w14:paraId="5A1B3F69" w14:textId="77777777" w:rsidR="00960BB8" w:rsidRDefault="00960BB8">
            <w:pPr>
              <w:jc w:val="right"/>
              <w:rPr>
                <w:rFonts w:ascii="宋体"/>
              </w:rPr>
            </w:pPr>
          </w:p>
        </w:tc>
        <w:tc>
          <w:tcPr>
            <w:tcW w:w="0" w:type="auto"/>
            <w:gridSpan w:val="3"/>
            <w:shd w:val="clear" w:color="auto" w:fill="auto"/>
            <w:tcMar>
              <w:top w:w="0" w:type="dxa"/>
              <w:left w:w="20" w:type="dxa"/>
              <w:bottom w:w="0" w:type="dxa"/>
              <w:right w:w="20" w:type="dxa"/>
            </w:tcMar>
            <w:vAlign w:val="bottom"/>
          </w:tcPr>
          <w:p w14:paraId="5A1B3F6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6B" w14:textId="77777777" w:rsidR="00960BB8" w:rsidRDefault="00C06650">
            <w:pPr>
              <w:jc w:val="right"/>
              <w:textAlignment w:val="bottom"/>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5A1B3F6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6D" w14:textId="77777777" w:rsidR="00960BB8" w:rsidRDefault="00960BB8">
            <w:pPr>
              <w:rPr>
                <w:rFonts w:ascii="宋体"/>
              </w:rPr>
            </w:pPr>
          </w:p>
        </w:tc>
      </w:tr>
      <w:tr w:rsidR="00960BB8" w14:paraId="5A1B3F7C" w14:textId="77777777">
        <w:tc>
          <w:tcPr>
            <w:tcW w:w="0" w:type="auto"/>
            <w:gridSpan w:val="3"/>
            <w:shd w:val="clear" w:color="auto" w:fill="auto"/>
            <w:tcMar>
              <w:top w:w="40" w:type="dxa"/>
              <w:left w:w="20" w:type="dxa"/>
              <w:bottom w:w="40" w:type="dxa"/>
              <w:right w:w="20" w:type="dxa"/>
            </w:tcMar>
          </w:tcPr>
          <w:p w14:paraId="5A1B3F6F" w14:textId="77777777" w:rsidR="00960BB8" w:rsidRDefault="00C06650">
            <w:pPr>
              <w:jc w:val="center"/>
              <w:textAlignment w:val="top"/>
            </w:pPr>
            <w:r>
              <w:rPr>
                <w:rFonts w:ascii="Arial" w:eastAsia="宋体" w:hAnsi="Arial" w:cs="Arial"/>
                <w:color w:val="262626"/>
                <w:sz w:val="18"/>
                <w:szCs w:val="18"/>
              </w:rPr>
              <w:t>10.18</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5A1B3F7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71" w14:textId="77777777" w:rsidR="00960BB8" w:rsidRDefault="00C06650">
            <w:pPr>
              <w:textAlignment w:val="top"/>
            </w:pPr>
            <w:hyperlink r:id="rId232" w:history="1">
              <w:r>
                <w:rPr>
                  <w:rStyle w:val="a5"/>
                  <w:rFonts w:ascii="Arial" w:eastAsia="宋体" w:hAnsi="Arial" w:cs="Arial"/>
                  <w:color w:val="262626"/>
                  <w:sz w:val="18"/>
                  <w:szCs w:val="18"/>
                </w:rPr>
                <w:t>Offer Letter between Intel Corporation and George S. Davis, dated April 2, 2019</w:t>
              </w:r>
            </w:hyperlink>
          </w:p>
        </w:tc>
        <w:tc>
          <w:tcPr>
            <w:tcW w:w="0" w:type="auto"/>
            <w:gridSpan w:val="3"/>
            <w:shd w:val="clear" w:color="auto" w:fill="auto"/>
            <w:tcMar>
              <w:top w:w="0" w:type="dxa"/>
              <w:left w:w="20" w:type="dxa"/>
              <w:bottom w:w="0" w:type="dxa"/>
              <w:right w:w="20" w:type="dxa"/>
            </w:tcMar>
            <w:vAlign w:val="bottom"/>
          </w:tcPr>
          <w:p w14:paraId="5A1B3F7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73" w14:textId="77777777" w:rsidR="00960BB8" w:rsidRDefault="00C06650">
            <w:pPr>
              <w:jc w:val="right"/>
              <w:textAlignment w:val="bottom"/>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5A1B3F7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75" w14:textId="77777777" w:rsidR="00960BB8" w:rsidRDefault="00C06650">
            <w:pPr>
              <w:jc w:val="right"/>
              <w:textAlignment w:val="bottom"/>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5A1B3F7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77" w14:textId="77777777" w:rsidR="00960BB8" w:rsidRDefault="00C06650">
            <w:pPr>
              <w:jc w:val="right"/>
              <w:textAlignment w:val="bottom"/>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5A1B3F7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3F79" w14:textId="77777777" w:rsidR="00960BB8" w:rsidRDefault="00C06650">
            <w:pPr>
              <w:jc w:val="right"/>
              <w:textAlignment w:val="bottom"/>
            </w:pPr>
            <w:r>
              <w:rPr>
                <w:rFonts w:ascii="Arial" w:eastAsia="宋体" w:hAnsi="Arial" w:cs="Arial"/>
                <w:color w:val="262626"/>
                <w:sz w:val="18"/>
                <w:szCs w:val="18"/>
              </w:rPr>
              <w:t>4/3/2019</w:t>
            </w:r>
          </w:p>
        </w:tc>
        <w:tc>
          <w:tcPr>
            <w:tcW w:w="0" w:type="auto"/>
            <w:gridSpan w:val="3"/>
            <w:shd w:val="clear" w:color="auto" w:fill="auto"/>
            <w:tcMar>
              <w:top w:w="0" w:type="dxa"/>
              <w:left w:w="20" w:type="dxa"/>
              <w:bottom w:w="0" w:type="dxa"/>
              <w:right w:w="20" w:type="dxa"/>
            </w:tcMar>
            <w:vAlign w:val="bottom"/>
          </w:tcPr>
          <w:p w14:paraId="5A1B3F7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7B" w14:textId="77777777" w:rsidR="00960BB8" w:rsidRDefault="00960BB8">
            <w:pPr>
              <w:rPr>
                <w:rFonts w:ascii="宋体"/>
              </w:rPr>
            </w:pPr>
          </w:p>
        </w:tc>
      </w:tr>
      <w:tr w:rsidR="00960BB8" w14:paraId="5A1B3F8A" w14:textId="77777777">
        <w:tc>
          <w:tcPr>
            <w:tcW w:w="0" w:type="auto"/>
            <w:gridSpan w:val="3"/>
            <w:shd w:val="clear" w:color="auto" w:fill="auto"/>
            <w:tcMar>
              <w:top w:w="40" w:type="dxa"/>
              <w:left w:w="20" w:type="dxa"/>
              <w:bottom w:w="40" w:type="dxa"/>
              <w:right w:w="20" w:type="dxa"/>
            </w:tcMar>
          </w:tcPr>
          <w:p w14:paraId="5A1B3F7D" w14:textId="77777777" w:rsidR="00960BB8" w:rsidRDefault="00C06650">
            <w:pPr>
              <w:jc w:val="center"/>
              <w:textAlignment w:val="top"/>
            </w:pPr>
            <w:r>
              <w:rPr>
                <w:rFonts w:ascii="Arial" w:eastAsia="宋体" w:hAnsi="Arial" w:cs="Arial"/>
                <w:color w:val="262626"/>
                <w:sz w:val="18"/>
                <w:szCs w:val="18"/>
              </w:rPr>
              <w:t>21.1</w:t>
            </w:r>
          </w:p>
        </w:tc>
        <w:tc>
          <w:tcPr>
            <w:tcW w:w="0" w:type="auto"/>
            <w:gridSpan w:val="3"/>
            <w:shd w:val="clear" w:color="auto" w:fill="auto"/>
            <w:tcMar>
              <w:top w:w="0" w:type="dxa"/>
              <w:left w:w="20" w:type="dxa"/>
              <w:bottom w:w="0" w:type="dxa"/>
              <w:right w:w="20" w:type="dxa"/>
            </w:tcMar>
            <w:vAlign w:val="bottom"/>
          </w:tcPr>
          <w:p w14:paraId="5A1B3F7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7F" w14:textId="77777777" w:rsidR="00960BB8" w:rsidRDefault="00C06650">
            <w:pPr>
              <w:textAlignment w:val="top"/>
            </w:pPr>
            <w:hyperlink r:id="rId233" w:history="1">
              <w:r>
                <w:rPr>
                  <w:rStyle w:val="a5"/>
                  <w:rFonts w:ascii="Arial" w:eastAsia="宋体" w:hAnsi="Arial" w:cs="Arial"/>
                  <w:sz w:val="18"/>
                  <w:szCs w:val="18"/>
                </w:rPr>
                <w:t>Intel Corporation Subsidiaries</w:t>
              </w:r>
            </w:hyperlink>
          </w:p>
        </w:tc>
        <w:tc>
          <w:tcPr>
            <w:tcW w:w="0" w:type="auto"/>
            <w:gridSpan w:val="3"/>
            <w:shd w:val="clear" w:color="auto" w:fill="auto"/>
            <w:tcMar>
              <w:top w:w="0" w:type="dxa"/>
              <w:left w:w="20" w:type="dxa"/>
              <w:bottom w:w="0" w:type="dxa"/>
              <w:right w:w="20" w:type="dxa"/>
            </w:tcMar>
            <w:vAlign w:val="bottom"/>
          </w:tcPr>
          <w:p w14:paraId="5A1B3F8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8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8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8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8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8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8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8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8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89" w14:textId="77777777" w:rsidR="00960BB8" w:rsidRDefault="00C06650">
            <w:pPr>
              <w:jc w:val="center"/>
              <w:textAlignment w:val="top"/>
            </w:pPr>
            <w:r>
              <w:rPr>
                <w:rFonts w:ascii="Arial" w:eastAsia="宋体" w:hAnsi="Arial" w:cs="Arial"/>
                <w:color w:val="262626"/>
                <w:sz w:val="18"/>
                <w:szCs w:val="18"/>
              </w:rPr>
              <w:t>X</w:t>
            </w:r>
          </w:p>
        </w:tc>
      </w:tr>
      <w:tr w:rsidR="00960BB8" w14:paraId="5A1B3F98" w14:textId="77777777">
        <w:tc>
          <w:tcPr>
            <w:tcW w:w="0" w:type="auto"/>
            <w:gridSpan w:val="3"/>
            <w:shd w:val="clear" w:color="auto" w:fill="auto"/>
            <w:tcMar>
              <w:top w:w="40" w:type="dxa"/>
              <w:left w:w="20" w:type="dxa"/>
              <w:bottom w:w="40" w:type="dxa"/>
              <w:right w:w="20" w:type="dxa"/>
            </w:tcMar>
          </w:tcPr>
          <w:p w14:paraId="5A1B3F8B" w14:textId="77777777" w:rsidR="00960BB8" w:rsidRDefault="00C06650">
            <w:pPr>
              <w:jc w:val="center"/>
              <w:textAlignment w:val="top"/>
            </w:pPr>
            <w:r>
              <w:rPr>
                <w:rFonts w:ascii="Arial" w:eastAsia="宋体" w:hAnsi="Arial" w:cs="Arial"/>
                <w:color w:val="262626"/>
                <w:sz w:val="18"/>
                <w:szCs w:val="18"/>
              </w:rPr>
              <w:t>23.1</w:t>
            </w:r>
          </w:p>
        </w:tc>
        <w:tc>
          <w:tcPr>
            <w:tcW w:w="0" w:type="auto"/>
            <w:gridSpan w:val="3"/>
            <w:shd w:val="clear" w:color="auto" w:fill="auto"/>
            <w:tcMar>
              <w:top w:w="0" w:type="dxa"/>
              <w:left w:w="20" w:type="dxa"/>
              <w:bottom w:w="0" w:type="dxa"/>
              <w:right w:w="20" w:type="dxa"/>
            </w:tcMar>
            <w:vAlign w:val="bottom"/>
          </w:tcPr>
          <w:p w14:paraId="5A1B3F8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8D" w14:textId="77777777" w:rsidR="00960BB8" w:rsidRDefault="00C06650">
            <w:pPr>
              <w:textAlignment w:val="top"/>
            </w:pPr>
            <w:hyperlink r:id="rId234" w:history="1">
              <w:r>
                <w:rPr>
                  <w:rStyle w:val="a5"/>
                  <w:rFonts w:ascii="Arial" w:eastAsia="宋体" w:hAnsi="Arial" w:cs="Arial"/>
                  <w:sz w:val="18"/>
                  <w:szCs w:val="18"/>
                </w:rPr>
                <w:t>Consent of Ernst &amp; Young LLP, Independent Registered Public Accounting Firm</w:t>
              </w:r>
            </w:hyperlink>
          </w:p>
        </w:tc>
        <w:tc>
          <w:tcPr>
            <w:tcW w:w="0" w:type="auto"/>
            <w:gridSpan w:val="3"/>
            <w:shd w:val="clear" w:color="auto" w:fill="auto"/>
            <w:tcMar>
              <w:top w:w="0" w:type="dxa"/>
              <w:left w:w="20" w:type="dxa"/>
              <w:bottom w:w="0" w:type="dxa"/>
              <w:right w:w="20" w:type="dxa"/>
            </w:tcMar>
            <w:vAlign w:val="bottom"/>
          </w:tcPr>
          <w:p w14:paraId="5A1B3F8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8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9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9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9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9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9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9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9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97" w14:textId="77777777" w:rsidR="00960BB8" w:rsidRDefault="00C06650">
            <w:pPr>
              <w:jc w:val="center"/>
              <w:textAlignment w:val="top"/>
            </w:pPr>
            <w:r>
              <w:rPr>
                <w:rFonts w:ascii="Arial" w:eastAsia="宋体" w:hAnsi="Arial" w:cs="Arial"/>
                <w:color w:val="262626"/>
                <w:sz w:val="18"/>
                <w:szCs w:val="18"/>
              </w:rPr>
              <w:t>X</w:t>
            </w:r>
          </w:p>
        </w:tc>
      </w:tr>
      <w:tr w:rsidR="00960BB8" w14:paraId="5A1B3FA6" w14:textId="77777777">
        <w:tc>
          <w:tcPr>
            <w:tcW w:w="0" w:type="auto"/>
            <w:gridSpan w:val="3"/>
            <w:shd w:val="clear" w:color="auto" w:fill="auto"/>
            <w:tcMar>
              <w:top w:w="40" w:type="dxa"/>
              <w:left w:w="20" w:type="dxa"/>
              <w:bottom w:w="40" w:type="dxa"/>
              <w:right w:w="20" w:type="dxa"/>
            </w:tcMar>
          </w:tcPr>
          <w:p w14:paraId="5A1B3F99" w14:textId="77777777" w:rsidR="00960BB8" w:rsidRDefault="00C06650">
            <w:pPr>
              <w:jc w:val="center"/>
              <w:textAlignment w:val="top"/>
            </w:pPr>
            <w:r>
              <w:rPr>
                <w:rFonts w:ascii="Arial" w:eastAsia="宋体" w:hAnsi="Arial" w:cs="Arial"/>
                <w:color w:val="262626"/>
                <w:sz w:val="18"/>
                <w:szCs w:val="18"/>
              </w:rPr>
              <w:t>31.1</w:t>
            </w:r>
          </w:p>
        </w:tc>
        <w:tc>
          <w:tcPr>
            <w:tcW w:w="0" w:type="auto"/>
            <w:gridSpan w:val="3"/>
            <w:shd w:val="clear" w:color="auto" w:fill="auto"/>
            <w:tcMar>
              <w:top w:w="0" w:type="dxa"/>
              <w:left w:w="20" w:type="dxa"/>
              <w:bottom w:w="0" w:type="dxa"/>
              <w:right w:w="20" w:type="dxa"/>
            </w:tcMar>
            <w:vAlign w:val="bottom"/>
          </w:tcPr>
          <w:p w14:paraId="5A1B3F9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9B" w14:textId="77777777" w:rsidR="00960BB8" w:rsidRDefault="00C06650">
            <w:pPr>
              <w:textAlignment w:val="top"/>
            </w:pPr>
            <w:hyperlink r:id="rId235" w:history="1">
              <w:r>
                <w:rPr>
                  <w:rStyle w:val="a5"/>
                  <w:rFonts w:ascii="Arial" w:eastAsia="宋体" w:hAnsi="Arial" w:cs="Arial"/>
                  <w:sz w:val="18"/>
                  <w:szCs w:val="18"/>
                </w:rPr>
                <w:t>Certification of the Chief Executive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5A1B3F9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9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9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9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A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A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A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A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A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A5" w14:textId="77777777" w:rsidR="00960BB8" w:rsidRDefault="00C06650">
            <w:pPr>
              <w:jc w:val="center"/>
              <w:textAlignment w:val="top"/>
            </w:pPr>
            <w:r>
              <w:rPr>
                <w:rFonts w:ascii="Arial" w:eastAsia="宋体" w:hAnsi="Arial" w:cs="Arial"/>
                <w:color w:val="262626"/>
                <w:sz w:val="18"/>
                <w:szCs w:val="18"/>
              </w:rPr>
              <w:t>X</w:t>
            </w:r>
          </w:p>
        </w:tc>
      </w:tr>
      <w:tr w:rsidR="00960BB8" w14:paraId="5A1B3FB4" w14:textId="77777777">
        <w:tc>
          <w:tcPr>
            <w:tcW w:w="0" w:type="auto"/>
            <w:gridSpan w:val="3"/>
            <w:shd w:val="clear" w:color="auto" w:fill="auto"/>
            <w:tcMar>
              <w:top w:w="40" w:type="dxa"/>
              <w:left w:w="20" w:type="dxa"/>
              <w:bottom w:w="40" w:type="dxa"/>
              <w:right w:w="20" w:type="dxa"/>
            </w:tcMar>
          </w:tcPr>
          <w:p w14:paraId="5A1B3FA7" w14:textId="77777777" w:rsidR="00960BB8" w:rsidRDefault="00C06650">
            <w:pPr>
              <w:jc w:val="center"/>
              <w:textAlignment w:val="top"/>
            </w:pPr>
            <w:r>
              <w:rPr>
                <w:rFonts w:ascii="Arial" w:eastAsia="宋体" w:hAnsi="Arial" w:cs="Arial"/>
                <w:color w:val="262626"/>
                <w:sz w:val="18"/>
                <w:szCs w:val="18"/>
              </w:rPr>
              <w:t>31.2</w:t>
            </w:r>
          </w:p>
        </w:tc>
        <w:tc>
          <w:tcPr>
            <w:tcW w:w="0" w:type="auto"/>
            <w:gridSpan w:val="3"/>
            <w:shd w:val="clear" w:color="auto" w:fill="auto"/>
            <w:tcMar>
              <w:top w:w="0" w:type="dxa"/>
              <w:left w:w="20" w:type="dxa"/>
              <w:bottom w:w="0" w:type="dxa"/>
              <w:right w:w="20" w:type="dxa"/>
            </w:tcMar>
            <w:vAlign w:val="bottom"/>
          </w:tcPr>
          <w:p w14:paraId="5A1B3FA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A9" w14:textId="77777777" w:rsidR="00960BB8" w:rsidRDefault="00C06650">
            <w:pPr>
              <w:textAlignment w:val="top"/>
            </w:pPr>
            <w:hyperlink r:id="rId236" w:history="1">
              <w:r>
                <w:rPr>
                  <w:rStyle w:val="a5"/>
                  <w:rFonts w:ascii="Arial" w:eastAsia="宋体" w:hAnsi="Arial" w:cs="Arial"/>
                  <w:sz w:val="18"/>
                  <w:szCs w:val="18"/>
                </w:rPr>
                <w:t>Certification of the Chief Financial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5A1B3FA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A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A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A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A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A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B0"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B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B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B3" w14:textId="77777777" w:rsidR="00960BB8" w:rsidRDefault="00C06650">
            <w:pPr>
              <w:jc w:val="center"/>
              <w:textAlignment w:val="top"/>
            </w:pPr>
            <w:r>
              <w:rPr>
                <w:rFonts w:ascii="Arial" w:eastAsia="宋体" w:hAnsi="Arial" w:cs="Arial"/>
                <w:color w:val="262626"/>
                <w:sz w:val="18"/>
                <w:szCs w:val="18"/>
              </w:rPr>
              <w:t>X</w:t>
            </w:r>
          </w:p>
        </w:tc>
      </w:tr>
      <w:tr w:rsidR="00960BB8" w14:paraId="5A1B3FC2" w14:textId="77777777">
        <w:tc>
          <w:tcPr>
            <w:tcW w:w="0" w:type="auto"/>
            <w:gridSpan w:val="3"/>
            <w:shd w:val="clear" w:color="auto" w:fill="auto"/>
            <w:tcMar>
              <w:top w:w="40" w:type="dxa"/>
              <w:left w:w="20" w:type="dxa"/>
              <w:bottom w:w="40" w:type="dxa"/>
              <w:right w:w="20" w:type="dxa"/>
            </w:tcMar>
          </w:tcPr>
          <w:p w14:paraId="5A1B3FB5" w14:textId="77777777" w:rsidR="00960BB8" w:rsidRDefault="00C06650">
            <w:pPr>
              <w:jc w:val="center"/>
              <w:textAlignment w:val="top"/>
            </w:pPr>
            <w:r>
              <w:rPr>
                <w:rFonts w:ascii="Arial" w:eastAsia="宋体" w:hAnsi="Arial" w:cs="Arial"/>
                <w:color w:val="262626"/>
                <w:sz w:val="18"/>
                <w:szCs w:val="18"/>
              </w:rPr>
              <w:t>32.1</w:t>
            </w:r>
          </w:p>
        </w:tc>
        <w:tc>
          <w:tcPr>
            <w:tcW w:w="0" w:type="auto"/>
            <w:gridSpan w:val="3"/>
            <w:shd w:val="clear" w:color="auto" w:fill="auto"/>
            <w:tcMar>
              <w:top w:w="0" w:type="dxa"/>
              <w:left w:w="20" w:type="dxa"/>
              <w:bottom w:w="0" w:type="dxa"/>
              <w:right w:w="20" w:type="dxa"/>
            </w:tcMar>
            <w:vAlign w:val="bottom"/>
          </w:tcPr>
          <w:p w14:paraId="5A1B3FB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B7" w14:textId="77777777" w:rsidR="00960BB8" w:rsidRDefault="00C06650">
            <w:pPr>
              <w:textAlignment w:val="top"/>
            </w:pPr>
            <w:hyperlink r:id="rId237" w:history="1">
              <w:r>
                <w:rPr>
                  <w:rStyle w:val="a5"/>
                  <w:rFonts w:ascii="Arial" w:eastAsia="宋体" w:hAnsi="Arial" w:cs="Arial"/>
                  <w:sz w:val="18"/>
                  <w:szCs w:val="18"/>
                </w:rPr>
                <w:t>Certification of the Chief Executive Officer and the Chief Financial Officer pursuant to Rule13a-14(b) of the Exchange Act and 18 U.S.C. Section 1350</w:t>
              </w:r>
            </w:hyperlink>
          </w:p>
        </w:tc>
        <w:tc>
          <w:tcPr>
            <w:tcW w:w="0" w:type="auto"/>
            <w:gridSpan w:val="3"/>
            <w:shd w:val="clear" w:color="auto" w:fill="auto"/>
            <w:tcMar>
              <w:top w:w="0" w:type="dxa"/>
              <w:left w:w="20" w:type="dxa"/>
              <w:bottom w:w="0" w:type="dxa"/>
              <w:right w:w="20" w:type="dxa"/>
            </w:tcMar>
            <w:vAlign w:val="bottom"/>
          </w:tcPr>
          <w:p w14:paraId="5A1B3FB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B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B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B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B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B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B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B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C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C1" w14:textId="77777777" w:rsidR="00960BB8" w:rsidRDefault="00C06650">
            <w:pPr>
              <w:jc w:val="center"/>
              <w:textAlignment w:val="top"/>
            </w:pPr>
            <w:r>
              <w:rPr>
                <w:rFonts w:ascii="Arial" w:eastAsia="宋体" w:hAnsi="Arial" w:cs="Arial"/>
                <w:color w:val="262626"/>
                <w:sz w:val="18"/>
                <w:szCs w:val="18"/>
              </w:rPr>
              <w:t>X</w:t>
            </w:r>
          </w:p>
        </w:tc>
      </w:tr>
      <w:tr w:rsidR="00960BB8" w14:paraId="5A1B3FD0" w14:textId="77777777">
        <w:tc>
          <w:tcPr>
            <w:tcW w:w="0" w:type="auto"/>
            <w:gridSpan w:val="3"/>
            <w:shd w:val="clear" w:color="auto" w:fill="auto"/>
            <w:tcMar>
              <w:top w:w="40" w:type="dxa"/>
              <w:left w:w="20" w:type="dxa"/>
              <w:bottom w:w="40" w:type="dxa"/>
              <w:right w:w="20" w:type="dxa"/>
            </w:tcMar>
          </w:tcPr>
          <w:p w14:paraId="5A1B3FC3" w14:textId="77777777" w:rsidR="00960BB8" w:rsidRDefault="00C06650">
            <w:pPr>
              <w:jc w:val="center"/>
              <w:textAlignment w:val="top"/>
            </w:pPr>
            <w:r>
              <w:rPr>
                <w:rFonts w:ascii="Arial" w:eastAsia="宋体" w:hAnsi="Arial" w:cs="Arial"/>
                <w:color w:val="262626"/>
                <w:sz w:val="18"/>
                <w:szCs w:val="18"/>
              </w:rPr>
              <w:t>99.1</w:t>
            </w:r>
          </w:p>
        </w:tc>
        <w:tc>
          <w:tcPr>
            <w:tcW w:w="0" w:type="auto"/>
            <w:gridSpan w:val="3"/>
            <w:shd w:val="clear" w:color="auto" w:fill="auto"/>
            <w:tcMar>
              <w:top w:w="0" w:type="dxa"/>
              <w:left w:w="20" w:type="dxa"/>
              <w:bottom w:w="0" w:type="dxa"/>
              <w:right w:w="20" w:type="dxa"/>
            </w:tcMar>
            <w:vAlign w:val="bottom"/>
          </w:tcPr>
          <w:p w14:paraId="5A1B3FC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C5" w14:textId="77777777" w:rsidR="00960BB8" w:rsidRDefault="00C06650">
            <w:pPr>
              <w:textAlignment w:val="top"/>
            </w:pPr>
            <w:hyperlink r:id="rId238" w:history="1">
              <w:r>
                <w:rPr>
                  <w:rStyle w:val="a5"/>
                  <w:rFonts w:ascii="Arial" w:eastAsia="宋体" w:hAnsi="Arial" w:cs="Arial"/>
                  <w:sz w:val="18"/>
                  <w:szCs w:val="18"/>
                </w:rPr>
                <w:t>Supplement to Present Required Information in Searchable Format</w:t>
              </w:r>
            </w:hyperlink>
          </w:p>
        </w:tc>
        <w:tc>
          <w:tcPr>
            <w:tcW w:w="0" w:type="auto"/>
            <w:gridSpan w:val="3"/>
            <w:shd w:val="clear" w:color="auto" w:fill="auto"/>
            <w:tcMar>
              <w:top w:w="0" w:type="dxa"/>
              <w:left w:w="20" w:type="dxa"/>
              <w:bottom w:w="0" w:type="dxa"/>
              <w:right w:w="20" w:type="dxa"/>
            </w:tcMar>
            <w:vAlign w:val="bottom"/>
          </w:tcPr>
          <w:p w14:paraId="5A1B3FC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C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C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C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C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C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C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C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C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CF" w14:textId="77777777" w:rsidR="00960BB8" w:rsidRDefault="00C06650">
            <w:pPr>
              <w:jc w:val="center"/>
              <w:textAlignment w:val="top"/>
            </w:pPr>
            <w:r>
              <w:rPr>
                <w:rFonts w:ascii="Arial" w:eastAsia="宋体" w:hAnsi="Arial" w:cs="Arial"/>
                <w:color w:val="262626"/>
                <w:sz w:val="18"/>
                <w:szCs w:val="18"/>
              </w:rPr>
              <w:t>X</w:t>
            </w:r>
          </w:p>
        </w:tc>
      </w:tr>
      <w:tr w:rsidR="00960BB8" w14:paraId="5A1B3FDE" w14:textId="77777777">
        <w:tc>
          <w:tcPr>
            <w:tcW w:w="0" w:type="auto"/>
            <w:gridSpan w:val="3"/>
            <w:shd w:val="clear" w:color="auto" w:fill="auto"/>
            <w:tcMar>
              <w:top w:w="40" w:type="dxa"/>
              <w:left w:w="20" w:type="dxa"/>
              <w:bottom w:w="40" w:type="dxa"/>
              <w:right w:w="20" w:type="dxa"/>
            </w:tcMar>
          </w:tcPr>
          <w:p w14:paraId="5A1B3FD1" w14:textId="77777777" w:rsidR="00960BB8" w:rsidRDefault="00C06650">
            <w:pPr>
              <w:jc w:val="center"/>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5A1B3FD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D3" w14:textId="77777777" w:rsidR="00960BB8" w:rsidRDefault="00C06650">
            <w:pPr>
              <w:textAlignment w:val="top"/>
            </w:pPr>
            <w:r>
              <w:rPr>
                <w:rFonts w:ascii="Arial" w:eastAsia="宋体" w:hAnsi="Arial" w:cs="Arial"/>
                <w:color w:val="262626"/>
                <w:sz w:val="18"/>
                <w:szCs w:val="18"/>
              </w:rPr>
              <w:t xml:space="preserve">Inline XBRL Document Set for the </w:t>
            </w:r>
            <w:r>
              <w:rPr>
                <w:rFonts w:ascii="Arial" w:eastAsia="宋体" w:hAnsi="Arial" w:cs="Arial"/>
                <w:color w:val="262626"/>
                <w:sz w:val="18"/>
                <w:szCs w:val="18"/>
              </w:rPr>
              <w:t>consolidated financial statements and accompanying notes in Financial Statements and Supplemental Details</w:t>
            </w:r>
          </w:p>
        </w:tc>
        <w:tc>
          <w:tcPr>
            <w:tcW w:w="0" w:type="auto"/>
            <w:gridSpan w:val="3"/>
            <w:shd w:val="clear" w:color="auto" w:fill="auto"/>
            <w:tcMar>
              <w:top w:w="0" w:type="dxa"/>
              <w:left w:w="20" w:type="dxa"/>
              <w:bottom w:w="0" w:type="dxa"/>
              <w:right w:w="20" w:type="dxa"/>
            </w:tcMar>
            <w:vAlign w:val="bottom"/>
          </w:tcPr>
          <w:p w14:paraId="5A1B3FD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D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D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D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D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D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D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D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3FD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3FDD" w14:textId="77777777" w:rsidR="00960BB8" w:rsidRDefault="00C06650">
            <w:pPr>
              <w:jc w:val="center"/>
              <w:textAlignment w:val="top"/>
            </w:pPr>
            <w:r>
              <w:rPr>
                <w:rFonts w:ascii="Arial" w:eastAsia="宋体" w:hAnsi="Arial" w:cs="Arial"/>
                <w:color w:val="262626"/>
                <w:sz w:val="18"/>
                <w:szCs w:val="18"/>
              </w:rPr>
              <w:t>X</w:t>
            </w:r>
          </w:p>
        </w:tc>
      </w:tr>
      <w:tr w:rsidR="00960BB8" w14:paraId="5A1B3FEC" w14:textId="77777777">
        <w:trPr>
          <w:hidden/>
        </w:trPr>
        <w:tc>
          <w:tcPr>
            <w:tcW w:w="0" w:type="auto"/>
            <w:gridSpan w:val="3"/>
            <w:shd w:val="clear" w:color="auto" w:fill="auto"/>
            <w:vAlign w:val="bottom"/>
          </w:tcPr>
          <w:p w14:paraId="5A1B3FDF" w14:textId="77777777" w:rsidR="00960BB8" w:rsidRDefault="00960BB8">
            <w:pPr>
              <w:rPr>
                <w:rFonts w:ascii="宋体"/>
                <w:vanish/>
              </w:rPr>
            </w:pPr>
          </w:p>
        </w:tc>
        <w:tc>
          <w:tcPr>
            <w:tcW w:w="0" w:type="auto"/>
            <w:gridSpan w:val="3"/>
            <w:shd w:val="clear" w:color="auto" w:fill="auto"/>
            <w:vAlign w:val="bottom"/>
          </w:tcPr>
          <w:p w14:paraId="5A1B3FE0" w14:textId="77777777" w:rsidR="00960BB8" w:rsidRDefault="00960BB8">
            <w:pPr>
              <w:rPr>
                <w:rFonts w:ascii="宋体"/>
                <w:vanish/>
              </w:rPr>
            </w:pPr>
          </w:p>
        </w:tc>
        <w:tc>
          <w:tcPr>
            <w:tcW w:w="0" w:type="auto"/>
            <w:gridSpan w:val="3"/>
            <w:shd w:val="clear" w:color="auto" w:fill="auto"/>
            <w:vAlign w:val="bottom"/>
          </w:tcPr>
          <w:p w14:paraId="5A1B3FE1" w14:textId="77777777" w:rsidR="00960BB8" w:rsidRDefault="00960BB8">
            <w:pPr>
              <w:rPr>
                <w:rFonts w:ascii="宋体"/>
                <w:vanish/>
              </w:rPr>
            </w:pPr>
          </w:p>
        </w:tc>
        <w:tc>
          <w:tcPr>
            <w:tcW w:w="0" w:type="auto"/>
            <w:gridSpan w:val="3"/>
            <w:shd w:val="clear" w:color="auto" w:fill="auto"/>
            <w:vAlign w:val="bottom"/>
          </w:tcPr>
          <w:p w14:paraId="5A1B3FE2" w14:textId="77777777" w:rsidR="00960BB8" w:rsidRDefault="00960BB8">
            <w:pPr>
              <w:rPr>
                <w:rFonts w:ascii="宋体"/>
                <w:vanish/>
              </w:rPr>
            </w:pPr>
          </w:p>
        </w:tc>
        <w:tc>
          <w:tcPr>
            <w:tcW w:w="0" w:type="auto"/>
            <w:gridSpan w:val="3"/>
            <w:shd w:val="clear" w:color="auto" w:fill="auto"/>
            <w:vAlign w:val="bottom"/>
          </w:tcPr>
          <w:p w14:paraId="5A1B3FE3" w14:textId="77777777" w:rsidR="00960BB8" w:rsidRDefault="00960BB8">
            <w:pPr>
              <w:rPr>
                <w:rFonts w:ascii="宋体"/>
                <w:vanish/>
              </w:rPr>
            </w:pPr>
          </w:p>
        </w:tc>
        <w:tc>
          <w:tcPr>
            <w:tcW w:w="0" w:type="auto"/>
            <w:gridSpan w:val="3"/>
            <w:shd w:val="clear" w:color="auto" w:fill="auto"/>
            <w:vAlign w:val="bottom"/>
          </w:tcPr>
          <w:p w14:paraId="5A1B3FE4" w14:textId="77777777" w:rsidR="00960BB8" w:rsidRDefault="00960BB8">
            <w:pPr>
              <w:rPr>
                <w:rFonts w:ascii="宋体"/>
                <w:vanish/>
              </w:rPr>
            </w:pPr>
          </w:p>
        </w:tc>
        <w:tc>
          <w:tcPr>
            <w:tcW w:w="0" w:type="auto"/>
            <w:gridSpan w:val="3"/>
            <w:shd w:val="clear" w:color="auto" w:fill="auto"/>
            <w:vAlign w:val="bottom"/>
          </w:tcPr>
          <w:p w14:paraId="5A1B3FE5" w14:textId="77777777" w:rsidR="00960BB8" w:rsidRDefault="00960BB8">
            <w:pPr>
              <w:rPr>
                <w:rFonts w:ascii="宋体"/>
                <w:vanish/>
              </w:rPr>
            </w:pPr>
          </w:p>
        </w:tc>
        <w:tc>
          <w:tcPr>
            <w:tcW w:w="0" w:type="auto"/>
            <w:gridSpan w:val="3"/>
            <w:shd w:val="clear" w:color="auto" w:fill="auto"/>
            <w:vAlign w:val="bottom"/>
          </w:tcPr>
          <w:p w14:paraId="5A1B3FE6" w14:textId="77777777" w:rsidR="00960BB8" w:rsidRDefault="00960BB8">
            <w:pPr>
              <w:rPr>
                <w:rFonts w:ascii="宋体"/>
                <w:vanish/>
              </w:rPr>
            </w:pPr>
          </w:p>
        </w:tc>
        <w:tc>
          <w:tcPr>
            <w:tcW w:w="0" w:type="auto"/>
            <w:gridSpan w:val="3"/>
            <w:shd w:val="clear" w:color="auto" w:fill="auto"/>
            <w:vAlign w:val="bottom"/>
          </w:tcPr>
          <w:p w14:paraId="5A1B3FE7" w14:textId="77777777" w:rsidR="00960BB8" w:rsidRDefault="00960BB8">
            <w:pPr>
              <w:rPr>
                <w:rFonts w:ascii="宋体"/>
                <w:vanish/>
              </w:rPr>
            </w:pPr>
          </w:p>
        </w:tc>
        <w:tc>
          <w:tcPr>
            <w:tcW w:w="0" w:type="auto"/>
            <w:gridSpan w:val="3"/>
            <w:shd w:val="clear" w:color="auto" w:fill="auto"/>
            <w:vAlign w:val="bottom"/>
          </w:tcPr>
          <w:p w14:paraId="5A1B3FE8" w14:textId="77777777" w:rsidR="00960BB8" w:rsidRDefault="00960BB8">
            <w:pPr>
              <w:rPr>
                <w:rFonts w:ascii="宋体"/>
                <w:vanish/>
              </w:rPr>
            </w:pPr>
          </w:p>
        </w:tc>
        <w:tc>
          <w:tcPr>
            <w:tcW w:w="0" w:type="auto"/>
            <w:gridSpan w:val="3"/>
            <w:shd w:val="clear" w:color="auto" w:fill="auto"/>
            <w:vAlign w:val="bottom"/>
          </w:tcPr>
          <w:p w14:paraId="5A1B3FE9" w14:textId="77777777" w:rsidR="00960BB8" w:rsidRDefault="00960BB8">
            <w:pPr>
              <w:rPr>
                <w:rFonts w:ascii="宋体"/>
                <w:vanish/>
              </w:rPr>
            </w:pPr>
          </w:p>
        </w:tc>
        <w:tc>
          <w:tcPr>
            <w:tcW w:w="0" w:type="auto"/>
            <w:gridSpan w:val="3"/>
            <w:shd w:val="clear" w:color="auto" w:fill="auto"/>
            <w:vAlign w:val="bottom"/>
          </w:tcPr>
          <w:p w14:paraId="5A1B3FEA" w14:textId="77777777" w:rsidR="00960BB8" w:rsidRDefault="00960BB8">
            <w:pPr>
              <w:rPr>
                <w:rFonts w:ascii="宋体"/>
                <w:vanish/>
              </w:rPr>
            </w:pPr>
          </w:p>
        </w:tc>
        <w:tc>
          <w:tcPr>
            <w:tcW w:w="0" w:type="auto"/>
            <w:gridSpan w:val="3"/>
            <w:shd w:val="clear" w:color="auto" w:fill="auto"/>
            <w:vAlign w:val="bottom"/>
          </w:tcPr>
          <w:p w14:paraId="5A1B3FEB" w14:textId="77777777" w:rsidR="00960BB8" w:rsidRDefault="00960BB8">
            <w:pPr>
              <w:rPr>
                <w:rFonts w:ascii="宋体"/>
                <w:vanish/>
              </w:rPr>
            </w:pPr>
          </w:p>
        </w:tc>
      </w:tr>
      <w:tr w:rsidR="00960BB8" w14:paraId="5A1B3FFA" w14:textId="77777777">
        <w:trPr>
          <w:hidden/>
        </w:trPr>
        <w:tc>
          <w:tcPr>
            <w:tcW w:w="0" w:type="auto"/>
            <w:gridSpan w:val="3"/>
            <w:shd w:val="clear" w:color="auto" w:fill="auto"/>
            <w:vAlign w:val="bottom"/>
          </w:tcPr>
          <w:p w14:paraId="5A1B3FED" w14:textId="77777777" w:rsidR="00960BB8" w:rsidRDefault="00960BB8">
            <w:pPr>
              <w:rPr>
                <w:rFonts w:ascii="宋体"/>
                <w:vanish/>
              </w:rPr>
            </w:pPr>
          </w:p>
        </w:tc>
        <w:tc>
          <w:tcPr>
            <w:tcW w:w="0" w:type="auto"/>
            <w:gridSpan w:val="3"/>
            <w:shd w:val="clear" w:color="auto" w:fill="auto"/>
            <w:vAlign w:val="bottom"/>
          </w:tcPr>
          <w:p w14:paraId="5A1B3FEE" w14:textId="77777777" w:rsidR="00960BB8" w:rsidRDefault="00960BB8">
            <w:pPr>
              <w:rPr>
                <w:rFonts w:ascii="宋体"/>
                <w:vanish/>
              </w:rPr>
            </w:pPr>
          </w:p>
        </w:tc>
        <w:tc>
          <w:tcPr>
            <w:tcW w:w="0" w:type="auto"/>
            <w:gridSpan w:val="3"/>
            <w:shd w:val="clear" w:color="auto" w:fill="auto"/>
            <w:vAlign w:val="bottom"/>
          </w:tcPr>
          <w:p w14:paraId="5A1B3FEF" w14:textId="77777777" w:rsidR="00960BB8" w:rsidRDefault="00960BB8">
            <w:pPr>
              <w:rPr>
                <w:rFonts w:ascii="宋体"/>
                <w:vanish/>
              </w:rPr>
            </w:pPr>
          </w:p>
        </w:tc>
        <w:tc>
          <w:tcPr>
            <w:tcW w:w="0" w:type="auto"/>
            <w:gridSpan w:val="3"/>
            <w:shd w:val="clear" w:color="auto" w:fill="auto"/>
            <w:vAlign w:val="bottom"/>
          </w:tcPr>
          <w:p w14:paraId="5A1B3FF0" w14:textId="77777777" w:rsidR="00960BB8" w:rsidRDefault="00960BB8">
            <w:pPr>
              <w:rPr>
                <w:rFonts w:ascii="宋体"/>
                <w:vanish/>
              </w:rPr>
            </w:pPr>
          </w:p>
        </w:tc>
        <w:tc>
          <w:tcPr>
            <w:tcW w:w="0" w:type="auto"/>
            <w:gridSpan w:val="3"/>
            <w:shd w:val="clear" w:color="auto" w:fill="auto"/>
            <w:vAlign w:val="bottom"/>
          </w:tcPr>
          <w:p w14:paraId="5A1B3FF1" w14:textId="77777777" w:rsidR="00960BB8" w:rsidRDefault="00960BB8">
            <w:pPr>
              <w:rPr>
                <w:rFonts w:ascii="宋体"/>
                <w:vanish/>
              </w:rPr>
            </w:pPr>
          </w:p>
        </w:tc>
        <w:tc>
          <w:tcPr>
            <w:tcW w:w="0" w:type="auto"/>
            <w:gridSpan w:val="3"/>
            <w:shd w:val="clear" w:color="auto" w:fill="auto"/>
            <w:vAlign w:val="bottom"/>
          </w:tcPr>
          <w:p w14:paraId="5A1B3FF2" w14:textId="77777777" w:rsidR="00960BB8" w:rsidRDefault="00960BB8">
            <w:pPr>
              <w:rPr>
                <w:rFonts w:ascii="宋体"/>
                <w:vanish/>
              </w:rPr>
            </w:pPr>
          </w:p>
        </w:tc>
        <w:tc>
          <w:tcPr>
            <w:tcW w:w="0" w:type="auto"/>
            <w:gridSpan w:val="3"/>
            <w:shd w:val="clear" w:color="auto" w:fill="auto"/>
            <w:vAlign w:val="bottom"/>
          </w:tcPr>
          <w:p w14:paraId="5A1B3FF3" w14:textId="77777777" w:rsidR="00960BB8" w:rsidRDefault="00960BB8">
            <w:pPr>
              <w:rPr>
                <w:rFonts w:ascii="宋体"/>
                <w:vanish/>
              </w:rPr>
            </w:pPr>
          </w:p>
        </w:tc>
        <w:tc>
          <w:tcPr>
            <w:tcW w:w="0" w:type="auto"/>
            <w:gridSpan w:val="3"/>
            <w:shd w:val="clear" w:color="auto" w:fill="auto"/>
            <w:vAlign w:val="bottom"/>
          </w:tcPr>
          <w:p w14:paraId="5A1B3FF4" w14:textId="77777777" w:rsidR="00960BB8" w:rsidRDefault="00960BB8">
            <w:pPr>
              <w:rPr>
                <w:rFonts w:ascii="宋体"/>
                <w:vanish/>
              </w:rPr>
            </w:pPr>
          </w:p>
        </w:tc>
        <w:tc>
          <w:tcPr>
            <w:tcW w:w="0" w:type="auto"/>
            <w:gridSpan w:val="3"/>
            <w:shd w:val="clear" w:color="auto" w:fill="auto"/>
            <w:vAlign w:val="bottom"/>
          </w:tcPr>
          <w:p w14:paraId="5A1B3FF5" w14:textId="77777777" w:rsidR="00960BB8" w:rsidRDefault="00960BB8">
            <w:pPr>
              <w:rPr>
                <w:rFonts w:ascii="宋体"/>
                <w:vanish/>
              </w:rPr>
            </w:pPr>
          </w:p>
        </w:tc>
        <w:tc>
          <w:tcPr>
            <w:tcW w:w="0" w:type="auto"/>
            <w:gridSpan w:val="3"/>
            <w:shd w:val="clear" w:color="auto" w:fill="auto"/>
            <w:vAlign w:val="bottom"/>
          </w:tcPr>
          <w:p w14:paraId="5A1B3FF6" w14:textId="77777777" w:rsidR="00960BB8" w:rsidRDefault="00960BB8">
            <w:pPr>
              <w:rPr>
                <w:rFonts w:ascii="宋体"/>
                <w:vanish/>
              </w:rPr>
            </w:pPr>
          </w:p>
        </w:tc>
        <w:tc>
          <w:tcPr>
            <w:tcW w:w="0" w:type="auto"/>
            <w:gridSpan w:val="3"/>
            <w:shd w:val="clear" w:color="auto" w:fill="auto"/>
            <w:vAlign w:val="bottom"/>
          </w:tcPr>
          <w:p w14:paraId="5A1B3FF7" w14:textId="77777777" w:rsidR="00960BB8" w:rsidRDefault="00960BB8">
            <w:pPr>
              <w:rPr>
                <w:rFonts w:ascii="宋体"/>
                <w:vanish/>
              </w:rPr>
            </w:pPr>
          </w:p>
        </w:tc>
        <w:tc>
          <w:tcPr>
            <w:tcW w:w="0" w:type="auto"/>
            <w:gridSpan w:val="3"/>
            <w:shd w:val="clear" w:color="auto" w:fill="auto"/>
            <w:vAlign w:val="bottom"/>
          </w:tcPr>
          <w:p w14:paraId="5A1B3FF8" w14:textId="77777777" w:rsidR="00960BB8" w:rsidRDefault="00960BB8">
            <w:pPr>
              <w:rPr>
                <w:rFonts w:ascii="宋体"/>
                <w:vanish/>
              </w:rPr>
            </w:pPr>
          </w:p>
        </w:tc>
        <w:tc>
          <w:tcPr>
            <w:tcW w:w="0" w:type="auto"/>
            <w:gridSpan w:val="3"/>
            <w:shd w:val="clear" w:color="auto" w:fill="auto"/>
            <w:vAlign w:val="bottom"/>
          </w:tcPr>
          <w:p w14:paraId="5A1B3FF9" w14:textId="77777777" w:rsidR="00960BB8" w:rsidRDefault="00960BB8">
            <w:pPr>
              <w:rPr>
                <w:rFonts w:ascii="宋体"/>
                <w:vanish/>
              </w:rPr>
            </w:pPr>
          </w:p>
        </w:tc>
      </w:tr>
      <w:tr w:rsidR="00960BB8" w14:paraId="5A1B4008" w14:textId="77777777">
        <w:trPr>
          <w:hidden/>
        </w:trPr>
        <w:tc>
          <w:tcPr>
            <w:tcW w:w="0" w:type="auto"/>
            <w:gridSpan w:val="3"/>
            <w:shd w:val="clear" w:color="auto" w:fill="auto"/>
            <w:vAlign w:val="bottom"/>
          </w:tcPr>
          <w:p w14:paraId="5A1B3FFB" w14:textId="77777777" w:rsidR="00960BB8" w:rsidRDefault="00960BB8">
            <w:pPr>
              <w:rPr>
                <w:rFonts w:ascii="宋体"/>
                <w:vanish/>
              </w:rPr>
            </w:pPr>
          </w:p>
        </w:tc>
        <w:tc>
          <w:tcPr>
            <w:tcW w:w="0" w:type="auto"/>
            <w:gridSpan w:val="3"/>
            <w:shd w:val="clear" w:color="auto" w:fill="auto"/>
            <w:vAlign w:val="bottom"/>
          </w:tcPr>
          <w:p w14:paraId="5A1B3FFC" w14:textId="77777777" w:rsidR="00960BB8" w:rsidRDefault="00960BB8">
            <w:pPr>
              <w:rPr>
                <w:rFonts w:ascii="宋体"/>
                <w:vanish/>
              </w:rPr>
            </w:pPr>
          </w:p>
        </w:tc>
        <w:tc>
          <w:tcPr>
            <w:tcW w:w="0" w:type="auto"/>
            <w:gridSpan w:val="3"/>
            <w:shd w:val="clear" w:color="auto" w:fill="auto"/>
            <w:vAlign w:val="bottom"/>
          </w:tcPr>
          <w:p w14:paraId="5A1B3FFD" w14:textId="77777777" w:rsidR="00960BB8" w:rsidRDefault="00960BB8">
            <w:pPr>
              <w:rPr>
                <w:rFonts w:ascii="宋体"/>
                <w:vanish/>
              </w:rPr>
            </w:pPr>
          </w:p>
        </w:tc>
        <w:tc>
          <w:tcPr>
            <w:tcW w:w="0" w:type="auto"/>
            <w:gridSpan w:val="3"/>
            <w:shd w:val="clear" w:color="auto" w:fill="auto"/>
            <w:vAlign w:val="bottom"/>
          </w:tcPr>
          <w:p w14:paraId="5A1B3FFE" w14:textId="77777777" w:rsidR="00960BB8" w:rsidRDefault="00960BB8">
            <w:pPr>
              <w:rPr>
                <w:rFonts w:ascii="宋体"/>
                <w:vanish/>
              </w:rPr>
            </w:pPr>
          </w:p>
        </w:tc>
        <w:tc>
          <w:tcPr>
            <w:tcW w:w="0" w:type="auto"/>
            <w:gridSpan w:val="3"/>
            <w:shd w:val="clear" w:color="auto" w:fill="auto"/>
            <w:vAlign w:val="bottom"/>
          </w:tcPr>
          <w:p w14:paraId="5A1B3FFF" w14:textId="77777777" w:rsidR="00960BB8" w:rsidRDefault="00960BB8">
            <w:pPr>
              <w:rPr>
                <w:rFonts w:ascii="宋体"/>
                <w:vanish/>
              </w:rPr>
            </w:pPr>
          </w:p>
        </w:tc>
        <w:tc>
          <w:tcPr>
            <w:tcW w:w="0" w:type="auto"/>
            <w:gridSpan w:val="3"/>
            <w:shd w:val="clear" w:color="auto" w:fill="auto"/>
            <w:vAlign w:val="bottom"/>
          </w:tcPr>
          <w:p w14:paraId="5A1B4000" w14:textId="77777777" w:rsidR="00960BB8" w:rsidRDefault="00960BB8">
            <w:pPr>
              <w:rPr>
                <w:rFonts w:ascii="宋体"/>
                <w:vanish/>
              </w:rPr>
            </w:pPr>
          </w:p>
        </w:tc>
        <w:tc>
          <w:tcPr>
            <w:tcW w:w="0" w:type="auto"/>
            <w:gridSpan w:val="3"/>
            <w:shd w:val="clear" w:color="auto" w:fill="auto"/>
            <w:vAlign w:val="bottom"/>
          </w:tcPr>
          <w:p w14:paraId="5A1B4001" w14:textId="77777777" w:rsidR="00960BB8" w:rsidRDefault="00960BB8">
            <w:pPr>
              <w:rPr>
                <w:rFonts w:ascii="宋体"/>
                <w:vanish/>
              </w:rPr>
            </w:pPr>
          </w:p>
        </w:tc>
        <w:tc>
          <w:tcPr>
            <w:tcW w:w="0" w:type="auto"/>
            <w:gridSpan w:val="3"/>
            <w:shd w:val="clear" w:color="auto" w:fill="auto"/>
            <w:vAlign w:val="bottom"/>
          </w:tcPr>
          <w:p w14:paraId="5A1B4002" w14:textId="77777777" w:rsidR="00960BB8" w:rsidRDefault="00960BB8">
            <w:pPr>
              <w:rPr>
                <w:rFonts w:ascii="宋体"/>
                <w:vanish/>
              </w:rPr>
            </w:pPr>
          </w:p>
        </w:tc>
        <w:tc>
          <w:tcPr>
            <w:tcW w:w="0" w:type="auto"/>
            <w:gridSpan w:val="3"/>
            <w:shd w:val="clear" w:color="auto" w:fill="auto"/>
            <w:vAlign w:val="bottom"/>
          </w:tcPr>
          <w:p w14:paraId="5A1B4003" w14:textId="77777777" w:rsidR="00960BB8" w:rsidRDefault="00960BB8">
            <w:pPr>
              <w:rPr>
                <w:rFonts w:ascii="宋体"/>
                <w:vanish/>
              </w:rPr>
            </w:pPr>
          </w:p>
        </w:tc>
        <w:tc>
          <w:tcPr>
            <w:tcW w:w="0" w:type="auto"/>
            <w:gridSpan w:val="3"/>
            <w:shd w:val="clear" w:color="auto" w:fill="auto"/>
            <w:vAlign w:val="bottom"/>
          </w:tcPr>
          <w:p w14:paraId="5A1B4004" w14:textId="77777777" w:rsidR="00960BB8" w:rsidRDefault="00960BB8">
            <w:pPr>
              <w:rPr>
                <w:rFonts w:ascii="宋体"/>
                <w:vanish/>
              </w:rPr>
            </w:pPr>
          </w:p>
        </w:tc>
        <w:tc>
          <w:tcPr>
            <w:tcW w:w="0" w:type="auto"/>
            <w:gridSpan w:val="3"/>
            <w:shd w:val="clear" w:color="auto" w:fill="auto"/>
            <w:vAlign w:val="bottom"/>
          </w:tcPr>
          <w:p w14:paraId="5A1B4005" w14:textId="77777777" w:rsidR="00960BB8" w:rsidRDefault="00960BB8">
            <w:pPr>
              <w:rPr>
                <w:rFonts w:ascii="宋体"/>
                <w:vanish/>
              </w:rPr>
            </w:pPr>
          </w:p>
        </w:tc>
        <w:tc>
          <w:tcPr>
            <w:tcW w:w="0" w:type="auto"/>
            <w:gridSpan w:val="3"/>
            <w:shd w:val="clear" w:color="auto" w:fill="auto"/>
            <w:vAlign w:val="bottom"/>
          </w:tcPr>
          <w:p w14:paraId="5A1B4006" w14:textId="77777777" w:rsidR="00960BB8" w:rsidRDefault="00960BB8">
            <w:pPr>
              <w:rPr>
                <w:rFonts w:ascii="宋体"/>
                <w:vanish/>
              </w:rPr>
            </w:pPr>
          </w:p>
        </w:tc>
        <w:tc>
          <w:tcPr>
            <w:tcW w:w="0" w:type="auto"/>
            <w:gridSpan w:val="3"/>
            <w:shd w:val="clear" w:color="auto" w:fill="auto"/>
            <w:vAlign w:val="bottom"/>
          </w:tcPr>
          <w:p w14:paraId="5A1B4007" w14:textId="77777777" w:rsidR="00960BB8" w:rsidRDefault="00960BB8">
            <w:pPr>
              <w:rPr>
                <w:rFonts w:ascii="宋体"/>
                <w:vanish/>
              </w:rPr>
            </w:pPr>
          </w:p>
        </w:tc>
      </w:tr>
      <w:tr w:rsidR="00960BB8" w14:paraId="5A1B4016" w14:textId="77777777">
        <w:trPr>
          <w:hidden/>
        </w:trPr>
        <w:tc>
          <w:tcPr>
            <w:tcW w:w="0" w:type="auto"/>
            <w:gridSpan w:val="3"/>
            <w:shd w:val="clear" w:color="auto" w:fill="auto"/>
            <w:vAlign w:val="bottom"/>
          </w:tcPr>
          <w:p w14:paraId="5A1B4009" w14:textId="77777777" w:rsidR="00960BB8" w:rsidRDefault="00960BB8">
            <w:pPr>
              <w:rPr>
                <w:rFonts w:ascii="宋体"/>
                <w:vanish/>
              </w:rPr>
            </w:pPr>
          </w:p>
        </w:tc>
        <w:tc>
          <w:tcPr>
            <w:tcW w:w="0" w:type="auto"/>
            <w:gridSpan w:val="3"/>
            <w:shd w:val="clear" w:color="auto" w:fill="auto"/>
            <w:vAlign w:val="bottom"/>
          </w:tcPr>
          <w:p w14:paraId="5A1B400A" w14:textId="77777777" w:rsidR="00960BB8" w:rsidRDefault="00960BB8">
            <w:pPr>
              <w:rPr>
                <w:rFonts w:ascii="宋体"/>
                <w:vanish/>
              </w:rPr>
            </w:pPr>
          </w:p>
        </w:tc>
        <w:tc>
          <w:tcPr>
            <w:tcW w:w="0" w:type="auto"/>
            <w:gridSpan w:val="3"/>
            <w:shd w:val="clear" w:color="auto" w:fill="auto"/>
            <w:vAlign w:val="bottom"/>
          </w:tcPr>
          <w:p w14:paraId="5A1B400B" w14:textId="77777777" w:rsidR="00960BB8" w:rsidRDefault="00960BB8">
            <w:pPr>
              <w:rPr>
                <w:rFonts w:ascii="宋体"/>
                <w:vanish/>
              </w:rPr>
            </w:pPr>
          </w:p>
        </w:tc>
        <w:tc>
          <w:tcPr>
            <w:tcW w:w="0" w:type="auto"/>
            <w:gridSpan w:val="3"/>
            <w:shd w:val="clear" w:color="auto" w:fill="auto"/>
            <w:vAlign w:val="bottom"/>
          </w:tcPr>
          <w:p w14:paraId="5A1B400C" w14:textId="77777777" w:rsidR="00960BB8" w:rsidRDefault="00960BB8">
            <w:pPr>
              <w:rPr>
                <w:rFonts w:ascii="宋体"/>
                <w:vanish/>
              </w:rPr>
            </w:pPr>
          </w:p>
        </w:tc>
        <w:tc>
          <w:tcPr>
            <w:tcW w:w="0" w:type="auto"/>
            <w:gridSpan w:val="3"/>
            <w:shd w:val="clear" w:color="auto" w:fill="auto"/>
            <w:vAlign w:val="bottom"/>
          </w:tcPr>
          <w:p w14:paraId="5A1B400D" w14:textId="77777777" w:rsidR="00960BB8" w:rsidRDefault="00960BB8">
            <w:pPr>
              <w:rPr>
                <w:rFonts w:ascii="宋体"/>
                <w:vanish/>
              </w:rPr>
            </w:pPr>
          </w:p>
        </w:tc>
        <w:tc>
          <w:tcPr>
            <w:tcW w:w="0" w:type="auto"/>
            <w:gridSpan w:val="3"/>
            <w:shd w:val="clear" w:color="auto" w:fill="auto"/>
            <w:vAlign w:val="bottom"/>
          </w:tcPr>
          <w:p w14:paraId="5A1B400E" w14:textId="77777777" w:rsidR="00960BB8" w:rsidRDefault="00960BB8">
            <w:pPr>
              <w:rPr>
                <w:rFonts w:ascii="宋体"/>
                <w:vanish/>
              </w:rPr>
            </w:pPr>
          </w:p>
        </w:tc>
        <w:tc>
          <w:tcPr>
            <w:tcW w:w="0" w:type="auto"/>
            <w:gridSpan w:val="3"/>
            <w:shd w:val="clear" w:color="auto" w:fill="auto"/>
            <w:vAlign w:val="bottom"/>
          </w:tcPr>
          <w:p w14:paraId="5A1B400F" w14:textId="77777777" w:rsidR="00960BB8" w:rsidRDefault="00960BB8">
            <w:pPr>
              <w:rPr>
                <w:rFonts w:ascii="宋体"/>
                <w:vanish/>
              </w:rPr>
            </w:pPr>
          </w:p>
        </w:tc>
        <w:tc>
          <w:tcPr>
            <w:tcW w:w="0" w:type="auto"/>
            <w:gridSpan w:val="3"/>
            <w:shd w:val="clear" w:color="auto" w:fill="auto"/>
            <w:vAlign w:val="bottom"/>
          </w:tcPr>
          <w:p w14:paraId="5A1B4010" w14:textId="77777777" w:rsidR="00960BB8" w:rsidRDefault="00960BB8">
            <w:pPr>
              <w:rPr>
                <w:rFonts w:ascii="宋体"/>
                <w:vanish/>
              </w:rPr>
            </w:pPr>
          </w:p>
        </w:tc>
        <w:tc>
          <w:tcPr>
            <w:tcW w:w="0" w:type="auto"/>
            <w:gridSpan w:val="3"/>
            <w:shd w:val="clear" w:color="auto" w:fill="auto"/>
            <w:vAlign w:val="bottom"/>
          </w:tcPr>
          <w:p w14:paraId="5A1B4011" w14:textId="77777777" w:rsidR="00960BB8" w:rsidRDefault="00960BB8">
            <w:pPr>
              <w:rPr>
                <w:rFonts w:ascii="宋体"/>
                <w:vanish/>
              </w:rPr>
            </w:pPr>
          </w:p>
        </w:tc>
        <w:tc>
          <w:tcPr>
            <w:tcW w:w="0" w:type="auto"/>
            <w:gridSpan w:val="3"/>
            <w:shd w:val="clear" w:color="auto" w:fill="auto"/>
            <w:vAlign w:val="bottom"/>
          </w:tcPr>
          <w:p w14:paraId="5A1B4012" w14:textId="77777777" w:rsidR="00960BB8" w:rsidRDefault="00960BB8">
            <w:pPr>
              <w:rPr>
                <w:rFonts w:ascii="宋体"/>
                <w:vanish/>
              </w:rPr>
            </w:pPr>
          </w:p>
        </w:tc>
        <w:tc>
          <w:tcPr>
            <w:tcW w:w="0" w:type="auto"/>
            <w:gridSpan w:val="3"/>
            <w:shd w:val="clear" w:color="auto" w:fill="auto"/>
            <w:vAlign w:val="bottom"/>
          </w:tcPr>
          <w:p w14:paraId="5A1B4013" w14:textId="77777777" w:rsidR="00960BB8" w:rsidRDefault="00960BB8">
            <w:pPr>
              <w:rPr>
                <w:rFonts w:ascii="宋体"/>
                <w:vanish/>
              </w:rPr>
            </w:pPr>
          </w:p>
        </w:tc>
        <w:tc>
          <w:tcPr>
            <w:tcW w:w="0" w:type="auto"/>
            <w:gridSpan w:val="3"/>
            <w:shd w:val="clear" w:color="auto" w:fill="auto"/>
            <w:vAlign w:val="bottom"/>
          </w:tcPr>
          <w:p w14:paraId="5A1B4014" w14:textId="77777777" w:rsidR="00960BB8" w:rsidRDefault="00960BB8">
            <w:pPr>
              <w:rPr>
                <w:rFonts w:ascii="宋体"/>
                <w:vanish/>
              </w:rPr>
            </w:pPr>
          </w:p>
        </w:tc>
        <w:tc>
          <w:tcPr>
            <w:tcW w:w="0" w:type="auto"/>
            <w:gridSpan w:val="3"/>
            <w:shd w:val="clear" w:color="auto" w:fill="auto"/>
            <w:vAlign w:val="bottom"/>
          </w:tcPr>
          <w:p w14:paraId="5A1B4015" w14:textId="77777777" w:rsidR="00960BB8" w:rsidRDefault="00960BB8">
            <w:pPr>
              <w:rPr>
                <w:rFonts w:ascii="宋体"/>
                <w:vanish/>
              </w:rPr>
            </w:pPr>
          </w:p>
        </w:tc>
      </w:tr>
      <w:tr w:rsidR="00960BB8" w14:paraId="5A1B4024" w14:textId="77777777">
        <w:trPr>
          <w:hidden/>
        </w:trPr>
        <w:tc>
          <w:tcPr>
            <w:tcW w:w="0" w:type="auto"/>
            <w:gridSpan w:val="3"/>
            <w:shd w:val="clear" w:color="auto" w:fill="auto"/>
            <w:vAlign w:val="bottom"/>
          </w:tcPr>
          <w:p w14:paraId="5A1B4017" w14:textId="77777777" w:rsidR="00960BB8" w:rsidRDefault="00960BB8">
            <w:pPr>
              <w:rPr>
                <w:rFonts w:ascii="宋体"/>
                <w:vanish/>
              </w:rPr>
            </w:pPr>
          </w:p>
        </w:tc>
        <w:tc>
          <w:tcPr>
            <w:tcW w:w="0" w:type="auto"/>
            <w:gridSpan w:val="3"/>
            <w:shd w:val="clear" w:color="auto" w:fill="auto"/>
            <w:vAlign w:val="bottom"/>
          </w:tcPr>
          <w:p w14:paraId="5A1B4018" w14:textId="77777777" w:rsidR="00960BB8" w:rsidRDefault="00960BB8">
            <w:pPr>
              <w:rPr>
                <w:rFonts w:ascii="宋体"/>
                <w:vanish/>
              </w:rPr>
            </w:pPr>
          </w:p>
        </w:tc>
        <w:tc>
          <w:tcPr>
            <w:tcW w:w="0" w:type="auto"/>
            <w:gridSpan w:val="3"/>
            <w:shd w:val="clear" w:color="auto" w:fill="auto"/>
            <w:vAlign w:val="bottom"/>
          </w:tcPr>
          <w:p w14:paraId="5A1B4019" w14:textId="77777777" w:rsidR="00960BB8" w:rsidRDefault="00960BB8">
            <w:pPr>
              <w:rPr>
                <w:rFonts w:ascii="宋体"/>
                <w:vanish/>
              </w:rPr>
            </w:pPr>
          </w:p>
        </w:tc>
        <w:tc>
          <w:tcPr>
            <w:tcW w:w="0" w:type="auto"/>
            <w:gridSpan w:val="3"/>
            <w:shd w:val="clear" w:color="auto" w:fill="auto"/>
            <w:vAlign w:val="bottom"/>
          </w:tcPr>
          <w:p w14:paraId="5A1B401A" w14:textId="77777777" w:rsidR="00960BB8" w:rsidRDefault="00960BB8">
            <w:pPr>
              <w:rPr>
                <w:rFonts w:ascii="宋体"/>
                <w:vanish/>
              </w:rPr>
            </w:pPr>
          </w:p>
        </w:tc>
        <w:tc>
          <w:tcPr>
            <w:tcW w:w="0" w:type="auto"/>
            <w:gridSpan w:val="3"/>
            <w:shd w:val="clear" w:color="auto" w:fill="auto"/>
            <w:vAlign w:val="bottom"/>
          </w:tcPr>
          <w:p w14:paraId="5A1B401B" w14:textId="77777777" w:rsidR="00960BB8" w:rsidRDefault="00960BB8">
            <w:pPr>
              <w:rPr>
                <w:rFonts w:ascii="宋体"/>
                <w:vanish/>
              </w:rPr>
            </w:pPr>
          </w:p>
        </w:tc>
        <w:tc>
          <w:tcPr>
            <w:tcW w:w="0" w:type="auto"/>
            <w:gridSpan w:val="3"/>
            <w:shd w:val="clear" w:color="auto" w:fill="auto"/>
            <w:vAlign w:val="bottom"/>
          </w:tcPr>
          <w:p w14:paraId="5A1B401C" w14:textId="77777777" w:rsidR="00960BB8" w:rsidRDefault="00960BB8">
            <w:pPr>
              <w:rPr>
                <w:rFonts w:ascii="宋体"/>
                <w:vanish/>
              </w:rPr>
            </w:pPr>
          </w:p>
        </w:tc>
        <w:tc>
          <w:tcPr>
            <w:tcW w:w="0" w:type="auto"/>
            <w:gridSpan w:val="3"/>
            <w:shd w:val="clear" w:color="auto" w:fill="auto"/>
            <w:vAlign w:val="bottom"/>
          </w:tcPr>
          <w:p w14:paraId="5A1B401D" w14:textId="77777777" w:rsidR="00960BB8" w:rsidRDefault="00960BB8">
            <w:pPr>
              <w:rPr>
                <w:rFonts w:ascii="宋体"/>
                <w:vanish/>
              </w:rPr>
            </w:pPr>
          </w:p>
        </w:tc>
        <w:tc>
          <w:tcPr>
            <w:tcW w:w="0" w:type="auto"/>
            <w:gridSpan w:val="3"/>
            <w:shd w:val="clear" w:color="auto" w:fill="auto"/>
            <w:vAlign w:val="bottom"/>
          </w:tcPr>
          <w:p w14:paraId="5A1B401E" w14:textId="77777777" w:rsidR="00960BB8" w:rsidRDefault="00960BB8">
            <w:pPr>
              <w:rPr>
                <w:rFonts w:ascii="宋体"/>
                <w:vanish/>
              </w:rPr>
            </w:pPr>
          </w:p>
        </w:tc>
        <w:tc>
          <w:tcPr>
            <w:tcW w:w="0" w:type="auto"/>
            <w:gridSpan w:val="3"/>
            <w:shd w:val="clear" w:color="auto" w:fill="auto"/>
            <w:vAlign w:val="bottom"/>
          </w:tcPr>
          <w:p w14:paraId="5A1B401F" w14:textId="77777777" w:rsidR="00960BB8" w:rsidRDefault="00960BB8">
            <w:pPr>
              <w:rPr>
                <w:rFonts w:ascii="宋体"/>
                <w:vanish/>
              </w:rPr>
            </w:pPr>
          </w:p>
        </w:tc>
        <w:tc>
          <w:tcPr>
            <w:tcW w:w="0" w:type="auto"/>
            <w:gridSpan w:val="3"/>
            <w:shd w:val="clear" w:color="auto" w:fill="auto"/>
            <w:vAlign w:val="bottom"/>
          </w:tcPr>
          <w:p w14:paraId="5A1B4020" w14:textId="77777777" w:rsidR="00960BB8" w:rsidRDefault="00960BB8">
            <w:pPr>
              <w:rPr>
                <w:rFonts w:ascii="宋体"/>
                <w:vanish/>
              </w:rPr>
            </w:pPr>
          </w:p>
        </w:tc>
        <w:tc>
          <w:tcPr>
            <w:tcW w:w="0" w:type="auto"/>
            <w:gridSpan w:val="3"/>
            <w:shd w:val="clear" w:color="auto" w:fill="auto"/>
            <w:vAlign w:val="bottom"/>
          </w:tcPr>
          <w:p w14:paraId="5A1B4021" w14:textId="77777777" w:rsidR="00960BB8" w:rsidRDefault="00960BB8">
            <w:pPr>
              <w:rPr>
                <w:rFonts w:ascii="宋体"/>
                <w:vanish/>
              </w:rPr>
            </w:pPr>
          </w:p>
        </w:tc>
        <w:tc>
          <w:tcPr>
            <w:tcW w:w="0" w:type="auto"/>
            <w:gridSpan w:val="3"/>
            <w:shd w:val="clear" w:color="auto" w:fill="auto"/>
            <w:vAlign w:val="bottom"/>
          </w:tcPr>
          <w:p w14:paraId="5A1B4022" w14:textId="77777777" w:rsidR="00960BB8" w:rsidRDefault="00960BB8">
            <w:pPr>
              <w:rPr>
                <w:rFonts w:ascii="宋体"/>
                <w:vanish/>
              </w:rPr>
            </w:pPr>
          </w:p>
        </w:tc>
        <w:tc>
          <w:tcPr>
            <w:tcW w:w="0" w:type="auto"/>
            <w:gridSpan w:val="3"/>
            <w:shd w:val="clear" w:color="auto" w:fill="auto"/>
            <w:vAlign w:val="bottom"/>
          </w:tcPr>
          <w:p w14:paraId="5A1B4023" w14:textId="77777777" w:rsidR="00960BB8" w:rsidRDefault="00960BB8">
            <w:pPr>
              <w:rPr>
                <w:rFonts w:ascii="宋体"/>
                <w:vanish/>
              </w:rPr>
            </w:pPr>
          </w:p>
        </w:tc>
      </w:tr>
      <w:tr w:rsidR="00960BB8" w14:paraId="5A1B4032" w14:textId="77777777">
        <w:tc>
          <w:tcPr>
            <w:tcW w:w="0" w:type="auto"/>
            <w:gridSpan w:val="3"/>
            <w:shd w:val="clear" w:color="auto" w:fill="auto"/>
            <w:tcMar>
              <w:top w:w="40" w:type="dxa"/>
              <w:left w:w="20" w:type="dxa"/>
              <w:bottom w:w="40" w:type="dxa"/>
              <w:right w:w="20" w:type="dxa"/>
            </w:tcMar>
          </w:tcPr>
          <w:p w14:paraId="5A1B4025" w14:textId="77777777" w:rsidR="00960BB8" w:rsidRDefault="00C06650">
            <w:pPr>
              <w:jc w:val="center"/>
              <w:textAlignment w:val="top"/>
            </w:pPr>
            <w:r>
              <w:rPr>
                <w:rFonts w:ascii="Arial" w:eastAsia="宋体" w:hAnsi="Arial" w:cs="Arial"/>
                <w:color w:val="262626"/>
                <w:sz w:val="18"/>
                <w:szCs w:val="18"/>
              </w:rPr>
              <w:t>104</w:t>
            </w:r>
          </w:p>
        </w:tc>
        <w:tc>
          <w:tcPr>
            <w:tcW w:w="0" w:type="auto"/>
            <w:gridSpan w:val="3"/>
            <w:shd w:val="clear" w:color="auto" w:fill="auto"/>
            <w:tcMar>
              <w:top w:w="0" w:type="dxa"/>
              <w:left w:w="20" w:type="dxa"/>
              <w:bottom w:w="0" w:type="dxa"/>
              <w:right w:w="20" w:type="dxa"/>
            </w:tcMar>
            <w:vAlign w:val="bottom"/>
          </w:tcPr>
          <w:p w14:paraId="5A1B402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027" w14:textId="77777777" w:rsidR="00960BB8" w:rsidRDefault="00C06650">
            <w:pPr>
              <w:textAlignment w:val="top"/>
            </w:pPr>
            <w:r>
              <w:rPr>
                <w:rFonts w:ascii="Arial" w:eastAsia="宋体" w:hAnsi="Arial" w:cs="Arial"/>
                <w:color w:val="262626"/>
                <w:sz w:val="18"/>
                <w:szCs w:val="18"/>
              </w:rPr>
              <w:t xml:space="preserve">Cover Page Interactive Data File - formatted in Inline XBRL </w:t>
            </w:r>
            <w:r>
              <w:rPr>
                <w:rFonts w:ascii="Arial" w:eastAsia="宋体" w:hAnsi="Arial" w:cs="Arial"/>
                <w:color w:val="262626"/>
                <w:sz w:val="18"/>
                <w:szCs w:val="18"/>
              </w:rPr>
              <w:t>and included as Exhibit 101</w:t>
            </w:r>
          </w:p>
        </w:tc>
        <w:tc>
          <w:tcPr>
            <w:tcW w:w="0" w:type="auto"/>
            <w:gridSpan w:val="3"/>
            <w:shd w:val="clear" w:color="auto" w:fill="auto"/>
            <w:tcMar>
              <w:top w:w="0" w:type="dxa"/>
              <w:left w:w="20" w:type="dxa"/>
              <w:bottom w:w="0" w:type="dxa"/>
              <w:right w:w="20" w:type="dxa"/>
            </w:tcMar>
            <w:vAlign w:val="bottom"/>
          </w:tcPr>
          <w:p w14:paraId="5A1B402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02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02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02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02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02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02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02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03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031" w14:textId="77777777" w:rsidR="00960BB8" w:rsidRDefault="00C06650">
            <w:pPr>
              <w:jc w:val="center"/>
              <w:textAlignment w:val="top"/>
            </w:pPr>
            <w:r>
              <w:rPr>
                <w:rFonts w:ascii="Arial" w:eastAsia="宋体" w:hAnsi="Arial" w:cs="Arial"/>
                <w:color w:val="262626"/>
                <w:sz w:val="18"/>
                <w:szCs w:val="18"/>
              </w:rPr>
              <w:t>X</w:t>
            </w:r>
          </w:p>
        </w:tc>
      </w:tr>
    </w:tbl>
    <w:p w14:paraId="5A1B4033" w14:textId="77777777" w:rsidR="00960BB8" w:rsidRDefault="00C06650">
      <w:pPr>
        <w:spacing w:after="60"/>
        <w:ind w:hanging="180"/>
      </w:pPr>
      <w:r>
        <w:rPr>
          <w:rFonts w:ascii="Arial" w:eastAsia="宋体" w:hAnsi="Arial" w:cs="Arial"/>
          <w:i/>
          <w:iCs/>
          <w:color w:val="262626"/>
          <w:sz w:val="10"/>
          <w:szCs w:val="10"/>
        </w:rPr>
        <w:t>†</w:t>
      </w:r>
      <w:r>
        <w:rPr>
          <w:rFonts w:ascii="Arial" w:eastAsia="宋体" w:hAnsi="Arial" w:cs="Arial"/>
          <w:i/>
          <w:iCs/>
          <w:color w:val="262626"/>
          <w:sz w:val="16"/>
          <w:szCs w:val="16"/>
        </w:rPr>
        <w:t>    Management contracts or compensation plans or arrangements in which directors or executive officers are eligible to participate.</w:t>
      </w:r>
    </w:p>
    <w:p w14:paraId="5A1B4034" w14:textId="77777777" w:rsidR="00960BB8" w:rsidRDefault="00C06650">
      <w:pPr>
        <w:ind w:hanging="180"/>
      </w:pPr>
      <w:r>
        <w:rPr>
          <w:rFonts w:ascii="Arial" w:eastAsia="宋体" w:hAnsi="Arial" w:cs="Arial"/>
          <w:i/>
          <w:iCs/>
          <w:color w:val="262626"/>
          <w:sz w:val="10"/>
          <w:szCs w:val="10"/>
        </w:rPr>
        <w:t>††</w:t>
      </w:r>
      <w:r>
        <w:rPr>
          <w:rFonts w:ascii="Arial" w:eastAsia="宋体" w:hAnsi="Arial" w:cs="Arial"/>
          <w:i/>
          <w:iCs/>
          <w:color w:val="262626"/>
          <w:sz w:val="16"/>
          <w:szCs w:val="16"/>
        </w:rPr>
        <w:t xml:space="preserve"> Portions of this exhibit have been omitted pursuant to an order granting confidential treatment.</w:t>
      </w:r>
    </w:p>
    <w:p w14:paraId="5A1B4035" w14:textId="77777777" w:rsidR="00960BB8" w:rsidRDefault="00C06650">
      <w:pPr>
        <w:ind w:hanging="180"/>
      </w:pPr>
      <w:r>
        <w:rPr>
          <w:rFonts w:ascii="Arial" w:eastAsia="宋体" w:hAnsi="Arial" w:cs="Arial"/>
          <w:i/>
          <w:iCs/>
          <w:color w:val="262626"/>
          <w:sz w:val="16"/>
          <w:szCs w:val="16"/>
        </w:rPr>
        <w:t xml:space="preserve">^ Schedules and certain portions of this exhibit have been omitted pursuant to Item 601(a)(5)-(6) and Item 601(b)(10(iv) of Regulation S-K. </w:t>
      </w:r>
    </w:p>
    <w:p w14:paraId="5A1B4036" w14:textId="77777777" w:rsidR="00960BB8" w:rsidRDefault="00960BB8">
      <w:pPr>
        <w:ind w:hanging="180"/>
      </w:pPr>
    </w:p>
    <w:p w14:paraId="5A1B4037" w14:textId="77777777" w:rsidR="00960BB8" w:rsidRDefault="00960BB8"/>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4041" w14:textId="77777777">
        <w:tc>
          <w:tcPr>
            <w:tcW w:w="50" w:type="pct"/>
            <w:shd w:val="clear" w:color="auto" w:fill="auto"/>
            <w:vAlign w:val="bottom"/>
          </w:tcPr>
          <w:p w14:paraId="5A1B4038" w14:textId="77777777" w:rsidR="00960BB8" w:rsidRDefault="00960BB8">
            <w:pPr>
              <w:rPr>
                <w:rFonts w:ascii="宋体"/>
              </w:rPr>
            </w:pPr>
          </w:p>
        </w:tc>
        <w:tc>
          <w:tcPr>
            <w:tcW w:w="283" w:type="pct"/>
            <w:shd w:val="clear" w:color="auto" w:fill="auto"/>
            <w:vAlign w:val="bottom"/>
          </w:tcPr>
          <w:p w14:paraId="5A1B4039" w14:textId="77777777" w:rsidR="00960BB8" w:rsidRDefault="00960BB8">
            <w:pPr>
              <w:rPr>
                <w:rFonts w:ascii="宋体"/>
              </w:rPr>
            </w:pPr>
          </w:p>
        </w:tc>
        <w:tc>
          <w:tcPr>
            <w:tcW w:w="5" w:type="pct"/>
            <w:shd w:val="clear" w:color="auto" w:fill="auto"/>
            <w:vAlign w:val="bottom"/>
          </w:tcPr>
          <w:p w14:paraId="5A1B403A" w14:textId="77777777" w:rsidR="00960BB8" w:rsidRDefault="00960BB8">
            <w:pPr>
              <w:rPr>
                <w:rFonts w:ascii="宋体"/>
              </w:rPr>
            </w:pPr>
          </w:p>
        </w:tc>
        <w:tc>
          <w:tcPr>
            <w:tcW w:w="50" w:type="pct"/>
            <w:shd w:val="clear" w:color="auto" w:fill="auto"/>
            <w:vAlign w:val="bottom"/>
          </w:tcPr>
          <w:p w14:paraId="5A1B403B" w14:textId="77777777" w:rsidR="00960BB8" w:rsidRDefault="00960BB8">
            <w:pPr>
              <w:rPr>
                <w:rFonts w:ascii="宋体"/>
              </w:rPr>
            </w:pPr>
          </w:p>
        </w:tc>
        <w:tc>
          <w:tcPr>
            <w:tcW w:w="2656" w:type="pct"/>
            <w:shd w:val="clear" w:color="auto" w:fill="auto"/>
            <w:vAlign w:val="bottom"/>
          </w:tcPr>
          <w:p w14:paraId="5A1B403C" w14:textId="77777777" w:rsidR="00960BB8" w:rsidRDefault="00960BB8">
            <w:pPr>
              <w:rPr>
                <w:rFonts w:ascii="宋体"/>
              </w:rPr>
            </w:pPr>
          </w:p>
        </w:tc>
        <w:tc>
          <w:tcPr>
            <w:tcW w:w="5" w:type="pct"/>
            <w:shd w:val="clear" w:color="auto" w:fill="auto"/>
            <w:vAlign w:val="bottom"/>
          </w:tcPr>
          <w:p w14:paraId="5A1B403D" w14:textId="77777777" w:rsidR="00960BB8" w:rsidRDefault="00960BB8">
            <w:pPr>
              <w:rPr>
                <w:rFonts w:ascii="宋体"/>
              </w:rPr>
            </w:pPr>
          </w:p>
        </w:tc>
        <w:tc>
          <w:tcPr>
            <w:tcW w:w="50" w:type="pct"/>
            <w:shd w:val="clear" w:color="auto" w:fill="auto"/>
            <w:vAlign w:val="bottom"/>
          </w:tcPr>
          <w:p w14:paraId="5A1B403E" w14:textId="77777777" w:rsidR="00960BB8" w:rsidRDefault="00960BB8">
            <w:pPr>
              <w:rPr>
                <w:rFonts w:ascii="宋体"/>
              </w:rPr>
            </w:pPr>
          </w:p>
        </w:tc>
        <w:tc>
          <w:tcPr>
            <w:tcW w:w="1894" w:type="pct"/>
            <w:shd w:val="clear" w:color="auto" w:fill="auto"/>
            <w:vAlign w:val="bottom"/>
          </w:tcPr>
          <w:p w14:paraId="5A1B403F" w14:textId="77777777" w:rsidR="00960BB8" w:rsidRDefault="00960BB8">
            <w:pPr>
              <w:rPr>
                <w:rFonts w:ascii="宋体"/>
              </w:rPr>
            </w:pPr>
          </w:p>
        </w:tc>
        <w:tc>
          <w:tcPr>
            <w:tcW w:w="5" w:type="pct"/>
            <w:shd w:val="clear" w:color="auto" w:fill="auto"/>
            <w:vAlign w:val="bottom"/>
          </w:tcPr>
          <w:p w14:paraId="5A1B4040" w14:textId="77777777" w:rsidR="00960BB8" w:rsidRDefault="00960BB8">
            <w:pPr>
              <w:rPr>
                <w:rFonts w:ascii="宋体"/>
              </w:rPr>
            </w:pPr>
          </w:p>
        </w:tc>
      </w:tr>
      <w:tr w:rsidR="00960BB8" w14:paraId="5A1B404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4042"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F3" wp14:editId="5A1B44F4">
                  <wp:extent cx="304800" cy="304800"/>
                  <wp:effectExtent l="0" t="0" r="0" b="0"/>
                  <wp:docPr id="153" name="图片 33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35"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4043" w14:textId="77777777" w:rsidR="00960BB8" w:rsidRDefault="00C06650">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4044" w14:textId="77777777" w:rsidR="00960BB8" w:rsidRDefault="00C06650">
            <w:pPr>
              <w:jc w:val="right"/>
              <w:textAlignment w:val="center"/>
            </w:pPr>
            <w:r>
              <w:rPr>
                <w:rFonts w:ascii="Arial" w:eastAsia="宋体" w:hAnsi="Arial" w:cs="Arial"/>
                <w:color w:val="262626"/>
                <w:sz w:val="16"/>
                <w:szCs w:val="16"/>
              </w:rPr>
              <w:t>123</w:t>
            </w:r>
          </w:p>
        </w:tc>
      </w:tr>
    </w:tbl>
    <w:p w14:paraId="5A1B4046" w14:textId="77777777" w:rsidR="00960BB8" w:rsidRDefault="00C06650">
      <w:r>
        <w:pict w14:anchorId="5A1B44F5">
          <v:rect id="_x0000_i1149" style="width:415.3pt;height:1.5pt" o:hralign="center" o:hrstd="t" o:hr="t" fillcolor="#a0a0a0" stroked="f"/>
        </w:pict>
      </w:r>
    </w:p>
    <w:p w14:paraId="5A1B4047" w14:textId="77777777" w:rsidR="00960BB8" w:rsidRDefault="00C06650">
      <w:pPr>
        <w:jc w:val="right"/>
      </w:pPr>
      <w:hyperlink r:id="rId239" w:anchor="i8aaa7b4dbd2e419ca0f5c30af85a11aa_16" w:history="1">
        <w:r>
          <w:rPr>
            <w:rStyle w:val="a5"/>
            <w:rFonts w:ascii="Arial" w:eastAsia="宋体" w:hAnsi="Arial" w:cs="Arial"/>
            <w:b/>
            <w:bCs/>
            <w:sz w:val="16"/>
            <w:szCs w:val="16"/>
          </w:rPr>
          <w:t>Table of Contents</w:t>
        </w:r>
      </w:hyperlink>
    </w:p>
    <w:p w14:paraId="5A1B4048"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404F" w14:textId="77777777">
        <w:tc>
          <w:tcPr>
            <w:tcW w:w="50" w:type="pct"/>
            <w:shd w:val="clear" w:color="auto" w:fill="auto"/>
            <w:vAlign w:val="bottom"/>
          </w:tcPr>
          <w:p w14:paraId="5A1B4049" w14:textId="77777777" w:rsidR="00960BB8" w:rsidRDefault="00960BB8">
            <w:pPr>
              <w:rPr>
                <w:rFonts w:ascii="宋体"/>
              </w:rPr>
            </w:pPr>
          </w:p>
        </w:tc>
        <w:tc>
          <w:tcPr>
            <w:tcW w:w="4870" w:type="pct"/>
            <w:shd w:val="clear" w:color="auto" w:fill="auto"/>
            <w:vAlign w:val="bottom"/>
          </w:tcPr>
          <w:p w14:paraId="5A1B404A" w14:textId="77777777" w:rsidR="00960BB8" w:rsidRDefault="00960BB8">
            <w:pPr>
              <w:rPr>
                <w:rFonts w:ascii="宋体"/>
              </w:rPr>
            </w:pPr>
          </w:p>
        </w:tc>
        <w:tc>
          <w:tcPr>
            <w:tcW w:w="5" w:type="pct"/>
            <w:shd w:val="clear" w:color="auto" w:fill="auto"/>
            <w:vAlign w:val="bottom"/>
          </w:tcPr>
          <w:p w14:paraId="5A1B404B" w14:textId="77777777" w:rsidR="00960BB8" w:rsidRDefault="00960BB8">
            <w:pPr>
              <w:rPr>
                <w:rFonts w:ascii="宋体"/>
              </w:rPr>
            </w:pPr>
          </w:p>
        </w:tc>
        <w:tc>
          <w:tcPr>
            <w:tcW w:w="5" w:type="pct"/>
            <w:shd w:val="clear" w:color="auto" w:fill="auto"/>
            <w:vAlign w:val="bottom"/>
          </w:tcPr>
          <w:p w14:paraId="5A1B404C" w14:textId="77777777" w:rsidR="00960BB8" w:rsidRDefault="00960BB8">
            <w:pPr>
              <w:rPr>
                <w:rFonts w:ascii="宋体"/>
              </w:rPr>
            </w:pPr>
          </w:p>
        </w:tc>
        <w:tc>
          <w:tcPr>
            <w:tcW w:w="64" w:type="pct"/>
            <w:shd w:val="clear" w:color="auto" w:fill="auto"/>
            <w:vAlign w:val="bottom"/>
          </w:tcPr>
          <w:p w14:paraId="5A1B404D" w14:textId="77777777" w:rsidR="00960BB8" w:rsidRDefault="00960BB8">
            <w:pPr>
              <w:rPr>
                <w:rFonts w:ascii="宋体"/>
              </w:rPr>
            </w:pPr>
          </w:p>
        </w:tc>
        <w:tc>
          <w:tcPr>
            <w:tcW w:w="5" w:type="pct"/>
            <w:shd w:val="clear" w:color="auto" w:fill="auto"/>
            <w:vAlign w:val="bottom"/>
          </w:tcPr>
          <w:p w14:paraId="5A1B404E" w14:textId="77777777" w:rsidR="00960BB8" w:rsidRDefault="00960BB8">
            <w:pPr>
              <w:rPr>
                <w:rFonts w:ascii="宋体"/>
              </w:rPr>
            </w:pPr>
          </w:p>
        </w:tc>
      </w:tr>
      <w:tr w:rsidR="00960BB8" w14:paraId="5A1B4052" w14:textId="77777777">
        <w:tc>
          <w:tcPr>
            <w:tcW w:w="0" w:type="auto"/>
            <w:gridSpan w:val="3"/>
            <w:shd w:val="clear" w:color="auto" w:fill="004A86"/>
            <w:tcMar>
              <w:top w:w="40" w:type="dxa"/>
              <w:left w:w="20" w:type="dxa"/>
              <w:bottom w:w="40" w:type="dxa"/>
              <w:right w:w="20" w:type="dxa"/>
            </w:tcMar>
            <w:vAlign w:val="center"/>
          </w:tcPr>
          <w:p w14:paraId="5A1B4050" w14:textId="77777777" w:rsidR="00960BB8" w:rsidRDefault="00C06650">
            <w:pPr>
              <w:textAlignment w:val="center"/>
            </w:pPr>
            <w:r>
              <w:rPr>
                <w:rFonts w:ascii="Arial" w:eastAsia="宋体" w:hAnsi="Arial" w:cs="Arial"/>
                <w:color w:val="FFFFFF"/>
                <w:sz w:val="36"/>
                <w:szCs w:val="36"/>
              </w:rPr>
              <w:t>Form 10-K Cross-Reference Index</w:t>
            </w:r>
          </w:p>
        </w:tc>
        <w:tc>
          <w:tcPr>
            <w:tcW w:w="0" w:type="auto"/>
            <w:gridSpan w:val="3"/>
            <w:shd w:val="clear" w:color="auto" w:fill="auto"/>
            <w:tcMar>
              <w:top w:w="0" w:type="dxa"/>
              <w:left w:w="20" w:type="dxa"/>
              <w:bottom w:w="0" w:type="dxa"/>
              <w:right w:w="20" w:type="dxa"/>
            </w:tcMar>
            <w:vAlign w:val="bottom"/>
          </w:tcPr>
          <w:p w14:paraId="5A1B4051" w14:textId="77777777" w:rsidR="00960BB8" w:rsidRDefault="00960BB8">
            <w:pPr>
              <w:rPr>
                <w:rFonts w:ascii="宋体"/>
              </w:rPr>
            </w:pPr>
          </w:p>
        </w:tc>
      </w:tr>
      <w:tr w:rsidR="00960BB8" w14:paraId="5A1B4055" w14:textId="77777777">
        <w:trPr>
          <w:trHeight w:val="160"/>
        </w:trPr>
        <w:tc>
          <w:tcPr>
            <w:tcW w:w="0" w:type="auto"/>
            <w:gridSpan w:val="3"/>
            <w:shd w:val="clear" w:color="auto" w:fill="auto"/>
            <w:tcMar>
              <w:top w:w="0" w:type="dxa"/>
              <w:left w:w="20" w:type="dxa"/>
              <w:bottom w:w="0" w:type="dxa"/>
              <w:right w:w="20" w:type="dxa"/>
            </w:tcMar>
            <w:vAlign w:val="bottom"/>
          </w:tcPr>
          <w:p w14:paraId="5A1B4053"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4054" w14:textId="77777777" w:rsidR="00960BB8" w:rsidRDefault="00960BB8">
            <w:pPr>
              <w:rPr>
                <w:rFonts w:ascii="宋体"/>
              </w:rPr>
            </w:pPr>
          </w:p>
        </w:tc>
      </w:tr>
    </w:tbl>
    <w:p w14:paraId="5A1B4056"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1"/>
        <w:gridCol w:w="951"/>
        <w:gridCol w:w="37"/>
        <w:gridCol w:w="69"/>
        <w:gridCol w:w="4861"/>
        <w:gridCol w:w="36"/>
        <w:gridCol w:w="69"/>
        <w:gridCol w:w="2205"/>
        <w:gridCol w:w="37"/>
      </w:tblGrid>
      <w:tr w:rsidR="00960BB8" w14:paraId="5A1B4060" w14:textId="77777777">
        <w:tc>
          <w:tcPr>
            <w:tcW w:w="50" w:type="pct"/>
            <w:shd w:val="clear" w:color="auto" w:fill="auto"/>
            <w:vAlign w:val="bottom"/>
          </w:tcPr>
          <w:p w14:paraId="5A1B4057" w14:textId="77777777" w:rsidR="00960BB8" w:rsidRDefault="00960BB8">
            <w:pPr>
              <w:rPr>
                <w:rFonts w:ascii="宋体"/>
              </w:rPr>
            </w:pPr>
          </w:p>
        </w:tc>
        <w:tc>
          <w:tcPr>
            <w:tcW w:w="580" w:type="pct"/>
            <w:shd w:val="clear" w:color="auto" w:fill="auto"/>
            <w:vAlign w:val="bottom"/>
          </w:tcPr>
          <w:p w14:paraId="5A1B4058" w14:textId="77777777" w:rsidR="00960BB8" w:rsidRDefault="00960BB8">
            <w:pPr>
              <w:rPr>
                <w:rFonts w:ascii="宋体"/>
              </w:rPr>
            </w:pPr>
          </w:p>
        </w:tc>
        <w:tc>
          <w:tcPr>
            <w:tcW w:w="5" w:type="pct"/>
            <w:shd w:val="clear" w:color="auto" w:fill="auto"/>
            <w:vAlign w:val="bottom"/>
          </w:tcPr>
          <w:p w14:paraId="5A1B4059" w14:textId="77777777" w:rsidR="00960BB8" w:rsidRDefault="00960BB8">
            <w:pPr>
              <w:rPr>
                <w:rFonts w:ascii="宋体"/>
              </w:rPr>
            </w:pPr>
          </w:p>
        </w:tc>
        <w:tc>
          <w:tcPr>
            <w:tcW w:w="50" w:type="pct"/>
            <w:shd w:val="clear" w:color="auto" w:fill="auto"/>
            <w:vAlign w:val="bottom"/>
          </w:tcPr>
          <w:p w14:paraId="5A1B405A" w14:textId="77777777" w:rsidR="00960BB8" w:rsidRDefault="00960BB8">
            <w:pPr>
              <w:rPr>
                <w:rFonts w:ascii="宋体"/>
              </w:rPr>
            </w:pPr>
          </w:p>
        </w:tc>
        <w:tc>
          <w:tcPr>
            <w:tcW w:w="2923" w:type="pct"/>
            <w:shd w:val="clear" w:color="auto" w:fill="auto"/>
            <w:vAlign w:val="bottom"/>
          </w:tcPr>
          <w:p w14:paraId="5A1B405B" w14:textId="77777777" w:rsidR="00960BB8" w:rsidRDefault="00960BB8">
            <w:pPr>
              <w:rPr>
                <w:rFonts w:ascii="宋体"/>
              </w:rPr>
            </w:pPr>
          </w:p>
        </w:tc>
        <w:tc>
          <w:tcPr>
            <w:tcW w:w="5" w:type="pct"/>
            <w:shd w:val="clear" w:color="auto" w:fill="auto"/>
            <w:vAlign w:val="bottom"/>
          </w:tcPr>
          <w:p w14:paraId="5A1B405C" w14:textId="77777777" w:rsidR="00960BB8" w:rsidRDefault="00960BB8">
            <w:pPr>
              <w:rPr>
                <w:rFonts w:ascii="宋体"/>
              </w:rPr>
            </w:pPr>
          </w:p>
        </w:tc>
        <w:tc>
          <w:tcPr>
            <w:tcW w:w="50" w:type="pct"/>
            <w:shd w:val="clear" w:color="auto" w:fill="auto"/>
            <w:vAlign w:val="bottom"/>
          </w:tcPr>
          <w:p w14:paraId="5A1B405D" w14:textId="77777777" w:rsidR="00960BB8" w:rsidRDefault="00960BB8">
            <w:pPr>
              <w:rPr>
                <w:rFonts w:ascii="宋体"/>
              </w:rPr>
            </w:pPr>
          </w:p>
        </w:tc>
        <w:tc>
          <w:tcPr>
            <w:tcW w:w="1331" w:type="pct"/>
            <w:shd w:val="clear" w:color="auto" w:fill="auto"/>
            <w:vAlign w:val="bottom"/>
          </w:tcPr>
          <w:p w14:paraId="5A1B405E" w14:textId="77777777" w:rsidR="00960BB8" w:rsidRDefault="00960BB8">
            <w:pPr>
              <w:rPr>
                <w:rFonts w:ascii="宋体"/>
              </w:rPr>
            </w:pPr>
          </w:p>
        </w:tc>
        <w:tc>
          <w:tcPr>
            <w:tcW w:w="5" w:type="pct"/>
            <w:shd w:val="clear" w:color="auto" w:fill="auto"/>
            <w:vAlign w:val="bottom"/>
          </w:tcPr>
          <w:p w14:paraId="5A1B405F" w14:textId="77777777" w:rsidR="00960BB8" w:rsidRDefault="00960BB8">
            <w:pPr>
              <w:rPr>
                <w:rFonts w:ascii="宋体"/>
              </w:rPr>
            </w:pPr>
          </w:p>
        </w:tc>
      </w:tr>
      <w:tr w:rsidR="00960BB8" w14:paraId="5A1B4064" w14:textId="77777777">
        <w:tc>
          <w:tcPr>
            <w:tcW w:w="0" w:type="auto"/>
            <w:gridSpan w:val="3"/>
            <w:shd w:val="clear" w:color="auto" w:fill="auto"/>
            <w:tcMar>
              <w:top w:w="40" w:type="dxa"/>
              <w:left w:w="20" w:type="dxa"/>
              <w:bottom w:w="40" w:type="dxa"/>
              <w:right w:w="20" w:type="dxa"/>
            </w:tcMar>
            <w:vAlign w:val="bottom"/>
          </w:tcPr>
          <w:p w14:paraId="5A1B4061" w14:textId="77777777" w:rsidR="00960BB8" w:rsidRDefault="00C06650">
            <w:pPr>
              <w:textAlignment w:val="bottom"/>
            </w:pPr>
            <w:r>
              <w:rPr>
                <w:rFonts w:ascii="Arial" w:eastAsia="宋体" w:hAnsi="Arial" w:cs="Arial"/>
                <w:color w:val="0068B5"/>
                <w:sz w:val="18"/>
                <w:szCs w:val="18"/>
              </w:rPr>
              <w:t>Item Number</w:t>
            </w:r>
          </w:p>
        </w:tc>
        <w:tc>
          <w:tcPr>
            <w:tcW w:w="0" w:type="auto"/>
            <w:gridSpan w:val="3"/>
            <w:shd w:val="clear" w:color="auto" w:fill="auto"/>
            <w:tcMar>
              <w:top w:w="40" w:type="dxa"/>
              <w:left w:w="20" w:type="dxa"/>
              <w:bottom w:w="40" w:type="dxa"/>
              <w:right w:w="20" w:type="dxa"/>
            </w:tcMar>
            <w:vAlign w:val="bottom"/>
          </w:tcPr>
          <w:p w14:paraId="5A1B4062" w14:textId="77777777" w:rsidR="00960BB8" w:rsidRDefault="00C06650">
            <w:pPr>
              <w:textAlignment w:val="bottom"/>
            </w:pPr>
            <w:r>
              <w:rPr>
                <w:rFonts w:ascii="Arial" w:eastAsia="宋体" w:hAnsi="Arial" w:cs="Arial"/>
                <w:color w:val="0068B5"/>
                <w:sz w:val="18"/>
                <w:szCs w:val="18"/>
              </w:rPr>
              <w:t>Item</w:t>
            </w:r>
          </w:p>
        </w:tc>
        <w:tc>
          <w:tcPr>
            <w:tcW w:w="0" w:type="auto"/>
            <w:gridSpan w:val="3"/>
            <w:shd w:val="clear" w:color="auto" w:fill="auto"/>
            <w:tcMar>
              <w:top w:w="40" w:type="dxa"/>
              <w:left w:w="20" w:type="dxa"/>
              <w:bottom w:w="40" w:type="dxa"/>
              <w:right w:w="20" w:type="dxa"/>
            </w:tcMar>
            <w:vAlign w:val="center"/>
          </w:tcPr>
          <w:p w14:paraId="5A1B4063" w14:textId="77777777" w:rsidR="00960BB8" w:rsidRDefault="00C06650">
            <w:pPr>
              <w:jc w:val="center"/>
              <w:textAlignment w:val="center"/>
            </w:pPr>
            <w:r>
              <w:rPr>
                <w:rFonts w:ascii="Arial" w:eastAsia="宋体" w:hAnsi="Arial" w:cs="Arial"/>
                <w:color w:val="262626"/>
                <w:sz w:val="18"/>
                <w:szCs w:val="18"/>
              </w:rPr>
              <w:t> </w:t>
            </w:r>
          </w:p>
        </w:tc>
      </w:tr>
      <w:tr w:rsidR="00960BB8" w14:paraId="5A1B4068"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A1B4065" w14:textId="77777777" w:rsidR="00960BB8" w:rsidRDefault="00C06650">
            <w:pPr>
              <w:spacing w:after="100"/>
              <w:textAlignment w:val="center"/>
            </w:pPr>
            <w:r>
              <w:rPr>
                <w:rFonts w:ascii="Arial" w:eastAsia="宋体" w:hAnsi="Arial" w:cs="Arial"/>
                <w:color w:val="0068B5"/>
                <w:sz w:val="18"/>
                <w:szCs w:val="18"/>
              </w:rPr>
              <w:t>Part I</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066"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067" w14:textId="77777777" w:rsidR="00960BB8" w:rsidRDefault="00960BB8">
            <w:pPr>
              <w:rPr>
                <w:rFonts w:ascii="宋体"/>
              </w:rPr>
            </w:pPr>
          </w:p>
        </w:tc>
      </w:tr>
      <w:tr w:rsidR="00960BB8" w14:paraId="5A1B406C" w14:textId="77777777">
        <w:tc>
          <w:tcPr>
            <w:tcW w:w="0" w:type="auto"/>
            <w:gridSpan w:val="3"/>
            <w:shd w:val="clear" w:color="auto" w:fill="auto"/>
            <w:tcMar>
              <w:top w:w="40" w:type="dxa"/>
              <w:left w:w="20" w:type="dxa"/>
              <w:bottom w:w="40" w:type="dxa"/>
              <w:right w:w="20" w:type="dxa"/>
            </w:tcMar>
            <w:vAlign w:val="center"/>
          </w:tcPr>
          <w:p w14:paraId="5A1B4069" w14:textId="77777777" w:rsidR="00960BB8" w:rsidRDefault="00C06650">
            <w:pPr>
              <w:textAlignment w:val="center"/>
            </w:pPr>
            <w:r>
              <w:rPr>
                <w:rFonts w:ascii="Arial" w:eastAsia="宋体" w:hAnsi="Arial" w:cs="Arial"/>
                <w:color w:val="262626"/>
                <w:sz w:val="18"/>
                <w:szCs w:val="18"/>
              </w:rPr>
              <w:t>Item 1.</w:t>
            </w:r>
          </w:p>
        </w:tc>
        <w:tc>
          <w:tcPr>
            <w:tcW w:w="0" w:type="auto"/>
            <w:gridSpan w:val="3"/>
            <w:shd w:val="clear" w:color="auto" w:fill="auto"/>
            <w:tcMar>
              <w:top w:w="40" w:type="dxa"/>
              <w:left w:w="20" w:type="dxa"/>
              <w:bottom w:w="40" w:type="dxa"/>
              <w:right w:w="20" w:type="dxa"/>
            </w:tcMar>
            <w:vAlign w:val="center"/>
          </w:tcPr>
          <w:p w14:paraId="5A1B406A" w14:textId="77777777" w:rsidR="00960BB8" w:rsidRDefault="00C06650">
            <w:pPr>
              <w:textAlignment w:val="center"/>
            </w:pPr>
            <w:r>
              <w:rPr>
                <w:rFonts w:ascii="Arial" w:eastAsia="宋体" w:hAnsi="Arial" w:cs="Arial"/>
                <w:color w:val="262626"/>
                <w:sz w:val="18"/>
                <w:szCs w:val="18"/>
              </w:rPr>
              <w:t>Business:</w:t>
            </w:r>
          </w:p>
        </w:tc>
        <w:tc>
          <w:tcPr>
            <w:tcW w:w="0" w:type="auto"/>
            <w:gridSpan w:val="3"/>
            <w:shd w:val="clear" w:color="auto" w:fill="auto"/>
            <w:tcMar>
              <w:top w:w="0" w:type="dxa"/>
              <w:left w:w="20" w:type="dxa"/>
              <w:bottom w:w="0" w:type="dxa"/>
              <w:right w:w="20" w:type="dxa"/>
            </w:tcMar>
            <w:vAlign w:val="bottom"/>
          </w:tcPr>
          <w:p w14:paraId="5A1B406B" w14:textId="77777777" w:rsidR="00960BB8" w:rsidRDefault="00960BB8">
            <w:pPr>
              <w:rPr>
                <w:rFonts w:ascii="宋体"/>
              </w:rPr>
            </w:pPr>
          </w:p>
        </w:tc>
      </w:tr>
      <w:tr w:rsidR="00960BB8" w14:paraId="5A1B4070" w14:textId="77777777">
        <w:tc>
          <w:tcPr>
            <w:tcW w:w="0" w:type="auto"/>
            <w:gridSpan w:val="3"/>
            <w:shd w:val="clear" w:color="auto" w:fill="auto"/>
            <w:tcMar>
              <w:top w:w="0" w:type="dxa"/>
              <w:left w:w="20" w:type="dxa"/>
              <w:bottom w:w="0" w:type="dxa"/>
              <w:right w:w="20" w:type="dxa"/>
            </w:tcMar>
            <w:vAlign w:val="bottom"/>
          </w:tcPr>
          <w:p w14:paraId="5A1B406D" w14:textId="77777777" w:rsidR="00960BB8" w:rsidRDefault="00960BB8">
            <w:pPr>
              <w:rPr>
                <w:rFonts w:ascii="宋体"/>
              </w:rPr>
            </w:pPr>
          </w:p>
        </w:tc>
        <w:tc>
          <w:tcPr>
            <w:tcW w:w="0" w:type="auto"/>
            <w:gridSpan w:val="3"/>
            <w:shd w:val="clear" w:color="auto" w:fill="auto"/>
            <w:tcMar>
              <w:top w:w="40" w:type="dxa"/>
              <w:left w:w="245" w:type="dxa"/>
              <w:bottom w:w="40" w:type="dxa"/>
              <w:right w:w="20" w:type="dxa"/>
            </w:tcMar>
            <w:vAlign w:val="center"/>
          </w:tcPr>
          <w:p w14:paraId="5A1B406E" w14:textId="77777777" w:rsidR="00960BB8" w:rsidRDefault="00C06650">
            <w:pPr>
              <w:textAlignment w:val="center"/>
            </w:pPr>
            <w:r>
              <w:rPr>
                <w:rFonts w:ascii="Arial" w:eastAsia="宋体" w:hAnsi="Arial" w:cs="Arial"/>
                <w:color w:val="262626"/>
                <w:sz w:val="18"/>
                <w:szCs w:val="18"/>
              </w:rPr>
              <w:t>General development of business</w:t>
            </w:r>
          </w:p>
        </w:tc>
        <w:tc>
          <w:tcPr>
            <w:tcW w:w="0" w:type="auto"/>
            <w:gridSpan w:val="3"/>
            <w:shd w:val="clear" w:color="auto" w:fill="auto"/>
            <w:tcMar>
              <w:top w:w="40" w:type="dxa"/>
              <w:left w:w="20" w:type="dxa"/>
              <w:bottom w:w="40" w:type="dxa"/>
              <w:right w:w="20" w:type="dxa"/>
            </w:tcMar>
            <w:vAlign w:val="center"/>
          </w:tcPr>
          <w:p w14:paraId="5A1B406F" w14:textId="77777777" w:rsidR="00960BB8" w:rsidRDefault="00C06650">
            <w:pPr>
              <w:jc w:val="center"/>
              <w:textAlignment w:val="center"/>
            </w:pPr>
            <w:r>
              <w:rPr>
                <w:rFonts w:ascii="Arial" w:eastAsia="宋体" w:hAnsi="Arial" w:cs="Arial"/>
                <w:color w:val="262626"/>
                <w:sz w:val="18"/>
                <w:szCs w:val="18"/>
              </w:rPr>
              <w:t xml:space="preserve"> Pages </w:t>
            </w:r>
            <w:hyperlink r:id="rId240" w:anchor="i8aaa7b4dbd2e419ca0f5c30af85a11aa_22" w:history="1">
              <w:r>
                <w:rPr>
                  <w:rStyle w:val="a5"/>
                  <w:rFonts w:ascii="Arial" w:eastAsia="宋体" w:hAnsi="Arial" w:cs="Arial"/>
                  <w:sz w:val="18"/>
                  <w:szCs w:val="18"/>
                </w:rPr>
                <w:t>3</w:t>
              </w:r>
            </w:hyperlink>
            <w:r>
              <w:rPr>
                <w:rFonts w:ascii="Arial" w:eastAsia="宋体" w:hAnsi="Arial" w:cs="Arial"/>
                <w:color w:val="262626"/>
                <w:sz w:val="18"/>
                <w:szCs w:val="18"/>
              </w:rPr>
              <w:t>-</w:t>
            </w:r>
            <w:hyperlink r:id="rId241" w:anchor="i8aaa7b4dbd2e419ca0f5c30af85a11aa_37" w:history="1">
              <w:r>
                <w:rPr>
                  <w:rStyle w:val="a5"/>
                  <w:rFonts w:ascii="Arial" w:eastAsia="宋体" w:hAnsi="Arial" w:cs="Arial"/>
                  <w:sz w:val="18"/>
                  <w:szCs w:val="18"/>
                </w:rPr>
                <w:t>9</w:t>
              </w:r>
            </w:hyperlink>
            <w:r>
              <w:rPr>
                <w:rFonts w:ascii="Arial" w:eastAsia="宋体" w:hAnsi="Arial" w:cs="Arial"/>
                <w:color w:val="262626"/>
                <w:sz w:val="18"/>
                <w:szCs w:val="18"/>
              </w:rPr>
              <w:t>, 19</w:t>
            </w:r>
          </w:p>
        </w:tc>
      </w:tr>
      <w:tr w:rsidR="00960BB8" w14:paraId="5A1B4074" w14:textId="77777777">
        <w:trPr>
          <w:hidden/>
        </w:trPr>
        <w:tc>
          <w:tcPr>
            <w:tcW w:w="0" w:type="auto"/>
            <w:gridSpan w:val="3"/>
            <w:shd w:val="clear" w:color="auto" w:fill="auto"/>
            <w:vAlign w:val="bottom"/>
          </w:tcPr>
          <w:p w14:paraId="5A1B4071" w14:textId="77777777" w:rsidR="00960BB8" w:rsidRDefault="00960BB8">
            <w:pPr>
              <w:rPr>
                <w:rFonts w:ascii="宋体"/>
                <w:vanish/>
              </w:rPr>
            </w:pPr>
          </w:p>
        </w:tc>
        <w:tc>
          <w:tcPr>
            <w:tcW w:w="0" w:type="auto"/>
            <w:gridSpan w:val="3"/>
            <w:shd w:val="clear" w:color="auto" w:fill="auto"/>
            <w:vAlign w:val="bottom"/>
          </w:tcPr>
          <w:p w14:paraId="5A1B4072" w14:textId="77777777" w:rsidR="00960BB8" w:rsidRDefault="00960BB8">
            <w:pPr>
              <w:rPr>
                <w:rFonts w:ascii="宋体"/>
                <w:vanish/>
              </w:rPr>
            </w:pPr>
          </w:p>
        </w:tc>
        <w:tc>
          <w:tcPr>
            <w:tcW w:w="0" w:type="auto"/>
            <w:gridSpan w:val="3"/>
            <w:shd w:val="clear" w:color="auto" w:fill="auto"/>
            <w:vAlign w:val="bottom"/>
          </w:tcPr>
          <w:p w14:paraId="5A1B4073" w14:textId="77777777" w:rsidR="00960BB8" w:rsidRDefault="00960BB8">
            <w:pPr>
              <w:rPr>
                <w:rFonts w:ascii="宋体"/>
                <w:vanish/>
              </w:rPr>
            </w:pPr>
          </w:p>
        </w:tc>
      </w:tr>
      <w:tr w:rsidR="00960BB8" w14:paraId="5A1B4078" w14:textId="77777777">
        <w:tc>
          <w:tcPr>
            <w:tcW w:w="0" w:type="auto"/>
            <w:gridSpan w:val="3"/>
            <w:shd w:val="clear" w:color="auto" w:fill="auto"/>
            <w:tcMar>
              <w:top w:w="0" w:type="dxa"/>
              <w:left w:w="20" w:type="dxa"/>
              <w:bottom w:w="0" w:type="dxa"/>
              <w:right w:w="20" w:type="dxa"/>
            </w:tcMar>
            <w:vAlign w:val="bottom"/>
          </w:tcPr>
          <w:p w14:paraId="5A1B4075" w14:textId="77777777" w:rsidR="00960BB8" w:rsidRDefault="00960BB8">
            <w:pPr>
              <w:rPr>
                <w:rFonts w:ascii="宋体"/>
              </w:rPr>
            </w:pPr>
          </w:p>
        </w:tc>
        <w:tc>
          <w:tcPr>
            <w:tcW w:w="0" w:type="auto"/>
            <w:gridSpan w:val="3"/>
            <w:shd w:val="clear" w:color="auto" w:fill="auto"/>
            <w:tcMar>
              <w:top w:w="40" w:type="dxa"/>
              <w:left w:w="245" w:type="dxa"/>
              <w:bottom w:w="40" w:type="dxa"/>
              <w:right w:w="20" w:type="dxa"/>
            </w:tcMar>
            <w:vAlign w:val="center"/>
          </w:tcPr>
          <w:p w14:paraId="5A1B4076" w14:textId="77777777" w:rsidR="00960BB8" w:rsidRDefault="00C06650">
            <w:pPr>
              <w:textAlignment w:val="center"/>
            </w:pPr>
            <w:r>
              <w:rPr>
                <w:rFonts w:ascii="Arial" w:eastAsia="宋体" w:hAnsi="Arial" w:cs="Arial"/>
                <w:color w:val="262626"/>
                <w:sz w:val="18"/>
                <w:szCs w:val="18"/>
              </w:rPr>
              <w:t>Description of business</w:t>
            </w:r>
          </w:p>
        </w:tc>
        <w:tc>
          <w:tcPr>
            <w:tcW w:w="0" w:type="auto"/>
            <w:gridSpan w:val="3"/>
            <w:shd w:val="clear" w:color="auto" w:fill="auto"/>
            <w:tcMar>
              <w:top w:w="40" w:type="dxa"/>
              <w:left w:w="20" w:type="dxa"/>
              <w:bottom w:w="40" w:type="dxa"/>
              <w:right w:w="20" w:type="dxa"/>
            </w:tcMar>
            <w:vAlign w:val="center"/>
          </w:tcPr>
          <w:p w14:paraId="5A1B4077" w14:textId="77777777" w:rsidR="00960BB8" w:rsidRDefault="00C06650">
            <w:pPr>
              <w:jc w:val="center"/>
              <w:textAlignment w:val="center"/>
            </w:pPr>
            <w:r>
              <w:rPr>
                <w:rFonts w:ascii="Arial" w:eastAsia="宋体" w:hAnsi="Arial" w:cs="Arial"/>
                <w:color w:val="262626"/>
                <w:sz w:val="18"/>
                <w:szCs w:val="18"/>
              </w:rPr>
              <w:t xml:space="preserve">Pages </w:t>
            </w:r>
            <w:hyperlink r:id="rId242" w:anchor="i8aaa7b4dbd2e419ca0f5c30af85a11aa_22" w:history="1">
              <w:r>
                <w:rPr>
                  <w:rStyle w:val="a5"/>
                  <w:rFonts w:ascii="Arial" w:eastAsia="宋体" w:hAnsi="Arial" w:cs="Arial"/>
                  <w:color w:val="262626"/>
                  <w:sz w:val="18"/>
                  <w:szCs w:val="18"/>
                </w:rPr>
                <w:t>3</w:t>
              </w:r>
            </w:hyperlink>
            <w:r>
              <w:rPr>
                <w:rFonts w:ascii="Arial" w:eastAsia="宋体" w:hAnsi="Arial" w:cs="Arial"/>
                <w:color w:val="262626"/>
                <w:sz w:val="18"/>
                <w:szCs w:val="18"/>
              </w:rPr>
              <w:t>-</w:t>
            </w:r>
            <w:hyperlink r:id="rId243" w:anchor="i8aaa7b4dbd2e419ca0f5c30af85a11aa_136" w:history="1">
              <w:r>
                <w:rPr>
                  <w:rStyle w:val="a5"/>
                  <w:rFonts w:ascii="Arial" w:eastAsia="宋体" w:hAnsi="Arial" w:cs="Arial"/>
                  <w:color w:val="262626"/>
                  <w:sz w:val="18"/>
                  <w:szCs w:val="18"/>
                </w:rPr>
                <w:t>38</w:t>
              </w:r>
            </w:hyperlink>
            <w:r>
              <w:rPr>
                <w:rFonts w:ascii="Arial" w:eastAsia="宋体" w:hAnsi="Arial" w:cs="Arial"/>
                <w:color w:val="262626"/>
                <w:sz w:val="18"/>
                <w:szCs w:val="18"/>
              </w:rPr>
              <w:t xml:space="preserve">, </w:t>
            </w:r>
            <w:hyperlink r:id="rId244" w:anchor="i8aaa7b4dbd2e419ca0f5c30af85a11aa_202" w:history="1">
              <w:r>
                <w:rPr>
                  <w:rStyle w:val="a5"/>
                  <w:rFonts w:ascii="Arial" w:eastAsia="宋体" w:hAnsi="Arial" w:cs="Arial"/>
                  <w:color w:val="262626"/>
                  <w:sz w:val="18"/>
                  <w:szCs w:val="18"/>
                </w:rPr>
                <w:t>51</w:t>
              </w:r>
            </w:hyperlink>
            <w:r>
              <w:rPr>
                <w:rFonts w:ascii="Arial" w:eastAsia="宋体" w:hAnsi="Arial" w:cs="Arial"/>
                <w:color w:val="262626"/>
                <w:sz w:val="18"/>
                <w:szCs w:val="18"/>
              </w:rPr>
              <w:t>-</w:t>
            </w:r>
            <w:hyperlink r:id="rId245" w:anchor="i8aaa7b4dbd2e419ca0f5c30af85a11aa_205" w:history="1">
              <w:r>
                <w:rPr>
                  <w:rStyle w:val="a5"/>
                  <w:rFonts w:ascii="Arial" w:eastAsia="宋体" w:hAnsi="Arial" w:cs="Arial"/>
                  <w:color w:val="262626"/>
                  <w:sz w:val="18"/>
                  <w:szCs w:val="18"/>
                </w:rPr>
                <w:t>52</w:t>
              </w:r>
            </w:hyperlink>
            <w:r>
              <w:rPr>
                <w:rFonts w:ascii="Arial" w:eastAsia="宋体" w:hAnsi="Arial" w:cs="Arial"/>
                <w:color w:val="262626"/>
                <w:sz w:val="18"/>
                <w:szCs w:val="18"/>
              </w:rPr>
              <w:t xml:space="preserve">, </w:t>
            </w:r>
            <w:hyperlink r:id="rId246" w:anchor="i8aaa7b4dbd2e419ca0f5c30af85a11aa_232" w:history="1">
              <w:r>
                <w:rPr>
                  <w:rStyle w:val="a5"/>
                  <w:rFonts w:ascii="Arial" w:eastAsia="宋体" w:hAnsi="Arial" w:cs="Arial"/>
                  <w:color w:val="262626"/>
                  <w:sz w:val="18"/>
                  <w:szCs w:val="18"/>
                </w:rPr>
                <w:t>70</w:t>
              </w:r>
            </w:hyperlink>
            <w:r>
              <w:rPr>
                <w:rFonts w:ascii="Arial" w:eastAsia="宋体" w:hAnsi="Arial" w:cs="Arial"/>
                <w:color w:val="262626"/>
                <w:sz w:val="18"/>
                <w:szCs w:val="18"/>
              </w:rPr>
              <w:t xml:space="preserve">, </w:t>
            </w:r>
            <w:hyperlink r:id="rId247" w:anchor="i8aaa7b4dbd2e419ca0f5c30af85a11aa_355" w:history="1">
              <w:r>
                <w:rPr>
                  <w:rStyle w:val="a5"/>
                  <w:rFonts w:ascii="Arial" w:eastAsia="宋体" w:hAnsi="Arial" w:cs="Arial"/>
                  <w:color w:val="262626"/>
                  <w:sz w:val="18"/>
                  <w:szCs w:val="18"/>
                </w:rPr>
                <w:t>88</w:t>
              </w:r>
            </w:hyperlink>
            <w:r>
              <w:rPr>
                <w:rFonts w:ascii="Arial" w:eastAsia="宋体" w:hAnsi="Arial" w:cs="Arial"/>
                <w:color w:val="262626"/>
                <w:sz w:val="18"/>
                <w:szCs w:val="18"/>
              </w:rPr>
              <w:t>-86</w:t>
            </w:r>
          </w:p>
        </w:tc>
      </w:tr>
      <w:tr w:rsidR="00960BB8" w14:paraId="5A1B407C" w14:textId="77777777">
        <w:trPr>
          <w:hidden/>
        </w:trPr>
        <w:tc>
          <w:tcPr>
            <w:tcW w:w="0" w:type="auto"/>
            <w:gridSpan w:val="3"/>
            <w:shd w:val="clear" w:color="auto" w:fill="auto"/>
            <w:vAlign w:val="bottom"/>
          </w:tcPr>
          <w:p w14:paraId="5A1B4079" w14:textId="77777777" w:rsidR="00960BB8" w:rsidRDefault="00960BB8">
            <w:pPr>
              <w:rPr>
                <w:rFonts w:ascii="宋体"/>
                <w:vanish/>
              </w:rPr>
            </w:pPr>
          </w:p>
        </w:tc>
        <w:tc>
          <w:tcPr>
            <w:tcW w:w="0" w:type="auto"/>
            <w:gridSpan w:val="3"/>
            <w:shd w:val="clear" w:color="auto" w:fill="auto"/>
            <w:vAlign w:val="bottom"/>
          </w:tcPr>
          <w:p w14:paraId="5A1B407A" w14:textId="77777777" w:rsidR="00960BB8" w:rsidRDefault="00960BB8">
            <w:pPr>
              <w:rPr>
                <w:rFonts w:ascii="宋体"/>
                <w:vanish/>
              </w:rPr>
            </w:pPr>
          </w:p>
        </w:tc>
        <w:tc>
          <w:tcPr>
            <w:tcW w:w="0" w:type="auto"/>
            <w:gridSpan w:val="3"/>
            <w:shd w:val="clear" w:color="auto" w:fill="auto"/>
            <w:vAlign w:val="bottom"/>
          </w:tcPr>
          <w:p w14:paraId="5A1B407B" w14:textId="77777777" w:rsidR="00960BB8" w:rsidRDefault="00960BB8">
            <w:pPr>
              <w:rPr>
                <w:rFonts w:ascii="宋体"/>
                <w:vanish/>
              </w:rPr>
            </w:pPr>
          </w:p>
        </w:tc>
      </w:tr>
      <w:tr w:rsidR="00960BB8" w14:paraId="5A1B4080" w14:textId="77777777">
        <w:tc>
          <w:tcPr>
            <w:tcW w:w="0" w:type="auto"/>
            <w:gridSpan w:val="3"/>
            <w:shd w:val="clear" w:color="auto" w:fill="auto"/>
            <w:tcMar>
              <w:top w:w="0" w:type="dxa"/>
              <w:left w:w="20" w:type="dxa"/>
              <w:bottom w:w="0" w:type="dxa"/>
              <w:right w:w="20" w:type="dxa"/>
            </w:tcMar>
            <w:vAlign w:val="bottom"/>
          </w:tcPr>
          <w:p w14:paraId="5A1B407D" w14:textId="77777777" w:rsidR="00960BB8" w:rsidRDefault="00960BB8">
            <w:pPr>
              <w:rPr>
                <w:rFonts w:ascii="宋体"/>
              </w:rPr>
            </w:pPr>
          </w:p>
        </w:tc>
        <w:tc>
          <w:tcPr>
            <w:tcW w:w="0" w:type="auto"/>
            <w:gridSpan w:val="3"/>
            <w:shd w:val="clear" w:color="auto" w:fill="auto"/>
            <w:tcMar>
              <w:top w:w="40" w:type="dxa"/>
              <w:left w:w="245" w:type="dxa"/>
              <w:bottom w:w="40" w:type="dxa"/>
              <w:right w:w="20" w:type="dxa"/>
            </w:tcMar>
            <w:vAlign w:val="center"/>
          </w:tcPr>
          <w:p w14:paraId="5A1B407E" w14:textId="77777777" w:rsidR="00960BB8" w:rsidRDefault="00C06650">
            <w:pPr>
              <w:textAlignment w:val="center"/>
            </w:pPr>
            <w:r>
              <w:rPr>
                <w:rFonts w:ascii="Arial" w:eastAsia="宋体" w:hAnsi="Arial" w:cs="Arial"/>
                <w:color w:val="262626"/>
                <w:sz w:val="18"/>
                <w:szCs w:val="18"/>
              </w:rPr>
              <w:t>Available information</w:t>
            </w:r>
          </w:p>
        </w:tc>
        <w:tc>
          <w:tcPr>
            <w:tcW w:w="0" w:type="auto"/>
            <w:gridSpan w:val="3"/>
            <w:shd w:val="clear" w:color="auto" w:fill="auto"/>
            <w:tcMar>
              <w:top w:w="40" w:type="dxa"/>
              <w:left w:w="20" w:type="dxa"/>
              <w:bottom w:w="40" w:type="dxa"/>
              <w:right w:w="20" w:type="dxa"/>
            </w:tcMar>
            <w:vAlign w:val="center"/>
          </w:tcPr>
          <w:p w14:paraId="5A1B407F" w14:textId="77777777" w:rsidR="00960BB8" w:rsidRDefault="00C06650">
            <w:pPr>
              <w:jc w:val="center"/>
              <w:textAlignment w:val="center"/>
            </w:pPr>
            <w:r>
              <w:rPr>
                <w:rFonts w:ascii="Arial" w:eastAsia="宋体" w:hAnsi="Arial" w:cs="Arial"/>
                <w:color w:val="262626"/>
                <w:sz w:val="18"/>
                <w:szCs w:val="18"/>
              </w:rPr>
              <w:t xml:space="preserve">Page </w:t>
            </w:r>
            <w:hyperlink r:id="rId248" w:anchor="i8aaa7b4dbd2e419ca0f5c30af85a11aa_235" w:history="1">
              <w:r>
                <w:rPr>
                  <w:rStyle w:val="a5"/>
                  <w:rFonts w:ascii="Arial" w:eastAsia="宋体" w:hAnsi="Arial" w:cs="Arial"/>
                  <w:color w:val="262626"/>
                  <w:sz w:val="18"/>
                  <w:szCs w:val="18"/>
                </w:rPr>
                <w:t>2</w:t>
              </w:r>
            </w:hyperlink>
          </w:p>
        </w:tc>
      </w:tr>
      <w:tr w:rsidR="00960BB8" w14:paraId="5A1B4084" w14:textId="77777777">
        <w:tc>
          <w:tcPr>
            <w:tcW w:w="0" w:type="auto"/>
            <w:gridSpan w:val="3"/>
            <w:shd w:val="clear" w:color="auto" w:fill="auto"/>
            <w:tcMar>
              <w:top w:w="40" w:type="dxa"/>
              <w:left w:w="20" w:type="dxa"/>
              <w:bottom w:w="40" w:type="dxa"/>
              <w:right w:w="20" w:type="dxa"/>
            </w:tcMar>
            <w:vAlign w:val="center"/>
          </w:tcPr>
          <w:p w14:paraId="5A1B4081" w14:textId="77777777" w:rsidR="00960BB8" w:rsidRDefault="00C06650">
            <w:pPr>
              <w:textAlignment w:val="center"/>
            </w:pPr>
            <w:r>
              <w:rPr>
                <w:rFonts w:ascii="Arial" w:eastAsia="宋体" w:hAnsi="Arial" w:cs="Arial"/>
                <w:color w:val="262626"/>
                <w:sz w:val="18"/>
                <w:szCs w:val="18"/>
              </w:rPr>
              <w:t>Item 1A.</w:t>
            </w:r>
          </w:p>
        </w:tc>
        <w:tc>
          <w:tcPr>
            <w:tcW w:w="0" w:type="auto"/>
            <w:gridSpan w:val="3"/>
            <w:shd w:val="clear" w:color="auto" w:fill="auto"/>
            <w:tcMar>
              <w:top w:w="40" w:type="dxa"/>
              <w:left w:w="20" w:type="dxa"/>
              <w:bottom w:w="40" w:type="dxa"/>
              <w:right w:w="20" w:type="dxa"/>
            </w:tcMar>
            <w:vAlign w:val="center"/>
          </w:tcPr>
          <w:p w14:paraId="5A1B4082" w14:textId="77777777" w:rsidR="00960BB8" w:rsidRDefault="00C06650">
            <w:pPr>
              <w:textAlignment w:val="center"/>
            </w:pPr>
            <w:r>
              <w:rPr>
                <w:rFonts w:ascii="Arial" w:eastAsia="宋体" w:hAnsi="Arial" w:cs="Arial"/>
                <w:color w:val="262626"/>
                <w:sz w:val="18"/>
                <w:szCs w:val="18"/>
              </w:rPr>
              <w:t>Risk Factors</w:t>
            </w:r>
          </w:p>
        </w:tc>
        <w:tc>
          <w:tcPr>
            <w:tcW w:w="0" w:type="auto"/>
            <w:gridSpan w:val="3"/>
            <w:shd w:val="clear" w:color="auto" w:fill="auto"/>
            <w:tcMar>
              <w:top w:w="40" w:type="dxa"/>
              <w:left w:w="20" w:type="dxa"/>
              <w:bottom w:w="40" w:type="dxa"/>
              <w:right w:w="20" w:type="dxa"/>
            </w:tcMar>
            <w:vAlign w:val="center"/>
          </w:tcPr>
          <w:p w14:paraId="5A1B4083" w14:textId="77777777" w:rsidR="00960BB8" w:rsidRDefault="00C06650">
            <w:pPr>
              <w:jc w:val="center"/>
              <w:textAlignment w:val="center"/>
            </w:pPr>
            <w:r>
              <w:rPr>
                <w:rFonts w:ascii="Arial" w:eastAsia="宋体" w:hAnsi="Arial" w:cs="Arial"/>
                <w:color w:val="262626"/>
                <w:sz w:val="18"/>
                <w:szCs w:val="18"/>
              </w:rPr>
              <w:t xml:space="preserve">Pages </w:t>
            </w:r>
            <w:hyperlink r:id="rId249" w:anchor="i8aaa7b4dbd2e419ca0f5c30af85a11aa_214" w:history="1">
              <w:r>
                <w:rPr>
                  <w:rStyle w:val="a5"/>
                  <w:rFonts w:ascii="Arial" w:eastAsia="宋体" w:hAnsi="Arial" w:cs="Arial"/>
                  <w:color w:val="262626"/>
                  <w:sz w:val="18"/>
                  <w:szCs w:val="18"/>
                </w:rPr>
                <w:t>53</w:t>
              </w:r>
            </w:hyperlink>
            <w:r>
              <w:rPr>
                <w:rFonts w:ascii="Arial" w:eastAsia="宋体" w:hAnsi="Arial" w:cs="Arial"/>
                <w:color w:val="262626"/>
                <w:sz w:val="18"/>
                <w:szCs w:val="18"/>
              </w:rPr>
              <w:t>-</w:t>
            </w:r>
            <w:hyperlink r:id="rId250" w:anchor="i8aaa7b4dbd2e419ca0f5c30af85a11aa_217" w:history="1">
              <w:r>
                <w:rPr>
                  <w:rStyle w:val="a5"/>
                  <w:rFonts w:ascii="Arial" w:eastAsia="宋体" w:hAnsi="Arial" w:cs="Arial"/>
                  <w:color w:val="262626"/>
                  <w:sz w:val="18"/>
                  <w:szCs w:val="18"/>
                </w:rPr>
                <w:t>67</w:t>
              </w:r>
            </w:hyperlink>
          </w:p>
        </w:tc>
      </w:tr>
      <w:tr w:rsidR="00960BB8" w14:paraId="5A1B4088" w14:textId="77777777">
        <w:tc>
          <w:tcPr>
            <w:tcW w:w="0" w:type="auto"/>
            <w:gridSpan w:val="3"/>
            <w:shd w:val="clear" w:color="auto" w:fill="auto"/>
            <w:tcMar>
              <w:top w:w="40" w:type="dxa"/>
              <w:left w:w="20" w:type="dxa"/>
              <w:bottom w:w="40" w:type="dxa"/>
              <w:right w:w="20" w:type="dxa"/>
            </w:tcMar>
            <w:vAlign w:val="center"/>
          </w:tcPr>
          <w:p w14:paraId="5A1B4085" w14:textId="77777777" w:rsidR="00960BB8" w:rsidRDefault="00C06650">
            <w:pPr>
              <w:textAlignment w:val="center"/>
            </w:pPr>
            <w:r>
              <w:rPr>
                <w:rFonts w:ascii="Arial" w:eastAsia="宋体" w:hAnsi="Arial" w:cs="Arial"/>
                <w:color w:val="262626"/>
                <w:sz w:val="18"/>
                <w:szCs w:val="18"/>
              </w:rPr>
              <w:t xml:space="preserve">Item </w:t>
            </w:r>
            <w:r>
              <w:rPr>
                <w:rFonts w:ascii="Arial" w:eastAsia="宋体" w:hAnsi="Arial" w:cs="Arial"/>
                <w:color w:val="262626"/>
                <w:sz w:val="18"/>
                <w:szCs w:val="18"/>
              </w:rPr>
              <w:t>1B.</w:t>
            </w:r>
          </w:p>
        </w:tc>
        <w:tc>
          <w:tcPr>
            <w:tcW w:w="0" w:type="auto"/>
            <w:gridSpan w:val="3"/>
            <w:shd w:val="clear" w:color="auto" w:fill="auto"/>
            <w:tcMar>
              <w:top w:w="40" w:type="dxa"/>
              <w:left w:w="20" w:type="dxa"/>
              <w:bottom w:w="40" w:type="dxa"/>
              <w:right w:w="20" w:type="dxa"/>
            </w:tcMar>
            <w:vAlign w:val="center"/>
          </w:tcPr>
          <w:p w14:paraId="5A1B4086" w14:textId="77777777" w:rsidR="00960BB8" w:rsidRDefault="00C06650">
            <w:pPr>
              <w:textAlignment w:val="center"/>
            </w:pPr>
            <w:r>
              <w:rPr>
                <w:rFonts w:ascii="Arial" w:eastAsia="宋体" w:hAnsi="Arial" w:cs="Arial"/>
                <w:color w:val="262626"/>
                <w:sz w:val="18"/>
                <w:szCs w:val="18"/>
              </w:rPr>
              <w:t>Unresolved Staff Comments</w:t>
            </w:r>
          </w:p>
        </w:tc>
        <w:tc>
          <w:tcPr>
            <w:tcW w:w="0" w:type="auto"/>
            <w:gridSpan w:val="3"/>
            <w:shd w:val="clear" w:color="auto" w:fill="auto"/>
            <w:tcMar>
              <w:top w:w="40" w:type="dxa"/>
              <w:left w:w="20" w:type="dxa"/>
              <w:bottom w:w="40" w:type="dxa"/>
              <w:right w:w="20" w:type="dxa"/>
            </w:tcMar>
            <w:vAlign w:val="center"/>
          </w:tcPr>
          <w:p w14:paraId="5A1B4087" w14:textId="77777777" w:rsidR="00960BB8" w:rsidRDefault="00C06650">
            <w:pPr>
              <w:jc w:val="center"/>
              <w:textAlignment w:val="center"/>
            </w:pPr>
            <w:r>
              <w:rPr>
                <w:rFonts w:ascii="Arial" w:eastAsia="宋体" w:hAnsi="Arial" w:cs="Arial"/>
                <w:color w:val="262626"/>
                <w:sz w:val="18"/>
                <w:szCs w:val="18"/>
              </w:rPr>
              <w:t>Not applicable</w:t>
            </w:r>
          </w:p>
        </w:tc>
      </w:tr>
      <w:tr w:rsidR="00960BB8" w14:paraId="5A1B408C" w14:textId="77777777">
        <w:tc>
          <w:tcPr>
            <w:tcW w:w="0" w:type="auto"/>
            <w:gridSpan w:val="3"/>
            <w:shd w:val="clear" w:color="auto" w:fill="auto"/>
            <w:tcMar>
              <w:top w:w="40" w:type="dxa"/>
              <w:left w:w="20" w:type="dxa"/>
              <w:bottom w:w="40" w:type="dxa"/>
              <w:right w:w="20" w:type="dxa"/>
            </w:tcMar>
            <w:vAlign w:val="center"/>
          </w:tcPr>
          <w:p w14:paraId="5A1B4089" w14:textId="77777777" w:rsidR="00960BB8" w:rsidRDefault="00C06650">
            <w:pPr>
              <w:textAlignment w:val="center"/>
            </w:pPr>
            <w:r>
              <w:rPr>
                <w:rFonts w:ascii="Arial" w:eastAsia="宋体" w:hAnsi="Arial" w:cs="Arial"/>
                <w:color w:val="262626"/>
                <w:sz w:val="18"/>
                <w:szCs w:val="18"/>
              </w:rPr>
              <w:t>Item 2.</w:t>
            </w:r>
          </w:p>
        </w:tc>
        <w:tc>
          <w:tcPr>
            <w:tcW w:w="0" w:type="auto"/>
            <w:gridSpan w:val="3"/>
            <w:shd w:val="clear" w:color="auto" w:fill="auto"/>
            <w:tcMar>
              <w:top w:w="40" w:type="dxa"/>
              <w:left w:w="20" w:type="dxa"/>
              <w:bottom w:w="40" w:type="dxa"/>
              <w:right w:w="20" w:type="dxa"/>
            </w:tcMar>
            <w:vAlign w:val="center"/>
          </w:tcPr>
          <w:p w14:paraId="5A1B408A" w14:textId="77777777" w:rsidR="00960BB8" w:rsidRDefault="00C06650">
            <w:pPr>
              <w:textAlignment w:val="center"/>
            </w:pPr>
            <w:r>
              <w:rPr>
                <w:rFonts w:ascii="Arial" w:eastAsia="宋体" w:hAnsi="Arial" w:cs="Arial"/>
                <w:color w:val="262626"/>
                <w:sz w:val="18"/>
                <w:szCs w:val="18"/>
              </w:rPr>
              <w:t>Properties</w:t>
            </w:r>
          </w:p>
        </w:tc>
        <w:tc>
          <w:tcPr>
            <w:tcW w:w="0" w:type="auto"/>
            <w:gridSpan w:val="3"/>
            <w:shd w:val="clear" w:color="auto" w:fill="auto"/>
            <w:tcMar>
              <w:top w:w="40" w:type="dxa"/>
              <w:left w:w="20" w:type="dxa"/>
              <w:bottom w:w="40" w:type="dxa"/>
              <w:right w:w="20" w:type="dxa"/>
            </w:tcMar>
            <w:vAlign w:val="center"/>
          </w:tcPr>
          <w:p w14:paraId="5A1B408B" w14:textId="77777777" w:rsidR="00960BB8" w:rsidRDefault="00C06650">
            <w:pPr>
              <w:jc w:val="center"/>
              <w:textAlignment w:val="center"/>
            </w:pPr>
            <w:r>
              <w:rPr>
                <w:rFonts w:ascii="Arial" w:eastAsia="宋体" w:hAnsi="Arial" w:cs="Arial"/>
                <w:color w:val="262626"/>
                <w:sz w:val="18"/>
                <w:szCs w:val="18"/>
              </w:rPr>
              <w:t xml:space="preserve">Pages </w:t>
            </w:r>
            <w:hyperlink r:id="rId251" w:anchor="i8aaa7b4dbd2e419ca0f5c30af85a11aa_220" w:history="1">
              <w:r>
                <w:rPr>
                  <w:rStyle w:val="a5"/>
                  <w:rFonts w:ascii="Arial" w:eastAsia="宋体" w:hAnsi="Arial" w:cs="Arial"/>
                  <w:color w:val="262626"/>
                  <w:sz w:val="18"/>
                  <w:szCs w:val="18"/>
                </w:rPr>
                <w:t>1</w:t>
              </w:r>
            </w:hyperlink>
            <w:hyperlink r:id="rId252" w:anchor="i8aaa7b4dbd2e419ca0f5c30af85a11aa_220" w:history="1">
              <w:r>
                <w:rPr>
                  <w:rStyle w:val="a5"/>
                  <w:rFonts w:ascii="Arial" w:eastAsia="宋体" w:hAnsi="Arial" w:cs="Arial"/>
                  <w:color w:val="262626"/>
                  <w:sz w:val="18"/>
                  <w:szCs w:val="18"/>
                </w:rPr>
                <w:t>4</w:t>
              </w:r>
            </w:hyperlink>
            <w:r>
              <w:rPr>
                <w:rFonts w:ascii="Arial" w:eastAsia="宋体" w:hAnsi="Arial" w:cs="Arial"/>
                <w:color w:val="262626"/>
                <w:sz w:val="18"/>
                <w:szCs w:val="18"/>
              </w:rPr>
              <w:t xml:space="preserve">, </w:t>
            </w:r>
            <w:hyperlink r:id="rId253" w:anchor="i8aaa7b4dbd2e419ca0f5c30af85a11aa_220" w:history="1">
              <w:r>
                <w:rPr>
                  <w:rStyle w:val="a5"/>
                  <w:rFonts w:ascii="Arial" w:eastAsia="宋体" w:hAnsi="Arial" w:cs="Arial"/>
                  <w:color w:val="262626"/>
                  <w:sz w:val="18"/>
                  <w:szCs w:val="18"/>
                </w:rPr>
                <w:t>67</w:t>
              </w:r>
            </w:hyperlink>
          </w:p>
        </w:tc>
      </w:tr>
      <w:tr w:rsidR="00960BB8" w14:paraId="5A1B4090" w14:textId="77777777">
        <w:tc>
          <w:tcPr>
            <w:tcW w:w="0" w:type="auto"/>
            <w:gridSpan w:val="3"/>
            <w:shd w:val="clear" w:color="auto" w:fill="auto"/>
            <w:tcMar>
              <w:top w:w="40" w:type="dxa"/>
              <w:left w:w="20" w:type="dxa"/>
              <w:bottom w:w="40" w:type="dxa"/>
              <w:right w:w="20" w:type="dxa"/>
            </w:tcMar>
            <w:vAlign w:val="center"/>
          </w:tcPr>
          <w:p w14:paraId="5A1B408D" w14:textId="77777777" w:rsidR="00960BB8" w:rsidRDefault="00C06650">
            <w:pPr>
              <w:textAlignment w:val="center"/>
            </w:pPr>
            <w:r>
              <w:rPr>
                <w:rFonts w:ascii="Arial" w:eastAsia="宋体" w:hAnsi="Arial" w:cs="Arial"/>
                <w:color w:val="262626"/>
                <w:sz w:val="18"/>
                <w:szCs w:val="18"/>
              </w:rPr>
              <w:t>Item 3.</w:t>
            </w:r>
          </w:p>
        </w:tc>
        <w:tc>
          <w:tcPr>
            <w:tcW w:w="0" w:type="auto"/>
            <w:gridSpan w:val="3"/>
            <w:shd w:val="clear" w:color="auto" w:fill="auto"/>
            <w:tcMar>
              <w:top w:w="40" w:type="dxa"/>
              <w:left w:w="20" w:type="dxa"/>
              <w:bottom w:w="40" w:type="dxa"/>
              <w:right w:w="20" w:type="dxa"/>
            </w:tcMar>
            <w:vAlign w:val="center"/>
          </w:tcPr>
          <w:p w14:paraId="5A1B408E" w14:textId="77777777" w:rsidR="00960BB8" w:rsidRDefault="00C06650">
            <w:pPr>
              <w:textAlignment w:val="center"/>
            </w:pPr>
            <w:r>
              <w:rPr>
                <w:rFonts w:ascii="Arial" w:eastAsia="宋体" w:hAnsi="Arial" w:cs="Arial"/>
                <w:color w:val="262626"/>
                <w:sz w:val="18"/>
                <w:szCs w:val="18"/>
              </w:rPr>
              <w:t>Legal Proceedings</w:t>
            </w:r>
          </w:p>
        </w:tc>
        <w:tc>
          <w:tcPr>
            <w:tcW w:w="0" w:type="auto"/>
            <w:gridSpan w:val="3"/>
            <w:shd w:val="clear" w:color="auto" w:fill="auto"/>
            <w:tcMar>
              <w:top w:w="40" w:type="dxa"/>
              <w:left w:w="20" w:type="dxa"/>
              <w:bottom w:w="40" w:type="dxa"/>
              <w:right w:w="20" w:type="dxa"/>
            </w:tcMar>
            <w:vAlign w:val="center"/>
          </w:tcPr>
          <w:p w14:paraId="5A1B408F" w14:textId="77777777" w:rsidR="00960BB8" w:rsidRDefault="00C06650">
            <w:pPr>
              <w:jc w:val="center"/>
              <w:textAlignment w:val="center"/>
            </w:pPr>
            <w:r>
              <w:rPr>
                <w:rFonts w:ascii="Arial" w:eastAsia="宋体" w:hAnsi="Arial" w:cs="Arial"/>
                <w:color w:val="262626"/>
                <w:sz w:val="18"/>
                <w:szCs w:val="18"/>
              </w:rPr>
              <w:t xml:space="preserve">Pages </w:t>
            </w:r>
            <w:hyperlink r:id="rId254" w:anchor="i8aaa7b4dbd2e419ca0f5c30af85a11aa_457" w:history="1">
              <w:r>
                <w:rPr>
                  <w:rStyle w:val="a5"/>
                  <w:rFonts w:ascii="Arial" w:eastAsia="宋体" w:hAnsi="Arial" w:cs="Arial"/>
                  <w:color w:val="262626"/>
                  <w:sz w:val="18"/>
                  <w:szCs w:val="18"/>
                </w:rPr>
                <w:t>109</w:t>
              </w:r>
            </w:hyperlink>
            <w:r>
              <w:rPr>
                <w:rFonts w:ascii="Arial" w:eastAsia="宋体" w:hAnsi="Arial" w:cs="Arial"/>
                <w:color w:val="262626"/>
                <w:sz w:val="18"/>
                <w:szCs w:val="18"/>
              </w:rPr>
              <w:t>-</w:t>
            </w:r>
            <w:hyperlink r:id="rId255" w:anchor="i8aaa7b4dbd2e419ca0f5c30af85a11aa_460" w:history="1">
              <w:r>
                <w:rPr>
                  <w:rStyle w:val="a5"/>
                  <w:rFonts w:ascii="Arial" w:eastAsia="宋体" w:hAnsi="Arial" w:cs="Arial"/>
                  <w:color w:val="262626"/>
                  <w:sz w:val="18"/>
                  <w:szCs w:val="18"/>
                </w:rPr>
                <w:t>114</w:t>
              </w:r>
            </w:hyperlink>
          </w:p>
        </w:tc>
      </w:tr>
      <w:tr w:rsidR="00960BB8" w14:paraId="5A1B4094" w14:textId="77777777">
        <w:tc>
          <w:tcPr>
            <w:tcW w:w="0" w:type="auto"/>
            <w:gridSpan w:val="3"/>
            <w:shd w:val="clear" w:color="auto" w:fill="auto"/>
            <w:tcMar>
              <w:top w:w="40" w:type="dxa"/>
              <w:left w:w="20" w:type="dxa"/>
              <w:bottom w:w="40" w:type="dxa"/>
              <w:right w:w="20" w:type="dxa"/>
            </w:tcMar>
            <w:vAlign w:val="center"/>
          </w:tcPr>
          <w:p w14:paraId="5A1B4091" w14:textId="77777777" w:rsidR="00960BB8" w:rsidRDefault="00C06650">
            <w:pPr>
              <w:textAlignment w:val="center"/>
            </w:pPr>
            <w:r>
              <w:rPr>
                <w:rFonts w:ascii="Arial" w:eastAsia="宋体" w:hAnsi="Arial" w:cs="Arial"/>
                <w:color w:val="262626"/>
                <w:sz w:val="18"/>
                <w:szCs w:val="18"/>
              </w:rPr>
              <w:t>Item 4.</w:t>
            </w:r>
          </w:p>
        </w:tc>
        <w:tc>
          <w:tcPr>
            <w:tcW w:w="0" w:type="auto"/>
            <w:gridSpan w:val="3"/>
            <w:shd w:val="clear" w:color="auto" w:fill="auto"/>
            <w:tcMar>
              <w:top w:w="40" w:type="dxa"/>
              <w:left w:w="20" w:type="dxa"/>
              <w:bottom w:w="40" w:type="dxa"/>
              <w:right w:w="20" w:type="dxa"/>
            </w:tcMar>
            <w:vAlign w:val="center"/>
          </w:tcPr>
          <w:p w14:paraId="5A1B4092" w14:textId="77777777" w:rsidR="00960BB8" w:rsidRDefault="00C06650">
            <w:pPr>
              <w:textAlignment w:val="center"/>
            </w:pPr>
            <w:r>
              <w:rPr>
                <w:rFonts w:ascii="Arial" w:eastAsia="宋体" w:hAnsi="Arial" w:cs="Arial"/>
                <w:color w:val="262626"/>
                <w:sz w:val="18"/>
                <w:szCs w:val="18"/>
              </w:rPr>
              <w:t>Mine Safety Disclosures</w:t>
            </w:r>
          </w:p>
        </w:tc>
        <w:tc>
          <w:tcPr>
            <w:tcW w:w="0" w:type="auto"/>
            <w:gridSpan w:val="3"/>
            <w:shd w:val="clear" w:color="auto" w:fill="auto"/>
            <w:tcMar>
              <w:top w:w="40" w:type="dxa"/>
              <w:left w:w="20" w:type="dxa"/>
              <w:bottom w:w="40" w:type="dxa"/>
              <w:right w:w="20" w:type="dxa"/>
            </w:tcMar>
            <w:vAlign w:val="center"/>
          </w:tcPr>
          <w:p w14:paraId="5A1B4093" w14:textId="77777777" w:rsidR="00960BB8" w:rsidRDefault="00C06650">
            <w:pPr>
              <w:jc w:val="center"/>
              <w:textAlignment w:val="center"/>
            </w:pPr>
            <w:r>
              <w:rPr>
                <w:rFonts w:ascii="Arial" w:eastAsia="宋体" w:hAnsi="Arial" w:cs="Arial"/>
                <w:color w:val="262626"/>
                <w:sz w:val="18"/>
                <w:szCs w:val="18"/>
              </w:rPr>
              <w:t>Not applicable</w:t>
            </w:r>
          </w:p>
        </w:tc>
      </w:tr>
      <w:tr w:rsidR="00960BB8" w14:paraId="5A1B4098"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095"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096"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097" w14:textId="77777777" w:rsidR="00960BB8" w:rsidRDefault="00960BB8">
            <w:pPr>
              <w:rPr>
                <w:rFonts w:ascii="宋体"/>
              </w:rPr>
            </w:pPr>
          </w:p>
        </w:tc>
      </w:tr>
      <w:tr w:rsidR="00960BB8" w14:paraId="5A1B409C" w14:textId="77777777">
        <w:tc>
          <w:tcPr>
            <w:tcW w:w="0" w:type="auto"/>
            <w:gridSpan w:val="3"/>
            <w:shd w:val="clear" w:color="auto" w:fill="auto"/>
            <w:tcMar>
              <w:top w:w="40" w:type="dxa"/>
              <w:left w:w="20" w:type="dxa"/>
              <w:bottom w:w="40" w:type="dxa"/>
              <w:right w:w="20" w:type="dxa"/>
            </w:tcMar>
            <w:vAlign w:val="center"/>
          </w:tcPr>
          <w:p w14:paraId="5A1B4099" w14:textId="77777777" w:rsidR="00960BB8" w:rsidRDefault="00C06650">
            <w:pPr>
              <w:spacing w:after="100"/>
              <w:textAlignment w:val="center"/>
            </w:pPr>
            <w:r>
              <w:rPr>
                <w:rFonts w:ascii="Arial" w:eastAsia="宋体" w:hAnsi="Arial" w:cs="Arial"/>
                <w:color w:val="0068B5"/>
                <w:sz w:val="18"/>
                <w:szCs w:val="18"/>
              </w:rPr>
              <w:t>Part II</w:t>
            </w:r>
          </w:p>
        </w:tc>
        <w:tc>
          <w:tcPr>
            <w:tcW w:w="0" w:type="auto"/>
            <w:gridSpan w:val="3"/>
            <w:shd w:val="clear" w:color="auto" w:fill="auto"/>
            <w:tcMar>
              <w:top w:w="0" w:type="dxa"/>
              <w:left w:w="20" w:type="dxa"/>
              <w:bottom w:w="0" w:type="dxa"/>
              <w:right w:w="20" w:type="dxa"/>
            </w:tcMar>
            <w:vAlign w:val="bottom"/>
          </w:tcPr>
          <w:p w14:paraId="5A1B409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09B" w14:textId="77777777" w:rsidR="00960BB8" w:rsidRDefault="00960BB8">
            <w:pPr>
              <w:rPr>
                <w:rFonts w:ascii="宋体"/>
              </w:rPr>
            </w:pPr>
          </w:p>
        </w:tc>
      </w:tr>
      <w:tr w:rsidR="00960BB8" w14:paraId="5A1B40A0" w14:textId="77777777">
        <w:tc>
          <w:tcPr>
            <w:tcW w:w="0" w:type="auto"/>
            <w:gridSpan w:val="3"/>
            <w:shd w:val="clear" w:color="auto" w:fill="auto"/>
            <w:tcMar>
              <w:top w:w="40" w:type="dxa"/>
              <w:left w:w="20" w:type="dxa"/>
              <w:bottom w:w="40" w:type="dxa"/>
              <w:right w:w="20" w:type="dxa"/>
            </w:tcMar>
            <w:vAlign w:val="center"/>
          </w:tcPr>
          <w:p w14:paraId="5A1B409D" w14:textId="77777777" w:rsidR="00960BB8" w:rsidRDefault="00C06650">
            <w:pPr>
              <w:spacing w:after="100"/>
              <w:textAlignment w:val="center"/>
            </w:pPr>
            <w:r>
              <w:rPr>
                <w:rFonts w:ascii="Arial" w:eastAsia="宋体" w:hAnsi="Arial" w:cs="Arial"/>
                <w:color w:val="262626"/>
                <w:sz w:val="18"/>
                <w:szCs w:val="18"/>
              </w:rPr>
              <w:t>Item 5.</w:t>
            </w:r>
          </w:p>
        </w:tc>
        <w:tc>
          <w:tcPr>
            <w:tcW w:w="0" w:type="auto"/>
            <w:gridSpan w:val="3"/>
            <w:shd w:val="clear" w:color="auto" w:fill="auto"/>
            <w:tcMar>
              <w:top w:w="40" w:type="dxa"/>
              <w:left w:w="20" w:type="dxa"/>
              <w:bottom w:w="40" w:type="dxa"/>
              <w:right w:w="20" w:type="dxa"/>
            </w:tcMar>
            <w:vAlign w:val="center"/>
          </w:tcPr>
          <w:p w14:paraId="5A1B409E" w14:textId="77777777" w:rsidR="00960BB8" w:rsidRDefault="00C06650">
            <w:pPr>
              <w:textAlignment w:val="center"/>
            </w:pPr>
            <w:r>
              <w:rPr>
                <w:rFonts w:ascii="Arial" w:eastAsia="宋体" w:hAnsi="Arial" w:cs="Arial"/>
                <w:color w:val="262626"/>
                <w:sz w:val="18"/>
                <w:szCs w:val="18"/>
              </w:rPr>
              <w:t>Market for Registrant's Common Equity, Related Stockholder Matters, and Issuer Purchases of Equity Securities</w:t>
            </w:r>
          </w:p>
        </w:tc>
        <w:tc>
          <w:tcPr>
            <w:tcW w:w="0" w:type="auto"/>
            <w:gridSpan w:val="3"/>
            <w:shd w:val="clear" w:color="auto" w:fill="auto"/>
            <w:tcMar>
              <w:top w:w="40" w:type="dxa"/>
              <w:left w:w="20" w:type="dxa"/>
              <w:bottom w:w="40" w:type="dxa"/>
              <w:right w:w="20" w:type="dxa"/>
            </w:tcMar>
            <w:vAlign w:val="center"/>
          </w:tcPr>
          <w:p w14:paraId="5A1B409F" w14:textId="77777777" w:rsidR="00960BB8" w:rsidRDefault="00C06650">
            <w:pPr>
              <w:jc w:val="center"/>
              <w:textAlignment w:val="center"/>
            </w:pPr>
            <w:r>
              <w:rPr>
                <w:rFonts w:ascii="Arial" w:eastAsia="宋体" w:hAnsi="Arial" w:cs="Arial"/>
                <w:color w:val="262626"/>
                <w:sz w:val="18"/>
                <w:szCs w:val="18"/>
              </w:rPr>
              <w:t xml:space="preserve">Pages </w:t>
            </w:r>
            <w:hyperlink r:id="rId256" w:anchor="i8aaa7b4dbd2e419ca0f5c30af85a11aa_46" w:history="1">
              <w:r>
                <w:rPr>
                  <w:rStyle w:val="a5"/>
                  <w:rFonts w:ascii="Arial" w:eastAsia="宋体" w:hAnsi="Arial" w:cs="Arial"/>
                  <w:color w:val="262626"/>
                  <w:sz w:val="18"/>
                  <w:szCs w:val="18"/>
                </w:rPr>
                <w:t>11</w:t>
              </w:r>
            </w:hyperlink>
            <w:r>
              <w:rPr>
                <w:rFonts w:ascii="Arial" w:eastAsia="宋体" w:hAnsi="Arial" w:cs="Arial"/>
                <w:color w:val="262626"/>
                <w:sz w:val="18"/>
                <w:szCs w:val="18"/>
              </w:rPr>
              <w:t xml:space="preserve">, </w:t>
            </w:r>
            <w:hyperlink r:id="rId257" w:anchor="i8aaa7b4dbd2e419ca0f5c30af85a11aa_223" w:history="1">
              <w:r>
                <w:rPr>
                  <w:rStyle w:val="a5"/>
                  <w:rFonts w:ascii="Arial" w:eastAsia="宋体" w:hAnsi="Arial" w:cs="Arial"/>
                  <w:color w:val="262626"/>
                  <w:sz w:val="18"/>
                  <w:szCs w:val="18"/>
                </w:rPr>
                <w:t>68</w:t>
              </w:r>
            </w:hyperlink>
            <w:r>
              <w:rPr>
                <w:rFonts w:ascii="Arial" w:eastAsia="宋体" w:hAnsi="Arial" w:cs="Arial"/>
                <w:color w:val="262626"/>
                <w:sz w:val="18"/>
                <w:szCs w:val="18"/>
              </w:rPr>
              <w:t>-</w:t>
            </w:r>
            <w:hyperlink r:id="rId258" w:anchor="i8aaa7b4dbd2e419ca0f5c30af85a11aa_229" w:history="1">
              <w:r>
                <w:rPr>
                  <w:rStyle w:val="a5"/>
                  <w:rFonts w:ascii="Arial" w:eastAsia="宋体" w:hAnsi="Arial" w:cs="Arial"/>
                  <w:color w:val="262626"/>
                  <w:sz w:val="18"/>
                  <w:szCs w:val="18"/>
                </w:rPr>
                <w:t>69</w:t>
              </w:r>
            </w:hyperlink>
          </w:p>
        </w:tc>
      </w:tr>
      <w:tr w:rsidR="00960BB8" w14:paraId="5A1B40A4" w14:textId="77777777">
        <w:tc>
          <w:tcPr>
            <w:tcW w:w="0" w:type="auto"/>
            <w:gridSpan w:val="3"/>
            <w:shd w:val="clear" w:color="auto" w:fill="auto"/>
            <w:tcMar>
              <w:top w:w="40" w:type="dxa"/>
              <w:left w:w="20" w:type="dxa"/>
              <w:bottom w:w="40" w:type="dxa"/>
              <w:right w:w="20" w:type="dxa"/>
            </w:tcMar>
            <w:vAlign w:val="center"/>
          </w:tcPr>
          <w:p w14:paraId="5A1B40A1" w14:textId="77777777" w:rsidR="00960BB8" w:rsidRDefault="00C06650">
            <w:pPr>
              <w:textAlignment w:val="center"/>
            </w:pPr>
            <w:r>
              <w:rPr>
                <w:rFonts w:ascii="Arial" w:eastAsia="宋体" w:hAnsi="Arial" w:cs="Arial"/>
                <w:color w:val="262626"/>
                <w:sz w:val="18"/>
                <w:szCs w:val="18"/>
              </w:rPr>
              <w:t>Item 6.</w:t>
            </w:r>
          </w:p>
        </w:tc>
        <w:tc>
          <w:tcPr>
            <w:tcW w:w="0" w:type="auto"/>
            <w:gridSpan w:val="3"/>
            <w:shd w:val="clear" w:color="auto" w:fill="auto"/>
            <w:tcMar>
              <w:top w:w="40" w:type="dxa"/>
              <w:left w:w="20" w:type="dxa"/>
              <w:bottom w:w="40" w:type="dxa"/>
              <w:right w:w="20" w:type="dxa"/>
            </w:tcMar>
            <w:vAlign w:val="center"/>
          </w:tcPr>
          <w:p w14:paraId="5A1B40A2" w14:textId="77777777" w:rsidR="00960BB8" w:rsidRDefault="00C06650">
            <w:pPr>
              <w:textAlignment w:val="center"/>
            </w:pPr>
            <w:r>
              <w:rPr>
                <w:rFonts w:ascii="Arial" w:eastAsia="宋体" w:hAnsi="Arial" w:cs="Arial"/>
                <w:color w:val="262626"/>
                <w:sz w:val="18"/>
                <w:szCs w:val="18"/>
              </w:rPr>
              <w:t>[Reserved]</w:t>
            </w:r>
          </w:p>
        </w:tc>
        <w:tc>
          <w:tcPr>
            <w:tcW w:w="0" w:type="auto"/>
            <w:gridSpan w:val="3"/>
            <w:shd w:val="clear" w:color="auto" w:fill="auto"/>
            <w:tcMar>
              <w:top w:w="0" w:type="dxa"/>
              <w:left w:w="20" w:type="dxa"/>
              <w:bottom w:w="0" w:type="dxa"/>
              <w:right w:w="20" w:type="dxa"/>
            </w:tcMar>
            <w:vAlign w:val="bottom"/>
          </w:tcPr>
          <w:p w14:paraId="5A1B40A3" w14:textId="77777777" w:rsidR="00960BB8" w:rsidRDefault="00960BB8">
            <w:pPr>
              <w:rPr>
                <w:rFonts w:ascii="宋体"/>
              </w:rPr>
            </w:pPr>
          </w:p>
        </w:tc>
      </w:tr>
      <w:tr w:rsidR="00960BB8" w14:paraId="5A1B40A8" w14:textId="77777777">
        <w:tc>
          <w:tcPr>
            <w:tcW w:w="0" w:type="auto"/>
            <w:gridSpan w:val="3"/>
            <w:shd w:val="clear" w:color="auto" w:fill="auto"/>
            <w:tcMar>
              <w:top w:w="40" w:type="dxa"/>
              <w:left w:w="20" w:type="dxa"/>
              <w:bottom w:w="40" w:type="dxa"/>
              <w:right w:w="20" w:type="dxa"/>
            </w:tcMar>
            <w:vAlign w:val="center"/>
          </w:tcPr>
          <w:p w14:paraId="5A1B40A5" w14:textId="77777777" w:rsidR="00960BB8" w:rsidRDefault="00C06650">
            <w:pPr>
              <w:textAlignment w:val="center"/>
            </w:pPr>
            <w:r>
              <w:rPr>
                <w:rFonts w:ascii="Arial" w:eastAsia="宋体" w:hAnsi="Arial" w:cs="Arial"/>
                <w:color w:val="262626"/>
                <w:sz w:val="18"/>
                <w:szCs w:val="18"/>
              </w:rPr>
              <w:t>Item 7.</w:t>
            </w:r>
          </w:p>
        </w:tc>
        <w:tc>
          <w:tcPr>
            <w:tcW w:w="0" w:type="auto"/>
            <w:gridSpan w:val="3"/>
            <w:shd w:val="clear" w:color="auto" w:fill="auto"/>
            <w:tcMar>
              <w:top w:w="40" w:type="dxa"/>
              <w:left w:w="20" w:type="dxa"/>
              <w:bottom w:w="40" w:type="dxa"/>
              <w:right w:w="20" w:type="dxa"/>
            </w:tcMar>
            <w:vAlign w:val="center"/>
          </w:tcPr>
          <w:p w14:paraId="5A1B40A6" w14:textId="77777777" w:rsidR="00960BB8" w:rsidRDefault="00C06650">
            <w:pPr>
              <w:textAlignment w:val="center"/>
            </w:pPr>
            <w:r>
              <w:rPr>
                <w:rFonts w:ascii="Arial" w:eastAsia="宋体" w:hAnsi="Arial" w:cs="Arial"/>
                <w:color w:val="262626"/>
                <w:sz w:val="18"/>
                <w:szCs w:val="18"/>
              </w:rPr>
              <w:t>Management's Discussion and Analysis of Financial Condition and Results of Operations:</w:t>
            </w:r>
          </w:p>
        </w:tc>
        <w:tc>
          <w:tcPr>
            <w:tcW w:w="0" w:type="auto"/>
            <w:gridSpan w:val="3"/>
            <w:shd w:val="clear" w:color="auto" w:fill="auto"/>
            <w:tcMar>
              <w:top w:w="0" w:type="dxa"/>
              <w:left w:w="20" w:type="dxa"/>
              <w:bottom w:w="0" w:type="dxa"/>
              <w:right w:w="20" w:type="dxa"/>
            </w:tcMar>
            <w:vAlign w:val="bottom"/>
          </w:tcPr>
          <w:p w14:paraId="5A1B40A7" w14:textId="77777777" w:rsidR="00960BB8" w:rsidRDefault="00960BB8">
            <w:pPr>
              <w:rPr>
                <w:rFonts w:ascii="宋体"/>
              </w:rPr>
            </w:pPr>
          </w:p>
        </w:tc>
      </w:tr>
      <w:tr w:rsidR="00960BB8" w14:paraId="5A1B40AC" w14:textId="77777777">
        <w:tc>
          <w:tcPr>
            <w:tcW w:w="0" w:type="auto"/>
            <w:gridSpan w:val="3"/>
            <w:shd w:val="clear" w:color="auto" w:fill="auto"/>
            <w:tcMar>
              <w:top w:w="0" w:type="dxa"/>
              <w:left w:w="20" w:type="dxa"/>
              <w:bottom w:w="0" w:type="dxa"/>
              <w:right w:w="20" w:type="dxa"/>
            </w:tcMar>
            <w:vAlign w:val="bottom"/>
          </w:tcPr>
          <w:p w14:paraId="5A1B40A9" w14:textId="77777777" w:rsidR="00960BB8" w:rsidRDefault="00960BB8">
            <w:pPr>
              <w:rPr>
                <w:rFonts w:ascii="宋体"/>
              </w:rPr>
            </w:pPr>
          </w:p>
        </w:tc>
        <w:tc>
          <w:tcPr>
            <w:tcW w:w="0" w:type="auto"/>
            <w:gridSpan w:val="3"/>
            <w:shd w:val="clear" w:color="auto" w:fill="auto"/>
            <w:tcMar>
              <w:top w:w="40" w:type="dxa"/>
              <w:left w:w="245" w:type="dxa"/>
              <w:bottom w:w="40" w:type="dxa"/>
              <w:right w:w="20" w:type="dxa"/>
            </w:tcMar>
            <w:vAlign w:val="center"/>
          </w:tcPr>
          <w:p w14:paraId="5A1B40AA" w14:textId="77777777" w:rsidR="00960BB8" w:rsidRDefault="00C06650">
            <w:pPr>
              <w:textAlignment w:val="center"/>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center"/>
          </w:tcPr>
          <w:p w14:paraId="5A1B40AB" w14:textId="77777777" w:rsidR="00960BB8" w:rsidRDefault="00C06650">
            <w:pPr>
              <w:jc w:val="center"/>
              <w:textAlignment w:val="center"/>
            </w:pPr>
            <w:r>
              <w:rPr>
                <w:rFonts w:ascii="Arial" w:eastAsia="宋体" w:hAnsi="Arial" w:cs="Arial"/>
                <w:color w:val="262626"/>
                <w:sz w:val="18"/>
                <w:szCs w:val="18"/>
              </w:rPr>
              <w:t xml:space="preserve">Pages </w:t>
            </w:r>
            <w:hyperlink r:id="rId259" w:anchor="i8aaa7b4dbd2e419ca0f5c30af85a11aa_28" w:history="1">
              <w:r>
                <w:rPr>
                  <w:rStyle w:val="a5"/>
                  <w:rFonts w:ascii="Arial" w:eastAsia="宋体" w:hAnsi="Arial" w:cs="Arial"/>
                  <w:color w:val="262626"/>
                  <w:sz w:val="18"/>
                  <w:szCs w:val="18"/>
                </w:rPr>
                <w:t>5</w:t>
              </w:r>
            </w:hyperlink>
            <w:r>
              <w:rPr>
                <w:rFonts w:ascii="Arial" w:eastAsia="宋体" w:hAnsi="Arial" w:cs="Arial"/>
                <w:color w:val="262626"/>
                <w:sz w:val="18"/>
                <w:szCs w:val="18"/>
              </w:rPr>
              <w:t>-</w:t>
            </w:r>
            <w:hyperlink r:id="rId260" w:anchor="i8aaa7b4dbd2e419ca0f5c30af85a11aa_31" w:history="1">
              <w:r>
                <w:rPr>
                  <w:rStyle w:val="a5"/>
                  <w:rFonts w:ascii="Arial" w:eastAsia="宋体" w:hAnsi="Arial" w:cs="Arial"/>
                  <w:color w:val="262626"/>
                  <w:sz w:val="18"/>
                  <w:szCs w:val="18"/>
                </w:rPr>
                <w:t>6</w:t>
              </w:r>
            </w:hyperlink>
            <w:r>
              <w:rPr>
                <w:rFonts w:ascii="Arial" w:eastAsia="宋体" w:hAnsi="Arial" w:cs="Arial"/>
                <w:color w:val="262626"/>
                <w:sz w:val="18"/>
                <w:szCs w:val="18"/>
              </w:rPr>
              <w:t xml:space="preserve">, </w:t>
            </w:r>
            <w:hyperlink r:id="rId261" w:anchor="i8aaa7b4dbd2e419ca0f5c30af85a11aa_172" w:history="1">
              <w:r>
                <w:rPr>
                  <w:rStyle w:val="a5"/>
                  <w:rFonts w:ascii="Arial" w:eastAsia="宋体" w:hAnsi="Arial" w:cs="Arial"/>
                  <w:color w:val="262626"/>
                  <w:sz w:val="18"/>
                  <w:szCs w:val="18"/>
                </w:rPr>
                <w:t>44</w:t>
              </w:r>
            </w:hyperlink>
            <w:r>
              <w:rPr>
                <w:rFonts w:ascii="Arial" w:eastAsia="宋体" w:hAnsi="Arial" w:cs="Arial"/>
                <w:color w:val="262626"/>
                <w:sz w:val="18"/>
                <w:szCs w:val="18"/>
              </w:rPr>
              <w:t>-</w:t>
            </w:r>
            <w:hyperlink r:id="rId262" w:anchor="i8aaa7b4dbd2e419ca0f5c30af85a11aa_184" w:history="1">
              <w:r>
                <w:rPr>
                  <w:rStyle w:val="a5"/>
                  <w:rFonts w:ascii="Arial" w:eastAsia="宋体" w:hAnsi="Arial" w:cs="Arial"/>
                  <w:color w:val="262626"/>
                  <w:sz w:val="18"/>
                  <w:szCs w:val="18"/>
                </w:rPr>
                <w:t>47</w:t>
              </w:r>
            </w:hyperlink>
            <w:r>
              <w:rPr>
                <w:rFonts w:ascii="Arial" w:eastAsia="宋体" w:hAnsi="Arial" w:cs="Arial"/>
                <w:color w:val="262626"/>
                <w:sz w:val="18"/>
                <w:szCs w:val="18"/>
              </w:rPr>
              <w:t xml:space="preserve">, </w:t>
            </w:r>
            <w:hyperlink r:id="rId263" w:anchor="i8aaa7b4dbd2e419ca0f5c30af85a11aa_190" w:history="1">
              <w:r>
                <w:rPr>
                  <w:rStyle w:val="a5"/>
                  <w:rFonts w:ascii="Arial" w:eastAsia="宋体" w:hAnsi="Arial" w:cs="Arial"/>
                  <w:color w:val="262626"/>
                  <w:sz w:val="18"/>
                  <w:szCs w:val="18"/>
                </w:rPr>
                <w:t>47</w:t>
              </w:r>
            </w:hyperlink>
            <w:r>
              <w:rPr>
                <w:rFonts w:ascii="Arial" w:eastAsia="宋体" w:hAnsi="Arial" w:cs="Arial"/>
                <w:color w:val="262626"/>
                <w:sz w:val="18"/>
                <w:szCs w:val="18"/>
                <w:u w:val="single"/>
              </w:rPr>
              <w:t>-</w:t>
            </w:r>
            <w:hyperlink r:id="rId264" w:anchor="i8aaa7b4dbd2e419ca0f5c30af85a11aa_193" w:history="1">
              <w:r>
                <w:rPr>
                  <w:rStyle w:val="a5"/>
                  <w:rFonts w:ascii="Arial" w:eastAsia="宋体" w:hAnsi="Arial" w:cs="Arial"/>
                  <w:color w:val="262626"/>
                  <w:sz w:val="18"/>
                  <w:szCs w:val="18"/>
                </w:rPr>
                <w:t>51</w:t>
              </w:r>
            </w:hyperlink>
          </w:p>
        </w:tc>
      </w:tr>
      <w:tr w:rsidR="00960BB8" w14:paraId="5A1B40B0" w14:textId="77777777">
        <w:tc>
          <w:tcPr>
            <w:tcW w:w="0" w:type="auto"/>
            <w:gridSpan w:val="3"/>
            <w:shd w:val="clear" w:color="auto" w:fill="auto"/>
            <w:tcMar>
              <w:top w:w="0" w:type="dxa"/>
              <w:left w:w="20" w:type="dxa"/>
              <w:bottom w:w="0" w:type="dxa"/>
              <w:right w:w="20" w:type="dxa"/>
            </w:tcMar>
            <w:vAlign w:val="bottom"/>
          </w:tcPr>
          <w:p w14:paraId="5A1B40AD" w14:textId="77777777" w:rsidR="00960BB8" w:rsidRDefault="00960BB8">
            <w:pPr>
              <w:rPr>
                <w:rFonts w:ascii="宋体"/>
              </w:rPr>
            </w:pPr>
          </w:p>
        </w:tc>
        <w:tc>
          <w:tcPr>
            <w:tcW w:w="0" w:type="auto"/>
            <w:gridSpan w:val="3"/>
            <w:shd w:val="clear" w:color="auto" w:fill="auto"/>
            <w:tcMar>
              <w:top w:w="40" w:type="dxa"/>
              <w:left w:w="245" w:type="dxa"/>
              <w:bottom w:w="40" w:type="dxa"/>
              <w:right w:w="20" w:type="dxa"/>
            </w:tcMar>
            <w:vAlign w:val="center"/>
          </w:tcPr>
          <w:p w14:paraId="5A1B40AE" w14:textId="77777777" w:rsidR="00960BB8" w:rsidRDefault="00C06650">
            <w:pPr>
              <w:textAlignment w:val="center"/>
            </w:pPr>
            <w:r>
              <w:rPr>
                <w:rFonts w:ascii="Arial" w:eastAsia="宋体" w:hAnsi="Arial" w:cs="Arial"/>
                <w:color w:val="262626"/>
                <w:sz w:val="18"/>
                <w:szCs w:val="18"/>
              </w:rPr>
              <w:t>Results of operations</w:t>
            </w:r>
          </w:p>
        </w:tc>
        <w:tc>
          <w:tcPr>
            <w:tcW w:w="0" w:type="auto"/>
            <w:gridSpan w:val="3"/>
            <w:shd w:val="clear" w:color="auto" w:fill="auto"/>
            <w:tcMar>
              <w:top w:w="40" w:type="dxa"/>
              <w:left w:w="20" w:type="dxa"/>
              <w:bottom w:w="40" w:type="dxa"/>
              <w:right w:w="20" w:type="dxa"/>
            </w:tcMar>
            <w:vAlign w:val="center"/>
          </w:tcPr>
          <w:p w14:paraId="5A1B40AF" w14:textId="77777777" w:rsidR="00960BB8" w:rsidRDefault="00C06650">
            <w:pPr>
              <w:jc w:val="center"/>
              <w:textAlignment w:val="center"/>
            </w:pPr>
            <w:r>
              <w:rPr>
                <w:rFonts w:ascii="Arial" w:eastAsia="宋体" w:hAnsi="Arial" w:cs="Arial"/>
                <w:color w:val="262626"/>
                <w:sz w:val="18"/>
                <w:szCs w:val="18"/>
              </w:rPr>
              <w:t xml:space="preserve">Pages </w:t>
            </w:r>
            <w:hyperlink r:id="rId265" w:anchor="i8aaa7b4dbd2e419ca0f5c30af85a11aa_28" w:history="1">
              <w:r>
                <w:rPr>
                  <w:rStyle w:val="a5"/>
                  <w:rFonts w:ascii="Arial" w:eastAsia="宋体" w:hAnsi="Arial" w:cs="Arial"/>
                  <w:color w:val="262626"/>
                  <w:sz w:val="18"/>
                  <w:szCs w:val="18"/>
                </w:rPr>
                <w:t>5</w:t>
              </w:r>
            </w:hyperlink>
            <w:r>
              <w:rPr>
                <w:rFonts w:ascii="Arial" w:eastAsia="宋体" w:hAnsi="Arial" w:cs="Arial"/>
                <w:color w:val="262626"/>
                <w:sz w:val="18"/>
                <w:szCs w:val="18"/>
              </w:rPr>
              <w:t>-</w:t>
            </w:r>
            <w:hyperlink r:id="rId266" w:anchor="i8aaa7b4dbd2e419ca0f5c30af85a11aa_31" w:history="1">
              <w:r>
                <w:rPr>
                  <w:rStyle w:val="a5"/>
                  <w:rFonts w:ascii="Arial" w:eastAsia="宋体" w:hAnsi="Arial" w:cs="Arial"/>
                  <w:color w:val="262626"/>
                  <w:sz w:val="18"/>
                  <w:szCs w:val="18"/>
                </w:rPr>
                <w:t>6</w:t>
              </w:r>
            </w:hyperlink>
            <w:r>
              <w:rPr>
                <w:rFonts w:ascii="Arial" w:eastAsia="宋体" w:hAnsi="Arial" w:cs="Arial"/>
                <w:color w:val="262626"/>
                <w:sz w:val="18"/>
                <w:szCs w:val="18"/>
              </w:rPr>
              <w:t xml:space="preserve">, </w:t>
            </w:r>
            <w:hyperlink r:id="rId267" w:anchor="i8aaa7b4dbd2e419ca0f5c30af85a11aa_73" w:history="1">
              <w:r>
                <w:rPr>
                  <w:rStyle w:val="a5"/>
                  <w:rFonts w:ascii="Arial" w:eastAsia="宋体" w:hAnsi="Arial" w:cs="Arial"/>
                  <w:color w:val="262626"/>
                  <w:sz w:val="18"/>
                  <w:szCs w:val="18"/>
                </w:rPr>
                <w:t>19</w:t>
              </w:r>
            </w:hyperlink>
            <w:r>
              <w:rPr>
                <w:rFonts w:ascii="Arial" w:eastAsia="宋体" w:hAnsi="Arial" w:cs="Arial"/>
                <w:color w:val="262626"/>
                <w:sz w:val="18"/>
                <w:szCs w:val="18"/>
              </w:rPr>
              <w:t>-</w:t>
            </w:r>
            <w:hyperlink r:id="rId268" w:anchor="i8aaa7b4dbd2e419ca0f5c30af85a11aa_166" w:history="1">
              <w:r>
                <w:rPr>
                  <w:rStyle w:val="a5"/>
                  <w:rFonts w:ascii="Arial" w:eastAsia="宋体" w:hAnsi="Arial" w:cs="Arial"/>
                  <w:color w:val="262626"/>
                  <w:sz w:val="18"/>
                  <w:szCs w:val="18"/>
                </w:rPr>
                <w:t>44</w:t>
              </w:r>
            </w:hyperlink>
            <w:r>
              <w:rPr>
                <w:rFonts w:ascii="Arial" w:eastAsia="宋体" w:hAnsi="Arial" w:cs="Arial"/>
                <w:color w:val="262626"/>
                <w:sz w:val="18"/>
                <w:szCs w:val="18"/>
              </w:rPr>
              <w:t xml:space="preserve">, </w:t>
            </w:r>
            <w:hyperlink r:id="rId269" w:anchor="i8aaa7b4dbd2e419ca0f5c30af85a11aa_190" w:history="1">
              <w:r>
                <w:rPr>
                  <w:rStyle w:val="a5"/>
                  <w:rFonts w:ascii="Arial" w:eastAsia="宋体" w:hAnsi="Arial" w:cs="Arial"/>
                  <w:color w:val="262626"/>
                  <w:sz w:val="18"/>
                  <w:szCs w:val="18"/>
                </w:rPr>
                <w:t>47</w:t>
              </w:r>
            </w:hyperlink>
            <w:r>
              <w:rPr>
                <w:rFonts w:ascii="Arial" w:eastAsia="宋体" w:hAnsi="Arial" w:cs="Arial"/>
                <w:color w:val="262626"/>
                <w:sz w:val="18"/>
                <w:szCs w:val="18"/>
              </w:rPr>
              <w:t>-</w:t>
            </w:r>
            <w:hyperlink r:id="rId270" w:anchor="i8aaa7b4dbd2e419ca0f5c30af85a11aa_193" w:history="1">
              <w:r>
                <w:rPr>
                  <w:rStyle w:val="a5"/>
                  <w:rFonts w:ascii="Arial" w:eastAsia="宋体" w:hAnsi="Arial" w:cs="Arial"/>
                  <w:color w:val="262626"/>
                  <w:sz w:val="18"/>
                  <w:szCs w:val="18"/>
                </w:rPr>
                <w:t>51</w:t>
              </w:r>
            </w:hyperlink>
          </w:p>
        </w:tc>
      </w:tr>
      <w:tr w:rsidR="00960BB8" w14:paraId="5A1B40B4" w14:textId="77777777">
        <w:trPr>
          <w:hidden/>
        </w:trPr>
        <w:tc>
          <w:tcPr>
            <w:tcW w:w="0" w:type="auto"/>
            <w:gridSpan w:val="3"/>
            <w:shd w:val="clear" w:color="auto" w:fill="auto"/>
            <w:vAlign w:val="bottom"/>
          </w:tcPr>
          <w:p w14:paraId="5A1B40B1" w14:textId="77777777" w:rsidR="00960BB8" w:rsidRDefault="00960BB8">
            <w:pPr>
              <w:rPr>
                <w:rFonts w:ascii="宋体"/>
                <w:vanish/>
              </w:rPr>
            </w:pPr>
          </w:p>
        </w:tc>
        <w:tc>
          <w:tcPr>
            <w:tcW w:w="0" w:type="auto"/>
            <w:gridSpan w:val="3"/>
            <w:shd w:val="clear" w:color="auto" w:fill="auto"/>
            <w:vAlign w:val="bottom"/>
          </w:tcPr>
          <w:p w14:paraId="5A1B40B2" w14:textId="77777777" w:rsidR="00960BB8" w:rsidRDefault="00960BB8">
            <w:pPr>
              <w:rPr>
                <w:rFonts w:ascii="宋体"/>
                <w:vanish/>
              </w:rPr>
            </w:pPr>
          </w:p>
        </w:tc>
        <w:tc>
          <w:tcPr>
            <w:tcW w:w="0" w:type="auto"/>
            <w:gridSpan w:val="3"/>
            <w:shd w:val="clear" w:color="auto" w:fill="auto"/>
            <w:vAlign w:val="bottom"/>
          </w:tcPr>
          <w:p w14:paraId="5A1B40B3" w14:textId="77777777" w:rsidR="00960BB8" w:rsidRDefault="00960BB8">
            <w:pPr>
              <w:rPr>
                <w:rFonts w:ascii="宋体"/>
                <w:vanish/>
              </w:rPr>
            </w:pPr>
          </w:p>
        </w:tc>
      </w:tr>
      <w:tr w:rsidR="00960BB8" w14:paraId="5A1B40B8" w14:textId="77777777">
        <w:trPr>
          <w:hidden/>
        </w:trPr>
        <w:tc>
          <w:tcPr>
            <w:tcW w:w="0" w:type="auto"/>
            <w:gridSpan w:val="3"/>
            <w:shd w:val="clear" w:color="auto" w:fill="auto"/>
            <w:vAlign w:val="bottom"/>
          </w:tcPr>
          <w:p w14:paraId="5A1B40B5" w14:textId="77777777" w:rsidR="00960BB8" w:rsidRDefault="00960BB8">
            <w:pPr>
              <w:rPr>
                <w:rFonts w:ascii="宋体"/>
                <w:vanish/>
              </w:rPr>
            </w:pPr>
          </w:p>
        </w:tc>
        <w:tc>
          <w:tcPr>
            <w:tcW w:w="0" w:type="auto"/>
            <w:gridSpan w:val="3"/>
            <w:shd w:val="clear" w:color="auto" w:fill="auto"/>
            <w:vAlign w:val="bottom"/>
          </w:tcPr>
          <w:p w14:paraId="5A1B40B6" w14:textId="77777777" w:rsidR="00960BB8" w:rsidRDefault="00960BB8">
            <w:pPr>
              <w:rPr>
                <w:rFonts w:ascii="宋体"/>
                <w:vanish/>
              </w:rPr>
            </w:pPr>
          </w:p>
        </w:tc>
        <w:tc>
          <w:tcPr>
            <w:tcW w:w="0" w:type="auto"/>
            <w:gridSpan w:val="3"/>
            <w:shd w:val="clear" w:color="auto" w:fill="auto"/>
            <w:vAlign w:val="bottom"/>
          </w:tcPr>
          <w:p w14:paraId="5A1B40B7" w14:textId="77777777" w:rsidR="00960BB8" w:rsidRDefault="00960BB8">
            <w:pPr>
              <w:rPr>
                <w:rFonts w:ascii="宋体"/>
                <w:vanish/>
              </w:rPr>
            </w:pPr>
          </w:p>
        </w:tc>
      </w:tr>
      <w:tr w:rsidR="00960BB8" w14:paraId="5A1B40BC" w14:textId="77777777">
        <w:trPr>
          <w:hidden/>
        </w:trPr>
        <w:tc>
          <w:tcPr>
            <w:tcW w:w="0" w:type="auto"/>
            <w:gridSpan w:val="3"/>
            <w:shd w:val="clear" w:color="auto" w:fill="auto"/>
            <w:vAlign w:val="bottom"/>
          </w:tcPr>
          <w:p w14:paraId="5A1B40B9" w14:textId="77777777" w:rsidR="00960BB8" w:rsidRDefault="00960BB8">
            <w:pPr>
              <w:rPr>
                <w:rFonts w:ascii="宋体"/>
                <w:vanish/>
              </w:rPr>
            </w:pPr>
          </w:p>
        </w:tc>
        <w:tc>
          <w:tcPr>
            <w:tcW w:w="0" w:type="auto"/>
            <w:gridSpan w:val="3"/>
            <w:shd w:val="clear" w:color="auto" w:fill="auto"/>
            <w:vAlign w:val="bottom"/>
          </w:tcPr>
          <w:p w14:paraId="5A1B40BA" w14:textId="77777777" w:rsidR="00960BB8" w:rsidRDefault="00960BB8">
            <w:pPr>
              <w:rPr>
                <w:rFonts w:ascii="宋体"/>
                <w:vanish/>
              </w:rPr>
            </w:pPr>
          </w:p>
        </w:tc>
        <w:tc>
          <w:tcPr>
            <w:tcW w:w="0" w:type="auto"/>
            <w:gridSpan w:val="3"/>
            <w:shd w:val="clear" w:color="auto" w:fill="auto"/>
            <w:vAlign w:val="bottom"/>
          </w:tcPr>
          <w:p w14:paraId="5A1B40BB" w14:textId="77777777" w:rsidR="00960BB8" w:rsidRDefault="00960BB8">
            <w:pPr>
              <w:rPr>
                <w:rFonts w:ascii="宋体"/>
                <w:vanish/>
              </w:rPr>
            </w:pPr>
          </w:p>
        </w:tc>
      </w:tr>
      <w:tr w:rsidR="00960BB8" w14:paraId="5A1B40C0" w14:textId="77777777">
        <w:tc>
          <w:tcPr>
            <w:tcW w:w="0" w:type="auto"/>
            <w:gridSpan w:val="3"/>
            <w:shd w:val="clear" w:color="auto" w:fill="auto"/>
            <w:tcMar>
              <w:top w:w="0" w:type="dxa"/>
              <w:left w:w="20" w:type="dxa"/>
              <w:bottom w:w="0" w:type="dxa"/>
              <w:right w:w="20" w:type="dxa"/>
            </w:tcMar>
            <w:vAlign w:val="bottom"/>
          </w:tcPr>
          <w:p w14:paraId="5A1B40BD" w14:textId="77777777" w:rsidR="00960BB8" w:rsidRDefault="00960BB8">
            <w:pPr>
              <w:rPr>
                <w:rFonts w:ascii="宋体"/>
              </w:rPr>
            </w:pPr>
          </w:p>
        </w:tc>
        <w:tc>
          <w:tcPr>
            <w:tcW w:w="0" w:type="auto"/>
            <w:gridSpan w:val="3"/>
            <w:shd w:val="clear" w:color="auto" w:fill="auto"/>
            <w:tcMar>
              <w:top w:w="40" w:type="dxa"/>
              <w:left w:w="245" w:type="dxa"/>
              <w:bottom w:w="40" w:type="dxa"/>
              <w:right w:w="20" w:type="dxa"/>
            </w:tcMar>
            <w:vAlign w:val="center"/>
          </w:tcPr>
          <w:p w14:paraId="5A1B40BE" w14:textId="77777777" w:rsidR="00960BB8" w:rsidRDefault="00C06650">
            <w:pPr>
              <w:textAlignment w:val="center"/>
            </w:pPr>
            <w:r>
              <w:rPr>
                <w:rFonts w:ascii="Arial" w:eastAsia="宋体" w:hAnsi="Arial" w:cs="Arial"/>
                <w:color w:val="262626"/>
                <w:sz w:val="18"/>
                <w:szCs w:val="18"/>
              </w:rPr>
              <w:t>Critical accounting estimates</w:t>
            </w:r>
          </w:p>
        </w:tc>
        <w:tc>
          <w:tcPr>
            <w:tcW w:w="0" w:type="auto"/>
            <w:gridSpan w:val="3"/>
            <w:shd w:val="clear" w:color="auto" w:fill="auto"/>
            <w:tcMar>
              <w:top w:w="40" w:type="dxa"/>
              <w:left w:w="20" w:type="dxa"/>
              <w:bottom w:w="40" w:type="dxa"/>
              <w:right w:w="20" w:type="dxa"/>
            </w:tcMar>
            <w:vAlign w:val="center"/>
          </w:tcPr>
          <w:p w14:paraId="5A1B40BF" w14:textId="77777777" w:rsidR="00960BB8" w:rsidRDefault="00C06650">
            <w:pPr>
              <w:jc w:val="center"/>
              <w:textAlignment w:val="center"/>
            </w:pPr>
            <w:r>
              <w:rPr>
                <w:rFonts w:ascii="Arial" w:eastAsia="宋体" w:hAnsi="Arial" w:cs="Arial"/>
                <w:color w:val="262626"/>
                <w:sz w:val="18"/>
                <w:szCs w:val="18"/>
              </w:rPr>
              <w:t xml:space="preserve">Pages </w:t>
            </w:r>
            <w:hyperlink r:id="rId271" w:anchor="i8aaa7b4dbd2e419ca0f5c30af85a11aa_184" w:history="1">
              <w:r>
                <w:rPr>
                  <w:rStyle w:val="a5"/>
                  <w:rFonts w:ascii="Arial" w:eastAsia="宋体" w:hAnsi="Arial" w:cs="Arial"/>
                  <w:sz w:val="18"/>
                  <w:szCs w:val="18"/>
                </w:rPr>
                <w:t>47</w:t>
              </w:r>
            </w:hyperlink>
            <w:r>
              <w:rPr>
                <w:rFonts w:ascii="Arial" w:eastAsia="宋体" w:hAnsi="Arial" w:cs="Arial"/>
                <w:color w:val="262626"/>
                <w:sz w:val="18"/>
                <w:szCs w:val="18"/>
              </w:rPr>
              <w:t xml:space="preserve">, </w:t>
            </w:r>
            <w:hyperlink r:id="rId272" w:anchor="i8aaa7b4dbd2e419ca0f5c30af85a11aa_280" w:history="1">
              <w:r>
                <w:rPr>
                  <w:rStyle w:val="a5"/>
                  <w:rFonts w:ascii="Arial" w:eastAsia="宋体" w:hAnsi="Arial" w:cs="Arial"/>
                  <w:sz w:val="18"/>
                  <w:szCs w:val="18"/>
                </w:rPr>
                <w:t>81-87</w:t>
              </w:r>
            </w:hyperlink>
          </w:p>
        </w:tc>
      </w:tr>
      <w:tr w:rsidR="00960BB8" w14:paraId="5A1B40C4" w14:textId="77777777">
        <w:tc>
          <w:tcPr>
            <w:tcW w:w="0" w:type="auto"/>
            <w:gridSpan w:val="3"/>
            <w:shd w:val="clear" w:color="auto" w:fill="auto"/>
            <w:tcMar>
              <w:top w:w="40" w:type="dxa"/>
              <w:left w:w="20" w:type="dxa"/>
              <w:bottom w:w="40" w:type="dxa"/>
              <w:right w:w="20" w:type="dxa"/>
            </w:tcMar>
            <w:vAlign w:val="center"/>
          </w:tcPr>
          <w:p w14:paraId="5A1B40C1" w14:textId="77777777" w:rsidR="00960BB8" w:rsidRDefault="00C06650">
            <w:pPr>
              <w:textAlignment w:val="center"/>
            </w:pPr>
            <w:r>
              <w:rPr>
                <w:rFonts w:ascii="Arial" w:eastAsia="宋体" w:hAnsi="Arial" w:cs="Arial"/>
                <w:color w:val="262626"/>
                <w:sz w:val="18"/>
                <w:szCs w:val="18"/>
              </w:rPr>
              <w:t>Item 7A.</w:t>
            </w:r>
          </w:p>
        </w:tc>
        <w:tc>
          <w:tcPr>
            <w:tcW w:w="0" w:type="auto"/>
            <w:gridSpan w:val="3"/>
            <w:shd w:val="clear" w:color="auto" w:fill="auto"/>
            <w:tcMar>
              <w:top w:w="40" w:type="dxa"/>
              <w:left w:w="20" w:type="dxa"/>
              <w:bottom w:w="40" w:type="dxa"/>
              <w:right w:w="20" w:type="dxa"/>
            </w:tcMar>
            <w:vAlign w:val="center"/>
          </w:tcPr>
          <w:p w14:paraId="5A1B40C2" w14:textId="77777777" w:rsidR="00960BB8" w:rsidRDefault="00C06650">
            <w:pPr>
              <w:textAlignment w:val="center"/>
            </w:pPr>
            <w:r>
              <w:rPr>
                <w:rFonts w:ascii="Arial" w:eastAsia="宋体" w:hAnsi="Arial" w:cs="Arial"/>
                <w:color w:val="262626"/>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5A1B40C3" w14:textId="77777777" w:rsidR="00960BB8" w:rsidRDefault="00C06650">
            <w:pPr>
              <w:jc w:val="center"/>
              <w:textAlignment w:val="center"/>
            </w:pPr>
            <w:r>
              <w:rPr>
                <w:rFonts w:ascii="Arial" w:eastAsia="宋体" w:hAnsi="Arial" w:cs="Arial"/>
                <w:color w:val="262626"/>
                <w:sz w:val="18"/>
                <w:szCs w:val="18"/>
              </w:rPr>
              <w:t xml:space="preserve">Page </w:t>
            </w:r>
            <w:hyperlink r:id="rId273" w:anchor="i8aaa7b4dbd2e419ca0f5c30af85a11aa_211" w:history="1">
              <w:r>
                <w:rPr>
                  <w:rStyle w:val="a5"/>
                  <w:rFonts w:ascii="Arial" w:eastAsia="宋体" w:hAnsi="Arial" w:cs="Arial"/>
                  <w:color w:val="262626"/>
                  <w:sz w:val="18"/>
                  <w:szCs w:val="18"/>
                </w:rPr>
                <w:t>52</w:t>
              </w:r>
            </w:hyperlink>
          </w:p>
        </w:tc>
      </w:tr>
      <w:tr w:rsidR="00960BB8" w14:paraId="5A1B40C8" w14:textId="77777777">
        <w:tc>
          <w:tcPr>
            <w:tcW w:w="0" w:type="auto"/>
            <w:gridSpan w:val="3"/>
            <w:shd w:val="clear" w:color="auto" w:fill="auto"/>
            <w:tcMar>
              <w:top w:w="40" w:type="dxa"/>
              <w:left w:w="20" w:type="dxa"/>
              <w:bottom w:w="40" w:type="dxa"/>
              <w:right w:w="20" w:type="dxa"/>
            </w:tcMar>
            <w:vAlign w:val="center"/>
          </w:tcPr>
          <w:p w14:paraId="5A1B40C5" w14:textId="77777777" w:rsidR="00960BB8" w:rsidRDefault="00C06650">
            <w:pPr>
              <w:textAlignment w:val="center"/>
            </w:pPr>
            <w:r>
              <w:rPr>
                <w:rFonts w:ascii="Arial" w:eastAsia="宋体" w:hAnsi="Arial" w:cs="Arial"/>
                <w:color w:val="262626"/>
                <w:sz w:val="18"/>
                <w:szCs w:val="18"/>
              </w:rPr>
              <w:t>Item 8.</w:t>
            </w:r>
          </w:p>
        </w:tc>
        <w:tc>
          <w:tcPr>
            <w:tcW w:w="0" w:type="auto"/>
            <w:gridSpan w:val="3"/>
            <w:shd w:val="clear" w:color="auto" w:fill="auto"/>
            <w:tcMar>
              <w:top w:w="40" w:type="dxa"/>
              <w:left w:w="20" w:type="dxa"/>
              <w:bottom w:w="40" w:type="dxa"/>
              <w:right w:w="20" w:type="dxa"/>
            </w:tcMar>
            <w:vAlign w:val="center"/>
          </w:tcPr>
          <w:p w14:paraId="5A1B40C6" w14:textId="77777777" w:rsidR="00960BB8" w:rsidRDefault="00C06650">
            <w:pPr>
              <w:textAlignment w:val="center"/>
            </w:pPr>
            <w:r>
              <w:rPr>
                <w:rFonts w:ascii="Arial" w:eastAsia="宋体" w:hAnsi="Arial" w:cs="Arial"/>
                <w:color w:val="262626"/>
                <w:sz w:val="18"/>
                <w:szCs w:val="18"/>
              </w:rPr>
              <w:t xml:space="preserve">Financial Statements and Supplementary Data </w:t>
            </w:r>
          </w:p>
        </w:tc>
        <w:tc>
          <w:tcPr>
            <w:tcW w:w="0" w:type="auto"/>
            <w:gridSpan w:val="3"/>
            <w:shd w:val="clear" w:color="auto" w:fill="auto"/>
            <w:tcMar>
              <w:top w:w="40" w:type="dxa"/>
              <w:left w:w="20" w:type="dxa"/>
              <w:bottom w:w="40" w:type="dxa"/>
              <w:right w:w="20" w:type="dxa"/>
            </w:tcMar>
            <w:vAlign w:val="center"/>
          </w:tcPr>
          <w:p w14:paraId="5A1B40C7" w14:textId="77777777" w:rsidR="00960BB8" w:rsidRDefault="00C06650">
            <w:pPr>
              <w:jc w:val="center"/>
              <w:textAlignment w:val="center"/>
            </w:pPr>
            <w:r>
              <w:rPr>
                <w:rFonts w:ascii="Arial" w:eastAsia="宋体" w:hAnsi="Arial" w:cs="Arial"/>
                <w:color w:val="262626"/>
                <w:sz w:val="18"/>
                <w:szCs w:val="18"/>
              </w:rPr>
              <w:t xml:space="preserve">Pages </w:t>
            </w:r>
            <w:hyperlink r:id="rId274" w:anchor="i8aaa7b4dbd2e419ca0f5c30af85a11aa_241" w:history="1">
              <w:r>
                <w:rPr>
                  <w:rStyle w:val="a5"/>
                  <w:rFonts w:ascii="Arial" w:eastAsia="宋体" w:hAnsi="Arial" w:cs="Arial"/>
                  <w:color w:val="262626"/>
                  <w:sz w:val="18"/>
                  <w:szCs w:val="18"/>
                </w:rPr>
                <w:t>72</w:t>
              </w:r>
            </w:hyperlink>
            <w:r>
              <w:rPr>
                <w:rFonts w:ascii="Arial" w:eastAsia="宋体" w:hAnsi="Arial" w:cs="Arial"/>
                <w:color w:val="262626"/>
                <w:sz w:val="18"/>
                <w:szCs w:val="18"/>
              </w:rPr>
              <w:t>-</w:t>
            </w:r>
            <w:hyperlink r:id="rId275" w:anchor="i8aaa7b4dbd2e419ca0f5c30af85a11aa_466" w:history="1">
              <w:r>
                <w:rPr>
                  <w:rStyle w:val="a5"/>
                  <w:rFonts w:ascii="Arial" w:eastAsia="宋体" w:hAnsi="Arial" w:cs="Arial"/>
                  <w:color w:val="262626"/>
                  <w:sz w:val="18"/>
                  <w:szCs w:val="18"/>
                </w:rPr>
                <w:t>117</w:t>
              </w:r>
            </w:hyperlink>
          </w:p>
        </w:tc>
      </w:tr>
      <w:tr w:rsidR="00960BB8" w14:paraId="5A1B40CC" w14:textId="77777777">
        <w:tc>
          <w:tcPr>
            <w:tcW w:w="0" w:type="auto"/>
            <w:gridSpan w:val="3"/>
            <w:shd w:val="clear" w:color="auto" w:fill="auto"/>
            <w:tcMar>
              <w:top w:w="40" w:type="dxa"/>
              <w:left w:w="20" w:type="dxa"/>
              <w:bottom w:w="40" w:type="dxa"/>
              <w:right w:w="20" w:type="dxa"/>
            </w:tcMar>
            <w:vAlign w:val="center"/>
          </w:tcPr>
          <w:p w14:paraId="5A1B40C9" w14:textId="77777777" w:rsidR="00960BB8" w:rsidRDefault="00C06650">
            <w:pPr>
              <w:textAlignment w:val="center"/>
            </w:pPr>
            <w:r>
              <w:rPr>
                <w:rFonts w:ascii="Arial" w:eastAsia="宋体" w:hAnsi="Arial" w:cs="Arial"/>
                <w:color w:val="262626"/>
                <w:sz w:val="18"/>
                <w:szCs w:val="18"/>
              </w:rPr>
              <w:t>Item 9.</w:t>
            </w:r>
          </w:p>
        </w:tc>
        <w:tc>
          <w:tcPr>
            <w:tcW w:w="0" w:type="auto"/>
            <w:gridSpan w:val="3"/>
            <w:shd w:val="clear" w:color="auto" w:fill="auto"/>
            <w:tcMar>
              <w:top w:w="40" w:type="dxa"/>
              <w:left w:w="20" w:type="dxa"/>
              <w:bottom w:w="40" w:type="dxa"/>
              <w:right w:w="20" w:type="dxa"/>
            </w:tcMar>
            <w:vAlign w:val="center"/>
          </w:tcPr>
          <w:p w14:paraId="5A1B40CA" w14:textId="77777777" w:rsidR="00960BB8" w:rsidRDefault="00C06650">
            <w:pPr>
              <w:textAlignment w:val="center"/>
            </w:pPr>
            <w:r>
              <w:rPr>
                <w:rFonts w:ascii="Arial" w:eastAsia="宋体" w:hAnsi="Arial" w:cs="Arial"/>
                <w:color w:val="262626"/>
                <w:sz w:val="18"/>
                <w:szCs w:val="18"/>
              </w:rPr>
              <w:t>Changes in and Disagreements with Accountants on Accounting and Financial Disclosure</w:t>
            </w:r>
          </w:p>
        </w:tc>
        <w:tc>
          <w:tcPr>
            <w:tcW w:w="0" w:type="auto"/>
            <w:gridSpan w:val="3"/>
            <w:shd w:val="clear" w:color="auto" w:fill="auto"/>
            <w:tcMar>
              <w:top w:w="40" w:type="dxa"/>
              <w:left w:w="20" w:type="dxa"/>
              <w:bottom w:w="40" w:type="dxa"/>
              <w:right w:w="20" w:type="dxa"/>
            </w:tcMar>
            <w:vAlign w:val="center"/>
          </w:tcPr>
          <w:p w14:paraId="5A1B40CB" w14:textId="77777777" w:rsidR="00960BB8" w:rsidRDefault="00C06650">
            <w:pPr>
              <w:jc w:val="center"/>
              <w:textAlignment w:val="center"/>
            </w:pPr>
            <w:r>
              <w:rPr>
                <w:rFonts w:ascii="Arial" w:eastAsia="宋体" w:hAnsi="Arial" w:cs="Arial"/>
                <w:color w:val="262626"/>
                <w:sz w:val="18"/>
                <w:szCs w:val="18"/>
              </w:rPr>
              <w:t>Not applicable</w:t>
            </w:r>
          </w:p>
        </w:tc>
      </w:tr>
      <w:tr w:rsidR="00960BB8" w14:paraId="5A1B40D0" w14:textId="77777777">
        <w:tc>
          <w:tcPr>
            <w:tcW w:w="0" w:type="auto"/>
            <w:gridSpan w:val="3"/>
            <w:shd w:val="clear" w:color="auto" w:fill="auto"/>
            <w:tcMar>
              <w:top w:w="40" w:type="dxa"/>
              <w:left w:w="20" w:type="dxa"/>
              <w:bottom w:w="40" w:type="dxa"/>
              <w:right w:w="20" w:type="dxa"/>
            </w:tcMar>
            <w:vAlign w:val="center"/>
          </w:tcPr>
          <w:p w14:paraId="5A1B40CD" w14:textId="77777777" w:rsidR="00960BB8" w:rsidRDefault="00C06650">
            <w:pPr>
              <w:textAlignment w:val="center"/>
            </w:pPr>
            <w:r>
              <w:rPr>
                <w:rFonts w:ascii="Arial" w:eastAsia="宋体" w:hAnsi="Arial" w:cs="Arial"/>
                <w:color w:val="262626"/>
                <w:sz w:val="18"/>
                <w:szCs w:val="18"/>
              </w:rPr>
              <w:t>Item 9A.</w:t>
            </w:r>
          </w:p>
        </w:tc>
        <w:tc>
          <w:tcPr>
            <w:tcW w:w="0" w:type="auto"/>
            <w:gridSpan w:val="3"/>
            <w:shd w:val="clear" w:color="auto" w:fill="auto"/>
            <w:tcMar>
              <w:top w:w="40" w:type="dxa"/>
              <w:left w:w="20" w:type="dxa"/>
              <w:bottom w:w="40" w:type="dxa"/>
              <w:right w:w="20" w:type="dxa"/>
            </w:tcMar>
            <w:vAlign w:val="center"/>
          </w:tcPr>
          <w:p w14:paraId="5A1B40CE" w14:textId="77777777" w:rsidR="00960BB8" w:rsidRDefault="00C06650">
            <w:pPr>
              <w:textAlignment w:val="center"/>
            </w:pPr>
            <w:r>
              <w:rPr>
                <w:rFonts w:ascii="Arial" w:eastAsia="宋体" w:hAnsi="Arial" w:cs="Arial"/>
                <w:color w:val="262626"/>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5A1B40CF" w14:textId="77777777" w:rsidR="00960BB8" w:rsidRDefault="00C06650">
            <w:pPr>
              <w:jc w:val="center"/>
              <w:textAlignment w:val="center"/>
            </w:pPr>
            <w:r>
              <w:rPr>
                <w:rFonts w:ascii="Arial" w:eastAsia="宋体" w:hAnsi="Arial" w:cs="Arial"/>
                <w:color w:val="262626"/>
                <w:sz w:val="18"/>
                <w:szCs w:val="18"/>
              </w:rPr>
              <w:t xml:space="preserve">Page </w:t>
            </w:r>
            <w:hyperlink r:id="rId276" w:anchor="i8aaa7b4dbd2e419ca0f5c30af85a11aa_472" w:history="1">
              <w:r>
                <w:rPr>
                  <w:rStyle w:val="a5"/>
                  <w:rFonts w:ascii="Arial" w:eastAsia="宋体" w:hAnsi="Arial" w:cs="Arial"/>
                  <w:color w:val="262626"/>
                  <w:sz w:val="18"/>
                  <w:szCs w:val="18"/>
                </w:rPr>
                <w:t>118</w:t>
              </w:r>
            </w:hyperlink>
          </w:p>
        </w:tc>
      </w:tr>
      <w:tr w:rsidR="00960BB8" w14:paraId="5A1B40D4" w14:textId="77777777">
        <w:tc>
          <w:tcPr>
            <w:tcW w:w="0" w:type="auto"/>
            <w:gridSpan w:val="3"/>
            <w:shd w:val="clear" w:color="auto" w:fill="auto"/>
            <w:tcMar>
              <w:top w:w="40" w:type="dxa"/>
              <w:left w:w="20" w:type="dxa"/>
              <w:bottom w:w="40" w:type="dxa"/>
              <w:right w:w="20" w:type="dxa"/>
            </w:tcMar>
            <w:vAlign w:val="center"/>
          </w:tcPr>
          <w:p w14:paraId="5A1B40D1" w14:textId="77777777" w:rsidR="00960BB8" w:rsidRDefault="00C06650">
            <w:pPr>
              <w:textAlignment w:val="center"/>
            </w:pPr>
            <w:r>
              <w:rPr>
                <w:rFonts w:ascii="Arial" w:eastAsia="宋体" w:hAnsi="Arial" w:cs="Arial"/>
                <w:color w:val="262626"/>
                <w:sz w:val="18"/>
                <w:szCs w:val="18"/>
              </w:rPr>
              <w:t>Item 9B.</w:t>
            </w:r>
          </w:p>
        </w:tc>
        <w:tc>
          <w:tcPr>
            <w:tcW w:w="0" w:type="auto"/>
            <w:gridSpan w:val="3"/>
            <w:shd w:val="clear" w:color="auto" w:fill="auto"/>
            <w:tcMar>
              <w:top w:w="40" w:type="dxa"/>
              <w:left w:w="20" w:type="dxa"/>
              <w:bottom w:w="40" w:type="dxa"/>
              <w:right w:w="20" w:type="dxa"/>
            </w:tcMar>
            <w:vAlign w:val="center"/>
          </w:tcPr>
          <w:p w14:paraId="5A1B40D2" w14:textId="77777777" w:rsidR="00960BB8" w:rsidRDefault="00C06650">
            <w:pPr>
              <w:textAlignment w:val="center"/>
            </w:pPr>
            <w:r>
              <w:rPr>
                <w:rFonts w:ascii="Arial" w:eastAsia="宋体" w:hAnsi="Arial" w:cs="Arial"/>
                <w:color w:val="262626"/>
                <w:sz w:val="18"/>
                <w:szCs w:val="18"/>
              </w:rPr>
              <w:t>Other Information</w:t>
            </w:r>
          </w:p>
        </w:tc>
        <w:tc>
          <w:tcPr>
            <w:tcW w:w="0" w:type="auto"/>
            <w:gridSpan w:val="3"/>
            <w:shd w:val="clear" w:color="auto" w:fill="auto"/>
            <w:tcMar>
              <w:top w:w="0" w:type="dxa"/>
              <w:left w:w="20" w:type="dxa"/>
              <w:bottom w:w="0" w:type="dxa"/>
              <w:right w:w="20" w:type="dxa"/>
            </w:tcMar>
            <w:vAlign w:val="bottom"/>
          </w:tcPr>
          <w:p w14:paraId="5A1B40D3" w14:textId="77777777" w:rsidR="00960BB8" w:rsidRDefault="00960BB8">
            <w:pPr>
              <w:rPr>
                <w:rFonts w:ascii="宋体"/>
              </w:rPr>
            </w:pPr>
          </w:p>
        </w:tc>
      </w:tr>
      <w:tr w:rsidR="00960BB8" w14:paraId="5A1B40D8" w14:textId="77777777">
        <w:tc>
          <w:tcPr>
            <w:tcW w:w="0" w:type="auto"/>
            <w:gridSpan w:val="3"/>
            <w:shd w:val="clear" w:color="auto" w:fill="auto"/>
            <w:tcMar>
              <w:top w:w="0" w:type="dxa"/>
              <w:left w:w="20" w:type="dxa"/>
              <w:bottom w:w="0" w:type="dxa"/>
              <w:right w:w="20" w:type="dxa"/>
            </w:tcMar>
            <w:vAlign w:val="bottom"/>
          </w:tcPr>
          <w:p w14:paraId="5A1B40D5" w14:textId="77777777" w:rsidR="00960BB8" w:rsidRDefault="00960BB8">
            <w:pPr>
              <w:rPr>
                <w:rFonts w:ascii="宋体"/>
              </w:rPr>
            </w:pPr>
          </w:p>
        </w:tc>
        <w:tc>
          <w:tcPr>
            <w:tcW w:w="0" w:type="auto"/>
            <w:gridSpan w:val="3"/>
            <w:shd w:val="clear" w:color="auto" w:fill="auto"/>
            <w:tcMar>
              <w:top w:w="40" w:type="dxa"/>
              <w:left w:w="260" w:type="dxa"/>
              <w:bottom w:w="40" w:type="dxa"/>
              <w:right w:w="20" w:type="dxa"/>
            </w:tcMar>
            <w:vAlign w:val="bottom"/>
          </w:tcPr>
          <w:p w14:paraId="5A1B40D6" w14:textId="77777777" w:rsidR="00960BB8" w:rsidRDefault="00C06650">
            <w:pPr>
              <w:textAlignment w:val="bottom"/>
            </w:pPr>
            <w:r>
              <w:rPr>
                <w:rFonts w:ascii="Arial" w:eastAsia="宋体" w:hAnsi="Arial" w:cs="Arial"/>
                <w:color w:val="262626"/>
                <w:sz w:val="18"/>
                <w:szCs w:val="18"/>
              </w:rPr>
              <w:t>Disclosure Pursuant to Section 13(r) of the Securities Exchange Act of 1934</w:t>
            </w:r>
          </w:p>
        </w:tc>
        <w:tc>
          <w:tcPr>
            <w:tcW w:w="0" w:type="auto"/>
            <w:gridSpan w:val="3"/>
            <w:shd w:val="clear" w:color="auto" w:fill="auto"/>
            <w:tcMar>
              <w:top w:w="40" w:type="dxa"/>
              <w:left w:w="20" w:type="dxa"/>
              <w:bottom w:w="40" w:type="dxa"/>
              <w:right w:w="20" w:type="dxa"/>
            </w:tcMar>
            <w:vAlign w:val="center"/>
          </w:tcPr>
          <w:p w14:paraId="5A1B40D7" w14:textId="77777777" w:rsidR="00960BB8" w:rsidRDefault="00C06650">
            <w:pPr>
              <w:jc w:val="center"/>
              <w:textAlignment w:val="center"/>
            </w:pPr>
            <w:r>
              <w:rPr>
                <w:rFonts w:ascii="Arial" w:eastAsia="宋体" w:hAnsi="Arial" w:cs="Arial"/>
                <w:color w:val="262626"/>
                <w:sz w:val="18"/>
                <w:szCs w:val="18"/>
              </w:rPr>
              <w:t xml:space="preserve">Page </w:t>
            </w:r>
            <w:hyperlink r:id="rId277" w:anchor="i8aaa7b4dbd2e419ca0f5c30af85a11aa_238" w:history="1">
              <w:r>
                <w:rPr>
                  <w:rStyle w:val="a5"/>
                  <w:rFonts w:ascii="Arial" w:eastAsia="宋体" w:hAnsi="Arial" w:cs="Arial"/>
                  <w:color w:val="262626"/>
                  <w:sz w:val="18"/>
                  <w:szCs w:val="18"/>
                </w:rPr>
                <w:t>71</w:t>
              </w:r>
            </w:hyperlink>
          </w:p>
        </w:tc>
      </w:tr>
      <w:tr w:rsidR="00960BB8" w14:paraId="5A1B40DC" w14:textId="77777777">
        <w:tc>
          <w:tcPr>
            <w:tcW w:w="0" w:type="auto"/>
            <w:gridSpan w:val="3"/>
            <w:shd w:val="clear" w:color="auto" w:fill="auto"/>
            <w:tcMar>
              <w:top w:w="40" w:type="dxa"/>
              <w:left w:w="20" w:type="dxa"/>
              <w:bottom w:w="40" w:type="dxa"/>
              <w:right w:w="20" w:type="dxa"/>
            </w:tcMar>
            <w:vAlign w:val="center"/>
          </w:tcPr>
          <w:p w14:paraId="5A1B40D9" w14:textId="77777777" w:rsidR="00960BB8" w:rsidRDefault="00C06650">
            <w:pPr>
              <w:textAlignment w:val="center"/>
            </w:pPr>
            <w:r>
              <w:rPr>
                <w:rFonts w:ascii="Arial" w:eastAsia="宋体" w:hAnsi="Arial" w:cs="Arial"/>
                <w:color w:val="262626"/>
                <w:sz w:val="18"/>
                <w:szCs w:val="18"/>
              </w:rPr>
              <w:t>Item 9C.</w:t>
            </w:r>
          </w:p>
        </w:tc>
        <w:tc>
          <w:tcPr>
            <w:tcW w:w="0" w:type="auto"/>
            <w:gridSpan w:val="3"/>
            <w:shd w:val="clear" w:color="auto" w:fill="auto"/>
            <w:tcMar>
              <w:top w:w="40" w:type="dxa"/>
              <w:left w:w="20" w:type="dxa"/>
              <w:bottom w:w="40" w:type="dxa"/>
              <w:right w:w="20" w:type="dxa"/>
            </w:tcMar>
            <w:vAlign w:val="center"/>
          </w:tcPr>
          <w:p w14:paraId="5A1B40DA" w14:textId="77777777" w:rsidR="00960BB8" w:rsidRDefault="00C06650">
            <w:pPr>
              <w:textAlignment w:val="center"/>
            </w:pPr>
            <w:r>
              <w:rPr>
                <w:rFonts w:ascii="Arial" w:eastAsia="宋体" w:hAnsi="Arial" w:cs="Arial"/>
                <w:color w:val="262626"/>
                <w:sz w:val="18"/>
                <w:szCs w:val="18"/>
              </w:rPr>
              <w:t>Disclosure Regarding Foreign Jurisdictions that Prevent Inspections</w:t>
            </w:r>
          </w:p>
        </w:tc>
        <w:tc>
          <w:tcPr>
            <w:tcW w:w="0" w:type="auto"/>
            <w:gridSpan w:val="3"/>
            <w:shd w:val="clear" w:color="auto" w:fill="auto"/>
            <w:tcMar>
              <w:top w:w="40" w:type="dxa"/>
              <w:left w:w="20" w:type="dxa"/>
              <w:bottom w:w="40" w:type="dxa"/>
              <w:right w:w="20" w:type="dxa"/>
            </w:tcMar>
            <w:vAlign w:val="center"/>
          </w:tcPr>
          <w:p w14:paraId="5A1B40DB" w14:textId="77777777" w:rsidR="00960BB8" w:rsidRDefault="00C06650">
            <w:pPr>
              <w:jc w:val="center"/>
              <w:textAlignment w:val="center"/>
            </w:pPr>
            <w:r>
              <w:rPr>
                <w:rFonts w:ascii="Arial" w:eastAsia="宋体" w:hAnsi="Arial" w:cs="Arial"/>
                <w:color w:val="262626"/>
                <w:sz w:val="18"/>
                <w:szCs w:val="18"/>
              </w:rPr>
              <w:t xml:space="preserve">Not </w:t>
            </w:r>
            <w:r>
              <w:rPr>
                <w:rFonts w:ascii="Arial" w:eastAsia="宋体" w:hAnsi="Arial" w:cs="Arial"/>
                <w:color w:val="262626"/>
                <w:sz w:val="18"/>
                <w:szCs w:val="18"/>
              </w:rPr>
              <w:t>applicable</w:t>
            </w:r>
          </w:p>
        </w:tc>
      </w:tr>
      <w:tr w:rsidR="00960BB8" w14:paraId="5A1B40E0"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0DD"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0DE"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0DF" w14:textId="77777777" w:rsidR="00960BB8" w:rsidRDefault="00960BB8">
            <w:pPr>
              <w:rPr>
                <w:rFonts w:ascii="宋体"/>
              </w:rPr>
            </w:pPr>
          </w:p>
        </w:tc>
      </w:tr>
      <w:tr w:rsidR="00960BB8" w14:paraId="5A1B40E4" w14:textId="77777777">
        <w:tc>
          <w:tcPr>
            <w:tcW w:w="0" w:type="auto"/>
            <w:gridSpan w:val="3"/>
            <w:shd w:val="clear" w:color="auto" w:fill="auto"/>
            <w:tcMar>
              <w:top w:w="40" w:type="dxa"/>
              <w:left w:w="20" w:type="dxa"/>
              <w:bottom w:w="40" w:type="dxa"/>
              <w:right w:w="20" w:type="dxa"/>
            </w:tcMar>
            <w:vAlign w:val="center"/>
          </w:tcPr>
          <w:p w14:paraId="5A1B40E1" w14:textId="77777777" w:rsidR="00960BB8" w:rsidRDefault="00C06650">
            <w:pPr>
              <w:textAlignment w:val="center"/>
            </w:pPr>
            <w:r>
              <w:rPr>
                <w:rFonts w:ascii="Arial" w:eastAsia="宋体" w:hAnsi="Arial" w:cs="Arial"/>
                <w:color w:val="0068B5"/>
                <w:sz w:val="18"/>
                <w:szCs w:val="18"/>
              </w:rPr>
              <w:t>Part III</w:t>
            </w:r>
          </w:p>
        </w:tc>
        <w:tc>
          <w:tcPr>
            <w:tcW w:w="0" w:type="auto"/>
            <w:gridSpan w:val="3"/>
            <w:shd w:val="clear" w:color="auto" w:fill="auto"/>
            <w:tcMar>
              <w:top w:w="0" w:type="dxa"/>
              <w:left w:w="20" w:type="dxa"/>
              <w:bottom w:w="0" w:type="dxa"/>
              <w:right w:w="20" w:type="dxa"/>
            </w:tcMar>
            <w:vAlign w:val="bottom"/>
          </w:tcPr>
          <w:p w14:paraId="5A1B40E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0E3" w14:textId="77777777" w:rsidR="00960BB8" w:rsidRDefault="00960BB8">
            <w:pPr>
              <w:rPr>
                <w:rFonts w:ascii="宋体"/>
              </w:rPr>
            </w:pPr>
          </w:p>
        </w:tc>
      </w:tr>
      <w:tr w:rsidR="00960BB8" w14:paraId="5A1B40E8" w14:textId="77777777">
        <w:tc>
          <w:tcPr>
            <w:tcW w:w="0" w:type="auto"/>
            <w:gridSpan w:val="3"/>
            <w:shd w:val="clear" w:color="auto" w:fill="auto"/>
            <w:tcMar>
              <w:top w:w="40" w:type="dxa"/>
              <w:left w:w="20" w:type="dxa"/>
              <w:bottom w:w="40" w:type="dxa"/>
              <w:right w:w="20" w:type="dxa"/>
            </w:tcMar>
            <w:vAlign w:val="center"/>
          </w:tcPr>
          <w:p w14:paraId="5A1B40E5" w14:textId="77777777" w:rsidR="00960BB8" w:rsidRDefault="00C06650">
            <w:pPr>
              <w:textAlignment w:val="center"/>
            </w:pPr>
            <w:r>
              <w:rPr>
                <w:rFonts w:ascii="Arial" w:eastAsia="宋体" w:hAnsi="Arial" w:cs="Arial"/>
                <w:color w:val="262626"/>
                <w:sz w:val="18"/>
                <w:szCs w:val="18"/>
              </w:rPr>
              <w:t>Item 10.</w:t>
            </w:r>
          </w:p>
        </w:tc>
        <w:tc>
          <w:tcPr>
            <w:tcW w:w="0" w:type="auto"/>
            <w:gridSpan w:val="3"/>
            <w:shd w:val="clear" w:color="auto" w:fill="auto"/>
            <w:tcMar>
              <w:top w:w="40" w:type="dxa"/>
              <w:left w:w="20" w:type="dxa"/>
              <w:bottom w:w="40" w:type="dxa"/>
              <w:right w:w="20" w:type="dxa"/>
            </w:tcMar>
            <w:vAlign w:val="center"/>
          </w:tcPr>
          <w:p w14:paraId="5A1B40E6" w14:textId="77777777" w:rsidR="00960BB8" w:rsidRDefault="00C06650">
            <w:pPr>
              <w:textAlignment w:val="center"/>
            </w:pPr>
            <w:r>
              <w:rPr>
                <w:rFonts w:ascii="Arial" w:eastAsia="宋体" w:hAnsi="Arial" w:cs="Arial"/>
                <w:color w:val="262626"/>
                <w:sz w:val="18"/>
                <w:szCs w:val="18"/>
              </w:rPr>
              <w:t>Directors, Executive Officers, and Corporate Governance</w:t>
            </w:r>
          </w:p>
        </w:tc>
        <w:tc>
          <w:tcPr>
            <w:tcW w:w="0" w:type="auto"/>
            <w:gridSpan w:val="3"/>
            <w:shd w:val="clear" w:color="auto" w:fill="auto"/>
            <w:tcMar>
              <w:top w:w="40" w:type="dxa"/>
              <w:left w:w="20" w:type="dxa"/>
              <w:bottom w:w="40" w:type="dxa"/>
              <w:right w:w="20" w:type="dxa"/>
            </w:tcMar>
            <w:vAlign w:val="center"/>
          </w:tcPr>
          <w:p w14:paraId="5A1B40E7" w14:textId="77777777" w:rsidR="00960BB8" w:rsidRDefault="00C06650">
            <w:pPr>
              <w:jc w:val="center"/>
              <w:textAlignment w:val="center"/>
            </w:pPr>
            <w:r>
              <w:rPr>
                <w:rFonts w:ascii="Arial" w:eastAsia="宋体" w:hAnsi="Arial" w:cs="Arial"/>
                <w:color w:val="262626"/>
                <w:sz w:val="18"/>
                <w:szCs w:val="18"/>
              </w:rPr>
              <w:t xml:space="preserve">Page </w:t>
            </w:r>
            <w:hyperlink r:id="rId278" w:anchor="i8aaa7b4dbd2e419ca0f5c30af85a11aa_232" w:history="1">
              <w:r>
                <w:rPr>
                  <w:rStyle w:val="a5"/>
                  <w:rFonts w:ascii="Arial" w:eastAsia="宋体" w:hAnsi="Arial" w:cs="Arial"/>
                  <w:color w:val="262626"/>
                  <w:sz w:val="18"/>
                  <w:szCs w:val="18"/>
                </w:rPr>
                <w:t>70</w:t>
              </w:r>
            </w:hyperlink>
            <w:r>
              <w:rPr>
                <w:rFonts w:ascii="Arial" w:eastAsia="宋体" w:hAnsi="Arial" w:cs="Arial"/>
                <w:color w:val="262626"/>
                <w:sz w:val="18"/>
                <w:szCs w:val="18"/>
              </w:rPr>
              <w:t>, (a)</w:t>
            </w:r>
          </w:p>
        </w:tc>
      </w:tr>
      <w:tr w:rsidR="00960BB8" w14:paraId="5A1B40EC" w14:textId="77777777">
        <w:tc>
          <w:tcPr>
            <w:tcW w:w="0" w:type="auto"/>
            <w:gridSpan w:val="3"/>
            <w:shd w:val="clear" w:color="auto" w:fill="auto"/>
            <w:tcMar>
              <w:top w:w="40" w:type="dxa"/>
              <w:left w:w="20" w:type="dxa"/>
              <w:bottom w:w="40" w:type="dxa"/>
              <w:right w:w="20" w:type="dxa"/>
            </w:tcMar>
            <w:vAlign w:val="center"/>
          </w:tcPr>
          <w:p w14:paraId="5A1B40E9" w14:textId="77777777" w:rsidR="00960BB8" w:rsidRDefault="00C06650">
            <w:pPr>
              <w:textAlignment w:val="center"/>
            </w:pPr>
            <w:r>
              <w:rPr>
                <w:rFonts w:ascii="Arial" w:eastAsia="宋体" w:hAnsi="Arial" w:cs="Arial"/>
                <w:color w:val="262626"/>
                <w:sz w:val="18"/>
                <w:szCs w:val="18"/>
              </w:rPr>
              <w:t>Item 11.</w:t>
            </w:r>
          </w:p>
        </w:tc>
        <w:tc>
          <w:tcPr>
            <w:tcW w:w="0" w:type="auto"/>
            <w:gridSpan w:val="3"/>
            <w:shd w:val="clear" w:color="auto" w:fill="auto"/>
            <w:tcMar>
              <w:top w:w="40" w:type="dxa"/>
              <w:left w:w="20" w:type="dxa"/>
              <w:bottom w:w="40" w:type="dxa"/>
              <w:right w:w="20" w:type="dxa"/>
            </w:tcMar>
            <w:vAlign w:val="center"/>
          </w:tcPr>
          <w:p w14:paraId="5A1B40EA" w14:textId="77777777" w:rsidR="00960BB8" w:rsidRDefault="00C06650">
            <w:pPr>
              <w:textAlignment w:val="center"/>
            </w:pPr>
            <w:r>
              <w:rPr>
                <w:rFonts w:ascii="Arial" w:eastAsia="宋体" w:hAnsi="Arial" w:cs="Arial"/>
                <w:color w:val="262626"/>
                <w:sz w:val="18"/>
                <w:szCs w:val="18"/>
              </w:rPr>
              <w:t>Executive Compensation</w:t>
            </w:r>
          </w:p>
        </w:tc>
        <w:tc>
          <w:tcPr>
            <w:tcW w:w="0" w:type="auto"/>
            <w:gridSpan w:val="3"/>
            <w:shd w:val="clear" w:color="auto" w:fill="auto"/>
            <w:tcMar>
              <w:top w:w="40" w:type="dxa"/>
              <w:left w:w="20" w:type="dxa"/>
              <w:bottom w:w="40" w:type="dxa"/>
              <w:right w:w="20" w:type="dxa"/>
            </w:tcMar>
            <w:vAlign w:val="center"/>
          </w:tcPr>
          <w:p w14:paraId="5A1B40EB" w14:textId="77777777" w:rsidR="00960BB8" w:rsidRDefault="00C06650">
            <w:pPr>
              <w:jc w:val="center"/>
              <w:textAlignment w:val="center"/>
            </w:pPr>
            <w:r>
              <w:rPr>
                <w:rFonts w:ascii="Arial" w:eastAsia="宋体" w:hAnsi="Arial" w:cs="Arial"/>
                <w:color w:val="262626"/>
                <w:sz w:val="18"/>
                <w:szCs w:val="18"/>
              </w:rPr>
              <w:t>(b)</w:t>
            </w:r>
          </w:p>
        </w:tc>
      </w:tr>
      <w:tr w:rsidR="00960BB8" w14:paraId="5A1B40F0" w14:textId="77777777">
        <w:tc>
          <w:tcPr>
            <w:tcW w:w="0" w:type="auto"/>
            <w:gridSpan w:val="3"/>
            <w:shd w:val="clear" w:color="auto" w:fill="auto"/>
            <w:tcMar>
              <w:top w:w="40" w:type="dxa"/>
              <w:left w:w="20" w:type="dxa"/>
              <w:bottom w:w="40" w:type="dxa"/>
              <w:right w:w="20" w:type="dxa"/>
            </w:tcMar>
            <w:vAlign w:val="center"/>
          </w:tcPr>
          <w:p w14:paraId="5A1B40ED" w14:textId="77777777" w:rsidR="00960BB8" w:rsidRDefault="00C06650">
            <w:pPr>
              <w:textAlignment w:val="center"/>
            </w:pPr>
            <w:r>
              <w:rPr>
                <w:rFonts w:ascii="Arial" w:eastAsia="宋体" w:hAnsi="Arial" w:cs="Arial"/>
                <w:color w:val="262626"/>
                <w:sz w:val="18"/>
                <w:szCs w:val="18"/>
              </w:rPr>
              <w:t>Item 12.</w:t>
            </w:r>
          </w:p>
        </w:tc>
        <w:tc>
          <w:tcPr>
            <w:tcW w:w="0" w:type="auto"/>
            <w:gridSpan w:val="3"/>
            <w:shd w:val="clear" w:color="auto" w:fill="auto"/>
            <w:tcMar>
              <w:top w:w="40" w:type="dxa"/>
              <w:left w:w="20" w:type="dxa"/>
              <w:bottom w:w="40" w:type="dxa"/>
              <w:right w:w="20" w:type="dxa"/>
            </w:tcMar>
            <w:vAlign w:val="center"/>
          </w:tcPr>
          <w:p w14:paraId="5A1B40EE" w14:textId="77777777" w:rsidR="00960BB8" w:rsidRDefault="00C06650">
            <w:pPr>
              <w:textAlignment w:val="center"/>
            </w:pPr>
            <w:r>
              <w:rPr>
                <w:rFonts w:ascii="Arial" w:eastAsia="宋体" w:hAnsi="Arial" w:cs="Arial"/>
                <w:color w:val="262626"/>
                <w:sz w:val="18"/>
                <w:szCs w:val="18"/>
              </w:rPr>
              <w:t>Security Ownership of Certain Beneficial Owner</w:t>
            </w:r>
            <w:r>
              <w:rPr>
                <w:rFonts w:ascii="Arial" w:eastAsia="宋体" w:hAnsi="Arial" w:cs="Arial"/>
                <w:color w:val="262626"/>
                <w:sz w:val="18"/>
                <w:szCs w:val="18"/>
              </w:rPr>
              <w:t>s and Management and Related Stockholder Matters</w:t>
            </w:r>
          </w:p>
        </w:tc>
        <w:tc>
          <w:tcPr>
            <w:tcW w:w="0" w:type="auto"/>
            <w:gridSpan w:val="3"/>
            <w:shd w:val="clear" w:color="auto" w:fill="auto"/>
            <w:tcMar>
              <w:top w:w="40" w:type="dxa"/>
              <w:left w:w="20" w:type="dxa"/>
              <w:bottom w:w="40" w:type="dxa"/>
              <w:right w:w="20" w:type="dxa"/>
            </w:tcMar>
            <w:vAlign w:val="center"/>
          </w:tcPr>
          <w:p w14:paraId="5A1B40EF" w14:textId="77777777" w:rsidR="00960BB8" w:rsidRDefault="00C06650">
            <w:pPr>
              <w:jc w:val="center"/>
              <w:textAlignment w:val="center"/>
            </w:pPr>
            <w:r>
              <w:rPr>
                <w:rFonts w:ascii="Arial" w:eastAsia="宋体" w:hAnsi="Arial" w:cs="Arial"/>
                <w:color w:val="262626"/>
                <w:sz w:val="18"/>
                <w:szCs w:val="18"/>
              </w:rPr>
              <w:t>(c)</w:t>
            </w:r>
          </w:p>
        </w:tc>
      </w:tr>
      <w:tr w:rsidR="00960BB8" w14:paraId="5A1B40F4" w14:textId="77777777">
        <w:tc>
          <w:tcPr>
            <w:tcW w:w="0" w:type="auto"/>
            <w:gridSpan w:val="3"/>
            <w:shd w:val="clear" w:color="auto" w:fill="auto"/>
            <w:tcMar>
              <w:top w:w="40" w:type="dxa"/>
              <w:left w:w="20" w:type="dxa"/>
              <w:bottom w:w="40" w:type="dxa"/>
              <w:right w:w="20" w:type="dxa"/>
            </w:tcMar>
            <w:vAlign w:val="center"/>
          </w:tcPr>
          <w:p w14:paraId="5A1B40F1" w14:textId="77777777" w:rsidR="00960BB8" w:rsidRDefault="00C06650">
            <w:pPr>
              <w:textAlignment w:val="center"/>
            </w:pPr>
            <w:r>
              <w:rPr>
                <w:rFonts w:ascii="Arial" w:eastAsia="宋体" w:hAnsi="Arial" w:cs="Arial"/>
                <w:color w:val="262626"/>
                <w:sz w:val="18"/>
                <w:szCs w:val="18"/>
              </w:rPr>
              <w:t>Item 13.</w:t>
            </w:r>
          </w:p>
        </w:tc>
        <w:tc>
          <w:tcPr>
            <w:tcW w:w="0" w:type="auto"/>
            <w:gridSpan w:val="3"/>
            <w:shd w:val="clear" w:color="auto" w:fill="auto"/>
            <w:tcMar>
              <w:top w:w="40" w:type="dxa"/>
              <w:left w:w="20" w:type="dxa"/>
              <w:bottom w:w="40" w:type="dxa"/>
              <w:right w:w="20" w:type="dxa"/>
            </w:tcMar>
            <w:vAlign w:val="center"/>
          </w:tcPr>
          <w:p w14:paraId="5A1B40F2" w14:textId="77777777" w:rsidR="00960BB8" w:rsidRDefault="00C06650">
            <w:pPr>
              <w:textAlignment w:val="center"/>
            </w:pPr>
            <w:r>
              <w:rPr>
                <w:rFonts w:ascii="Arial" w:eastAsia="宋体" w:hAnsi="Arial" w:cs="Arial"/>
                <w:color w:val="262626"/>
                <w:sz w:val="18"/>
                <w:szCs w:val="18"/>
              </w:rPr>
              <w:t>Certain Relationships and Related Transactions, and Director Independence</w:t>
            </w:r>
          </w:p>
        </w:tc>
        <w:tc>
          <w:tcPr>
            <w:tcW w:w="0" w:type="auto"/>
            <w:gridSpan w:val="3"/>
            <w:shd w:val="clear" w:color="auto" w:fill="auto"/>
            <w:tcMar>
              <w:top w:w="40" w:type="dxa"/>
              <w:left w:w="20" w:type="dxa"/>
              <w:bottom w:w="40" w:type="dxa"/>
              <w:right w:w="20" w:type="dxa"/>
            </w:tcMar>
            <w:vAlign w:val="center"/>
          </w:tcPr>
          <w:p w14:paraId="5A1B40F3" w14:textId="77777777" w:rsidR="00960BB8" w:rsidRDefault="00C06650">
            <w:pPr>
              <w:jc w:val="center"/>
              <w:textAlignment w:val="center"/>
            </w:pPr>
            <w:r>
              <w:rPr>
                <w:rFonts w:ascii="Arial" w:eastAsia="宋体" w:hAnsi="Arial" w:cs="Arial"/>
                <w:color w:val="262626"/>
                <w:sz w:val="18"/>
                <w:szCs w:val="18"/>
              </w:rPr>
              <w:t>(d)</w:t>
            </w:r>
          </w:p>
        </w:tc>
      </w:tr>
      <w:tr w:rsidR="00960BB8" w14:paraId="5A1B40F8" w14:textId="77777777">
        <w:tc>
          <w:tcPr>
            <w:tcW w:w="0" w:type="auto"/>
            <w:gridSpan w:val="3"/>
            <w:shd w:val="clear" w:color="auto" w:fill="auto"/>
            <w:tcMar>
              <w:top w:w="40" w:type="dxa"/>
              <w:left w:w="20" w:type="dxa"/>
              <w:bottom w:w="40" w:type="dxa"/>
              <w:right w:w="20" w:type="dxa"/>
            </w:tcMar>
            <w:vAlign w:val="center"/>
          </w:tcPr>
          <w:p w14:paraId="5A1B40F5" w14:textId="77777777" w:rsidR="00960BB8" w:rsidRDefault="00C06650">
            <w:pPr>
              <w:textAlignment w:val="center"/>
            </w:pPr>
            <w:r>
              <w:rPr>
                <w:rFonts w:ascii="Arial" w:eastAsia="宋体" w:hAnsi="Arial" w:cs="Arial"/>
                <w:color w:val="262626"/>
                <w:sz w:val="18"/>
                <w:szCs w:val="18"/>
              </w:rPr>
              <w:t>Item 14.</w:t>
            </w:r>
          </w:p>
        </w:tc>
        <w:tc>
          <w:tcPr>
            <w:tcW w:w="0" w:type="auto"/>
            <w:gridSpan w:val="3"/>
            <w:shd w:val="clear" w:color="auto" w:fill="auto"/>
            <w:tcMar>
              <w:top w:w="40" w:type="dxa"/>
              <w:left w:w="20" w:type="dxa"/>
              <w:bottom w:w="40" w:type="dxa"/>
              <w:right w:w="20" w:type="dxa"/>
            </w:tcMar>
            <w:vAlign w:val="center"/>
          </w:tcPr>
          <w:p w14:paraId="5A1B40F6" w14:textId="77777777" w:rsidR="00960BB8" w:rsidRDefault="00C06650">
            <w:pPr>
              <w:textAlignment w:val="center"/>
            </w:pPr>
            <w:r>
              <w:rPr>
                <w:rFonts w:ascii="Arial" w:eastAsia="宋体" w:hAnsi="Arial" w:cs="Arial"/>
                <w:color w:val="262626"/>
                <w:sz w:val="18"/>
                <w:szCs w:val="18"/>
              </w:rPr>
              <w:t>Principal Accountant Fees and Services</w:t>
            </w:r>
          </w:p>
        </w:tc>
        <w:tc>
          <w:tcPr>
            <w:tcW w:w="0" w:type="auto"/>
            <w:gridSpan w:val="3"/>
            <w:shd w:val="clear" w:color="auto" w:fill="auto"/>
            <w:tcMar>
              <w:top w:w="40" w:type="dxa"/>
              <w:left w:w="20" w:type="dxa"/>
              <w:bottom w:w="40" w:type="dxa"/>
              <w:right w:w="20" w:type="dxa"/>
            </w:tcMar>
            <w:vAlign w:val="center"/>
          </w:tcPr>
          <w:p w14:paraId="5A1B40F7" w14:textId="77777777" w:rsidR="00960BB8" w:rsidRDefault="00C06650">
            <w:pPr>
              <w:jc w:val="center"/>
              <w:textAlignment w:val="center"/>
            </w:pPr>
            <w:r>
              <w:rPr>
                <w:rFonts w:ascii="Arial" w:eastAsia="宋体" w:hAnsi="Arial" w:cs="Arial"/>
                <w:color w:val="262626"/>
                <w:sz w:val="18"/>
                <w:szCs w:val="18"/>
              </w:rPr>
              <w:t>(e)</w:t>
            </w:r>
          </w:p>
        </w:tc>
      </w:tr>
      <w:tr w:rsidR="00960BB8" w14:paraId="5A1B40FC"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0F9"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0FA"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0FB" w14:textId="77777777" w:rsidR="00960BB8" w:rsidRDefault="00960BB8">
            <w:pPr>
              <w:rPr>
                <w:rFonts w:ascii="宋体"/>
              </w:rPr>
            </w:pPr>
          </w:p>
        </w:tc>
      </w:tr>
      <w:tr w:rsidR="00960BB8" w14:paraId="5A1B4100" w14:textId="77777777">
        <w:tc>
          <w:tcPr>
            <w:tcW w:w="0" w:type="auto"/>
            <w:gridSpan w:val="3"/>
            <w:shd w:val="clear" w:color="auto" w:fill="auto"/>
            <w:tcMar>
              <w:top w:w="40" w:type="dxa"/>
              <w:left w:w="20" w:type="dxa"/>
              <w:bottom w:w="40" w:type="dxa"/>
              <w:right w:w="20" w:type="dxa"/>
            </w:tcMar>
            <w:vAlign w:val="center"/>
          </w:tcPr>
          <w:p w14:paraId="5A1B40FD" w14:textId="77777777" w:rsidR="00960BB8" w:rsidRDefault="00C06650">
            <w:pPr>
              <w:textAlignment w:val="center"/>
            </w:pPr>
            <w:r>
              <w:rPr>
                <w:rFonts w:ascii="Arial" w:eastAsia="宋体" w:hAnsi="Arial" w:cs="Arial"/>
                <w:color w:val="0068B5"/>
                <w:sz w:val="18"/>
                <w:szCs w:val="18"/>
              </w:rPr>
              <w:t>Part IV</w:t>
            </w:r>
          </w:p>
        </w:tc>
        <w:tc>
          <w:tcPr>
            <w:tcW w:w="0" w:type="auto"/>
            <w:gridSpan w:val="3"/>
            <w:shd w:val="clear" w:color="auto" w:fill="auto"/>
            <w:tcMar>
              <w:top w:w="0" w:type="dxa"/>
              <w:left w:w="20" w:type="dxa"/>
              <w:bottom w:w="0" w:type="dxa"/>
              <w:right w:w="20" w:type="dxa"/>
            </w:tcMar>
            <w:vAlign w:val="bottom"/>
          </w:tcPr>
          <w:p w14:paraId="5A1B40F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0FF" w14:textId="77777777" w:rsidR="00960BB8" w:rsidRDefault="00960BB8">
            <w:pPr>
              <w:rPr>
                <w:rFonts w:ascii="宋体"/>
              </w:rPr>
            </w:pPr>
          </w:p>
        </w:tc>
      </w:tr>
      <w:tr w:rsidR="00960BB8" w14:paraId="5A1B4104" w14:textId="77777777">
        <w:tc>
          <w:tcPr>
            <w:tcW w:w="0" w:type="auto"/>
            <w:gridSpan w:val="3"/>
            <w:shd w:val="clear" w:color="auto" w:fill="auto"/>
            <w:tcMar>
              <w:top w:w="40" w:type="dxa"/>
              <w:left w:w="20" w:type="dxa"/>
              <w:bottom w:w="40" w:type="dxa"/>
              <w:right w:w="20" w:type="dxa"/>
            </w:tcMar>
            <w:vAlign w:val="center"/>
          </w:tcPr>
          <w:p w14:paraId="5A1B4101" w14:textId="77777777" w:rsidR="00960BB8" w:rsidRDefault="00C06650">
            <w:pPr>
              <w:textAlignment w:val="center"/>
            </w:pPr>
            <w:r>
              <w:rPr>
                <w:rFonts w:ascii="Arial" w:eastAsia="宋体" w:hAnsi="Arial" w:cs="Arial"/>
                <w:color w:val="262626"/>
                <w:sz w:val="18"/>
                <w:szCs w:val="18"/>
              </w:rPr>
              <w:t>Item 15.</w:t>
            </w:r>
          </w:p>
        </w:tc>
        <w:tc>
          <w:tcPr>
            <w:tcW w:w="0" w:type="auto"/>
            <w:gridSpan w:val="3"/>
            <w:shd w:val="clear" w:color="auto" w:fill="auto"/>
            <w:tcMar>
              <w:top w:w="40" w:type="dxa"/>
              <w:left w:w="20" w:type="dxa"/>
              <w:bottom w:w="40" w:type="dxa"/>
              <w:right w:w="20" w:type="dxa"/>
            </w:tcMar>
            <w:vAlign w:val="center"/>
          </w:tcPr>
          <w:p w14:paraId="5A1B4102" w14:textId="77777777" w:rsidR="00960BB8" w:rsidRDefault="00C06650">
            <w:pPr>
              <w:textAlignment w:val="center"/>
            </w:pPr>
            <w:r>
              <w:rPr>
                <w:rFonts w:ascii="Arial" w:eastAsia="宋体" w:hAnsi="Arial" w:cs="Arial"/>
                <w:color w:val="262626"/>
                <w:sz w:val="18"/>
                <w:szCs w:val="18"/>
              </w:rPr>
              <w:t xml:space="preserve">Exhibits and Financial </w:t>
            </w:r>
            <w:r>
              <w:rPr>
                <w:rFonts w:ascii="Arial" w:eastAsia="宋体" w:hAnsi="Arial" w:cs="Arial"/>
                <w:color w:val="262626"/>
                <w:sz w:val="18"/>
                <w:szCs w:val="18"/>
              </w:rPr>
              <w:t>Statement Schedules</w:t>
            </w:r>
          </w:p>
        </w:tc>
        <w:tc>
          <w:tcPr>
            <w:tcW w:w="0" w:type="auto"/>
            <w:gridSpan w:val="3"/>
            <w:shd w:val="clear" w:color="auto" w:fill="auto"/>
            <w:tcMar>
              <w:top w:w="40" w:type="dxa"/>
              <w:left w:w="20" w:type="dxa"/>
              <w:bottom w:w="40" w:type="dxa"/>
              <w:right w:w="20" w:type="dxa"/>
            </w:tcMar>
            <w:vAlign w:val="center"/>
          </w:tcPr>
          <w:p w14:paraId="5A1B4103" w14:textId="77777777" w:rsidR="00960BB8" w:rsidRDefault="00C06650">
            <w:pPr>
              <w:jc w:val="center"/>
              <w:textAlignment w:val="center"/>
            </w:pPr>
            <w:r>
              <w:rPr>
                <w:rFonts w:ascii="Arial" w:eastAsia="宋体" w:hAnsi="Arial" w:cs="Arial"/>
                <w:color w:val="262626"/>
                <w:sz w:val="18"/>
                <w:szCs w:val="18"/>
              </w:rPr>
              <w:t xml:space="preserve">Pages </w:t>
            </w:r>
            <w:hyperlink r:id="rId279" w:anchor="i8aaa7b4dbd2e419ca0f5c30af85a11aa_241" w:history="1">
              <w:r>
                <w:rPr>
                  <w:rStyle w:val="a5"/>
                  <w:rFonts w:ascii="Arial" w:eastAsia="宋体" w:hAnsi="Arial" w:cs="Arial"/>
                  <w:color w:val="262626"/>
                  <w:sz w:val="18"/>
                  <w:szCs w:val="18"/>
                </w:rPr>
                <w:t>72</w:t>
              </w:r>
            </w:hyperlink>
            <w:r>
              <w:rPr>
                <w:rFonts w:ascii="Arial" w:eastAsia="宋体" w:hAnsi="Arial" w:cs="Arial"/>
                <w:color w:val="262626"/>
                <w:sz w:val="18"/>
                <w:szCs w:val="18"/>
              </w:rPr>
              <w:t>-</w:t>
            </w:r>
            <w:hyperlink r:id="rId280" w:anchor="i8aaa7b4dbd2e419ca0f5c30af85a11aa_466" w:history="1">
              <w:r>
                <w:rPr>
                  <w:rStyle w:val="a5"/>
                  <w:rFonts w:ascii="Arial" w:eastAsia="宋体" w:hAnsi="Arial" w:cs="Arial"/>
                  <w:color w:val="262626"/>
                  <w:sz w:val="18"/>
                  <w:szCs w:val="18"/>
                </w:rPr>
                <w:t>117</w:t>
              </w:r>
            </w:hyperlink>
            <w:r>
              <w:rPr>
                <w:rFonts w:ascii="Arial" w:eastAsia="宋体" w:hAnsi="Arial" w:cs="Arial"/>
                <w:color w:val="262626"/>
                <w:sz w:val="18"/>
                <w:szCs w:val="18"/>
              </w:rPr>
              <w:t xml:space="preserve">, </w:t>
            </w:r>
            <w:hyperlink r:id="rId281" w:anchor="i8aaa7b4dbd2e419ca0f5c30af85a11aa_475" w:history="1">
              <w:r>
                <w:rPr>
                  <w:rStyle w:val="a5"/>
                  <w:rFonts w:ascii="Arial" w:eastAsia="宋体" w:hAnsi="Arial" w:cs="Arial"/>
                  <w:color w:val="262626"/>
                  <w:sz w:val="18"/>
                  <w:szCs w:val="18"/>
                </w:rPr>
                <w:t>119</w:t>
              </w:r>
            </w:hyperlink>
            <w:r>
              <w:rPr>
                <w:rFonts w:ascii="Arial" w:eastAsia="宋体" w:hAnsi="Arial" w:cs="Arial"/>
                <w:color w:val="262626"/>
                <w:sz w:val="18"/>
                <w:szCs w:val="18"/>
              </w:rPr>
              <w:t>-</w:t>
            </w:r>
            <w:hyperlink r:id="rId282" w:anchor="i8aaa7b4dbd2e419ca0f5c30af85a11aa_484" w:history="1">
              <w:r>
                <w:rPr>
                  <w:rStyle w:val="a5"/>
                  <w:rFonts w:ascii="Arial" w:eastAsia="宋体" w:hAnsi="Arial" w:cs="Arial"/>
                  <w:color w:val="262626"/>
                  <w:sz w:val="18"/>
                  <w:szCs w:val="18"/>
                </w:rPr>
                <w:t>123</w:t>
              </w:r>
            </w:hyperlink>
          </w:p>
        </w:tc>
      </w:tr>
      <w:tr w:rsidR="00960BB8" w14:paraId="5A1B4108" w14:textId="77777777">
        <w:tc>
          <w:tcPr>
            <w:tcW w:w="0" w:type="auto"/>
            <w:gridSpan w:val="3"/>
            <w:shd w:val="clear" w:color="auto" w:fill="auto"/>
            <w:tcMar>
              <w:top w:w="40" w:type="dxa"/>
              <w:left w:w="20" w:type="dxa"/>
              <w:bottom w:w="40" w:type="dxa"/>
              <w:right w:w="20" w:type="dxa"/>
            </w:tcMar>
            <w:vAlign w:val="center"/>
          </w:tcPr>
          <w:p w14:paraId="5A1B4105" w14:textId="77777777" w:rsidR="00960BB8" w:rsidRDefault="00C06650">
            <w:pPr>
              <w:textAlignment w:val="center"/>
            </w:pPr>
            <w:r>
              <w:rPr>
                <w:rFonts w:ascii="Arial" w:eastAsia="宋体" w:hAnsi="Arial" w:cs="Arial"/>
                <w:color w:val="262626"/>
                <w:sz w:val="18"/>
                <w:szCs w:val="18"/>
              </w:rPr>
              <w:t>Item 16.</w:t>
            </w:r>
          </w:p>
        </w:tc>
        <w:tc>
          <w:tcPr>
            <w:tcW w:w="0" w:type="auto"/>
            <w:gridSpan w:val="3"/>
            <w:shd w:val="clear" w:color="auto" w:fill="auto"/>
            <w:tcMar>
              <w:top w:w="40" w:type="dxa"/>
              <w:left w:w="20" w:type="dxa"/>
              <w:bottom w:w="40" w:type="dxa"/>
              <w:right w:w="20" w:type="dxa"/>
            </w:tcMar>
            <w:vAlign w:val="center"/>
          </w:tcPr>
          <w:p w14:paraId="5A1B4106" w14:textId="77777777" w:rsidR="00960BB8" w:rsidRDefault="00C06650">
            <w:pPr>
              <w:textAlignment w:val="center"/>
            </w:pPr>
            <w:r>
              <w:rPr>
                <w:rFonts w:ascii="Arial" w:eastAsia="宋体" w:hAnsi="Arial" w:cs="Arial"/>
                <w:color w:val="262626"/>
                <w:sz w:val="18"/>
                <w:szCs w:val="18"/>
              </w:rPr>
              <w:t>Form 10-K Summary</w:t>
            </w:r>
          </w:p>
        </w:tc>
        <w:tc>
          <w:tcPr>
            <w:tcW w:w="0" w:type="auto"/>
            <w:gridSpan w:val="3"/>
            <w:shd w:val="clear" w:color="auto" w:fill="auto"/>
            <w:tcMar>
              <w:top w:w="40" w:type="dxa"/>
              <w:left w:w="20" w:type="dxa"/>
              <w:bottom w:w="40" w:type="dxa"/>
              <w:right w:w="20" w:type="dxa"/>
            </w:tcMar>
            <w:vAlign w:val="center"/>
          </w:tcPr>
          <w:p w14:paraId="5A1B4107" w14:textId="77777777" w:rsidR="00960BB8" w:rsidRDefault="00C06650">
            <w:pPr>
              <w:jc w:val="center"/>
              <w:textAlignment w:val="center"/>
            </w:pPr>
            <w:r>
              <w:rPr>
                <w:rFonts w:ascii="Arial" w:eastAsia="宋体" w:hAnsi="Arial" w:cs="Arial"/>
                <w:color w:val="262626"/>
                <w:sz w:val="18"/>
                <w:szCs w:val="18"/>
              </w:rPr>
              <w:t xml:space="preserve">Not </w:t>
            </w:r>
            <w:r>
              <w:rPr>
                <w:rFonts w:ascii="Arial" w:eastAsia="宋体" w:hAnsi="Arial" w:cs="Arial"/>
                <w:color w:val="262626"/>
                <w:sz w:val="18"/>
                <w:szCs w:val="18"/>
              </w:rPr>
              <w:t>applicable</w:t>
            </w:r>
          </w:p>
        </w:tc>
      </w:tr>
      <w:tr w:rsidR="00960BB8" w14:paraId="5A1B410C"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109"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10A" w14:textId="77777777" w:rsidR="00960BB8" w:rsidRDefault="00960BB8">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A1B410B" w14:textId="77777777" w:rsidR="00960BB8" w:rsidRDefault="00960BB8">
            <w:pPr>
              <w:rPr>
                <w:rFonts w:ascii="宋体"/>
              </w:rPr>
            </w:pPr>
          </w:p>
        </w:tc>
      </w:tr>
      <w:tr w:rsidR="00960BB8" w14:paraId="5A1B4110" w14:textId="77777777">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5A1B410D" w14:textId="77777777" w:rsidR="00960BB8" w:rsidRDefault="00C06650">
            <w:pPr>
              <w:textAlignment w:val="center"/>
            </w:pPr>
            <w:r>
              <w:rPr>
                <w:rFonts w:ascii="Arial" w:eastAsia="宋体" w:hAnsi="Arial" w:cs="Arial"/>
                <w:color w:val="0068B5"/>
                <w:sz w:val="18"/>
                <w:szCs w:val="18"/>
              </w:rPr>
              <w:t>Signatures</w:t>
            </w: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5A1B410E" w14:textId="77777777" w:rsidR="00960BB8" w:rsidRDefault="00960BB8">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5A1B410F" w14:textId="77777777" w:rsidR="00960BB8" w:rsidRDefault="00C06650">
            <w:pPr>
              <w:jc w:val="center"/>
              <w:textAlignment w:val="center"/>
            </w:pPr>
            <w:r>
              <w:rPr>
                <w:rFonts w:ascii="Arial" w:eastAsia="宋体" w:hAnsi="Arial" w:cs="Arial"/>
                <w:color w:val="262626"/>
                <w:sz w:val="18"/>
                <w:szCs w:val="18"/>
              </w:rPr>
              <w:t xml:space="preserve">Page </w:t>
            </w:r>
            <w:hyperlink r:id="rId283" w:anchor="i8aaa7b4dbd2e419ca0f5c30af85a11aa_490" w:history="1">
              <w:r>
                <w:rPr>
                  <w:rStyle w:val="a5"/>
                  <w:rFonts w:ascii="Arial" w:eastAsia="宋体" w:hAnsi="Arial" w:cs="Arial"/>
                  <w:color w:val="262626"/>
                  <w:sz w:val="18"/>
                  <w:szCs w:val="18"/>
                </w:rPr>
                <w:t>125</w:t>
              </w:r>
            </w:hyperlink>
          </w:p>
        </w:tc>
      </w:tr>
    </w:tbl>
    <w:p w14:paraId="5A1B4111" w14:textId="77777777" w:rsidR="00960BB8" w:rsidRDefault="00C06650">
      <w:pPr>
        <w:spacing w:after="60"/>
        <w:ind w:hanging="360"/>
      </w:pPr>
      <w:r>
        <w:rPr>
          <w:rFonts w:ascii="Arial" w:eastAsia="宋体" w:hAnsi="Arial" w:cs="Arial"/>
          <w:i/>
          <w:iCs/>
          <w:color w:val="262626"/>
          <w:sz w:val="16"/>
          <w:szCs w:val="16"/>
        </w:rPr>
        <w:t xml:space="preserve">(a)    Incorporated by reference to "Director Nominees," "Director Nomination Process," "Board Committees," "Audit &amp; Finance Committee," "Code of Conduct," "2024 Stockholder Proposals or Nominations," and "Delinquent Section 16(a) Reports" (if applicable) </w:t>
      </w:r>
      <w:r>
        <w:rPr>
          <w:rFonts w:ascii="Arial" w:eastAsia="宋体" w:hAnsi="Arial" w:cs="Arial"/>
          <w:i/>
          <w:iCs/>
          <w:color w:val="262626"/>
          <w:sz w:val="16"/>
          <w:szCs w:val="16"/>
        </w:rPr>
        <w:t xml:space="preserve">in the 2023 Proxy Statement. The information under the heading "Information about Our Executive Officers" within Other Key Information is also incorporated by reference in this section. </w:t>
      </w:r>
    </w:p>
    <w:p w14:paraId="5A1B4112" w14:textId="77777777" w:rsidR="00960BB8" w:rsidRDefault="00C06650">
      <w:pPr>
        <w:spacing w:after="60"/>
        <w:ind w:hanging="360"/>
      </w:pPr>
      <w:r>
        <w:rPr>
          <w:rFonts w:ascii="Arial" w:eastAsia="宋体" w:hAnsi="Arial" w:cs="Arial"/>
          <w:i/>
          <w:iCs/>
          <w:color w:val="262626"/>
          <w:sz w:val="16"/>
          <w:szCs w:val="16"/>
        </w:rPr>
        <w:t>(b)    Incorporated by reference to "Risk Oversight," "Director Compe</w:t>
      </w:r>
      <w:r>
        <w:rPr>
          <w:rFonts w:ascii="Arial" w:eastAsia="宋体" w:hAnsi="Arial" w:cs="Arial"/>
          <w:i/>
          <w:iCs/>
          <w:color w:val="262626"/>
          <w:sz w:val="16"/>
          <w:szCs w:val="16"/>
        </w:rPr>
        <w:t>nsation," "Compensation Discussion and Analysis," "Compensation Committee Report," "Executive Compensation Tables" "CEO Pay Ratio," and "Pay Versus Performance" in the 2023 Proxy Statement.</w:t>
      </w:r>
    </w:p>
    <w:p w14:paraId="5A1B4113" w14:textId="77777777" w:rsidR="00960BB8" w:rsidRDefault="00C06650">
      <w:pPr>
        <w:spacing w:after="60"/>
        <w:ind w:hanging="360"/>
      </w:pPr>
      <w:r>
        <w:rPr>
          <w:rFonts w:ascii="Arial" w:eastAsia="宋体" w:hAnsi="Arial" w:cs="Arial"/>
          <w:i/>
          <w:iCs/>
          <w:color w:val="262626"/>
          <w:sz w:val="16"/>
          <w:szCs w:val="16"/>
        </w:rPr>
        <w:t>(c)    Incorporated by reference to "Security Ownership of Certain</w:t>
      </w:r>
      <w:r>
        <w:rPr>
          <w:rFonts w:ascii="Arial" w:eastAsia="宋体" w:hAnsi="Arial" w:cs="Arial"/>
          <w:i/>
          <w:iCs/>
          <w:color w:val="262626"/>
          <w:sz w:val="16"/>
          <w:szCs w:val="16"/>
        </w:rPr>
        <w:t xml:space="preserve"> Beneficial Owners and Management" and "Equity Compensation Plan Information" in the 2023 Proxy Statement.</w:t>
      </w:r>
    </w:p>
    <w:p w14:paraId="5A1B4114" w14:textId="77777777" w:rsidR="00960BB8" w:rsidRDefault="00C06650">
      <w:pPr>
        <w:spacing w:after="60"/>
        <w:ind w:hanging="360"/>
      </w:pPr>
      <w:r>
        <w:rPr>
          <w:rFonts w:ascii="Arial" w:eastAsia="宋体" w:hAnsi="Arial" w:cs="Arial"/>
          <w:i/>
          <w:iCs/>
          <w:color w:val="262626"/>
          <w:sz w:val="16"/>
          <w:szCs w:val="16"/>
        </w:rPr>
        <w:t>(d)    Incorporated by reference to "Director Independence and Transactions Considered in Independence Determinations" and "Certain Relationships and</w:t>
      </w:r>
      <w:r>
        <w:rPr>
          <w:rFonts w:ascii="Arial" w:eastAsia="宋体" w:hAnsi="Arial" w:cs="Arial"/>
          <w:i/>
          <w:iCs/>
          <w:color w:val="262626"/>
          <w:sz w:val="16"/>
          <w:szCs w:val="16"/>
        </w:rPr>
        <w:t xml:space="preserve"> Related Transactions" in the 2023 Proxy Statement.</w:t>
      </w:r>
    </w:p>
    <w:p w14:paraId="5A1B4115" w14:textId="77777777" w:rsidR="00960BB8" w:rsidRDefault="00C06650">
      <w:pPr>
        <w:spacing w:after="100"/>
        <w:ind w:hanging="360"/>
      </w:pPr>
      <w:r>
        <w:rPr>
          <w:rFonts w:ascii="Arial" w:eastAsia="宋体" w:hAnsi="Arial" w:cs="Arial"/>
          <w:i/>
          <w:iCs/>
          <w:color w:val="262626"/>
          <w:sz w:val="16"/>
          <w:szCs w:val="16"/>
        </w:rPr>
        <w:t>(e)    Incorporated by reference to "2022 and 2021 EY Fees," "Report of the Audit &amp; Finance Committee," and "Pre-Approval Policies" in the 2023 Proxy Statement.</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411F" w14:textId="77777777">
        <w:tc>
          <w:tcPr>
            <w:tcW w:w="50" w:type="pct"/>
            <w:shd w:val="clear" w:color="auto" w:fill="auto"/>
            <w:vAlign w:val="bottom"/>
          </w:tcPr>
          <w:p w14:paraId="5A1B4116" w14:textId="77777777" w:rsidR="00960BB8" w:rsidRDefault="00960BB8">
            <w:pPr>
              <w:rPr>
                <w:rFonts w:ascii="宋体"/>
              </w:rPr>
            </w:pPr>
          </w:p>
        </w:tc>
        <w:tc>
          <w:tcPr>
            <w:tcW w:w="283" w:type="pct"/>
            <w:shd w:val="clear" w:color="auto" w:fill="auto"/>
            <w:vAlign w:val="bottom"/>
          </w:tcPr>
          <w:p w14:paraId="5A1B4117" w14:textId="77777777" w:rsidR="00960BB8" w:rsidRDefault="00960BB8">
            <w:pPr>
              <w:rPr>
                <w:rFonts w:ascii="宋体"/>
              </w:rPr>
            </w:pPr>
          </w:p>
        </w:tc>
        <w:tc>
          <w:tcPr>
            <w:tcW w:w="5" w:type="pct"/>
            <w:shd w:val="clear" w:color="auto" w:fill="auto"/>
            <w:vAlign w:val="bottom"/>
          </w:tcPr>
          <w:p w14:paraId="5A1B4118" w14:textId="77777777" w:rsidR="00960BB8" w:rsidRDefault="00960BB8">
            <w:pPr>
              <w:rPr>
                <w:rFonts w:ascii="宋体"/>
              </w:rPr>
            </w:pPr>
          </w:p>
        </w:tc>
        <w:tc>
          <w:tcPr>
            <w:tcW w:w="50" w:type="pct"/>
            <w:shd w:val="clear" w:color="auto" w:fill="auto"/>
            <w:vAlign w:val="bottom"/>
          </w:tcPr>
          <w:p w14:paraId="5A1B4119" w14:textId="77777777" w:rsidR="00960BB8" w:rsidRDefault="00960BB8">
            <w:pPr>
              <w:rPr>
                <w:rFonts w:ascii="宋体"/>
              </w:rPr>
            </w:pPr>
          </w:p>
        </w:tc>
        <w:tc>
          <w:tcPr>
            <w:tcW w:w="2656" w:type="pct"/>
            <w:shd w:val="clear" w:color="auto" w:fill="auto"/>
            <w:vAlign w:val="bottom"/>
          </w:tcPr>
          <w:p w14:paraId="5A1B411A" w14:textId="77777777" w:rsidR="00960BB8" w:rsidRDefault="00960BB8">
            <w:pPr>
              <w:rPr>
                <w:rFonts w:ascii="宋体"/>
              </w:rPr>
            </w:pPr>
          </w:p>
        </w:tc>
        <w:tc>
          <w:tcPr>
            <w:tcW w:w="5" w:type="pct"/>
            <w:shd w:val="clear" w:color="auto" w:fill="auto"/>
            <w:vAlign w:val="bottom"/>
          </w:tcPr>
          <w:p w14:paraId="5A1B411B" w14:textId="77777777" w:rsidR="00960BB8" w:rsidRDefault="00960BB8">
            <w:pPr>
              <w:rPr>
                <w:rFonts w:ascii="宋体"/>
              </w:rPr>
            </w:pPr>
          </w:p>
        </w:tc>
        <w:tc>
          <w:tcPr>
            <w:tcW w:w="50" w:type="pct"/>
            <w:shd w:val="clear" w:color="auto" w:fill="auto"/>
            <w:vAlign w:val="bottom"/>
          </w:tcPr>
          <w:p w14:paraId="5A1B411C" w14:textId="77777777" w:rsidR="00960BB8" w:rsidRDefault="00960BB8">
            <w:pPr>
              <w:rPr>
                <w:rFonts w:ascii="宋体"/>
              </w:rPr>
            </w:pPr>
          </w:p>
        </w:tc>
        <w:tc>
          <w:tcPr>
            <w:tcW w:w="1894" w:type="pct"/>
            <w:shd w:val="clear" w:color="auto" w:fill="auto"/>
            <w:vAlign w:val="bottom"/>
          </w:tcPr>
          <w:p w14:paraId="5A1B411D" w14:textId="77777777" w:rsidR="00960BB8" w:rsidRDefault="00960BB8">
            <w:pPr>
              <w:rPr>
                <w:rFonts w:ascii="宋体"/>
              </w:rPr>
            </w:pPr>
          </w:p>
        </w:tc>
        <w:tc>
          <w:tcPr>
            <w:tcW w:w="5" w:type="pct"/>
            <w:shd w:val="clear" w:color="auto" w:fill="auto"/>
            <w:vAlign w:val="bottom"/>
          </w:tcPr>
          <w:p w14:paraId="5A1B411E" w14:textId="77777777" w:rsidR="00960BB8" w:rsidRDefault="00960BB8">
            <w:pPr>
              <w:rPr>
                <w:rFonts w:ascii="宋体"/>
              </w:rPr>
            </w:pPr>
          </w:p>
        </w:tc>
      </w:tr>
      <w:tr w:rsidR="00960BB8" w14:paraId="5A1B412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4120"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F6" wp14:editId="5A1B44F7">
                  <wp:extent cx="304800" cy="304800"/>
                  <wp:effectExtent l="0" t="0" r="0" b="0"/>
                  <wp:docPr id="181" name="图片 33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337"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4121" w14:textId="77777777" w:rsidR="00960BB8" w:rsidRDefault="00C06650">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4122" w14:textId="77777777" w:rsidR="00960BB8" w:rsidRDefault="00C06650">
            <w:pPr>
              <w:jc w:val="right"/>
              <w:textAlignment w:val="center"/>
            </w:pPr>
            <w:r>
              <w:rPr>
                <w:rFonts w:ascii="Arial" w:eastAsia="宋体" w:hAnsi="Arial" w:cs="Arial"/>
                <w:color w:val="262626"/>
                <w:sz w:val="16"/>
                <w:szCs w:val="16"/>
              </w:rPr>
              <w:t>124</w:t>
            </w:r>
          </w:p>
        </w:tc>
      </w:tr>
    </w:tbl>
    <w:p w14:paraId="5A1B4124" w14:textId="77777777" w:rsidR="00960BB8" w:rsidRDefault="00C06650">
      <w:r>
        <w:pict w14:anchorId="5A1B44F8">
          <v:rect id="_x0000_i1150" style="width:415.3pt;height:1.5pt" o:hralign="center" o:hrstd="t" o:hr="t" fillcolor="#a0a0a0" stroked="f"/>
        </w:pict>
      </w:r>
    </w:p>
    <w:p w14:paraId="5A1B4125" w14:textId="77777777" w:rsidR="00960BB8" w:rsidRDefault="00C06650">
      <w:pPr>
        <w:jc w:val="right"/>
      </w:pPr>
      <w:hyperlink r:id="rId284" w:anchor="i8aaa7b4dbd2e419ca0f5c30af85a11aa_16" w:history="1">
        <w:r>
          <w:rPr>
            <w:rStyle w:val="a5"/>
            <w:rFonts w:ascii="Arial" w:eastAsia="宋体" w:hAnsi="Arial" w:cs="Arial"/>
            <w:b/>
            <w:bCs/>
            <w:sz w:val="16"/>
            <w:szCs w:val="16"/>
          </w:rPr>
          <w:t>Table of Contents</w:t>
        </w:r>
      </w:hyperlink>
    </w:p>
    <w:p w14:paraId="5A1B4126" w14:textId="77777777" w:rsidR="00960BB8" w:rsidRDefault="00960BB8">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960BB8" w14:paraId="5A1B412D" w14:textId="77777777">
        <w:tc>
          <w:tcPr>
            <w:tcW w:w="50" w:type="pct"/>
            <w:shd w:val="clear" w:color="auto" w:fill="auto"/>
            <w:vAlign w:val="bottom"/>
          </w:tcPr>
          <w:p w14:paraId="5A1B4127" w14:textId="77777777" w:rsidR="00960BB8" w:rsidRDefault="00960BB8">
            <w:pPr>
              <w:rPr>
                <w:rFonts w:ascii="宋体"/>
              </w:rPr>
            </w:pPr>
          </w:p>
        </w:tc>
        <w:tc>
          <w:tcPr>
            <w:tcW w:w="4870" w:type="pct"/>
            <w:shd w:val="clear" w:color="auto" w:fill="auto"/>
            <w:vAlign w:val="bottom"/>
          </w:tcPr>
          <w:p w14:paraId="5A1B4128" w14:textId="77777777" w:rsidR="00960BB8" w:rsidRDefault="00960BB8">
            <w:pPr>
              <w:rPr>
                <w:rFonts w:ascii="宋体"/>
              </w:rPr>
            </w:pPr>
          </w:p>
        </w:tc>
        <w:tc>
          <w:tcPr>
            <w:tcW w:w="5" w:type="pct"/>
            <w:shd w:val="clear" w:color="auto" w:fill="auto"/>
            <w:vAlign w:val="bottom"/>
          </w:tcPr>
          <w:p w14:paraId="5A1B4129" w14:textId="77777777" w:rsidR="00960BB8" w:rsidRDefault="00960BB8">
            <w:pPr>
              <w:rPr>
                <w:rFonts w:ascii="宋体"/>
              </w:rPr>
            </w:pPr>
          </w:p>
        </w:tc>
        <w:tc>
          <w:tcPr>
            <w:tcW w:w="5" w:type="pct"/>
            <w:shd w:val="clear" w:color="auto" w:fill="auto"/>
            <w:vAlign w:val="bottom"/>
          </w:tcPr>
          <w:p w14:paraId="5A1B412A" w14:textId="77777777" w:rsidR="00960BB8" w:rsidRDefault="00960BB8">
            <w:pPr>
              <w:rPr>
                <w:rFonts w:ascii="宋体"/>
              </w:rPr>
            </w:pPr>
          </w:p>
        </w:tc>
        <w:tc>
          <w:tcPr>
            <w:tcW w:w="64" w:type="pct"/>
            <w:shd w:val="clear" w:color="auto" w:fill="auto"/>
            <w:vAlign w:val="bottom"/>
          </w:tcPr>
          <w:p w14:paraId="5A1B412B" w14:textId="77777777" w:rsidR="00960BB8" w:rsidRDefault="00960BB8">
            <w:pPr>
              <w:rPr>
                <w:rFonts w:ascii="宋体"/>
              </w:rPr>
            </w:pPr>
          </w:p>
        </w:tc>
        <w:tc>
          <w:tcPr>
            <w:tcW w:w="5" w:type="pct"/>
            <w:shd w:val="clear" w:color="auto" w:fill="auto"/>
            <w:vAlign w:val="bottom"/>
          </w:tcPr>
          <w:p w14:paraId="5A1B412C" w14:textId="77777777" w:rsidR="00960BB8" w:rsidRDefault="00960BB8">
            <w:pPr>
              <w:rPr>
                <w:rFonts w:ascii="宋体"/>
              </w:rPr>
            </w:pPr>
          </w:p>
        </w:tc>
      </w:tr>
      <w:tr w:rsidR="00960BB8" w14:paraId="5A1B4130" w14:textId="77777777">
        <w:tc>
          <w:tcPr>
            <w:tcW w:w="0" w:type="auto"/>
            <w:gridSpan w:val="3"/>
            <w:shd w:val="clear" w:color="auto" w:fill="004A86"/>
            <w:tcMar>
              <w:top w:w="40" w:type="dxa"/>
              <w:left w:w="20" w:type="dxa"/>
              <w:bottom w:w="40" w:type="dxa"/>
              <w:right w:w="20" w:type="dxa"/>
            </w:tcMar>
            <w:vAlign w:val="center"/>
          </w:tcPr>
          <w:p w14:paraId="5A1B412E" w14:textId="77777777" w:rsidR="00960BB8" w:rsidRDefault="00C06650">
            <w:pPr>
              <w:textAlignment w:val="center"/>
            </w:pPr>
            <w:r>
              <w:rPr>
                <w:rFonts w:ascii="Arial" w:eastAsia="宋体" w:hAnsi="Arial" w:cs="Arial"/>
                <w:color w:val="FFFFFF"/>
                <w:sz w:val="36"/>
                <w:szCs w:val="36"/>
              </w:rPr>
              <w:t>Signatures</w:t>
            </w:r>
          </w:p>
        </w:tc>
        <w:tc>
          <w:tcPr>
            <w:tcW w:w="0" w:type="auto"/>
            <w:gridSpan w:val="3"/>
            <w:shd w:val="clear" w:color="auto" w:fill="auto"/>
            <w:tcMar>
              <w:top w:w="0" w:type="dxa"/>
              <w:left w:w="20" w:type="dxa"/>
              <w:bottom w:w="0" w:type="dxa"/>
              <w:right w:w="20" w:type="dxa"/>
            </w:tcMar>
            <w:vAlign w:val="bottom"/>
          </w:tcPr>
          <w:p w14:paraId="5A1B412F" w14:textId="77777777" w:rsidR="00960BB8" w:rsidRDefault="00960BB8">
            <w:pPr>
              <w:rPr>
                <w:rFonts w:ascii="宋体"/>
              </w:rPr>
            </w:pPr>
          </w:p>
        </w:tc>
      </w:tr>
      <w:tr w:rsidR="00960BB8" w14:paraId="5A1B4133" w14:textId="77777777">
        <w:trPr>
          <w:trHeight w:val="160"/>
        </w:trPr>
        <w:tc>
          <w:tcPr>
            <w:tcW w:w="0" w:type="auto"/>
            <w:gridSpan w:val="3"/>
            <w:shd w:val="clear" w:color="auto" w:fill="auto"/>
            <w:tcMar>
              <w:top w:w="0" w:type="dxa"/>
              <w:left w:w="20" w:type="dxa"/>
              <w:bottom w:w="0" w:type="dxa"/>
              <w:right w:w="20" w:type="dxa"/>
            </w:tcMar>
            <w:vAlign w:val="bottom"/>
          </w:tcPr>
          <w:p w14:paraId="5A1B4131" w14:textId="77777777" w:rsidR="00960BB8" w:rsidRDefault="00960BB8">
            <w:pPr>
              <w:rPr>
                <w:rFonts w:ascii="宋体"/>
              </w:rPr>
            </w:pPr>
          </w:p>
        </w:tc>
        <w:tc>
          <w:tcPr>
            <w:tcW w:w="0" w:type="auto"/>
            <w:gridSpan w:val="3"/>
            <w:shd w:val="clear" w:color="auto" w:fill="00A3F6"/>
            <w:tcMar>
              <w:top w:w="0" w:type="dxa"/>
              <w:left w:w="20" w:type="dxa"/>
              <w:bottom w:w="0" w:type="dxa"/>
              <w:right w:w="20" w:type="dxa"/>
            </w:tcMar>
            <w:vAlign w:val="bottom"/>
          </w:tcPr>
          <w:p w14:paraId="5A1B4132" w14:textId="77777777" w:rsidR="00960BB8" w:rsidRDefault="00960BB8">
            <w:pPr>
              <w:rPr>
                <w:rFonts w:ascii="宋体"/>
              </w:rPr>
            </w:pPr>
          </w:p>
        </w:tc>
      </w:tr>
    </w:tbl>
    <w:p w14:paraId="5A1B4134" w14:textId="77777777" w:rsidR="00960BB8" w:rsidRDefault="00C06650">
      <w:pPr>
        <w:spacing w:before="80" w:after="180"/>
      </w:pPr>
      <w:r>
        <w:rPr>
          <w:rFonts w:ascii="Arial" w:eastAsia="宋体" w:hAnsi="Arial" w:cs="Arial"/>
          <w:color w:val="262626"/>
          <w:sz w:val="18"/>
          <w:szCs w:val="18"/>
        </w:rPr>
        <w:t xml:space="preserve">Pursuant to the requirements of Section 13 or 15(d) of the Securities Exchange Act of 1934, the Registrant has duly caused this report to be signed on its behalf by the undersigned, thereunto duly authorized. </w:t>
      </w:r>
    </w:p>
    <w:tbl>
      <w:tblPr>
        <w:tblW w:w="4993" w:type="pct"/>
        <w:tblCellMar>
          <w:top w:w="15" w:type="dxa"/>
          <w:left w:w="15" w:type="dxa"/>
          <w:bottom w:w="15" w:type="dxa"/>
          <w:right w:w="15" w:type="dxa"/>
        </w:tblCellMar>
        <w:tblLook w:val="04A0" w:firstRow="1" w:lastRow="0" w:firstColumn="1" w:lastColumn="0" w:noHBand="0" w:noVBand="1"/>
      </w:tblPr>
      <w:tblGrid>
        <w:gridCol w:w="63"/>
        <w:gridCol w:w="3636"/>
        <w:gridCol w:w="36"/>
        <w:gridCol w:w="63"/>
        <w:gridCol w:w="343"/>
        <w:gridCol w:w="37"/>
        <w:gridCol w:w="37"/>
        <w:gridCol w:w="110"/>
        <w:gridCol w:w="36"/>
        <w:gridCol w:w="63"/>
        <w:gridCol w:w="3864"/>
        <w:gridCol w:w="36"/>
      </w:tblGrid>
      <w:tr w:rsidR="00960BB8" w14:paraId="5A1B4141" w14:textId="77777777">
        <w:tc>
          <w:tcPr>
            <w:tcW w:w="50" w:type="pct"/>
            <w:shd w:val="clear" w:color="auto" w:fill="auto"/>
            <w:vAlign w:val="bottom"/>
          </w:tcPr>
          <w:p w14:paraId="5A1B4135" w14:textId="77777777" w:rsidR="00960BB8" w:rsidRDefault="00960BB8">
            <w:pPr>
              <w:rPr>
                <w:rFonts w:ascii="宋体"/>
              </w:rPr>
            </w:pPr>
          </w:p>
        </w:tc>
        <w:tc>
          <w:tcPr>
            <w:tcW w:w="2195" w:type="pct"/>
            <w:shd w:val="clear" w:color="auto" w:fill="auto"/>
            <w:vAlign w:val="bottom"/>
          </w:tcPr>
          <w:p w14:paraId="5A1B4136" w14:textId="77777777" w:rsidR="00960BB8" w:rsidRDefault="00960BB8">
            <w:pPr>
              <w:rPr>
                <w:rFonts w:ascii="宋体"/>
              </w:rPr>
            </w:pPr>
          </w:p>
        </w:tc>
        <w:tc>
          <w:tcPr>
            <w:tcW w:w="5" w:type="pct"/>
            <w:shd w:val="clear" w:color="auto" w:fill="auto"/>
            <w:vAlign w:val="bottom"/>
          </w:tcPr>
          <w:p w14:paraId="5A1B4137" w14:textId="77777777" w:rsidR="00960BB8" w:rsidRDefault="00960BB8">
            <w:pPr>
              <w:rPr>
                <w:rFonts w:ascii="宋体"/>
              </w:rPr>
            </w:pPr>
          </w:p>
        </w:tc>
        <w:tc>
          <w:tcPr>
            <w:tcW w:w="50" w:type="pct"/>
            <w:shd w:val="clear" w:color="auto" w:fill="auto"/>
            <w:vAlign w:val="bottom"/>
          </w:tcPr>
          <w:p w14:paraId="5A1B4138" w14:textId="77777777" w:rsidR="00960BB8" w:rsidRDefault="00960BB8">
            <w:pPr>
              <w:rPr>
                <w:rFonts w:ascii="宋体"/>
              </w:rPr>
            </w:pPr>
          </w:p>
        </w:tc>
        <w:tc>
          <w:tcPr>
            <w:tcW w:w="218" w:type="pct"/>
            <w:shd w:val="clear" w:color="auto" w:fill="auto"/>
            <w:vAlign w:val="bottom"/>
          </w:tcPr>
          <w:p w14:paraId="5A1B4139" w14:textId="77777777" w:rsidR="00960BB8" w:rsidRDefault="00960BB8">
            <w:pPr>
              <w:rPr>
                <w:rFonts w:ascii="宋体"/>
              </w:rPr>
            </w:pPr>
          </w:p>
        </w:tc>
        <w:tc>
          <w:tcPr>
            <w:tcW w:w="5" w:type="pct"/>
            <w:shd w:val="clear" w:color="auto" w:fill="auto"/>
            <w:vAlign w:val="bottom"/>
          </w:tcPr>
          <w:p w14:paraId="5A1B413A" w14:textId="77777777" w:rsidR="00960BB8" w:rsidRDefault="00960BB8">
            <w:pPr>
              <w:rPr>
                <w:rFonts w:ascii="宋体"/>
              </w:rPr>
            </w:pPr>
          </w:p>
        </w:tc>
        <w:tc>
          <w:tcPr>
            <w:tcW w:w="5" w:type="pct"/>
            <w:shd w:val="clear" w:color="auto" w:fill="auto"/>
            <w:vAlign w:val="bottom"/>
          </w:tcPr>
          <w:p w14:paraId="5A1B413B" w14:textId="77777777" w:rsidR="00960BB8" w:rsidRDefault="00960BB8">
            <w:pPr>
              <w:rPr>
                <w:rFonts w:ascii="宋体"/>
              </w:rPr>
            </w:pPr>
          </w:p>
        </w:tc>
        <w:tc>
          <w:tcPr>
            <w:tcW w:w="78" w:type="pct"/>
            <w:shd w:val="clear" w:color="auto" w:fill="auto"/>
            <w:vAlign w:val="bottom"/>
          </w:tcPr>
          <w:p w14:paraId="5A1B413C" w14:textId="77777777" w:rsidR="00960BB8" w:rsidRDefault="00960BB8">
            <w:pPr>
              <w:rPr>
                <w:rFonts w:ascii="宋体"/>
              </w:rPr>
            </w:pPr>
          </w:p>
        </w:tc>
        <w:tc>
          <w:tcPr>
            <w:tcW w:w="5" w:type="pct"/>
            <w:shd w:val="clear" w:color="auto" w:fill="auto"/>
            <w:vAlign w:val="bottom"/>
          </w:tcPr>
          <w:p w14:paraId="5A1B413D" w14:textId="77777777" w:rsidR="00960BB8" w:rsidRDefault="00960BB8">
            <w:pPr>
              <w:rPr>
                <w:rFonts w:ascii="宋体"/>
              </w:rPr>
            </w:pPr>
          </w:p>
        </w:tc>
        <w:tc>
          <w:tcPr>
            <w:tcW w:w="50" w:type="pct"/>
            <w:shd w:val="clear" w:color="auto" w:fill="auto"/>
            <w:vAlign w:val="bottom"/>
          </w:tcPr>
          <w:p w14:paraId="5A1B413E" w14:textId="77777777" w:rsidR="00960BB8" w:rsidRDefault="00960BB8">
            <w:pPr>
              <w:rPr>
                <w:rFonts w:ascii="宋体"/>
              </w:rPr>
            </w:pPr>
          </w:p>
        </w:tc>
        <w:tc>
          <w:tcPr>
            <w:tcW w:w="2332" w:type="pct"/>
            <w:shd w:val="clear" w:color="auto" w:fill="auto"/>
            <w:vAlign w:val="bottom"/>
          </w:tcPr>
          <w:p w14:paraId="5A1B413F" w14:textId="77777777" w:rsidR="00960BB8" w:rsidRDefault="00960BB8">
            <w:pPr>
              <w:rPr>
                <w:rFonts w:ascii="宋体"/>
              </w:rPr>
            </w:pPr>
          </w:p>
        </w:tc>
        <w:tc>
          <w:tcPr>
            <w:tcW w:w="5" w:type="pct"/>
            <w:shd w:val="clear" w:color="auto" w:fill="auto"/>
            <w:vAlign w:val="bottom"/>
          </w:tcPr>
          <w:p w14:paraId="5A1B4140" w14:textId="77777777" w:rsidR="00960BB8" w:rsidRDefault="00960BB8">
            <w:pPr>
              <w:rPr>
                <w:rFonts w:ascii="宋体"/>
              </w:rPr>
            </w:pPr>
          </w:p>
        </w:tc>
      </w:tr>
      <w:tr w:rsidR="00960BB8" w14:paraId="5A1B4144" w14:textId="77777777">
        <w:tc>
          <w:tcPr>
            <w:tcW w:w="0" w:type="auto"/>
            <w:gridSpan w:val="3"/>
            <w:shd w:val="clear" w:color="auto" w:fill="auto"/>
            <w:tcMar>
              <w:top w:w="0" w:type="dxa"/>
              <w:left w:w="20" w:type="dxa"/>
              <w:bottom w:w="0" w:type="dxa"/>
              <w:right w:w="20" w:type="dxa"/>
            </w:tcMar>
            <w:vAlign w:val="bottom"/>
          </w:tcPr>
          <w:p w14:paraId="5A1B4142" w14:textId="77777777" w:rsidR="00960BB8" w:rsidRDefault="00960BB8">
            <w:pPr>
              <w:rPr>
                <w:rFonts w:ascii="宋体"/>
              </w:rPr>
            </w:pPr>
          </w:p>
        </w:tc>
        <w:tc>
          <w:tcPr>
            <w:tcW w:w="0" w:type="auto"/>
            <w:gridSpan w:val="9"/>
            <w:shd w:val="clear" w:color="auto" w:fill="auto"/>
            <w:tcMar>
              <w:top w:w="40" w:type="dxa"/>
              <w:left w:w="20" w:type="dxa"/>
              <w:bottom w:w="40" w:type="dxa"/>
              <w:right w:w="20" w:type="dxa"/>
            </w:tcMar>
            <w:vAlign w:val="bottom"/>
          </w:tcPr>
          <w:p w14:paraId="5A1B4143" w14:textId="77777777" w:rsidR="00960BB8" w:rsidRDefault="00C06650">
            <w:pPr>
              <w:textAlignment w:val="bottom"/>
            </w:pPr>
            <w:r>
              <w:rPr>
                <w:rFonts w:ascii="Arial" w:eastAsia="宋体" w:hAnsi="Arial" w:cs="Arial"/>
                <w:color w:val="262626"/>
                <w:sz w:val="18"/>
                <w:szCs w:val="18"/>
              </w:rPr>
              <w:t>INTEL CORPORATION</w:t>
            </w:r>
            <w:r>
              <w:rPr>
                <w:rFonts w:ascii="Arial" w:eastAsia="宋体" w:hAnsi="Arial" w:cs="Arial"/>
                <w:color w:val="262626"/>
                <w:sz w:val="18"/>
                <w:szCs w:val="18"/>
              </w:rPr>
              <w:br/>
            </w:r>
            <w:r>
              <w:rPr>
                <w:rFonts w:ascii="Arial" w:eastAsia="宋体" w:hAnsi="Arial" w:cs="Arial"/>
                <w:color w:val="262626"/>
                <w:sz w:val="18"/>
                <w:szCs w:val="18"/>
              </w:rPr>
              <w:t>Registrant</w:t>
            </w:r>
          </w:p>
        </w:tc>
      </w:tr>
      <w:tr w:rsidR="00960BB8" w14:paraId="5A1B4149" w14:textId="77777777">
        <w:trPr>
          <w:trHeight w:val="120"/>
        </w:trPr>
        <w:tc>
          <w:tcPr>
            <w:tcW w:w="0" w:type="auto"/>
            <w:gridSpan w:val="3"/>
            <w:shd w:val="clear" w:color="auto" w:fill="auto"/>
            <w:tcMar>
              <w:top w:w="0" w:type="dxa"/>
              <w:left w:w="20" w:type="dxa"/>
              <w:bottom w:w="0" w:type="dxa"/>
              <w:right w:w="20" w:type="dxa"/>
            </w:tcMar>
            <w:vAlign w:val="bottom"/>
          </w:tcPr>
          <w:p w14:paraId="5A1B414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4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4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48" w14:textId="77777777" w:rsidR="00960BB8" w:rsidRDefault="00960BB8">
            <w:pPr>
              <w:rPr>
                <w:rFonts w:ascii="宋体"/>
              </w:rPr>
            </w:pPr>
          </w:p>
        </w:tc>
      </w:tr>
      <w:tr w:rsidR="00960BB8" w14:paraId="5A1B414E" w14:textId="77777777">
        <w:tc>
          <w:tcPr>
            <w:tcW w:w="0" w:type="auto"/>
            <w:gridSpan w:val="3"/>
            <w:shd w:val="clear" w:color="auto" w:fill="auto"/>
            <w:tcMar>
              <w:top w:w="0" w:type="dxa"/>
              <w:left w:w="20" w:type="dxa"/>
              <w:bottom w:w="0" w:type="dxa"/>
              <w:right w:w="20" w:type="dxa"/>
            </w:tcMar>
            <w:vAlign w:val="bottom"/>
          </w:tcPr>
          <w:p w14:paraId="5A1B414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14B" w14:textId="77777777" w:rsidR="00960BB8" w:rsidRDefault="00C06650">
            <w:pPr>
              <w:textAlignment w:val="top"/>
            </w:pPr>
            <w:r>
              <w:rPr>
                <w:rFonts w:ascii="Arial" w:eastAsia="宋体" w:hAnsi="Arial" w:cs="Arial"/>
                <w:color w:val="262626"/>
                <w:sz w:val="18"/>
                <w:szCs w:val="18"/>
              </w:rPr>
              <w:t>By:</w:t>
            </w:r>
          </w:p>
        </w:tc>
        <w:tc>
          <w:tcPr>
            <w:tcW w:w="0" w:type="auto"/>
            <w:gridSpan w:val="3"/>
            <w:shd w:val="clear" w:color="auto" w:fill="auto"/>
            <w:tcMar>
              <w:top w:w="0" w:type="dxa"/>
              <w:left w:w="20" w:type="dxa"/>
              <w:bottom w:w="0" w:type="dxa"/>
              <w:right w:w="20" w:type="dxa"/>
            </w:tcMar>
            <w:vAlign w:val="bottom"/>
          </w:tcPr>
          <w:p w14:paraId="5A1B414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4D" w14:textId="77777777" w:rsidR="00960BB8" w:rsidRDefault="00C06650">
            <w:pPr>
              <w:textAlignment w:val="bottom"/>
            </w:pPr>
            <w:r>
              <w:rPr>
                <w:rFonts w:ascii="Arial" w:eastAsia="宋体" w:hAnsi="Arial" w:cs="Arial"/>
                <w:color w:val="262626"/>
                <w:sz w:val="18"/>
                <w:szCs w:val="18"/>
              </w:rPr>
              <w:t>/s/ PATRICK P. GELSINGER</w:t>
            </w:r>
          </w:p>
        </w:tc>
      </w:tr>
      <w:tr w:rsidR="00960BB8" w14:paraId="5A1B4153" w14:textId="77777777">
        <w:tc>
          <w:tcPr>
            <w:tcW w:w="0" w:type="auto"/>
            <w:gridSpan w:val="3"/>
            <w:shd w:val="clear" w:color="auto" w:fill="auto"/>
            <w:tcMar>
              <w:top w:w="0" w:type="dxa"/>
              <w:left w:w="20" w:type="dxa"/>
              <w:bottom w:w="0" w:type="dxa"/>
              <w:right w:w="20" w:type="dxa"/>
            </w:tcMar>
            <w:vAlign w:val="bottom"/>
          </w:tcPr>
          <w:p w14:paraId="5A1B414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50" w14:textId="77777777" w:rsidR="00960BB8" w:rsidRDefault="00960BB8">
            <w:pPr>
              <w:rPr>
                <w:rFonts w:ascii="宋体"/>
              </w:rPr>
            </w:pPr>
          </w:p>
        </w:tc>
        <w:tc>
          <w:tcPr>
            <w:tcW w:w="0" w:type="auto"/>
            <w:gridSpan w:val="3"/>
            <w:tcBorders>
              <w:top w:val="single" w:sz="4" w:space="0" w:color="333333"/>
            </w:tcBorders>
            <w:shd w:val="clear" w:color="auto" w:fill="auto"/>
            <w:tcMar>
              <w:top w:w="0" w:type="dxa"/>
              <w:left w:w="20" w:type="dxa"/>
              <w:bottom w:w="0" w:type="dxa"/>
              <w:right w:w="20" w:type="dxa"/>
            </w:tcMar>
            <w:vAlign w:val="bottom"/>
          </w:tcPr>
          <w:p w14:paraId="5A1B4151"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B4152" w14:textId="77777777" w:rsidR="00960BB8" w:rsidRDefault="00C06650">
            <w:pPr>
              <w:textAlignment w:val="bottom"/>
            </w:pPr>
            <w:r>
              <w:rPr>
                <w:rFonts w:ascii="Arial" w:eastAsia="宋体" w:hAnsi="Arial" w:cs="Arial"/>
                <w:color w:val="262626"/>
                <w:sz w:val="18"/>
                <w:szCs w:val="18"/>
              </w:rPr>
              <w:t>Patrick P. Gelsinger</w:t>
            </w:r>
          </w:p>
        </w:tc>
      </w:tr>
      <w:tr w:rsidR="00960BB8" w14:paraId="5A1B4158" w14:textId="77777777">
        <w:tc>
          <w:tcPr>
            <w:tcW w:w="0" w:type="auto"/>
            <w:gridSpan w:val="3"/>
            <w:shd w:val="clear" w:color="auto" w:fill="auto"/>
            <w:tcMar>
              <w:top w:w="0" w:type="dxa"/>
              <w:left w:w="20" w:type="dxa"/>
              <w:bottom w:w="0" w:type="dxa"/>
              <w:right w:w="20" w:type="dxa"/>
            </w:tcMar>
            <w:vAlign w:val="bottom"/>
          </w:tcPr>
          <w:p w14:paraId="5A1B415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5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5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57" w14:textId="77777777" w:rsidR="00960BB8" w:rsidRDefault="00C06650">
            <w:pPr>
              <w:textAlignment w:val="bottom"/>
            </w:pPr>
            <w:r>
              <w:rPr>
                <w:rFonts w:ascii="Arial" w:eastAsia="宋体" w:hAnsi="Arial" w:cs="Arial"/>
                <w:color w:val="262626"/>
                <w:sz w:val="18"/>
                <w:szCs w:val="18"/>
              </w:rPr>
              <w:t>Chief Executive Officer, Director, and Principal Executive Officer</w:t>
            </w:r>
          </w:p>
        </w:tc>
      </w:tr>
      <w:tr w:rsidR="00960BB8" w14:paraId="5A1B415D" w14:textId="77777777">
        <w:tc>
          <w:tcPr>
            <w:tcW w:w="0" w:type="auto"/>
            <w:gridSpan w:val="3"/>
            <w:shd w:val="clear" w:color="auto" w:fill="auto"/>
            <w:tcMar>
              <w:top w:w="0" w:type="dxa"/>
              <w:left w:w="20" w:type="dxa"/>
              <w:bottom w:w="0" w:type="dxa"/>
              <w:right w:w="20" w:type="dxa"/>
            </w:tcMar>
            <w:vAlign w:val="bottom"/>
          </w:tcPr>
          <w:p w14:paraId="5A1B415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5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5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5C" w14:textId="77777777" w:rsidR="00960BB8" w:rsidRDefault="00C06650">
            <w:pPr>
              <w:textAlignment w:val="bottom"/>
            </w:pPr>
            <w:r>
              <w:rPr>
                <w:rFonts w:ascii="Arial" w:eastAsia="宋体" w:hAnsi="Arial" w:cs="Arial"/>
                <w:color w:val="262626"/>
                <w:sz w:val="18"/>
                <w:szCs w:val="18"/>
              </w:rPr>
              <w:t>January 26, 2023</w:t>
            </w:r>
          </w:p>
        </w:tc>
      </w:tr>
    </w:tbl>
    <w:p w14:paraId="5A1B415E" w14:textId="77777777" w:rsidR="00960BB8" w:rsidRDefault="00C06650">
      <w:pPr>
        <w:spacing w:after="180"/>
      </w:pPr>
      <w:r>
        <w:rPr>
          <w:rFonts w:ascii="Arial" w:eastAsia="宋体" w:hAnsi="Arial" w:cs="Arial"/>
          <w:color w:val="262626"/>
          <w:sz w:val="18"/>
          <w:szCs w:val="18"/>
        </w:rPr>
        <w:t xml:space="preserve">Pursuant to the requirements of the Securities Exchange Act of 1934, this report has </w:t>
      </w:r>
      <w:r>
        <w:rPr>
          <w:rFonts w:ascii="Arial" w:eastAsia="宋体" w:hAnsi="Arial" w:cs="Arial"/>
          <w:color w:val="262626"/>
          <w:sz w:val="18"/>
          <w:szCs w:val="18"/>
        </w:rPr>
        <w:t>been signed below by the following persons on behalf of the Registrant and in the capacities and on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6"/>
        <w:gridCol w:w="98"/>
        <w:gridCol w:w="36"/>
        <w:gridCol w:w="51"/>
        <w:gridCol w:w="3852"/>
        <w:gridCol w:w="36"/>
        <w:gridCol w:w="36"/>
        <w:gridCol w:w="36"/>
        <w:gridCol w:w="36"/>
        <w:gridCol w:w="36"/>
        <w:gridCol w:w="94"/>
        <w:gridCol w:w="36"/>
        <w:gridCol w:w="52"/>
        <w:gridCol w:w="3853"/>
        <w:gridCol w:w="36"/>
      </w:tblGrid>
      <w:tr w:rsidR="00960BB8" w14:paraId="5A1B416E" w14:textId="77777777">
        <w:tc>
          <w:tcPr>
            <w:tcW w:w="5" w:type="pct"/>
            <w:shd w:val="clear" w:color="auto" w:fill="auto"/>
            <w:vAlign w:val="bottom"/>
          </w:tcPr>
          <w:p w14:paraId="5A1B415F" w14:textId="77777777" w:rsidR="00960BB8" w:rsidRDefault="00960BB8">
            <w:pPr>
              <w:rPr>
                <w:rFonts w:ascii="宋体"/>
              </w:rPr>
            </w:pPr>
          </w:p>
        </w:tc>
        <w:tc>
          <w:tcPr>
            <w:tcW w:w="78" w:type="pct"/>
            <w:shd w:val="clear" w:color="auto" w:fill="auto"/>
            <w:vAlign w:val="bottom"/>
          </w:tcPr>
          <w:p w14:paraId="5A1B4160" w14:textId="77777777" w:rsidR="00960BB8" w:rsidRDefault="00960BB8">
            <w:pPr>
              <w:rPr>
                <w:rFonts w:ascii="宋体"/>
              </w:rPr>
            </w:pPr>
          </w:p>
        </w:tc>
        <w:tc>
          <w:tcPr>
            <w:tcW w:w="5" w:type="pct"/>
            <w:shd w:val="clear" w:color="auto" w:fill="auto"/>
            <w:vAlign w:val="bottom"/>
          </w:tcPr>
          <w:p w14:paraId="5A1B4161" w14:textId="77777777" w:rsidR="00960BB8" w:rsidRDefault="00960BB8">
            <w:pPr>
              <w:rPr>
                <w:rFonts w:ascii="宋体"/>
              </w:rPr>
            </w:pPr>
          </w:p>
        </w:tc>
        <w:tc>
          <w:tcPr>
            <w:tcW w:w="50" w:type="pct"/>
            <w:shd w:val="clear" w:color="auto" w:fill="auto"/>
            <w:vAlign w:val="bottom"/>
          </w:tcPr>
          <w:p w14:paraId="5A1B4162" w14:textId="77777777" w:rsidR="00960BB8" w:rsidRDefault="00960BB8">
            <w:pPr>
              <w:rPr>
                <w:rFonts w:ascii="宋体"/>
              </w:rPr>
            </w:pPr>
          </w:p>
        </w:tc>
        <w:tc>
          <w:tcPr>
            <w:tcW w:w="2332" w:type="pct"/>
            <w:shd w:val="clear" w:color="auto" w:fill="auto"/>
            <w:vAlign w:val="bottom"/>
          </w:tcPr>
          <w:p w14:paraId="5A1B4163" w14:textId="77777777" w:rsidR="00960BB8" w:rsidRDefault="00960BB8">
            <w:pPr>
              <w:rPr>
                <w:rFonts w:ascii="宋体"/>
              </w:rPr>
            </w:pPr>
          </w:p>
        </w:tc>
        <w:tc>
          <w:tcPr>
            <w:tcW w:w="5" w:type="pct"/>
            <w:shd w:val="clear" w:color="auto" w:fill="auto"/>
            <w:vAlign w:val="bottom"/>
          </w:tcPr>
          <w:p w14:paraId="5A1B4164" w14:textId="77777777" w:rsidR="00960BB8" w:rsidRDefault="00960BB8">
            <w:pPr>
              <w:rPr>
                <w:rFonts w:ascii="宋体"/>
              </w:rPr>
            </w:pPr>
          </w:p>
        </w:tc>
        <w:tc>
          <w:tcPr>
            <w:tcW w:w="5" w:type="pct"/>
            <w:shd w:val="clear" w:color="auto" w:fill="auto"/>
            <w:vAlign w:val="bottom"/>
          </w:tcPr>
          <w:p w14:paraId="5A1B4165" w14:textId="77777777" w:rsidR="00960BB8" w:rsidRDefault="00960BB8">
            <w:pPr>
              <w:rPr>
                <w:rFonts w:ascii="宋体"/>
              </w:rPr>
            </w:pPr>
          </w:p>
        </w:tc>
        <w:tc>
          <w:tcPr>
            <w:tcW w:w="37" w:type="pct"/>
            <w:shd w:val="clear" w:color="auto" w:fill="auto"/>
            <w:vAlign w:val="bottom"/>
          </w:tcPr>
          <w:p w14:paraId="5A1B4166" w14:textId="77777777" w:rsidR="00960BB8" w:rsidRDefault="00960BB8">
            <w:pPr>
              <w:rPr>
                <w:rFonts w:ascii="宋体"/>
              </w:rPr>
            </w:pPr>
          </w:p>
        </w:tc>
        <w:tc>
          <w:tcPr>
            <w:tcW w:w="5" w:type="pct"/>
            <w:shd w:val="clear" w:color="auto" w:fill="auto"/>
            <w:vAlign w:val="bottom"/>
          </w:tcPr>
          <w:p w14:paraId="5A1B4167" w14:textId="77777777" w:rsidR="00960BB8" w:rsidRDefault="00960BB8">
            <w:pPr>
              <w:rPr>
                <w:rFonts w:ascii="宋体"/>
              </w:rPr>
            </w:pPr>
          </w:p>
        </w:tc>
        <w:tc>
          <w:tcPr>
            <w:tcW w:w="5" w:type="pct"/>
            <w:shd w:val="clear" w:color="auto" w:fill="auto"/>
            <w:vAlign w:val="bottom"/>
          </w:tcPr>
          <w:p w14:paraId="5A1B4168" w14:textId="77777777" w:rsidR="00960BB8" w:rsidRDefault="00960BB8">
            <w:pPr>
              <w:rPr>
                <w:rFonts w:ascii="宋体"/>
              </w:rPr>
            </w:pPr>
          </w:p>
        </w:tc>
        <w:tc>
          <w:tcPr>
            <w:tcW w:w="78" w:type="pct"/>
            <w:shd w:val="clear" w:color="auto" w:fill="auto"/>
            <w:vAlign w:val="bottom"/>
          </w:tcPr>
          <w:p w14:paraId="5A1B4169" w14:textId="77777777" w:rsidR="00960BB8" w:rsidRDefault="00960BB8">
            <w:pPr>
              <w:rPr>
                <w:rFonts w:ascii="宋体"/>
              </w:rPr>
            </w:pPr>
          </w:p>
        </w:tc>
        <w:tc>
          <w:tcPr>
            <w:tcW w:w="5" w:type="pct"/>
            <w:shd w:val="clear" w:color="auto" w:fill="auto"/>
            <w:vAlign w:val="bottom"/>
          </w:tcPr>
          <w:p w14:paraId="5A1B416A" w14:textId="77777777" w:rsidR="00960BB8" w:rsidRDefault="00960BB8">
            <w:pPr>
              <w:rPr>
                <w:rFonts w:ascii="宋体"/>
              </w:rPr>
            </w:pPr>
          </w:p>
        </w:tc>
        <w:tc>
          <w:tcPr>
            <w:tcW w:w="50" w:type="pct"/>
            <w:shd w:val="clear" w:color="auto" w:fill="auto"/>
            <w:vAlign w:val="bottom"/>
          </w:tcPr>
          <w:p w14:paraId="5A1B416B" w14:textId="77777777" w:rsidR="00960BB8" w:rsidRDefault="00960BB8">
            <w:pPr>
              <w:rPr>
                <w:rFonts w:ascii="宋体"/>
              </w:rPr>
            </w:pPr>
          </w:p>
        </w:tc>
        <w:tc>
          <w:tcPr>
            <w:tcW w:w="2332" w:type="pct"/>
            <w:shd w:val="clear" w:color="auto" w:fill="auto"/>
            <w:vAlign w:val="bottom"/>
          </w:tcPr>
          <w:p w14:paraId="5A1B416C" w14:textId="77777777" w:rsidR="00960BB8" w:rsidRDefault="00960BB8">
            <w:pPr>
              <w:rPr>
                <w:rFonts w:ascii="宋体"/>
              </w:rPr>
            </w:pPr>
          </w:p>
        </w:tc>
        <w:tc>
          <w:tcPr>
            <w:tcW w:w="5" w:type="pct"/>
            <w:shd w:val="clear" w:color="auto" w:fill="auto"/>
            <w:vAlign w:val="bottom"/>
          </w:tcPr>
          <w:p w14:paraId="5A1B416D" w14:textId="77777777" w:rsidR="00960BB8" w:rsidRDefault="00960BB8">
            <w:pPr>
              <w:rPr>
                <w:rFonts w:ascii="宋体"/>
              </w:rPr>
            </w:pPr>
          </w:p>
        </w:tc>
      </w:tr>
      <w:tr w:rsidR="00960BB8" w14:paraId="5A1B4174" w14:textId="77777777">
        <w:tc>
          <w:tcPr>
            <w:tcW w:w="0" w:type="auto"/>
            <w:gridSpan w:val="3"/>
            <w:shd w:val="clear" w:color="auto" w:fill="auto"/>
            <w:tcMar>
              <w:top w:w="0" w:type="dxa"/>
              <w:left w:w="20" w:type="dxa"/>
              <w:bottom w:w="0" w:type="dxa"/>
              <w:right w:w="20" w:type="dxa"/>
            </w:tcMar>
            <w:vAlign w:val="bottom"/>
          </w:tcPr>
          <w:p w14:paraId="5A1B416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70" w14:textId="77777777" w:rsidR="00960BB8" w:rsidRDefault="00C06650">
            <w:pPr>
              <w:textAlignment w:val="bottom"/>
            </w:pPr>
            <w:r>
              <w:rPr>
                <w:rFonts w:ascii="Arial" w:eastAsia="宋体" w:hAnsi="Arial" w:cs="Arial"/>
                <w:color w:val="262626"/>
                <w:sz w:val="18"/>
                <w:szCs w:val="18"/>
              </w:rPr>
              <w:t>/s/ PATRICK P. GELSINGER</w:t>
            </w:r>
          </w:p>
        </w:tc>
        <w:tc>
          <w:tcPr>
            <w:tcW w:w="0" w:type="auto"/>
            <w:gridSpan w:val="3"/>
            <w:shd w:val="clear" w:color="auto" w:fill="auto"/>
            <w:tcMar>
              <w:top w:w="0" w:type="dxa"/>
              <w:left w:w="20" w:type="dxa"/>
              <w:bottom w:w="0" w:type="dxa"/>
              <w:right w:w="20" w:type="dxa"/>
            </w:tcMar>
            <w:vAlign w:val="bottom"/>
          </w:tcPr>
          <w:p w14:paraId="5A1B417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7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73" w14:textId="77777777" w:rsidR="00960BB8" w:rsidRDefault="00C06650">
            <w:pPr>
              <w:textAlignment w:val="bottom"/>
            </w:pPr>
            <w:r>
              <w:rPr>
                <w:rFonts w:ascii="Arial" w:eastAsia="宋体" w:hAnsi="Arial" w:cs="Arial"/>
                <w:color w:val="262626"/>
                <w:sz w:val="18"/>
                <w:szCs w:val="18"/>
              </w:rPr>
              <w:t>/s/    DAVID ZINSNER</w:t>
            </w:r>
          </w:p>
        </w:tc>
      </w:tr>
      <w:tr w:rsidR="00960BB8" w14:paraId="5A1B417A" w14:textId="77777777">
        <w:tc>
          <w:tcPr>
            <w:tcW w:w="0" w:type="auto"/>
            <w:gridSpan w:val="3"/>
            <w:tcBorders>
              <w:top w:val="single" w:sz="4" w:space="0" w:color="333333"/>
            </w:tcBorders>
            <w:shd w:val="clear" w:color="auto" w:fill="auto"/>
            <w:tcMar>
              <w:top w:w="0" w:type="dxa"/>
              <w:left w:w="20" w:type="dxa"/>
              <w:bottom w:w="0" w:type="dxa"/>
              <w:right w:w="20" w:type="dxa"/>
            </w:tcMar>
            <w:vAlign w:val="bottom"/>
          </w:tcPr>
          <w:p w14:paraId="5A1B4175"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B4176" w14:textId="77777777" w:rsidR="00960BB8" w:rsidRDefault="00C06650">
            <w:pPr>
              <w:textAlignment w:val="bottom"/>
            </w:pPr>
            <w:r>
              <w:rPr>
                <w:rFonts w:ascii="Arial" w:eastAsia="宋体" w:hAnsi="Arial" w:cs="Arial"/>
                <w:color w:val="262626"/>
                <w:sz w:val="18"/>
                <w:szCs w:val="18"/>
              </w:rPr>
              <w:t>Patrick P. Gelsinger</w:t>
            </w:r>
          </w:p>
        </w:tc>
        <w:tc>
          <w:tcPr>
            <w:tcW w:w="0" w:type="auto"/>
            <w:gridSpan w:val="3"/>
            <w:shd w:val="clear" w:color="auto" w:fill="auto"/>
            <w:tcMar>
              <w:top w:w="0" w:type="dxa"/>
              <w:left w:w="20" w:type="dxa"/>
              <w:bottom w:w="0" w:type="dxa"/>
              <w:right w:w="20" w:type="dxa"/>
            </w:tcMar>
            <w:vAlign w:val="bottom"/>
          </w:tcPr>
          <w:p w14:paraId="5A1B4177"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178"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B4179" w14:textId="77777777" w:rsidR="00960BB8" w:rsidRDefault="00C06650">
            <w:pPr>
              <w:textAlignment w:val="bottom"/>
            </w:pPr>
            <w:r>
              <w:rPr>
                <w:rFonts w:ascii="Arial" w:eastAsia="宋体" w:hAnsi="Arial" w:cs="Arial"/>
                <w:color w:val="262626"/>
                <w:sz w:val="18"/>
                <w:szCs w:val="18"/>
              </w:rPr>
              <w:t>David Zinsner</w:t>
            </w:r>
          </w:p>
        </w:tc>
      </w:tr>
      <w:tr w:rsidR="00960BB8" w14:paraId="5A1B4180" w14:textId="77777777">
        <w:tc>
          <w:tcPr>
            <w:tcW w:w="0" w:type="auto"/>
            <w:gridSpan w:val="3"/>
            <w:shd w:val="clear" w:color="auto" w:fill="auto"/>
            <w:tcMar>
              <w:top w:w="0" w:type="dxa"/>
              <w:left w:w="20" w:type="dxa"/>
              <w:bottom w:w="0" w:type="dxa"/>
              <w:right w:w="20" w:type="dxa"/>
            </w:tcMar>
            <w:vAlign w:val="bottom"/>
          </w:tcPr>
          <w:p w14:paraId="5A1B417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17C" w14:textId="77777777" w:rsidR="00960BB8" w:rsidRDefault="00C06650">
            <w:pPr>
              <w:textAlignment w:val="top"/>
            </w:pPr>
            <w:r>
              <w:rPr>
                <w:rFonts w:ascii="Arial" w:eastAsia="宋体" w:hAnsi="Arial" w:cs="Arial"/>
                <w:color w:val="262626"/>
                <w:sz w:val="18"/>
                <w:szCs w:val="18"/>
              </w:rPr>
              <w:t xml:space="preserve">Chief Executive </w:t>
            </w:r>
            <w:r>
              <w:rPr>
                <w:rFonts w:ascii="Arial" w:eastAsia="宋体" w:hAnsi="Arial" w:cs="Arial"/>
                <w:color w:val="262626"/>
                <w:sz w:val="18"/>
                <w:szCs w:val="18"/>
              </w:rPr>
              <w:t>Officer, Director, and Principal Executive Officer</w:t>
            </w:r>
          </w:p>
        </w:tc>
        <w:tc>
          <w:tcPr>
            <w:tcW w:w="0" w:type="auto"/>
            <w:gridSpan w:val="3"/>
            <w:shd w:val="clear" w:color="auto" w:fill="auto"/>
            <w:tcMar>
              <w:top w:w="0" w:type="dxa"/>
              <w:left w:w="20" w:type="dxa"/>
              <w:bottom w:w="0" w:type="dxa"/>
              <w:right w:w="20" w:type="dxa"/>
            </w:tcMar>
            <w:vAlign w:val="bottom"/>
          </w:tcPr>
          <w:p w14:paraId="5A1B417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7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17F" w14:textId="77777777" w:rsidR="00960BB8" w:rsidRDefault="00C06650">
            <w:pPr>
              <w:textAlignment w:val="top"/>
            </w:pPr>
            <w:r>
              <w:rPr>
                <w:rFonts w:ascii="Arial" w:eastAsia="宋体" w:hAnsi="Arial" w:cs="Arial"/>
                <w:color w:val="262626"/>
                <w:sz w:val="18"/>
                <w:szCs w:val="18"/>
              </w:rPr>
              <w:t>Executive Vice President, Chief Financial Officer, and Principal</w:t>
            </w:r>
          </w:p>
        </w:tc>
      </w:tr>
      <w:tr w:rsidR="00960BB8" w14:paraId="5A1B4186" w14:textId="77777777">
        <w:tc>
          <w:tcPr>
            <w:tcW w:w="0" w:type="auto"/>
            <w:gridSpan w:val="3"/>
            <w:shd w:val="clear" w:color="auto" w:fill="auto"/>
            <w:tcMar>
              <w:top w:w="0" w:type="dxa"/>
              <w:left w:w="20" w:type="dxa"/>
              <w:bottom w:w="0" w:type="dxa"/>
              <w:right w:w="20" w:type="dxa"/>
            </w:tcMar>
            <w:vAlign w:val="bottom"/>
          </w:tcPr>
          <w:p w14:paraId="5A1B418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82"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8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8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185" w14:textId="77777777" w:rsidR="00960BB8" w:rsidRDefault="00C06650">
            <w:pPr>
              <w:textAlignment w:val="top"/>
            </w:pPr>
            <w:r>
              <w:rPr>
                <w:rFonts w:ascii="Arial" w:eastAsia="宋体" w:hAnsi="Arial" w:cs="Arial"/>
                <w:color w:val="262626"/>
                <w:sz w:val="18"/>
                <w:szCs w:val="18"/>
              </w:rPr>
              <w:t>Financial Officer</w:t>
            </w:r>
          </w:p>
        </w:tc>
      </w:tr>
      <w:tr w:rsidR="00960BB8" w14:paraId="5A1B418C" w14:textId="77777777">
        <w:tc>
          <w:tcPr>
            <w:tcW w:w="0" w:type="auto"/>
            <w:gridSpan w:val="3"/>
            <w:shd w:val="clear" w:color="auto" w:fill="auto"/>
            <w:tcMar>
              <w:top w:w="0" w:type="dxa"/>
              <w:left w:w="20" w:type="dxa"/>
              <w:bottom w:w="0" w:type="dxa"/>
              <w:right w:w="20" w:type="dxa"/>
            </w:tcMar>
            <w:vAlign w:val="bottom"/>
          </w:tcPr>
          <w:p w14:paraId="5A1B418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B4188" w14:textId="77777777" w:rsidR="00960BB8" w:rsidRDefault="00C06650">
            <w:pPr>
              <w:textAlignment w:val="center"/>
            </w:pPr>
            <w:r>
              <w:rPr>
                <w:rFonts w:ascii="Arial" w:eastAsia="宋体" w:hAnsi="Arial" w:cs="Arial"/>
                <w:color w:val="262626"/>
                <w:sz w:val="18"/>
                <w:szCs w:val="18"/>
              </w:rPr>
              <w:t>January 26, 2023</w:t>
            </w:r>
          </w:p>
        </w:tc>
        <w:tc>
          <w:tcPr>
            <w:tcW w:w="0" w:type="auto"/>
            <w:gridSpan w:val="3"/>
            <w:shd w:val="clear" w:color="auto" w:fill="auto"/>
            <w:tcMar>
              <w:top w:w="0" w:type="dxa"/>
              <w:left w:w="20" w:type="dxa"/>
              <w:bottom w:w="0" w:type="dxa"/>
              <w:right w:w="20" w:type="dxa"/>
            </w:tcMar>
            <w:vAlign w:val="bottom"/>
          </w:tcPr>
          <w:p w14:paraId="5A1B418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8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18B" w14:textId="77777777" w:rsidR="00960BB8" w:rsidRDefault="00C06650">
            <w:pPr>
              <w:textAlignment w:val="top"/>
            </w:pPr>
            <w:r>
              <w:rPr>
                <w:rFonts w:ascii="Arial" w:eastAsia="宋体" w:hAnsi="Arial" w:cs="Arial"/>
                <w:color w:val="262626"/>
                <w:sz w:val="18"/>
                <w:szCs w:val="18"/>
              </w:rPr>
              <w:t>January 26, 2023</w:t>
            </w:r>
          </w:p>
        </w:tc>
      </w:tr>
      <w:tr w:rsidR="00960BB8" w14:paraId="5A1B4192" w14:textId="77777777">
        <w:trPr>
          <w:hidden/>
        </w:trPr>
        <w:tc>
          <w:tcPr>
            <w:tcW w:w="0" w:type="auto"/>
            <w:gridSpan w:val="3"/>
            <w:shd w:val="clear" w:color="auto" w:fill="auto"/>
            <w:vAlign w:val="bottom"/>
          </w:tcPr>
          <w:p w14:paraId="5A1B418D" w14:textId="77777777" w:rsidR="00960BB8" w:rsidRDefault="00960BB8">
            <w:pPr>
              <w:rPr>
                <w:rFonts w:ascii="宋体"/>
                <w:vanish/>
              </w:rPr>
            </w:pPr>
          </w:p>
        </w:tc>
        <w:tc>
          <w:tcPr>
            <w:tcW w:w="0" w:type="auto"/>
            <w:gridSpan w:val="3"/>
            <w:shd w:val="clear" w:color="auto" w:fill="auto"/>
            <w:vAlign w:val="bottom"/>
          </w:tcPr>
          <w:p w14:paraId="5A1B418E" w14:textId="77777777" w:rsidR="00960BB8" w:rsidRDefault="00960BB8">
            <w:pPr>
              <w:rPr>
                <w:rFonts w:ascii="宋体"/>
                <w:vanish/>
              </w:rPr>
            </w:pPr>
          </w:p>
        </w:tc>
        <w:tc>
          <w:tcPr>
            <w:tcW w:w="0" w:type="auto"/>
            <w:gridSpan w:val="3"/>
            <w:shd w:val="clear" w:color="auto" w:fill="auto"/>
            <w:vAlign w:val="bottom"/>
          </w:tcPr>
          <w:p w14:paraId="5A1B418F" w14:textId="77777777" w:rsidR="00960BB8" w:rsidRDefault="00960BB8">
            <w:pPr>
              <w:rPr>
                <w:rFonts w:ascii="宋体"/>
                <w:vanish/>
              </w:rPr>
            </w:pPr>
          </w:p>
        </w:tc>
        <w:tc>
          <w:tcPr>
            <w:tcW w:w="0" w:type="auto"/>
            <w:gridSpan w:val="3"/>
            <w:shd w:val="clear" w:color="auto" w:fill="auto"/>
            <w:vAlign w:val="bottom"/>
          </w:tcPr>
          <w:p w14:paraId="5A1B4190" w14:textId="77777777" w:rsidR="00960BB8" w:rsidRDefault="00960BB8">
            <w:pPr>
              <w:rPr>
                <w:rFonts w:ascii="宋体"/>
                <w:vanish/>
              </w:rPr>
            </w:pPr>
          </w:p>
        </w:tc>
        <w:tc>
          <w:tcPr>
            <w:tcW w:w="0" w:type="auto"/>
            <w:gridSpan w:val="3"/>
            <w:shd w:val="clear" w:color="auto" w:fill="auto"/>
            <w:vAlign w:val="bottom"/>
          </w:tcPr>
          <w:p w14:paraId="5A1B4191" w14:textId="77777777" w:rsidR="00960BB8" w:rsidRDefault="00960BB8">
            <w:pPr>
              <w:rPr>
                <w:rFonts w:ascii="宋体"/>
                <w:vanish/>
              </w:rPr>
            </w:pPr>
          </w:p>
        </w:tc>
      </w:tr>
      <w:tr w:rsidR="00960BB8" w14:paraId="5A1B4198" w14:textId="77777777">
        <w:trPr>
          <w:hidden/>
        </w:trPr>
        <w:tc>
          <w:tcPr>
            <w:tcW w:w="0" w:type="auto"/>
            <w:gridSpan w:val="3"/>
            <w:shd w:val="clear" w:color="auto" w:fill="auto"/>
            <w:vAlign w:val="bottom"/>
          </w:tcPr>
          <w:p w14:paraId="5A1B4193" w14:textId="77777777" w:rsidR="00960BB8" w:rsidRDefault="00960BB8">
            <w:pPr>
              <w:rPr>
                <w:rFonts w:ascii="宋体"/>
                <w:vanish/>
              </w:rPr>
            </w:pPr>
          </w:p>
        </w:tc>
        <w:tc>
          <w:tcPr>
            <w:tcW w:w="0" w:type="auto"/>
            <w:gridSpan w:val="3"/>
            <w:shd w:val="clear" w:color="auto" w:fill="auto"/>
            <w:vAlign w:val="bottom"/>
          </w:tcPr>
          <w:p w14:paraId="5A1B4194" w14:textId="77777777" w:rsidR="00960BB8" w:rsidRDefault="00960BB8">
            <w:pPr>
              <w:rPr>
                <w:rFonts w:ascii="宋体"/>
                <w:vanish/>
              </w:rPr>
            </w:pPr>
          </w:p>
        </w:tc>
        <w:tc>
          <w:tcPr>
            <w:tcW w:w="0" w:type="auto"/>
            <w:gridSpan w:val="3"/>
            <w:shd w:val="clear" w:color="auto" w:fill="auto"/>
            <w:vAlign w:val="bottom"/>
          </w:tcPr>
          <w:p w14:paraId="5A1B4195" w14:textId="77777777" w:rsidR="00960BB8" w:rsidRDefault="00960BB8">
            <w:pPr>
              <w:rPr>
                <w:rFonts w:ascii="宋体"/>
                <w:vanish/>
              </w:rPr>
            </w:pPr>
          </w:p>
        </w:tc>
        <w:tc>
          <w:tcPr>
            <w:tcW w:w="0" w:type="auto"/>
            <w:gridSpan w:val="3"/>
            <w:shd w:val="clear" w:color="auto" w:fill="auto"/>
            <w:vAlign w:val="bottom"/>
          </w:tcPr>
          <w:p w14:paraId="5A1B4196" w14:textId="77777777" w:rsidR="00960BB8" w:rsidRDefault="00960BB8">
            <w:pPr>
              <w:rPr>
                <w:rFonts w:ascii="宋体"/>
                <w:vanish/>
              </w:rPr>
            </w:pPr>
          </w:p>
        </w:tc>
        <w:tc>
          <w:tcPr>
            <w:tcW w:w="0" w:type="auto"/>
            <w:gridSpan w:val="3"/>
            <w:shd w:val="clear" w:color="auto" w:fill="auto"/>
            <w:vAlign w:val="bottom"/>
          </w:tcPr>
          <w:p w14:paraId="5A1B4197" w14:textId="77777777" w:rsidR="00960BB8" w:rsidRDefault="00960BB8">
            <w:pPr>
              <w:rPr>
                <w:rFonts w:ascii="宋体"/>
                <w:vanish/>
              </w:rPr>
            </w:pPr>
          </w:p>
        </w:tc>
      </w:tr>
      <w:tr w:rsidR="00960BB8" w14:paraId="5A1B419E" w14:textId="77777777">
        <w:trPr>
          <w:hidden/>
        </w:trPr>
        <w:tc>
          <w:tcPr>
            <w:tcW w:w="0" w:type="auto"/>
            <w:gridSpan w:val="3"/>
            <w:shd w:val="clear" w:color="auto" w:fill="auto"/>
            <w:vAlign w:val="bottom"/>
          </w:tcPr>
          <w:p w14:paraId="5A1B4199" w14:textId="77777777" w:rsidR="00960BB8" w:rsidRDefault="00960BB8">
            <w:pPr>
              <w:rPr>
                <w:rFonts w:ascii="宋体"/>
                <w:vanish/>
              </w:rPr>
            </w:pPr>
          </w:p>
        </w:tc>
        <w:tc>
          <w:tcPr>
            <w:tcW w:w="0" w:type="auto"/>
            <w:gridSpan w:val="3"/>
            <w:shd w:val="clear" w:color="auto" w:fill="auto"/>
            <w:vAlign w:val="bottom"/>
          </w:tcPr>
          <w:p w14:paraId="5A1B419A" w14:textId="77777777" w:rsidR="00960BB8" w:rsidRDefault="00960BB8">
            <w:pPr>
              <w:rPr>
                <w:rFonts w:ascii="宋体"/>
                <w:vanish/>
              </w:rPr>
            </w:pPr>
          </w:p>
        </w:tc>
        <w:tc>
          <w:tcPr>
            <w:tcW w:w="0" w:type="auto"/>
            <w:gridSpan w:val="3"/>
            <w:shd w:val="clear" w:color="auto" w:fill="auto"/>
            <w:vAlign w:val="bottom"/>
          </w:tcPr>
          <w:p w14:paraId="5A1B419B" w14:textId="77777777" w:rsidR="00960BB8" w:rsidRDefault="00960BB8">
            <w:pPr>
              <w:rPr>
                <w:rFonts w:ascii="宋体"/>
                <w:vanish/>
              </w:rPr>
            </w:pPr>
          </w:p>
        </w:tc>
        <w:tc>
          <w:tcPr>
            <w:tcW w:w="0" w:type="auto"/>
            <w:gridSpan w:val="3"/>
            <w:shd w:val="clear" w:color="auto" w:fill="auto"/>
            <w:vAlign w:val="bottom"/>
          </w:tcPr>
          <w:p w14:paraId="5A1B419C" w14:textId="77777777" w:rsidR="00960BB8" w:rsidRDefault="00960BB8">
            <w:pPr>
              <w:rPr>
                <w:rFonts w:ascii="宋体"/>
                <w:vanish/>
              </w:rPr>
            </w:pPr>
          </w:p>
        </w:tc>
        <w:tc>
          <w:tcPr>
            <w:tcW w:w="0" w:type="auto"/>
            <w:gridSpan w:val="3"/>
            <w:shd w:val="clear" w:color="auto" w:fill="auto"/>
            <w:vAlign w:val="bottom"/>
          </w:tcPr>
          <w:p w14:paraId="5A1B419D" w14:textId="77777777" w:rsidR="00960BB8" w:rsidRDefault="00960BB8">
            <w:pPr>
              <w:rPr>
                <w:rFonts w:ascii="宋体"/>
                <w:vanish/>
              </w:rPr>
            </w:pPr>
          </w:p>
        </w:tc>
      </w:tr>
      <w:tr w:rsidR="00960BB8" w14:paraId="5A1B41A4" w14:textId="77777777">
        <w:trPr>
          <w:hidden/>
        </w:trPr>
        <w:tc>
          <w:tcPr>
            <w:tcW w:w="0" w:type="auto"/>
            <w:gridSpan w:val="3"/>
            <w:shd w:val="clear" w:color="auto" w:fill="auto"/>
            <w:vAlign w:val="bottom"/>
          </w:tcPr>
          <w:p w14:paraId="5A1B419F" w14:textId="77777777" w:rsidR="00960BB8" w:rsidRDefault="00960BB8">
            <w:pPr>
              <w:rPr>
                <w:rFonts w:ascii="宋体"/>
                <w:vanish/>
              </w:rPr>
            </w:pPr>
          </w:p>
        </w:tc>
        <w:tc>
          <w:tcPr>
            <w:tcW w:w="0" w:type="auto"/>
            <w:gridSpan w:val="3"/>
            <w:shd w:val="clear" w:color="auto" w:fill="auto"/>
            <w:vAlign w:val="bottom"/>
          </w:tcPr>
          <w:p w14:paraId="5A1B41A0" w14:textId="77777777" w:rsidR="00960BB8" w:rsidRDefault="00960BB8">
            <w:pPr>
              <w:rPr>
                <w:rFonts w:ascii="宋体"/>
                <w:vanish/>
              </w:rPr>
            </w:pPr>
          </w:p>
        </w:tc>
        <w:tc>
          <w:tcPr>
            <w:tcW w:w="0" w:type="auto"/>
            <w:gridSpan w:val="3"/>
            <w:shd w:val="clear" w:color="auto" w:fill="auto"/>
            <w:vAlign w:val="bottom"/>
          </w:tcPr>
          <w:p w14:paraId="5A1B41A1" w14:textId="77777777" w:rsidR="00960BB8" w:rsidRDefault="00960BB8">
            <w:pPr>
              <w:rPr>
                <w:rFonts w:ascii="宋体"/>
                <w:vanish/>
              </w:rPr>
            </w:pPr>
          </w:p>
        </w:tc>
        <w:tc>
          <w:tcPr>
            <w:tcW w:w="0" w:type="auto"/>
            <w:gridSpan w:val="3"/>
            <w:shd w:val="clear" w:color="auto" w:fill="auto"/>
            <w:vAlign w:val="bottom"/>
          </w:tcPr>
          <w:p w14:paraId="5A1B41A2" w14:textId="77777777" w:rsidR="00960BB8" w:rsidRDefault="00960BB8">
            <w:pPr>
              <w:rPr>
                <w:rFonts w:ascii="宋体"/>
                <w:vanish/>
              </w:rPr>
            </w:pPr>
          </w:p>
        </w:tc>
        <w:tc>
          <w:tcPr>
            <w:tcW w:w="0" w:type="auto"/>
            <w:gridSpan w:val="3"/>
            <w:shd w:val="clear" w:color="auto" w:fill="auto"/>
            <w:vAlign w:val="bottom"/>
          </w:tcPr>
          <w:p w14:paraId="5A1B41A3" w14:textId="77777777" w:rsidR="00960BB8" w:rsidRDefault="00960BB8">
            <w:pPr>
              <w:rPr>
                <w:rFonts w:ascii="宋体"/>
                <w:vanish/>
              </w:rPr>
            </w:pPr>
          </w:p>
        </w:tc>
      </w:tr>
      <w:tr w:rsidR="00960BB8" w14:paraId="5A1B41AA" w14:textId="77777777">
        <w:trPr>
          <w:hidden/>
        </w:trPr>
        <w:tc>
          <w:tcPr>
            <w:tcW w:w="0" w:type="auto"/>
            <w:gridSpan w:val="3"/>
            <w:shd w:val="clear" w:color="auto" w:fill="auto"/>
            <w:vAlign w:val="bottom"/>
          </w:tcPr>
          <w:p w14:paraId="5A1B41A5" w14:textId="77777777" w:rsidR="00960BB8" w:rsidRDefault="00960BB8">
            <w:pPr>
              <w:rPr>
                <w:rFonts w:ascii="宋体"/>
                <w:vanish/>
              </w:rPr>
            </w:pPr>
          </w:p>
        </w:tc>
        <w:tc>
          <w:tcPr>
            <w:tcW w:w="0" w:type="auto"/>
            <w:gridSpan w:val="3"/>
            <w:shd w:val="clear" w:color="auto" w:fill="auto"/>
            <w:vAlign w:val="bottom"/>
          </w:tcPr>
          <w:p w14:paraId="5A1B41A6" w14:textId="77777777" w:rsidR="00960BB8" w:rsidRDefault="00960BB8">
            <w:pPr>
              <w:rPr>
                <w:rFonts w:ascii="宋体"/>
                <w:vanish/>
              </w:rPr>
            </w:pPr>
          </w:p>
        </w:tc>
        <w:tc>
          <w:tcPr>
            <w:tcW w:w="0" w:type="auto"/>
            <w:gridSpan w:val="3"/>
            <w:shd w:val="clear" w:color="auto" w:fill="auto"/>
            <w:vAlign w:val="bottom"/>
          </w:tcPr>
          <w:p w14:paraId="5A1B41A7" w14:textId="77777777" w:rsidR="00960BB8" w:rsidRDefault="00960BB8">
            <w:pPr>
              <w:rPr>
                <w:rFonts w:ascii="宋体"/>
                <w:vanish/>
              </w:rPr>
            </w:pPr>
          </w:p>
        </w:tc>
        <w:tc>
          <w:tcPr>
            <w:tcW w:w="0" w:type="auto"/>
            <w:gridSpan w:val="3"/>
            <w:shd w:val="clear" w:color="auto" w:fill="auto"/>
            <w:vAlign w:val="bottom"/>
          </w:tcPr>
          <w:p w14:paraId="5A1B41A8" w14:textId="77777777" w:rsidR="00960BB8" w:rsidRDefault="00960BB8">
            <w:pPr>
              <w:rPr>
                <w:rFonts w:ascii="宋体"/>
                <w:vanish/>
              </w:rPr>
            </w:pPr>
          </w:p>
        </w:tc>
        <w:tc>
          <w:tcPr>
            <w:tcW w:w="0" w:type="auto"/>
            <w:gridSpan w:val="3"/>
            <w:shd w:val="clear" w:color="auto" w:fill="auto"/>
            <w:vAlign w:val="bottom"/>
          </w:tcPr>
          <w:p w14:paraId="5A1B41A9" w14:textId="77777777" w:rsidR="00960BB8" w:rsidRDefault="00960BB8">
            <w:pPr>
              <w:rPr>
                <w:rFonts w:ascii="宋体"/>
                <w:vanish/>
              </w:rPr>
            </w:pPr>
          </w:p>
        </w:tc>
      </w:tr>
    </w:tbl>
    <w:p w14:paraId="5A1B41AB" w14:textId="77777777" w:rsidR="00960BB8" w:rsidRDefault="00960BB8">
      <w:pPr>
        <w:rPr>
          <w:vanish/>
        </w:rPr>
      </w:pPr>
    </w:p>
    <w:tbl>
      <w:tblPr>
        <w:tblW w:w="2486" w:type="pct"/>
        <w:tblCellMar>
          <w:top w:w="15" w:type="dxa"/>
          <w:left w:w="15" w:type="dxa"/>
          <w:bottom w:w="15" w:type="dxa"/>
          <w:right w:w="15" w:type="dxa"/>
        </w:tblCellMar>
        <w:tblLook w:val="04A0" w:firstRow="1" w:lastRow="0" w:firstColumn="1" w:lastColumn="0" w:noHBand="0" w:noVBand="1"/>
      </w:tblPr>
      <w:tblGrid>
        <w:gridCol w:w="36"/>
        <w:gridCol w:w="98"/>
        <w:gridCol w:w="36"/>
        <w:gridCol w:w="38"/>
        <w:gridCol w:w="3900"/>
        <w:gridCol w:w="37"/>
      </w:tblGrid>
      <w:tr w:rsidR="00960BB8" w14:paraId="5A1B41B2" w14:textId="77777777">
        <w:tc>
          <w:tcPr>
            <w:tcW w:w="50" w:type="pct"/>
            <w:shd w:val="clear" w:color="auto" w:fill="auto"/>
            <w:vAlign w:val="bottom"/>
          </w:tcPr>
          <w:p w14:paraId="5A1B41AC" w14:textId="77777777" w:rsidR="00960BB8" w:rsidRDefault="00960BB8">
            <w:pPr>
              <w:rPr>
                <w:rFonts w:ascii="宋体"/>
              </w:rPr>
            </w:pPr>
          </w:p>
        </w:tc>
        <w:tc>
          <w:tcPr>
            <w:tcW w:w="151" w:type="pct"/>
            <w:shd w:val="clear" w:color="auto" w:fill="auto"/>
            <w:vAlign w:val="bottom"/>
          </w:tcPr>
          <w:p w14:paraId="5A1B41AD" w14:textId="77777777" w:rsidR="00960BB8" w:rsidRDefault="00960BB8">
            <w:pPr>
              <w:rPr>
                <w:rFonts w:ascii="宋体"/>
              </w:rPr>
            </w:pPr>
          </w:p>
        </w:tc>
        <w:tc>
          <w:tcPr>
            <w:tcW w:w="5" w:type="pct"/>
            <w:shd w:val="clear" w:color="auto" w:fill="auto"/>
            <w:vAlign w:val="bottom"/>
          </w:tcPr>
          <w:p w14:paraId="5A1B41AE" w14:textId="77777777" w:rsidR="00960BB8" w:rsidRDefault="00960BB8">
            <w:pPr>
              <w:rPr>
                <w:rFonts w:ascii="宋体"/>
              </w:rPr>
            </w:pPr>
          </w:p>
        </w:tc>
        <w:tc>
          <w:tcPr>
            <w:tcW w:w="50" w:type="pct"/>
            <w:shd w:val="clear" w:color="auto" w:fill="auto"/>
            <w:vAlign w:val="bottom"/>
          </w:tcPr>
          <w:p w14:paraId="5A1B41AF" w14:textId="77777777" w:rsidR="00960BB8" w:rsidRDefault="00960BB8">
            <w:pPr>
              <w:rPr>
                <w:rFonts w:ascii="宋体"/>
              </w:rPr>
            </w:pPr>
          </w:p>
        </w:tc>
        <w:tc>
          <w:tcPr>
            <w:tcW w:w="4739" w:type="pct"/>
            <w:shd w:val="clear" w:color="auto" w:fill="auto"/>
            <w:vAlign w:val="bottom"/>
          </w:tcPr>
          <w:p w14:paraId="5A1B41B0" w14:textId="77777777" w:rsidR="00960BB8" w:rsidRDefault="00960BB8">
            <w:pPr>
              <w:rPr>
                <w:rFonts w:ascii="宋体"/>
              </w:rPr>
            </w:pPr>
          </w:p>
        </w:tc>
        <w:tc>
          <w:tcPr>
            <w:tcW w:w="5" w:type="pct"/>
            <w:shd w:val="clear" w:color="auto" w:fill="auto"/>
            <w:vAlign w:val="bottom"/>
          </w:tcPr>
          <w:p w14:paraId="5A1B41B1" w14:textId="77777777" w:rsidR="00960BB8" w:rsidRDefault="00960BB8">
            <w:pPr>
              <w:rPr>
                <w:rFonts w:ascii="宋体"/>
              </w:rPr>
            </w:pPr>
          </w:p>
        </w:tc>
      </w:tr>
      <w:tr w:rsidR="00960BB8" w14:paraId="5A1B41B5" w14:textId="77777777">
        <w:tc>
          <w:tcPr>
            <w:tcW w:w="0" w:type="auto"/>
            <w:gridSpan w:val="3"/>
            <w:shd w:val="clear" w:color="auto" w:fill="auto"/>
            <w:tcMar>
              <w:top w:w="0" w:type="dxa"/>
              <w:left w:w="20" w:type="dxa"/>
              <w:bottom w:w="0" w:type="dxa"/>
              <w:right w:w="20" w:type="dxa"/>
            </w:tcMar>
            <w:vAlign w:val="bottom"/>
          </w:tcPr>
          <w:p w14:paraId="5A1B41B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B4" w14:textId="77777777" w:rsidR="00960BB8" w:rsidRDefault="00C06650">
            <w:pPr>
              <w:textAlignment w:val="bottom"/>
            </w:pPr>
            <w:r>
              <w:rPr>
                <w:rFonts w:ascii="Arial" w:eastAsia="宋体" w:hAnsi="Arial" w:cs="Arial"/>
                <w:color w:val="262626"/>
                <w:sz w:val="18"/>
                <w:szCs w:val="18"/>
              </w:rPr>
              <w:t>/s/ SCOTT GAWEL</w:t>
            </w:r>
          </w:p>
        </w:tc>
      </w:tr>
      <w:tr w:rsidR="00960BB8" w14:paraId="5A1B41B8" w14:textId="77777777">
        <w:tc>
          <w:tcPr>
            <w:tcW w:w="0" w:type="auto"/>
            <w:gridSpan w:val="3"/>
            <w:tcBorders>
              <w:top w:val="single" w:sz="4" w:space="0" w:color="333333"/>
            </w:tcBorders>
            <w:shd w:val="clear" w:color="auto" w:fill="auto"/>
            <w:tcMar>
              <w:top w:w="0" w:type="dxa"/>
              <w:left w:w="20" w:type="dxa"/>
              <w:bottom w:w="0" w:type="dxa"/>
              <w:right w:w="20" w:type="dxa"/>
            </w:tcMar>
            <w:vAlign w:val="bottom"/>
          </w:tcPr>
          <w:p w14:paraId="5A1B41B6"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B41B7" w14:textId="77777777" w:rsidR="00960BB8" w:rsidRDefault="00C06650">
            <w:pPr>
              <w:textAlignment w:val="bottom"/>
            </w:pPr>
            <w:r>
              <w:rPr>
                <w:rFonts w:ascii="Arial" w:eastAsia="宋体" w:hAnsi="Arial" w:cs="Arial"/>
                <w:color w:val="262626"/>
                <w:sz w:val="18"/>
                <w:szCs w:val="18"/>
              </w:rPr>
              <w:t>Scott Gawel</w:t>
            </w:r>
          </w:p>
        </w:tc>
      </w:tr>
      <w:tr w:rsidR="00960BB8" w14:paraId="5A1B41BB" w14:textId="77777777">
        <w:tc>
          <w:tcPr>
            <w:tcW w:w="0" w:type="auto"/>
            <w:gridSpan w:val="3"/>
            <w:shd w:val="clear" w:color="auto" w:fill="auto"/>
            <w:tcMar>
              <w:top w:w="0" w:type="dxa"/>
              <w:left w:w="20" w:type="dxa"/>
              <w:bottom w:w="0" w:type="dxa"/>
              <w:right w:w="20" w:type="dxa"/>
            </w:tcMar>
            <w:vAlign w:val="bottom"/>
          </w:tcPr>
          <w:p w14:paraId="5A1B41B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1BA" w14:textId="77777777" w:rsidR="00960BB8" w:rsidRDefault="00C06650">
            <w:pPr>
              <w:textAlignment w:val="top"/>
            </w:pPr>
            <w:r>
              <w:rPr>
                <w:rFonts w:ascii="Arial" w:eastAsia="宋体" w:hAnsi="Arial" w:cs="Arial"/>
                <w:color w:val="262626"/>
                <w:sz w:val="18"/>
                <w:szCs w:val="18"/>
              </w:rPr>
              <w:t>Corporate Vice President, Chief Accounting Officer and Principal Accounting Officer</w:t>
            </w:r>
          </w:p>
        </w:tc>
      </w:tr>
      <w:tr w:rsidR="00960BB8" w14:paraId="5A1B41BE" w14:textId="77777777">
        <w:tc>
          <w:tcPr>
            <w:tcW w:w="0" w:type="auto"/>
            <w:gridSpan w:val="3"/>
            <w:shd w:val="clear" w:color="auto" w:fill="auto"/>
            <w:tcMar>
              <w:top w:w="0" w:type="dxa"/>
              <w:left w:w="20" w:type="dxa"/>
              <w:bottom w:w="0" w:type="dxa"/>
              <w:right w:w="20" w:type="dxa"/>
            </w:tcMar>
            <w:vAlign w:val="bottom"/>
          </w:tcPr>
          <w:p w14:paraId="5A1B41B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B41BD" w14:textId="77777777" w:rsidR="00960BB8" w:rsidRDefault="00C06650">
            <w:pPr>
              <w:textAlignment w:val="center"/>
            </w:pPr>
            <w:r>
              <w:rPr>
                <w:rFonts w:ascii="Arial" w:eastAsia="宋体" w:hAnsi="Arial" w:cs="Arial"/>
                <w:color w:val="262626"/>
                <w:sz w:val="18"/>
                <w:szCs w:val="18"/>
              </w:rPr>
              <w:t>January 26, 2023</w:t>
            </w:r>
          </w:p>
        </w:tc>
      </w:tr>
      <w:tr w:rsidR="00960BB8" w14:paraId="5A1B41C1" w14:textId="77777777">
        <w:trPr>
          <w:trHeight w:val="240"/>
        </w:trPr>
        <w:tc>
          <w:tcPr>
            <w:tcW w:w="0" w:type="auto"/>
            <w:gridSpan w:val="3"/>
            <w:shd w:val="clear" w:color="auto" w:fill="auto"/>
            <w:tcMar>
              <w:top w:w="0" w:type="dxa"/>
              <w:left w:w="20" w:type="dxa"/>
              <w:bottom w:w="0" w:type="dxa"/>
              <w:right w:w="20" w:type="dxa"/>
            </w:tcMar>
            <w:vAlign w:val="bottom"/>
          </w:tcPr>
          <w:p w14:paraId="5A1B41B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C0" w14:textId="77777777" w:rsidR="00960BB8" w:rsidRDefault="00960BB8">
            <w:pPr>
              <w:rPr>
                <w:rFonts w:ascii="宋体"/>
              </w:rPr>
            </w:pPr>
          </w:p>
        </w:tc>
      </w:tr>
    </w:tbl>
    <w:p w14:paraId="5A1B41C2" w14:textId="77777777" w:rsidR="00960BB8" w:rsidRDefault="00960BB8">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6"/>
        <w:gridCol w:w="98"/>
        <w:gridCol w:w="36"/>
        <w:gridCol w:w="51"/>
        <w:gridCol w:w="3852"/>
        <w:gridCol w:w="39"/>
        <w:gridCol w:w="36"/>
        <w:gridCol w:w="36"/>
        <w:gridCol w:w="36"/>
        <w:gridCol w:w="36"/>
        <w:gridCol w:w="92"/>
        <w:gridCol w:w="36"/>
        <w:gridCol w:w="51"/>
        <w:gridCol w:w="3852"/>
        <w:gridCol w:w="37"/>
      </w:tblGrid>
      <w:tr w:rsidR="00960BB8" w14:paraId="5A1B41D2" w14:textId="77777777">
        <w:tc>
          <w:tcPr>
            <w:tcW w:w="5" w:type="pct"/>
            <w:shd w:val="clear" w:color="auto" w:fill="auto"/>
            <w:vAlign w:val="bottom"/>
          </w:tcPr>
          <w:p w14:paraId="5A1B41C3" w14:textId="77777777" w:rsidR="00960BB8" w:rsidRDefault="00960BB8">
            <w:pPr>
              <w:rPr>
                <w:rFonts w:ascii="宋体"/>
              </w:rPr>
            </w:pPr>
          </w:p>
        </w:tc>
        <w:tc>
          <w:tcPr>
            <w:tcW w:w="78" w:type="pct"/>
            <w:shd w:val="clear" w:color="auto" w:fill="auto"/>
            <w:vAlign w:val="bottom"/>
          </w:tcPr>
          <w:p w14:paraId="5A1B41C4" w14:textId="77777777" w:rsidR="00960BB8" w:rsidRDefault="00960BB8">
            <w:pPr>
              <w:rPr>
                <w:rFonts w:ascii="宋体"/>
              </w:rPr>
            </w:pPr>
          </w:p>
        </w:tc>
        <w:tc>
          <w:tcPr>
            <w:tcW w:w="5" w:type="pct"/>
            <w:shd w:val="clear" w:color="auto" w:fill="auto"/>
            <w:vAlign w:val="bottom"/>
          </w:tcPr>
          <w:p w14:paraId="5A1B41C5" w14:textId="77777777" w:rsidR="00960BB8" w:rsidRDefault="00960BB8">
            <w:pPr>
              <w:rPr>
                <w:rFonts w:ascii="宋体"/>
              </w:rPr>
            </w:pPr>
          </w:p>
        </w:tc>
        <w:tc>
          <w:tcPr>
            <w:tcW w:w="50" w:type="pct"/>
            <w:shd w:val="clear" w:color="auto" w:fill="auto"/>
            <w:vAlign w:val="bottom"/>
          </w:tcPr>
          <w:p w14:paraId="5A1B41C6" w14:textId="77777777" w:rsidR="00960BB8" w:rsidRDefault="00960BB8">
            <w:pPr>
              <w:rPr>
                <w:rFonts w:ascii="宋体"/>
              </w:rPr>
            </w:pPr>
          </w:p>
        </w:tc>
        <w:tc>
          <w:tcPr>
            <w:tcW w:w="2332" w:type="pct"/>
            <w:shd w:val="clear" w:color="auto" w:fill="auto"/>
            <w:vAlign w:val="bottom"/>
          </w:tcPr>
          <w:p w14:paraId="5A1B41C7" w14:textId="77777777" w:rsidR="00960BB8" w:rsidRDefault="00960BB8">
            <w:pPr>
              <w:rPr>
                <w:rFonts w:ascii="宋体"/>
              </w:rPr>
            </w:pPr>
          </w:p>
        </w:tc>
        <w:tc>
          <w:tcPr>
            <w:tcW w:w="5" w:type="pct"/>
            <w:shd w:val="clear" w:color="auto" w:fill="auto"/>
            <w:vAlign w:val="bottom"/>
          </w:tcPr>
          <w:p w14:paraId="5A1B41C8" w14:textId="77777777" w:rsidR="00960BB8" w:rsidRDefault="00960BB8">
            <w:pPr>
              <w:rPr>
                <w:rFonts w:ascii="宋体"/>
              </w:rPr>
            </w:pPr>
          </w:p>
        </w:tc>
        <w:tc>
          <w:tcPr>
            <w:tcW w:w="5" w:type="pct"/>
            <w:shd w:val="clear" w:color="auto" w:fill="auto"/>
            <w:vAlign w:val="bottom"/>
          </w:tcPr>
          <w:p w14:paraId="5A1B41C9" w14:textId="77777777" w:rsidR="00960BB8" w:rsidRDefault="00960BB8">
            <w:pPr>
              <w:rPr>
                <w:rFonts w:ascii="宋体"/>
              </w:rPr>
            </w:pPr>
          </w:p>
        </w:tc>
        <w:tc>
          <w:tcPr>
            <w:tcW w:w="37" w:type="pct"/>
            <w:shd w:val="clear" w:color="auto" w:fill="auto"/>
            <w:vAlign w:val="bottom"/>
          </w:tcPr>
          <w:p w14:paraId="5A1B41CA" w14:textId="77777777" w:rsidR="00960BB8" w:rsidRDefault="00960BB8">
            <w:pPr>
              <w:rPr>
                <w:rFonts w:ascii="宋体"/>
              </w:rPr>
            </w:pPr>
          </w:p>
        </w:tc>
        <w:tc>
          <w:tcPr>
            <w:tcW w:w="5" w:type="pct"/>
            <w:shd w:val="clear" w:color="auto" w:fill="auto"/>
            <w:vAlign w:val="bottom"/>
          </w:tcPr>
          <w:p w14:paraId="5A1B41CB" w14:textId="77777777" w:rsidR="00960BB8" w:rsidRDefault="00960BB8">
            <w:pPr>
              <w:rPr>
                <w:rFonts w:ascii="宋体"/>
              </w:rPr>
            </w:pPr>
          </w:p>
        </w:tc>
        <w:tc>
          <w:tcPr>
            <w:tcW w:w="5" w:type="pct"/>
            <w:shd w:val="clear" w:color="auto" w:fill="auto"/>
            <w:vAlign w:val="bottom"/>
          </w:tcPr>
          <w:p w14:paraId="5A1B41CC" w14:textId="77777777" w:rsidR="00960BB8" w:rsidRDefault="00960BB8">
            <w:pPr>
              <w:rPr>
                <w:rFonts w:ascii="宋体"/>
              </w:rPr>
            </w:pPr>
          </w:p>
        </w:tc>
        <w:tc>
          <w:tcPr>
            <w:tcW w:w="78" w:type="pct"/>
            <w:shd w:val="clear" w:color="auto" w:fill="auto"/>
            <w:vAlign w:val="bottom"/>
          </w:tcPr>
          <w:p w14:paraId="5A1B41CD" w14:textId="77777777" w:rsidR="00960BB8" w:rsidRDefault="00960BB8">
            <w:pPr>
              <w:rPr>
                <w:rFonts w:ascii="宋体"/>
              </w:rPr>
            </w:pPr>
          </w:p>
        </w:tc>
        <w:tc>
          <w:tcPr>
            <w:tcW w:w="5" w:type="pct"/>
            <w:shd w:val="clear" w:color="auto" w:fill="auto"/>
            <w:vAlign w:val="bottom"/>
          </w:tcPr>
          <w:p w14:paraId="5A1B41CE" w14:textId="77777777" w:rsidR="00960BB8" w:rsidRDefault="00960BB8">
            <w:pPr>
              <w:rPr>
                <w:rFonts w:ascii="宋体"/>
              </w:rPr>
            </w:pPr>
          </w:p>
        </w:tc>
        <w:tc>
          <w:tcPr>
            <w:tcW w:w="50" w:type="pct"/>
            <w:shd w:val="clear" w:color="auto" w:fill="auto"/>
            <w:vAlign w:val="bottom"/>
          </w:tcPr>
          <w:p w14:paraId="5A1B41CF" w14:textId="77777777" w:rsidR="00960BB8" w:rsidRDefault="00960BB8">
            <w:pPr>
              <w:rPr>
                <w:rFonts w:ascii="宋体"/>
              </w:rPr>
            </w:pPr>
          </w:p>
        </w:tc>
        <w:tc>
          <w:tcPr>
            <w:tcW w:w="2332" w:type="pct"/>
            <w:shd w:val="clear" w:color="auto" w:fill="auto"/>
            <w:vAlign w:val="bottom"/>
          </w:tcPr>
          <w:p w14:paraId="5A1B41D0" w14:textId="77777777" w:rsidR="00960BB8" w:rsidRDefault="00960BB8">
            <w:pPr>
              <w:rPr>
                <w:rFonts w:ascii="宋体"/>
              </w:rPr>
            </w:pPr>
          </w:p>
        </w:tc>
        <w:tc>
          <w:tcPr>
            <w:tcW w:w="5" w:type="pct"/>
            <w:shd w:val="clear" w:color="auto" w:fill="auto"/>
            <w:vAlign w:val="bottom"/>
          </w:tcPr>
          <w:p w14:paraId="5A1B41D1" w14:textId="77777777" w:rsidR="00960BB8" w:rsidRDefault="00960BB8">
            <w:pPr>
              <w:rPr>
                <w:rFonts w:ascii="宋体"/>
              </w:rPr>
            </w:pPr>
          </w:p>
        </w:tc>
      </w:tr>
      <w:tr w:rsidR="00960BB8" w14:paraId="5A1B41D8" w14:textId="77777777">
        <w:tc>
          <w:tcPr>
            <w:tcW w:w="0" w:type="auto"/>
            <w:gridSpan w:val="3"/>
            <w:shd w:val="clear" w:color="auto" w:fill="auto"/>
            <w:tcMar>
              <w:top w:w="0" w:type="dxa"/>
              <w:left w:w="20" w:type="dxa"/>
              <w:bottom w:w="0" w:type="dxa"/>
              <w:right w:w="20" w:type="dxa"/>
            </w:tcMar>
            <w:vAlign w:val="bottom"/>
          </w:tcPr>
          <w:p w14:paraId="5A1B41D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D4" w14:textId="77777777" w:rsidR="00960BB8" w:rsidRDefault="00C06650">
            <w:pPr>
              <w:textAlignment w:val="bottom"/>
            </w:pPr>
            <w:r>
              <w:rPr>
                <w:rFonts w:ascii="Arial" w:eastAsia="宋体" w:hAnsi="Arial" w:cs="Arial"/>
                <w:color w:val="262626"/>
                <w:sz w:val="18"/>
                <w:szCs w:val="18"/>
              </w:rPr>
              <w:t>/s/    JAMES J. GOETZ</w:t>
            </w:r>
          </w:p>
        </w:tc>
        <w:tc>
          <w:tcPr>
            <w:tcW w:w="0" w:type="auto"/>
            <w:gridSpan w:val="3"/>
            <w:shd w:val="clear" w:color="auto" w:fill="auto"/>
            <w:tcMar>
              <w:top w:w="0" w:type="dxa"/>
              <w:left w:w="20" w:type="dxa"/>
              <w:bottom w:w="0" w:type="dxa"/>
              <w:right w:w="20" w:type="dxa"/>
            </w:tcMar>
            <w:vAlign w:val="bottom"/>
          </w:tcPr>
          <w:p w14:paraId="5A1B41D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D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D7" w14:textId="77777777" w:rsidR="00960BB8" w:rsidRDefault="00C06650">
            <w:pPr>
              <w:textAlignment w:val="bottom"/>
            </w:pPr>
            <w:r>
              <w:rPr>
                <w:rFonts w:ascii="Arial" w:eastAsia="宋体" w:hAnsi="Arial" w:cs="Arial"/>
                <w:color w:val="262626"/>
                <w:sz w:val="18"/>
                <w:szCs w:val="18"/>
              </w:rPr>
              <w:t>/s/    DR. TSU-JAE KING LIU</w:t>
            </w:r>
          </w:p>
        </w:tc>
      </w:tr>
      <w:tr w:rsidR="00960BB8" w14:paraId="5A1B41DE" w14:textId="77777777">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1D9"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B41DA" w14:textId="77777777" w:rsidR="00960BB8" w:rsidRDefault="00C06650">
            <w:pPr>
              <w:textAlignment w:val="bottom"/>
            </w:pPr>
            <w:r>
              <w:rPr>
                <w:rFonts w:ascii="Arial" w:eastAsia="宋体" w:hAnsi="Arial" w:cs="Arial"/>
                <w:color w:val="262626"/>
                <w:sz w:val="18"/>
                <w:szCs w:val="18"/>
              </w:rPr>
              <w:t>James J. Goetz</w:t>
            </w:r>
          </w:p>
        </w:tc>
        <w:tc>
          <w:tcPr>
            <w:tcW w:w="0" w:type="auto"/>
            <w:gridSpan w:val="3"/>
            <w:shd w:val="clear" w:color="auto" w:fill="auto"/>
            <w:tcMar>
              <w:top w:w="0" w:type="dxa"/>
              <w:left w:w="20" w:type="dxa"/>
              <w:bottom w:w="0" w:type="dxa"/>
              <w:right w:w="20" w:type="dxa"/>
            </w:tcMar>
            <w:vAlign w:val="bottom"/>
          </w:tcPr>
          <w:p w14:paraId="5A1B41DB"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1DC"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5A1B41DD" w14:textId="77777777" w:rsidR="00960BB8" w:rsidRDefault="00C06650">
            <w:pPr>
              <w:textAlignment w:val="top"/>
            </w:pPr>
            <w:r>
              <w:rPr>
                <w:rFonts w:ascii="Arial" w:eastAsia="宋体" w:hAnsi="Arial" w:cs="Arial"/>
                <w:color w:val="262626"/>
                <w:sz w:val="18"/>
                <w:szCs w:val="18"/>
              </w:rPr>
              <w:t>Dr. Tsu-Jae King Liu</w:t>
            </w:r>
          </w:p>
        </w:tc>
      </w:tr>
      <w:tr w:rsidR="00960BB8" w14:paraId="5A1B41E4" w14:textId="77777777">
        <w:tc>
          <w:tcPr>
            <w:tcW w:w="0" w:type="auto"/>
            <w:gridSpan w:val="3"/>
            <w:shd w:val="clear" w:color="auto" w:fill="auto"/>
            <w:tcMar>
              <w:top w:w="0" w:type="dxa"/>
              <w:left w:w="20" w:type="dxa"/>
              <w:bottom w:w="0" w:type="dxa"/>
              <w:right w:w="20" w:type="dxa"/>
            </w:tcMar>
            <w:vAlign w:val="bottom"/>
          </w:tcPr>
          <w:p w14:paraId="5A1B41D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E0" w14:textId="77777777" w:rsidR="00960BB8" w:rsidRDefault="00C06650">
            <w:pPr>
              <w:textAlignment w:val="bottom"/>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vAlign w:val="bottom"/>
          </w:tcPr>
          <w:p w14:paraId="5A1B41E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E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1E3" w14:textId="77777777" w:rsidR="00960BB8" w:rsidRDefault="00C06650">
            <w:pPr>
              <w:textAlignment w:val="top"/>
            </w:pPr>
            <w:r>
              <w:rPr>
                <w:rFonts w:ascii="Arial" w:eastAsia="宋体" w:hAnsi="Arial" w:cs="Arial"/>
                <w:color w:val="262626"/>
                <w:sz w:val="18"/>
                <w:szCs w:val="18"/>
              </w:rPr>
              <w:t>Director</w:t>
            </w:r>
          </w:p>
        </w:tc>
      </w:tr>
      <w:tr w:rsidR="00960BB8" w14:paraId="5A1B41EA" w14:textId="77777777">
        <w:tc>
          <w:tcPr>
            <w:tcW w:w="0" w:type="auto"/>
            <w:gridSpan w:val="3"/>
            <w:shd w:val="clear" w:color="auto" w:fill="auto"/>
            <w:tcMar>
              <w:top w:w="0" w:type="dxa"/>
              <w:left w:w="20" w:type="dxa"/>
              <w:bottom w:w="0" w:type="dxa"/>
              <w:right w:w="20" w:type="dxa"/>
            </w:tcMar>
            <w:vAlign w:val="bottom"/>
          </w:tcPr>
          <w:p w14:paraId="5A1B41E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1E6" w14:textId="77777777" w:rsidR="00960BB8" w:rsidRDefault="00C06650">
            <w:pPr>
              <w:textAlignment w:val="top"/>
            </w:pPr>
            <w:r>
              <w:rPr>
                <w:rFonts w:ascii="Arial" w:eastAsia="宋体" w:hAnsi="Arial" w:cs="Arial"/>
                <w:color w:val="262626"/>
                <w:sz w:val="18"/>
                <w:szCs w:val="18"/>
              </w:rPr>
              <w:t xml:space="preserve">January 26, </w:t>
            </w:r>
            <w:r>
              <w:rPr>
                <w:rFonts w:ascii="Arial" w:eastAsia="宋体" w:hAnsi="Arial" w:cs="Arial"/>
                <w:color w:val="262626"/>
                <w:sz w:val="18"/>
                <w:szCs w:val="18"/>
              </w:rPr>
              <w:t>2023</w:t>
            </w:r>
          </w:p>
        </w:tc>
        <w:tc>
          <w:tcPr>
            <w:tcW w:w="0" w:type="auto"/>
            <w:gridSpan w:val="3"/>
            <w:shd w:val="clear" w:color="auto" w:fill="auto"/>
            <w:tcMar>
              <w:top w:w="0" w:type="dxa"/>
              <w:left w:w="20" w:type="dxa"/>
              <w:bottom w:w="0" w:type="dxa"/>
              <w:right w:w="20" w:type="dxa"/>
            </w:tcMar>
            <w:vAlign w:val="bottom"/>
          </w:tcPr>
          <w:p w14:paraId="5A1B41E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E8"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1E9" w14:textId="77777777" w:rsidR="00960BB8" w:rsidRDefault="00C06650">
            <w:pPr>
              <w:textAlignment w:val="top"/>
            </w:pPr>
            <w:r>
              <w:rPr>
                <w:rFonts w:ascii="Arial" w:eastAsia="宋体" w:hAnsi="Arial" w:cs="Arial"/>
                <w:color w:val="262626"/>
                <w:sz w:val="18"/>
                <w:szCs w:val="18"/>
              </w:rPr>
              <w:t>January 26, 2023</w:t>
            </w:r>
          </w:p>
        </w:tc>
      </w:tr>
      <w:tr w:rsidR="00960BB8" w14:paraId="5A1B41F0" w14:textId="77777777">
        <w:trPr>
          <w:trHeight w:val="60"/>
        </w:trPr>
        <w:tc>
          <w:tcPr>
            <w:tcW w:w="0" w:type="auto"/>
            <w:gridSpan w:val="3"/>
            <w:shd w:val="clear" w:color="auto" w:fill="auto"/>
            <w:tcMar>
              <w:top w:w="0" w:type="dxa"/>
              <w:left w:w="20" w:type="dxa"/>
              <w:bottom w:w="0" w:type="dxa"/>
              <w:right w:w="20" w:type="dxa"/>
            </w:tcMar>
            <w:vAlign w:val="bottom"/>
          </w:tcPr>
          <w:p w14:paraId="5A1B41E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E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E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E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EF" w14:textId="77777777" w:rsidR="00960BB8" w:rsidRDefault="00960BB8">
            <w:pPr>
              <w:rPr>
                <w:rFonts w:ascii="宋体"/>
              </w:rPr>
            </w:pPr>
          </w:p>
        </w:tc>
      </w:tr>
      <w:tr w:rsidR="00960BB8" w14:paraId="5A1B41F6" w14:textId="77777777">
        <w:tc>
          <w:tcPr>
            <w:tcW w:w="0" w:type="auto"/>
            <w:gridSpan w:val="3"/>
            <w:shd w:val="clear" w:color="auto" w:fill="auto"/>
            <w:tcMar>
              <w:top w:w="0" w:type="dxa"/>
              <w:left w:w="20" w:type="dxa"/>
              <w:bottom w:w="0" w:type="dxa"/>
              <w:right w:w="20" w:type="dxa"/>
            </w:tcMar>
            <w:vAlign w:val="bottom"/>
          </w:tcPr>
          <w:p w14:paraId="5A1B41F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F2" w14:textId="77777777" w:rsidR="00960BB8" w:rsidRDefault="00C06650">
            <w:pPr>
              <w:textAlignment w:val="bottom"/>
            </w:pPr>
            <w:r>
              <w:rPr>
                <w:rFonts w:ascii="Arial" w:eastAsia="宋体" w:hAnsi="Arial" w:cs="Arial"/>
                <w:color w:val="262626"/>
                <w:sz w:val="18"/>
                <w:szCs w:val="18"/>
              </w:rPr>
              <w:t>/s/    DR. ANDREA J. GOLDSMITH</w:t>
            </w:r>
          </w:p>
        </w:tc>
        <w:tc>
          <w:tcPr>
            <w:tcW w:w="0" w:type="auto"/>
            <w:gridSpan w:val="3"/>
            <w:shd w:val="clear" w:color="auto" w:fill="auto"/>
            <w:tcMar>
              <w:top w:w="0" w:type="dxa"/>
              <w:left w:w="20" w:type="dxa"/>
              <w:bottom w:w="0" w:type="dxa"/>
              <w:right w:w="20" w:type="dxa"/>
            </w:tcMar>
            <w:vAlign w:val="bottom"/>
          </w:tcPr>
          <w:p w14:paraId="5A1B41F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1F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F5" w14:textId="77777777" w:rsidR="00960BB8" w:rsidRDefault="00C06650">
            <w:pPr>
              <w:textAlignment w:val="bottom"/>
            </w:pPr>
            <w:r>
              <w:rPr>
                <w:rFonts w:ascii="Arial" w:eastAsia="宋体" w:hAnsi="Arial" w:cs="Arial"/>
                <w:color w:val="262626"/>
                <w:sz w:val="18"/>
                <w:szCs w:val="18"/>
              </w:rPr>
              <w:t>/s/    GREGORY D. SMITH</w:t>
            </w:r>
          </w:p>
        </w:tc>
      </w:tr>
      <w:tr w:rsidR="00960BB8" w14:paraId="5A1B41FC" w14:textId="77777777">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1F7"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B41F8" w14:textId="77777777" w:rsidR="00960BB8" w:rsidRDefault="00C06650">
            <w:pPr>
              <w:textAlignment w:val="bottom"/>
            </w:pPr>
            <w:r>
              <w:rPr>
                <w:rFonts w:ascii="Arial" w:eastAsia="宋体" w:hAnsi="Arial" w:cs="Arial"/>
                <w:color w:val="262626"/>
                <w:sz w:val="18"/>
                <w:szCs w:val="18"/>
              </w:rPr>
              <w:t>Dr. Andrea J. Goldsmith</w:t>
            </w:r>
          </w:p>
        </w:tc>
        <w:tc>
          <w:tcPr>
            <w:tcW w:w="0" w:type="auto"/>
            <w:gridSpan w:val="3"/>
            <w:shd w:val="clear" w:color="auto" w:fill="auto"/>
            <w:tcMar>
              <w:top w:w="0" w:type="dxa"/>
              <w:left w:w="20" w:type="dxa"/>
              <w:bottom w:w="0" w:type="dxa"/>
              <w:right w:w="20" w:type="dxa"/>
            </w:tcMar>
            <w:vAlign w:val="bottom"/>
          </w:tcPr>
          <w:p w14:paraId="5A1B41F9"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1FA"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B41FB" w14:textId="77777777" w:rsidR="00960BB8" w:rsidRDefault="00C06650">
            <w:pPr>
              <w:textAlignment w:val="bottom"/>
            </w:pPr>
            <w:r>
              <w:rPr>
                <w:rFonts w:ascii="Arial" w:eastAsia="宋体" w:hAnsi="Arial" w:cs="Arial"/>
                <w:color w:val="262626"/>
                <w:sz w:val="18"/>
                <w:szCs w:val="18"/>
              </w:rPr>
              <w:t>Gregory D. Smith</w:t>
            </w:r>
          </w:p>
        </w:tc>
      </w:tr>
      <w:tr w:rsidR="00960BB8" w14:paraId="5A1B4202" w14:textId="77777777">
        <w:tc>
          <w:tcPr>
            <w:tcW w:w="0" w:type="auto"/>
            <w:gridSpan w:val="3"/>
            <w:shd w:val="clear" w:color="auto" w:fill="auto"/>
            <w:tcMar>
              <w:top w:w="0" w:type="dxa"/>
              <w:left w:w="20" w:type="dxa"/>
              <w:bottom w:w="0" w:type="dxa"/>
              <w:right w:w="20" w:type="dxa"/>
            </w:tcMar>
            <w:vAlign w:val="bottom"/>
          </w:tcPr>
          <w:p w14:paraId="5A1B41F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1FE" w14:textId="77777777" w:rsidR="00960BB8" w:rsidRDefault="00C06650">
            <w:pPr>
              <w:textAlignment w:val="bottom"/>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vAlign w:val="bottom"/>
          </w:tcPr>
          <w:p w14:paraId="5A1B41F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0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01" w14:textId="77777777" w:rsidR="00960BB8" w:rsidRDefault="00C06650">
            <w:pPr>
              <w:textAlignment w:val="bottom"/>
            </w:pPr>
            <w:r>
              <w:rPr>
                <w:rFonts w:ascii="Arial" w:eastAsia="宋体" w:hAnsi="Arial" w:cs="Arial"/>
                <w:color w:val="262626"/>
                <w:sz w:val="18"/>
                <w:szCs w:val="18"/>
              </w:rPr>
              <w:t>Director</w:t>
            </w:r>
          </w:p>
        </w:tc>
      </w:tr>
      <w:tr w:rsidR="00960BB8" w14:paraId="5A1B4208" w14:textId="77777777">
        <w:tc>
          <w:tcPr>
            <w:tcW w:w="0" w:type="auto"/>
            <w:gridSpan w:val="3"/>
            <w:shd w:val="clear" w:color="auto" w:fill="auto"/>
            <w:tcMar>
              <w:top w:w="0" w:type="dxa"/>
              <w:left w:w="20" w:type="dxa"/>
              <w:bottom w:w="0" w:type="dxa"/>
              <w:right w:w="20" w:type="dxa"/>
            </w:tcMar>
            <w:vAlign w:val="bottom"/>
          </w:tcPr>
          <w:p w14:paraId="5A1B4203"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204" w14:textId="77777777" w:rsidR="00960BB8" w:rsidRDefault="00C06650">
            <w:pPr>
              <w:textAlignment w:val="top"/>
            </w:pPr>
            <w:r>
              <w:rPr>
                <w:rFonts w:ascii="Arial" w:eastAsia="宋体" w:hAnsi="Arial" w:cs="Arial"/>
                <w:color w:val="262626"/>
                <w:sz w:val="18"/>
                <w:szCs w:val="18"/>
              </w:rPr>
              <w:t>January 26, 2023</w:t>
            </w:r>
          </w:p>
        </w:tc>
        <w:tc>
          <w:tcPr>
            <w:tcW w:w="0" w:type="auto"/>
            <w:gridSpan w:val="3"/>
            <w:shd w:val="clear" w:color="auto" w:fill="auto"/>
            <w:tcMar>
              <w:top w:w="0" w:type="dxa"/>
              <w:left w:w="20" w:type="dxa"/>
              <w:bottom w:w="0" w:type="dxa"/>
              <w:right w:w="20" w:type="dxa"/>
            </w:tcMar>
            <w:vAlign w:val="bottom"/>
          </w:tcPr>
          <w:p w14:paraId="5A1B420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06"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207" w14:textId="77777777" w:rsidR="00960BB8" w:rsidRDefault="00C06650">
            <w:pPr>
              <w:textAlignment w:val="top"/>
            </w:pPr>
            <w:r>
              <w:rPr>
                <w:rFonts w:ascii="Arial" w:eastAsia="宋体" w:hAnsi="Arial" w:cs="Arial"/>
                <w:color w:val="262626"/>
                <w:sz w:val="18"/>
                <w:szCs w:val="18"/>
              </w:rPr>
              <w:t>January 26, 2023</w:t>
            </w:r>
          </w:p>
        </w:tc>
      </w:tr>
      <w:tr w:rsidR="00960BB8" w14:paraId="5A1B420E" w14:textId="77777777">
        <w:trPr>
          <w:trHeight w:val="60"/>
        </w:trPr>
        <w:tc>
          <w:tcPr>
            <w:tcW w:w="0" w:type="auto"/>
            <w:gridSpan w:val="3"/>
            <w:shd w:val="clear" w:color="auto" w:fill="auto"/>
            <w:tcMar>
              <w:top w:w="0" w:type="dxa"/>
              <w:left w:w="20" w:type="dxa"/>
              <w:bottom w:w="0" w:type="dxa"/>
              <w:right w:w="20" w:type="dxa"/>
            </w:tcMar>
            <w:vAlign w:val="bottom"/>
          </w:tcPr>
          <w:p w14:paraId="5A1B420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0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0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0C"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0D" w14:textId="77777777" w:rsidR="00960BB8" w:rsidRDefault="00960BB8">
            <w:pPr>
              <w:rPr>
                <w:rFonts w:ascii="宋体"/>
              </w:rPr>
            </w:pPr>
          </w:p>
        </w:tc>
      </w:tr>
      <w:tr w:rsidR="00960BB8" w14:paraId="5A1B4214" w14:textId="77777777">
        <w:tc>
          <w:tcPr>
            <w:tcW w:w="0" w:type="auto"/>
            <w:gridSpan w:val="3"/>
            <w:shd w:val="clear" w:color="auto" w:fill="auto"/>
            <w:tcMar>
              <w:top w:w="0" w:type="dxa"/>
              <w:left w:w="20" w:type="dxa"/>
              <w:bottom w:w="0" w:type="dxa"/>
              <w:right w:w="20" w:type="dxa"/>
            </w:tcMar>
            <w:vAlign w:val="bottom"/>
          </w:tcPr>
          <w:p w14:paraId="5A1B420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10" w14:textId="77777777" w:rsidR="00960BB8" w:rsidRDefault="00C06650">
            <w:pPr>
              <w:textAlignment w:val="bottom"/>
            </w:pPr>
            <w:r>
              <w:rPr>
                <w:rFonts w:ascii="Arial" w:eastAsia="宋体" w:hAnsi="Arial" w:cs="Arial"/>
                <w:color w:val="262626"/>
                <w:sz w:val="18"/>
                <w:szCs w:val="18"/>
              </w:rPr>
              <w:t>/s/    ALYSSA HENRY       </w:t>
            </w:r>
          </w:p>
        </w:tc>
        <w:tc>
          <w:tcPr>
            <w:tcW w:w="0" w:type="auto"/>
            <w:gridSpan w:val="3"/>
            <w:shd w:val="clear" w:color="auto" w:fill="auto"/>
            <w:tcMar>
              <w:top w:w="0" w:type="dxa"/>
              <w:left w:w="20" w:type="dxa"/>
              <w:bottom w:w="0" w:type="dxa"/>
              <w:right w:w="20" w:type="dxa"/>
            </w:tcMar>
            <w:vAlign w:val="bottom"/>
          </w:tcPr>
          <w:p w14:paraId="5A1B421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1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13" w14:textId="77777777" w:rsidR="00960BB8" w:rsidRDefault="00C06650">
            <w:pPr>
              <w:textAlignment w:val="bottom"/>
            </w:pPr>
            <w:r>
              <w:rPr>
                <w:rFonts w:ascii="Arial" w:eastAsia="宋体" w:hAnsi="Arial" w:cs="Arial"/>
                <w:color w:val="262626"/>
                <w:sz w:val="18"/>
                <w:szCs w:val="18"/>
              </w:rPr>
              <w:t>/s/ LIP-BU TAN</w:t>
            </w:r>
          </w:p>
        </w:tc>
      </w:tr>
      <w:tr w:rsidR="00960BB8" w14:paraId="5A1B421A" w14:textId="77777777">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215"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B4216" w14:textId="77777777" w:rsidR="00960BB8" w:rsidRDefault="00C06650">
            <w:pPr>
              <w:textAlignment w:val="bottom"/>
            </w:pPr>
            <w:r>
              <w:rPr>
                <w:rFonts w:ascii="Arial" w:eastAsia="宋体" w:hAnsi="Arial" w:cs="Arial"/>
                <w:color w:val="262626"/>
                <w:sz w:val="18"/>
                <w:szCs w:val="18"/>
              </w:rPr>
              <w:t>Alyssa Henry</w:t>
            </w:r>
          </w:p>
        </w:tc>
        <w:tc>
          <w:tcPr>
            <w:tcW w:w="0" w:type="auto"/>
            <w:gridSpan w:val="3"/>
            <w:shd w:val="clear" w:color="auto" w:fill="auto"/>
            <w:tcMar>
              <w:top w:w="0" w:type="dxa"/>
              <w:left w:w="20" w:type="dxa"/>
              <w:bottom w:w="0" w:type="dxa"/>
              <w:right w:w="20" w:type="dxa"/>
            </w:tcMar>
            <w:vAlign w:val="bottom"/>
          </w:tcPr>
          <w:p w14:paraId="5A1B4217"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218"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B4219" w14:textId="77777777" w:rsidR="00960BB8" w:rsidRDefault="00C06650">
            <w:pPr>
              <w:textAlignment w:val="bottom"/>
            </w:pPr>
            <w:r>
              <w:rPr>
                <w:rFonts w:ascii="Arial" w:eastAsia="宋体" w:hAnsi="Arial" w:cs="Arial"/>
                <w:color w:val="262626"/>
                <w:sz w:val="18"/>
                <w:szCs w:val="18"/>
              </w:rPr>
              <w:t>Lip-Bu Tan</w:t>
            </w:r>
          </w:p>
        </w:tc>
      </w:tr>
      <w:tr w:rsidR="00960BB8" w14:paraId="5A1B4220" w14:textId="77777777">
        <w:tc>
          <w:tcPr>
            <w:tcW w:w="0" w:type="auto"/>
            <w:gridSpan w:val="3"/>
            <w:shd w:val="clear" w:color="auto" w:fill="auto"/>
            <w:tcMar>
              <w:top w:w="0" w:type="dxa"/>
              <w:left w:w="20" w:type="dxa"/>
              <w:bottom w:w="0" w:type="dxa"/>
              <w:right w:w="20" w:type="dxa"/>
            </w:tcMar>
            <w:vAlign w:val="bottom"/>
          </w:tcPr>
          <w:p w14:paraId="5A1B421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1C" w14:textId="77777777" w:rsidR="00960BB8" w:rsidRDefault="00C06650">
            <w:pPr>
              <w:textAlignment w:val="bottom"/>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vAlign w:val="bottom"/>
          </w:tcPr>
          <w:p w14:paraId="5A1B421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1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1F" w14:textId="77777777" w:rsidR="00960BB8" w:rsidRDefault="00C06650">
            <w:pPr>
              <w:textAlignment w:val="bottom"/>
            </w:pPr>
            <w:r>
              <w:rPr>
                <w:rFonts w:ascii="Arial" w:eastAsia="宋体" w:hAnsi="Arial" w:cs="Arial"/>
                <w:color w:val="262626"/>
                <w:sz w:val="18"/>
                <w:szCs w:val="18"/>
              </w:rPr>
              <w:t>Director</w:t>
            </w:r>
          </w:p>
        </w:tc>
      </w:tr>
      <w:tr w:rsidR="00960BB8" w14:paraId="5A1B4226" w14:textId="77777777">
        <w:tc>
          <w:tcPr>
            <w:tcW w:w="0" w:type="auto"/>
            <w:gridSpan w:val="3"/>
            <w:shd w:val="clear" w:color="auto" w:fill="auto"/>
            <w:tcMar>
              <w:top w:w="0" w:type="dxa"/>
              <w:left w:w="20" w:type="dxa"/>
              <w:bottom w:w="0" w:type="dxa"/>
              <w:right w:w="20" w:type="dxa"/>
            </w:tcMar>
            <w:vAlign w:val="bottom"/>
          </w:tcPr>
          <w:p w14:paraId="5A1B422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222" w14:textId="77777777" w:rsidR="00960BB8" w:rsidRDefault="00C06650">
            <w:pPr>
              <w:textAlignment w:val="top"/>
            </w:pPr>
            <w:r>
              <w:rPr>
                <w:rFonts w:ascii="Arial" w:eastAsia="宋体" w:hAnsi="Arial" w:cs="Arial"/>
                <w:color w:val="262626"/>
                <w:sz w:val="18"/>
                <w:szCs w:val="18"/>
              </w:rPr>
              <w:t>January 26, 2023</w:t>
            </w:r>
          </w:p>
        </w:tc>
        <w:tc>
          <w:tcPr>
            <w:tcW w:w="0" w:type="auto"/>
            <w:gridSpan w:val="3"/>
            <w:shd w:val="clear" w:color="auto" w:fill="auto"/>
            <w:tcMar>
              <w:top w:w="0" w:type="dxa"/>
              <w:left w:w="20" w:type="dxa"/>
              <w:bottom w:w="0" w:type="dxa"/>
              <w:right w:w="20" w:type="dxa"/>
            </w:tcMar>
            <w:vAlign w:val="bottom"/>
          </w:tcPr>
          <w:p w14:paraId="5A1B422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24"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25" w14:textId="77777777" w:rsidR="00960BB8" w:rsidRDefault="00C06650">
            <w:pPr>
              <w:textAlignment w:val="bottom"/>
            </w:pPr>
            <w:r>
              <w:rPr>
                <w:rFonts w:ascii="Arial" w:eastAsia="宋体" w:hAnsi="Arial" w:cs="Arial"/>
                <w:color w:val="262626"/>
                <w:sz w:val="18"/>
                <w:szCs w:val="18"/>
              </w:rPr>
              <w:t>January 26, 2023</w:t>
            </w:r>
          </w:p>
        </w:tc>
      </w:tr>
      <w:tr w:rsidR="00960BB8" w14:paraId="5A1B422C" w14:textId="77777777">
        <w:trPr>
          <w:trHeight w:val="60"/>
        </w:trPr>
        <w:tc>
          <w:tcPr>
            <w:tcW w:w="0" w:type="auto"/>
            <w:gridSpan w:val="3"/>
            <w:shd w:val="clear" w:color="auto" w:fill="auto"/>
            <w:tcMar>
              <w:top w:w="0" w:type="dxa"/>
              <w:left w:w="20" w:type="dxa"/>
              <w:bottom w:w="0" w:type="dxa"/>
              <w:right w:w="20" w:type="dxa"/>
            </w:tcMar>
            <w:vAlign w:val="bottom"/>
          </w:tcPr>
          <w:p w14:paraId="5A1B422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2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2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2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2B" w14:textId="77777777" w:rsidR="00960BB8" w:rsidRDefault="00960BB8">
            <w:pPr>
              <w:rPr>
                <w:rFonts w:ascii="宋体"/>
              </w:rPr>
            </w:pPr>
          </w:p>
        </w:tc>
      </w:tr>
      <w:tr w:rsidR="00960BB8" w14:paraId="5A1B4232" w14:textId="77777777">
        <w:tc>
          <w:tcPr>
            <w:tcW w:w="0" w:type="auto"/>
            <w:gridSpan w:val="3"/>
            <w:shd w:val="clear" w:color="auto" w:fill="auto"/>
            <w:tcMar>
              <w:top w:w="0" w:type="dxa"/>
              <w:left w:w="20" w:type="dxa"/>
              <w:bottom w:w="0" w:type="dxa"/>
              <w:right w:w="20" w:type="dxa"/>
            </w:tcMar>
            <w:vAlign w:val="bottom"/>
          </w:tcPr>
          <w:p w14:paraId="5A1B422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2E" w14:textId="77777777" w:rsidR="00960BB8" w:rsidRDefault="00C06650">
            <w:pPr>
              <w:textAlignment w:val="bottom"/>
            </w:pPr>
            <w:r>
              <w:rPr>
                <w:rFonts w:ascii="Arial" w:eastAsia="宋体" w:hAnsi="Arial" w:cs="Arial"/>
                <w:color w:val="262626"/>
                <w:sz w:val="18"/>
                <w:szCs w:val="18"/>
              </w:rPr>
              <w:t>/s/    DR. OMAR ISHRAK</w:t>
            </w:r>
          </w:p>
        </w:tc>
        <w:tc>
          <w:tcPr>
            <w:tcW w:w="0" w:type="auto"/>
            <w:gridSpan w:val="3"/>
            <w:shd w:val="clear" w:color="auto" w:fill="auto"/>
            <w:tcMar>
              <w:top w:w="0" w:type="dxa"/>
              <w:left w:w="20" w:type="dxa"/>
              <w:bottom w:w="0" w:type="dxa"/>
              <w:right w:w="20" w:type="dxa"/>
            </w:tcMar>
            <w:vAlign w:val="bottom"/>
          </w:tcPr>
          <w:p w14:paraId="5A1B422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3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31" w14:textId="77777777" w:rsidR="00960BB8" w:rsidRDefault="00C06650">
            <w:pPr>
              <w:textAlignment w:val="bottom"/>
            </w:pPr>
            <w:r>
              <w:rPr>
                <w:rFonts w:ascii="Arial" w:eastAsia="宋体" w:hAnsi="Arial" w:cs="Arial"/>
                <w:color w:val="262626"/>
                <w:sz w:val="18"/>
                <w:szCs w:val="18"/>
              </w:rPr>
              <w:t>/s/    DION J. WEISLER</w:t>
            </w:r>
          </w:p>
        </w:tc>
      </w:tr>
      <w:tr w:rsidR="00960BB8" w14:paraId="5A1B4238" w14:textId="77777777">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233"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5A1B4234" w14:textId="77777777" w:rsidR="00960BB8" w:rsidRDefault="00C06650">
            <w:pPr>
              <w:textAlignment w:val="top"/>
            </w:pPr>
            <w:r>
              <w:rPr>
                <w:rFonts w:ascii="Arial" w:eastAsia="宋体" w:hAnsi="Arial" w:cs="Arial"/>
                <w:color w:val="262626"/>
                <w:sz w:val="18"/>
                <w:szCs w:val="18"/>
              </w:rPr>
              <w:t>Dr. Omar Ishrak</w:t>
            </w:r>
          </w:p>
        </w:tc>
        <w:tc>
          <w:tcPr>
            <w:tcW w:w="0" w:type="auto"/>
            <w:gridSpan w:val="3"/>
            <w:shd w:val="clear" w:color="auto" w:fill="auto"/>
            <w:tcMar>
              <w:top w:w="0" w:type="dxa"/>
              <w:left w:w="20" w:type="dxa"/>
              <w:bottom w:w="0" w:type="dxa"/>
              <w:right w:w="20" w:type="dxa"/>
            </w:tcMar>
            <w:vAlign w:val="bottom"/>
          </w:tcPr>
          <w:p w14:paraId="5A1B4235"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236"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B4237" w14:textId="77777777" w:rsidR="00960BB8" w:rsidRDefault="00C06650">
            <w:pPr>
              <w:textAlignment w:val="bottom"/>
            </w:pPr>
            <w:r>
              <w:rPr>
                <w:rFonts w:ascii="Arial" w:eastAsia="宋体" w:hAnsi="Arial" w:cs="Arial"/>
                <w:color w:val="262626"/>
                <w:sz w:val="18"/>
                <w:szCs w:val="18"/>
              </w:rPr>
              <w:t>Dion J. Weisler</w:t>
            </w:r>
          </w:p>
        </w:tc>
      </w:tr>
      <w:tr w:rsidR="00960BB8" w14:paraId="5A1B423E" w14:textId="77777777">
        <w:tc>
          <w:tcPr>
            <w:tcW w:w="0" w:type="auto"/>
            <w:gridSpan w:val="3"/>
            <w:shd w:val="clear" w:color="auto" w:fill="auto"/>
            <w:tcMar>
              <w:top w:w="0" w:type="dxa"/>
              <w:left w:w="20" w:type="dxa"/>
              <w:bottom w:w="0" w:type="dxa"/>
              <w:right w:w="20" w:type="dxa"/>
            </w:tcMar>
            <w:vAlign w:val="bottom"/>
          </w:tcPr>
          <w:p w14:paraId="5A1B4239"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3A" w14:textId="77777777" w:rsidR="00960BB8" w:rsidRDefault="00C06650">
            <w:pPr>
              <w:textAlignment w:val="bottom"/>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vAlign w:val="bottom"/>
          </w:tcPr>
          <w:p w14:paraId="5A1B423B"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3C"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center"/>
          </w:tcPr>
          <w:p w14:paraId="5A1B423D" w14:textId="77777777" w:rsidR="00960BB8" w:rsidRDefault="00C06650">
            <w:pPr>
              <w:textAlignment w:val="center"/>
            </w:pPr>
            <w:r>
              <w:rPr>
                <w:rFonts w:ascii="Arial" w:eastAsia="宋体" w:hAnsi="Arial" w:cs="Arial"/>
                <w:color w:val="262626"/>
                <w:sz w:val="18"/>
                <w:szCs w:val="18"/>
              </w:rPr>
              <w:t>Director</w:t>
            </w:r>
          </w:p>
        </w:tc>
      </w:tr>
      <w:tr w:rsidR="00960BB8" w14:paraId="5A1B4244" w14:textId="77777777">
        <w:tc>
          <w:tcPr>
            <w:tcW w:w="0" w:type="auto"/>
            <w:gridSpan w:val="3"/>
            <w:shd w:val="clear" w:color="auto" w:fill="auto"/>
            <w:tcMar>
              <w:top w:w="0" w:type="dxa"/>
              <w:left w:w="20" w:type="dxa"/>
              <w:bottom w:w="0" w:type="dxa"/>
              <w:right w:w="20" w:type="dxa"/>
            </w:tcMar>
            <w:vAlign w:val="bottom"/>
          </w:tcPr>
          <w:p w14:paraId="5A1B423F"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240" w14:textId="77777777" w:rsidR="00960BB8" w:rsidRDefault="00C06650">
            <w:pPr>
              <w:textAlignment w:val="top"/>
            </w:pPr>
            <w:r>
              <w:rPr>
                <w:rFonts w:ascii="Arial" w:eastAsia="宋体" w:hAnsi="Arial" w:cs="Arial"/>
                <w:color w:val="262626"/>
                <w:sz w:val="18"/>
                <w:szCs w:val="18"/>
              </w:rPr>
              <w:t>January 26, 2023</w:t>
            </w:r>
          </w:p>
        </w:tc>
        <w:tc>
          <w:tcPr>
            <w:tcW w:w="0" w:type="auto"/>
            <w:gridSpan w:val="3"/>
            <w:shd w:val="clear" w:color="auto" w:fill="auto"/>
            <w:tcMar>
              <w:top w:w="0" w:type="dxa"/>
              <w:left w:w="20" w:type="dxa"/>
              <w:bottom w:w="0" w:type="dxa"/>
              <w:right w:w="20" w:type="dxa"/>
            </w:tcMar>
            <w:vAlign w:val="bottom"/>
          </w:tcPr>
          <w:p w14:paraId="5A1B4241"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42"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43" w14:textId="77777777" w:rsidR="00960BB8" w:rsidRDefault="00C06650">
            <w:pPr>
              <w:textAlignment w:val="bottom"/>
            </w:pPr>
            <w:r>
              <w:rPr>
                <w:rFonts w:ascii="Arial" w:eastAsia="宋体" w:hAnsi="Arial" w:cs="Arial"/>
                <w:color w:val="262626"/>
                <w:sz w:val="18"/>
                <w:szCs w:val="18"/>
              </w:rPr>
              <w:t>January 26, 2023</w:t>
            </w:r>
          </w:p>
        </w:tc>
      </w:tr>
      <w:tr w:rsidR="00960BB8" w14:paraId="5A1B424A" w14:textId="77777777">
        <w:trPr>
          <w:trHeight w:val="60"/>
        </w:trPr>
        <w:tc>
          <w:tcPr>
            <w:tcW w:w="0" w:type="auto"/>
            <w:gridSpan w:val="3"/>
            <w:shd w:val="clear" w:color="auto" w:fill="auto"/>
            <w:tcMar>
              <w:top w:w="0" w:type="dxa"/>
              <w:left w:w="20" w:type="dxa"/>
              <w:bottom w:w="0" w:type="dxa"/>
              <w:right w:w="20" w:type="dxa"/>
            </w:tcMar>
            <w:vAlign w:val="bottom"/>
          </w:tcPr>
          <w:p w14:paraId="5A1B424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4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4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4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49" w14:textId="77777777" w:rsidR="00960BB8" w:rsidRDefault="00960BB8">
            <w:pPr>
              <w:rPr>
                <w:rFonts w:ascii="宋体"/>
              </w:rPr>
            </w:pPr>
          </w:p>
        </w:tc>
      </w:tr>
      <w:tr w:rsidR="00960BB8" w14:paraId="5A1B4250" w14:textId="77777777">
        <w:tc>
          <w:tcPr>
            <w:tcW w:w="0" w:type="auto"/>
            <w:gridSpan w:val="3"/>
            <w:shd w:val="clear" w:color="auto" w:fill="auto"/>
            <w:tcMar>
              <w:top w:w="0" w:type="dxa"/>
              <w:left w:w="20" w:type="dxa"/>
              <w:bottom w:w="0" w:type="dxa"/>
              <w:right w:w="20" w:type="dxa"/>
            </w:tcMar>
            <w:vAlign w:val="bottom"/>
          </w:tcPr>
          <w:p w14:paraId="5A1B424B"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4C" w14:textId="77777777" w:rsidR="00960BB8" w:rsidRDefault="00C06650">
            <w:pPr>
              <w:textAlignment w:val="bottom"/>
            </w:pPr>
            <w:r>
              <w:rPr>
                <w:rFonts w:ascii="Arial" w:eastAsia="宋体" w:hAnsi="Arial" w:cs="Arial"/>
                <w:color w:val="262626"/>
                <w:sz w:val="18"/>
                <w:szCs w:val="18"/>
              </w:rPr>
              <w:t>/s/    DR. RISA LAVIZZO-MOUREY</w:t>
            </w:r>
          </w:p>
        </w:tc>
        <w:tc>
          <w:tcPr>
            <w:tcW w:w="0" w:type="auto"/>
            <w:gridSpan w:val="3"/>
            <w:shd w:val="clear" w:color="auto" w:fill="auto"/>
            <w:tcMar>
              <w:top w:w="0" w:type="dxa"/>
              <w:left w:w="20" w:type="dxa"/>
              <w:bottom w:w="0" w:type="dxa"/>
              <w:right w:w="20" w:type="dxa"/>
            </w:tcMar>
            <w:vAlign w:val="bottom"/>
          </w:tcPr>
          <w:p w14:paraId="5A1B424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4E"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4F" w14:textId="77777777" w:rsidR="00960BB8" w:rsidRDefault="00C06650">
            <w:pPr>
              <w:textAlignment w:val="bottom"/>
            </w:pPr>
            <w:r>
              <w:rPr>
                <w:rFonts w:ascii="Arial" w:eastAsia="宋体" w:hAnsi="Arial" w:cs="Arial"/>
                <w:color w:val="262626"/>
                <w:sz w:val="18"/>
                <w:szCs w:val="18"/>
              </w:rPr>
              <w:t>/s/    FRANK D. YEARY</w:t>
            </w:r>
          </w:p>
        </w:tc>
      </w:tr>
      <w:tr w:rsidR="00960BB8" w14:paraId="5A1B4256" w14:textId="77777777">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251"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5A1B4252" w14:textId="77777777" w:rsidR="00960BB8" w:rsidRDefault="00C06650">
            <w:pPr>
              <w:textAlignment w:val="top"/>
            </w:pPr>
            <w:r>
              <w:rPr>
                <w:rFonts w:ascii="Arial" w:eastAsia="宋体" w:hAnsi="Arial" w:cs="Arial"/>
                <w:color w:val="262626"/>
                <w:sz w:val="18"/>
                <w:szCs w:val="18"/>
              </w:rPr>
              <w:t>Dr. Risa Lavizzo-Mourey</w:t>
            </w:r>
          </w:p>
        </w:tc>
        <w:tc>
          <w:tcPr>
            <w:tcW w:w="0" w:type="auto"/>
            <w:gridSpan w:val="3"/>
            <w:shd w:val="clear" w:color="auto" w:fill="auto"/>
            <w:tcMar>
              <w:top w:w="0" w:type="dxa"/>
              <w:left w:w="20" w:type="dxa"/>
              <w:bottom w:w="0" w:type="dxa"/>
              <w:right w:w="20" w:type="dxa"/>
            </w:tcMar>
            <w:vAlign w:val="bottom"/>
          </w:tcPr>
          <w:p w14:paraId="5A1B4253" w14:textId="77777777" w:rsidR="00960BB8" w:rsidRDefault="00960BB8">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254"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5A1B4255" w14:textId="77777777" w:rsidR="00960BB8" w:rsidRDefault="00C06650">
            <w:pPr>
              <w:textAlignment w:val="bottom"/>
            </w:pPr>
            <w:r>
              <w:rPr>
                <w:rFonts w:ascii="Arial" w:eastAsia="宋体" w:hAnsi="Arial" w:cs="Arial"/>
                <w:color w:val="262626"/>
                <w:sz w:val="18"/>
                <w:szCs w:val="18"/>
              </w:rPr>
              <w:t>Frank D. Yeary</w:t>
            </w:r>
          </w:p>
        </w:tc>
      </w:tr>
      <w:tr w:rsidR="00960BB8" w14:paraId="5A1B425C" w14:textId="77777777">
        <w:tc>
          <w:tcPr>
            <w:tcW w:w="0" w:type="auto"/>
            <w:gridSpan w:val="3"/>
            <w:shd w:val="clear" w:color="auto" w:fill="auto"/>
            <w:tcMar>
              <w:top w:w="0" w:type="dxa"/>
              <w:left w:w="20" w:type="dxa"/>
              <w:bottom w:w="0" w:type="dxa"/>
              <w:right w:w="20" w:type="dxa"/>
            </w:tcMar>
            <w:vAlign w:val="bottom"/>
          </w:tcPr>
          <w:p w14:paraId="5A1B425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258" w14:textId="77777777" w:rsidR="00960BB8" w:rsidRDefault="00C06650">
            <w:pPr>
              <w:textAlignment w:val="top"/>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vAlign w:val="bottom"/>
          </w:tcPr>
          <w:p w14:paraId="5A1B425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5A"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5B" w14:textId="77777777" w:rsidR="00960BB8" w:rsidRDefault="00C06650">
            <w:pPr>
              <w:textAlignment w:val="bottom"/>
            </w:pPr>
            <w:r>
              <w:rPr>
                <w:rFonts w:ascii="Arial" w:eastAsia="宋体" w:hAnsi="Arial" w:cs="Arial"/>
                <w:color w:val="262626"/>
                <w:sz w:val="18"/>
                <w:szCs w:val="18"/>
              </w:rPr>
              <w:t>Chair of the Board and Director</w:t>
            </w:r>
          </w:p>
        </w:tc>
      </w:tr>
      <w:tr w:rsidR="00960BB8" w14:paraId="5A1B4262" w14:textId="77777777">
        <w:tc>
          <w:tcPr>
            <w:tcW w:w="0" w:type="auto"/>
            <w:gridSpan w:val="3"/>
            <w:shd w:val="clear" w:color="auto" w:fill="auto"/>
            <w:tcMar>
              <w:top w:w="0" w:type="dxa"/>
              <w:left w:w="20" w:type="dxa"/>
              <w:bottom w:w="0" w:type="dxa"/>
              <w:right w:w="20" w:type="dxa"/>
            </w:tcMar>
            <w:vAlign w:val="bottom"/>
          </w:tcPr>
          <w:p w14:paraId="5A1B425D"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25E" w14:textId="77777777" w:rsidR="00960BB8" w:rsidRDefault="00C06650">
            <w:pPr>
              <w:textAlignment w:val="top"/>
            </w:pPr>
            <w:r>
              <w:rPr>
                <w:rFonts w:ascii="Arial" w:eastAsia="宋体" w:hAnsi="Arial" w:cs="Arial"/>
                <w:color w:val="262626"/>
                <w:sz w:val="18"/>
                <w:szCs w:val="18"/>
              </w:rPr>
              <w:t>January 26, 2023</w:t>
            </w:r>
          </w:p>
        </w:tc>
        <w:tc>
          <w:tcPr>
            <w:tcW w:w="0" w:type="auto"/>
            <w:gridSpan w:val="3"/>
            <w:shd w:val="clear" w:color="auto" w:fill="auto"/>
            <w:tcMar>
              <w:top w:w="0" w:type="dxa"/>
              <w:left w:w="20" w:type="dxa"/>
              <w:bottom w:w="0" w:type="dxa"/>
              <w:right w:w="20" w:type="dxa"/>
            </w:tcMar>
            <w:vAlign w:val="bottom"/>
          </w:tcPr>
          <w:p w14:paraId="5A1B425F"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60"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61" w14:textId="77777777" w:rsidR="00960BB8" w:rsidRDefault="00C06650">
            <w:pPr>
              <w:textAlignment w:val="bottom"/>
            </w:pPr>
            <w:r>
              <w:rPr>
                <w:rFonts w:ascii="Arial" w:eastAsia="宋体" w:hAnsi="Arial" w:cs="Arial"/>
                <w:color w:val="262626"/>
                <w:sz w:val="18"/>
                <w:szCs w:val="18"/>
              </w:rPr>
              <w:t>January 26, 2023</w:t>
            </w:r>
          </w:p>
        </w:tc>
      </w:tr>
      <w:tr w:rsidR="00960BB8" w14:paraId="5A1B4268" w14:textId="77777777">
        <w:trPr>
          <w:trHeight w:val="60"/>
        </w:trPr>
        <w:tc>
          <w:tcPr>
            <w:tcW w:w="0" w:type="auto"/>
            <w:gridSpan w:val="3"/>
            <w:shd w:val="clear" w:color="auto" w:fill="auto"/>
            <w:tcMar>
              <w:top w:w="0" w:type="dxa"/>
              <w:left w:w="20" w:type="dxa"/>
              <w:bottom w:w="0" w:type="dxa"/>
              <w:right w:w="20" w:type="dxa"/>
            </w:tcMar>
            <w:vAlign w:val="bottom"/>
          </w:tcPr>
          <w:p w14:paraId="5A1B426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6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65"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66"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67" w14:textId="77777777" w:rsidR="00960BB8" w:rsidRDefault="00960BB8">
            <w:pPr>
              <w:rPr>
                <w:rFonts w:ascii="宋体"/>
              </w:rPr>
            </w:pPr>
          </w:p>
        </w:tc>
      </w:tr>
      <w:tr w:rsidR="00960BB8" w14:paraId="5A1B426E" w14:textId="77777777">
        <w:trPr>
          <w:hidden/>
        </w:trPr>
        <w:tc>
          <w:tcPr>
            <w:tcW w:w="0" w:type="auto"/>
            <w:gridSpan w:val="3"/>
            <w:shd w:val="clear" w:color="auto" w:fill="auto"/>
            <w:vAlign w:val="bottom"/>
          </w:tcPr>
          <w:p w14:paraId="5A1B4269" w14:textId="77777777" w:rsidR="00960BB8" w:rsidRDefault="00960BB8">
            <w:pPr>
              <w:rPr>
                <w:rFonts w:ascii="宋体"/>
                <w:vanish/>
              </w:rPr>
            </w:pPr>
          </w:p>
        </w:tc>
        <w:tc>
          <w:tcPr>
            <w:tcW w:w="0" w:type="auto"/>
            <w:gridSpan w:val="3"/>
            <w:shd w:val="clear" w:color="auto" w:fill="auto"/>
            <w:vAlign w:val="bottom"/>
          </w:tcPr>
          <w:p w14:paraId="5A1B426A" w14:textId="77777777" w:rsidR="00960BB8" w:rsidRDefault="00960BB8">
            <w:pPr>
              <w:rPr>
                <w:rFonts w:ascii="宋体"/>
                <w:vanish/>
              </w:rPr>
            </w:pPr>
          </w:p>
        </w:tc>
        <w:tc>
          <w:tcPr>
            <w:tcW w:w="0" w:type="auto"/>
            <w:gridSpan w:val="3"/>
            <w:shd w:val="clear" w:color="auto" w:fill="auto"/>
            <w:vAlign w:val="bottom"/>
          </w:tcPr>
          <w:p w14:paraId="5A1B426B" w14:textId="77777777" w:rsidR="00960BB8" w:rsidRDefault="00960BB8">
            <w:pPr>
              <w:rPr>
                <w:rFonts w:ascii="宋体"/>
                <w:vanish/>
              </w:rPr>
            </w:pPr>
          </w:p>
        </w:tc>
        <w:tc>
          <w:tcPr>
            <w:tcW w:w="0" w:type="auto"/>
            <w:gridSpan w:val="3"/>
            <w:shd w:val="clear" w:color="auto" w:fill="auto"/>
            <w:vAlign w:val="bottom"/>
          </w:tcPr>
          <w:p w14:paraId="5A1B426C" w14:textId="77777777" w:rsidR="00960BB8" w:rsidRDefault="00960BB8">
            <w:pPr>
              <w:rPr>
                <w:rFonts w:ascii="宋体"/>
                <w:vanish/>
              </w:rPr>
            </w:pPr>
          </w:p>
        </w:tc>
        <w:tc>
          <w:tcPr>
            <w:tcW w:w="0" w:type="auto"/>
            <w:gridSpan w:val="3"/>
            <w:shd w:val="clear" w:color="auto" w:fill="auto"/>
            <w:vAlign w:val="bottom"/>
          </w:tcPr>
          <w:p w14:paraId="5A1B426D" w14:textId="77777777" w:rsidR="00960BB8" w:rsidRDefault="00960BB8">
            <w:pPr>
              <w:rPr>
                <w:rFonts w:ascii="宋体"/>
                <w:vanish/>
              </w:rPr>
            </w:pPr>
          </w:p>
        </w:tc>
      </w:tr>
      <w:tr w:rsidR="00960BB8" w14:paraId="5A1B4274" w14:textId="77777777">
        <w:trPr>
          <w:hidden/>
        </w:trPr>
        <w:tc>
          <w:tcPr>
            <w:tcW w:w="0" w:type="auto"/>
            <w:gridSpan w:val="3"/>
            <w:shd w:val="clear" w:color="auto" w:fill="auto"/>
            <w:vAlign w:val="bottom"/>
          </w:tcPr>
          <w:p w14:paraId="5A1B426F" w14:textId="77777777" w:rsidR="00960BB8" w:rsidRDefault="00960BB8">
            <w:pPr>
              <w:rPr>
                <w:rFonts w:ascii="宋体"/>
                <w:vanish/>
              </w:rPr>
            </w:pPr>
          </w:p>
        </w:tc>
        <w:tc>
          <w:tcPr>
            <w:tcW w:w="0" w:type="auto"/>
            <w:gridSpan w:val="3"/>
            <w:shd w:val="clear" w:color="auto" w:fill="auto"/>
            <w:vAlign w:val="bottom"/>
          </w:tcPr>
          <w:p w14:paraId="5A1B4270" w14:textId="77777777" w:rsidR="00960BB8" w:rsidRDefault="00960BB8">
            <w:pPr>
              <w:rPr>
                <w:rFonts w:ascii="宋体"/>
                <w:vanish/>
              </w:rPr>
            </w:pPr>
          </w:p>
        </w:tc>
        <w:tc>
          <w:tcPr>
            <w:tcW w:w="0" w:type="auto"/>
            <w:gridSpan w:val="3"/>
            <w:shd w:val="clear" w:color="auto" w:fill="auto"/>
            <w:vAlign w:val="bottom"/>
          </w:tcPr>
          <w:p w14:paraId="5A1B4271" w14:textId="77777777" w:rsidR="00960BB8" w:rsidRDefault="00960BB8">
            <w:pPr>
              <w:rPr>
                <w:rFonts w:ascii="宋体"/>
                <w:vanish/>
              </w:rPr>
            </w:pPr>
          </w:p>
        </w:tc>
        <w:tc>
          <w:tcPr>
            <w:tcW w:w="0" w:type="auto"/>
            <w:gridSpan w:val="3"/>
            <w:shd w:val="clear" w:color="auto" w:fill="auto"/>
            <w:vAlign w:val="bottom"/>
          </w:tcPr>
          <w:p w14:paraId="5A1B4272" w14:textId="77777777" w:rsidR="00960BB8" w:rsidRDefault="00960BB8">
            <w:pPr>
              <w:rPr>
                <w:rFonts w:ascii="宋体"/>
                <w:vanish/>
              </w:rPr>
            </w:pPr>
          </w:p>
        </w:tc>
        <w:tc>
          <w:tcPr>
            <w:tcW w:w="0" w:type="auto"/>
            <w:gridSpan w:val="3"/>
            <w:shd w:val="clear" w:color="auto" w:fill="auto"/>
            <w:vAlign w:val="bottom"/>
          </w:tcPr>
          <w:p w14:paraId="5A1B4273" w14:textId="77777777" w:rsidR="00960BB8" w:rsidRDefault="00960BB8">
            <w:pPr>
              <w:rPr>
                <w:rFonts w:ascii="宋体"/>
                <w:vanish/>
              </w:rPr>
            </w:pPr>
          </w:p>
        </w:tc>
      </w:tr>
      <w:tr w:rsidR="00960BB8" w14:paraId="5A1B427A" w14:textId="77777777">
        <w:trPr>
          <w:hidden/>
        </w:trPr>
        <w:tc>
          <w:tcPr>
            <w:tcW w:w="0" w:type="auto"/>
            <w:gridSpan w:val="3"/>
            <w:shd w:val="clear" w:color="auto" w:fill="auto"/>
            <w:vAlign w:val="bottom"/>
          </w:tcPr>
          <w:p w14:paraId="5A1B4275" w14:textId="77777777" w:rsidR="00960BB8" w:rsidRDefault="00960BB8">
            <w:pPr>
              <w:rPr>
                <w:rFonts w:ascii="宋体"/>
                <w:vanish/>
              </w:rPr>
            </w:pPr>
          </w:p>
        </w:tc>
        <w:tc>
          <w:tcPr>
            <w:tcW w:w="0" w:type="auto"/>
            <w:gridSpan w:val="3"/>
            <w:shd w:val="clear" w:color="auto" w:fill="auto"/>
            <w:vAlign w:val="bottom"/>
          </w:tcPr>
          <w:p w14:paraId="5A1B4276" w14:textId="77777777" w:rsidR="00960BB8" w:rsidRDefault="00960BB8">
            <w:pPr>
              <w:rPr>
                <w:rFonts w:ascii="宋体"/>
                <w:vanish/>
              </w:rPr>
            </w:pPr>
          </w:p>
        </w:tc>
        <w:tc>
          <w:tcPr>
            <w:tcW w:w="0" w:type="auto"/>
            <w:gridSpan w:val="3"/>
            <w:shd w:val="clear" w:color="auto" w:fill="auto"/>
            <w:vAlign w:val="bottom"/>
          </w:tcPr>
          <w:p w14:paraId="5A1B4277" w14:textId="77777777" w:rsidR="00960BB8" w:rsidRDefault="00960BB8">
            <w:pPr>
              <w:rPr>
                <w:rFonts w:ascii="宋体"/>
                <w:vanish/>
              </w:rPr>
            </w:pPr>
          </w:p>
        </w:tc>
        <w:tc>
          <w:tcPr>
            <w:tcW w:w="0" w:type="auto"/>
            <w:gridSpan w:val="3"/>
            <w:shd w:val="clear" w:color="auto" w:fill="auto"/>
            <w:vAlign w:val="bottom"/>
          </w:tcPr>
          <w:p w14:paraId="5A1B4278" w14:textId="77777777" w:rsidR="00960BB8" w:rsidRDefault="00960BB8">
            <w:pPr>
              <w:rPr>
                <w:rFonts w:ascii="宋体"/>
                <w:vanish/>
              </w:rPr>
            </w:pPr>
          </w:p>
        </w:tc>
        <w:tc>
          <w:tcPr>
            <w:tcW w:w="0" w:type="auto"/>
            <w:gridSpan w:val="3"/>
            <w:shd w:val="clear" w:color="auto" w:fill="auto"/>
            <w:vAlign w:val="bottom"/>
          </w:tcPr>
          <w:p w14:paraId="5A1B4279" w14:textId="77777777" w:rsidR="00960BB8" w:rsidRDefault="00960BB8">
            <w:pPr>
              <w:rPr>
                <w:rFonts w:ascii="宋体"/>
                <w:vanish/>
              </w:rPr>
            </w:pPr>
          </w:p>
        </w:tc>
      </w:tr>
      <w:tr w:rsidR="00960BB8" w14:paraId="5A1B4280" w14:textId="77777777">
        <w:trPr>
          <w:hidden/>
        </w:trPr>
        <w:tc>
          <w:tcPr>
            <w:tcW w:w="0" w:type="auto"/>
            <w:gridSpan w:val="3"/>
            <w:shd w:val="clear" w:color="auto" w:fill="auto"/>
            <w:vAlign w:val="bottom"/>
          </w:tcPr>
          <w:p w14:paraId="5A1B427B" w14:textId="77777777" w:rsidR="00960BB8" w:rsidRDefault="00960BB8">
            <w:pPr>
              <w:rPr>
                <w:rFonts w:ascii="宋体"/>
                <w:vanish/>
              </w:rPr>
            </w:pPr>
          </w:p>
        </w:tc>
        <w:tc>
          <w:tcPr>
            <w:tcW w:w="0" w:type="auto"/>
            <w:gridSpan w:val="3"/>
            <w:shd w:val="clear" w:color="auto" w:fill="auto"/>
            <w:vAlign w:val="bottom"/>
          </w:tcPr>
          <w:p w14:paraId="5A1B427C" w14:textId="77777777" w:rsidR="00960BB8" w:rsidRDefault="00960BB8">
            <w:pPr>
              <w:rPr>
                <w:rFonts w:ascii="宋体"/>
                <w:vanish/>
              </w:rPr>
            </w:pPr>
          </w:p>
        </w:tc>
        <w:tc>
          <w:tcPr>
            <w:tcW w:w="0" w:type="auto"/>
            <w:gridSpan w:val="3"/>
            <w:shd w:val="clear" w:color="auto" w:fill="auto"/>
            <w:vAlign w:val="bottom"/>
          </w:tcPr>
          <w:p w14:paraId="5A1B427D" w14:textId="77777777" w:rsidR="00960BB8" w:rsidRDefault="00960BB8">
            <w:pPr>
              <w:rPr>
                <w:rFonts w:ascii="宋体"/>
                <w:vanish/>
              </w:rPr>
            </w:pPr>
          </w:p>
        </w:tc>
        <w:tc>
          <w:tcPr>
            <w:tcW w:w="0" w:type="auto"/>
            <w:gridSpan w:val="3"/>
            <w:shd w:val="clear" w:color="auto" w:fill="auto"/>
            <w:vAlign w:val="bottom"/>
          </w:tcPr>
          <w:p w14:paraId="5A1B427E" w14:textId="77777777" w:rsidR="00960BB8" w:rsidRDefault="00960BB8">
            <w:pPr>
              <w:rPr>
                <w:rFonts w:ascii="宋体"/>
                <w:vanish/>
              </w:rPr>
            </w:pPr>
          </w:p>
        </w:tc>
        <w:tc>
          <w:tcPr>
            <w:tcW w:w="0" w:type="auto"/>
            <w:gridSpan w:val="3"/>
            <w:shd w:val="clear" w:color="auto" w:fill="auto"/>
            <w:vAlign w:val="bottom"/>
          </w:tcPr>
          <w:p w14:paraId="5A1B427F" w14:textId="77777777" w:rsidR="00960BB8" w:rsidRDefault="00960BB8">
            <w:pPr>
              <w:rPr>
                <w:rFonts w:ascii="宋体"/>
                <w:vanish/>
              </w:rPr>
            </w:pPr>
          </w:p>
        </w:tc>
      </w:tr>
      <w:tr w:rsidR="00960BB8" w14:paraId="5A1B4286" w14:textId="77777777">
        <w:trPr>
          <w:hidden/>
        </w:trPr>
        <w:tc>
          <w:tcPr>
            <w:tcW w:w="0" w:type="auto"/>
            <w:gridSpan w:val="3"/>
            <w:shd w:val="clear" w:color="auto" w:fill="auto"/>
            <w:vAlign w:val="bottom"/>
          </w:tcPr>
          <w:p w14:paraId="5A1B4281" w14:textId="77777777" w:rsidR="00960BB8" w:rsidRDefault="00960BB8">
            <w:pPr>
              <w:rPr>
                <w:rFonts w:ascii="宋体"/>
                <w:vanish/>
              </w:rPr>
            </w:pPr>
          </w:p>
        </w:tc>
        <w:tc>
          <w:tcPr>
            <w:tcW w:w="0" w:type="auto"/>
            <w:gridSpan w:val="3"/>
            <w:shd w:val="clear" w:color="auto" w:fill="auto"/>
            <w:vAlign w:val="bottom"/>
          </w:tcPr>
          <w:p w14:paraId="5A1B4282" w14:textId="77777777" w:rsidR="00960BB8" w:rsidRDefault="00960BB8">
            <w:pPr>
              <w:rPr>
                <w:rFonts w:ascii="宋体"/>
                <w:vanish/>
              </w:rPr>
            </w:pPr>
          </w:p>
        </w:tc>
        <w:tc>
          <w:tcPr>
            <w:tcW w:w="0" w:type="auto"/>
            <w:gridSpan w:val="3"/>
            <w:shd w:val="clear" w:color="auto" w:fill="auto"/>
            <w:vAlign w:val="bottom"/>
          </w:tcPr>
          <w:p w14:paraId="5A1B4283" w14:textId="77777777" w:rsidR="00960BB8" w:rsidRDefault="00960BB8">
            <w:pPr>
              <w:rPr>
                <w:rFonts w:ascii="宋体"/>
                <w:vanish/>
              </w:rPr>
            </w:pPr>
          </w:p>
        </w:tc>
        <w:tc>
          <w:tcPr>
            <w:tcW w:w="0" w:type="auto"/>
            <w:gridSpan w:val="3"/>
            <w:shd w:val="clear" w:color="auto" w:fill="auto"/>
            <w:vAlign w:val="bottom"/>
          </w:tcPr>
          <w:p w14:paraId="5A1B4284" w14:textId="77777777" w:rsidR="00960BB8" w:rsidRDefault="00960BB8">
            <w:pPr>
              <w:rPr>
                <w:rFonts w:ascii="宋体"/>
                <w:vanish/>
              </w:rPr>
            </w:pPr>
          </w:p>
        </w:tc>
        <w:tc>
          <w:tcPr>
            <w:tcW w:w="0" w:type="auto"/>
            <w:gridSpan w:val="3"/>
            <w:shd w:val="clear" w:color="auto" w:fill="auto"/>
            <w:vAlign w:val="bottom"/>
          </w:tcPr>
          <w:p w14:paraId="5A1B4285" w14:textId="77777777" w:rsidR="00960BB8" w:rsidRDefault="00960BB8">
            <w:pPr>
              <w:rPr>
                <w:rFonts w:ascii="宋体"/>
                <w:vanish/>
              </w:rPr>
            </w:pPr>
          </w:p>
        </w:tc>
      </w:tr>
      <w:tr w:rsidR="00960BB8" w14:paraId="5A1B428C" w14:textId="77777777">
        <w:trPr>
          <w:hidden/>
        </w:trPr>
        <w:tc>
          <w:tcPr>
            <w:tcW w:w="0" w:type="auto"/>
            <w:gridSpan w:val="3"/>
            <w:shd w:val="clear" w:color="auto" w:fill="auto"/>
            <w:vAlign w:val="bottom"/>
          </w:tcPr>
          <w:p w14:paraId="5A1B4287" w14:textId="77777777" w:rsidR="00960BB8" w:rsidRDefault="00960BB8">
            <w:pPr>
              <w:rPr>
                <w:rFonts w:ascii="宋体"/>
                <w:vanish/>
              </w:rPr>
            </w:pPr>
          </w:p>
        </w:tc>
        <w:tc>
          <w:tcPr>
            <w:tcW w:w="0" w:type="auto"/>
            <w:gridSpan w:val="3"/>
            <w:shd w:val="clear" w:color="auto" w:fill="auto"/>
            <w:vAlign w:val="bottom"/>
          </w:tcPr>
          <w:p w14:paraId="5A1B4288" w14:textId="77777777" w:rsidR="00960BB8" w:rsidRDefault="00960BB8">
            <w:pPr>
              <w:rPr>
                <w:rFonts w:ascii="宋体"/>
                <w:vanish/>
              </w:rPr>
            </w:pPr>
          </w:p>
        </w:tc>
        <w:tc>
          <w:tcPr>
            <w:tcW w:w="0" w:type="auto"/>
            <w:gridSpan w:val="3"/>
            <w:shd w:val="clear" w:color="auto" w:fill="auto"/>
            <w:vAlign w:val="bottom"/>
          </w:tcPr>
          <w:p w14:paraId="5A1B4289" w14:textId="77777777" w:rsidR="00960BB8" w:rsidRDefault="00960BB8">
            <w:pPr>
              <w:rPr>
                <w:rFonts w:ascii="宋体"/>
                <w:vanish/>
              </w:rPr>
            </w:pPr>
          </w:p>
        </w:tc>
        <w:tc>
          <w:tcPr>
            <w:tcW w:w="0" w:type="auto"/>
            <w:gridSpan w:val="3"/>
            <w:shd w:val="clear" w:color="auto" w:fill="auto"/>
            <w:vAlign w:val="bottom"/>
          </w:tcPr>
          <w:p w14:paraId="5A1B428A" w14:textId="77777777" w:rsidR="00960BB8" w:rsidRDefault="00960BB8">
            <w:pPr>
              <w:rPr>
                <w:rFonts w:ascii="宋体"/>
                <w:vanish/>
              </w:rPr>
            </w:pPr>
          </w:p>
        </w:tc>
        <w:tc>
          <w:tcPr>
            <w:tcW w:w="0" w:type="auto"/>
            <w:gridSpan w:val="3"/>
            <w:shd w:val="clear" w:color="auto" w:fill="auto"/>
            <w:vAlign w:val="bottom"/>
          </w:tcPr>
          <w:p w14:paraId="5A1B428B" w14:textId="77777777" w:rsidR="00960BB8" w:rsidRDefault="00960BB8">
            <w:pPr>
              <w:rPr>
                <w:rFonts w:ascii="宋体"/>
                <w:vanish/>
              </w:rPr>
            </w:pPr>
          </w:p>
        </w:tc>
      </w:tr>
      <w:tr w:rsidR="00960BB8" w14:paraId="5A1B4292" w14:textId="77777777">
        <w:trPr>
          <w:hidden/>
        </w:trPr>
        <w:tc>
          <w:tcPr>
            <w:tcW w:w="0" w:type="auto"/>
            <w:gridSpan w:val="3"/>
            <w:shd w:val="clear" w:color="auto" w:fill="auto"/>
            <w:vAlign w:val="bottom"/>
          </w:tcPr>
          <w:p w14:paraId="5A1B428D" w14:textId="77777777" w:rsidR="00960BB8" w:rsidRDefault="00960BB8">
            <w:pPr>
              <w:rPr>
                <w:rFonts w:ascii="宋体"/>
                <w:vanish/>
              </w:rPr>
            </w:pPr>
          </w:p>
        </w:tc>
        <w:tc>
          <w:tcPr>
            <w:tcW w:w="0" w:type="auto"/>
            <w:gridSpan w:val="3"/>
            <w:shd w:val="clear" w:color="auto" w:fill="auto"/>
            <w:vAlign w:val="bottom"/>
          </w:tcPr>
          <w:p w14:paraId="5A1B428E" w14:textId="77777777" w:rsidR="00960BB8" w:rsidRDefault="00960BB8">
            <w:pPr>
              <w:rPr>
                <w:rFonts w:ascii="宋体"/>
                <w:vanish/>
              </w:rPr>
            </w:pPr>
          </w:p>
        </w:tc>
        <w:tc>
          <w:tcPr>
            <w:tcW w:w="0" w:type="auto"/>
            <w:gridSpan w:val="3"/>
            <w:shd w:val="clear" w:color="auto" w:fill="auto"/>
            <w:vAlign w:val="bottom"/>
          </w:tcPr>
          <w:p w14:paraId="5A1B428F" w14:textId="77777777" w:rsidR="00960BB8" w:rsidRDefault="00960BB8">
            <w:pPr>
              <w:rPr>
                <w:rFonts w:ascii="宋体"/>
                <w:vanish/>
              </w:rPr>
            </w:pPr>
          </w:p>
        </w:tc>
        <w:tc>
          <w:tcPr>
            <w:tcW w:w="0" w:type="auto"/>
            <w:gridSpan w:val="3"/>
            <w:shd w:val="clear" w:color="auto" w:fill="auto"/>
            <w:vAlign w:val="bottom"/>
          </w:tcPr>
          <w:p w14:paraId="5A1B4290" w14:textId="77777777" w:rsidR="00960BB8" w:rsidRDefault="00960BB8">
            <w:pPr>
              <w:rPr>
                <w:rFonts w:ascii="宋体"/>
                <w:vanish/>
              </w:rPr>
            </w:pPr>
          </w:p>
        </w:tc>
        <w:tc>
          <w:tcPr>
            <w:tcW w:w="0" w:type="auto"/>
            <w:gridSpan w:val="3"/>
            <w:shd w:val="clear" w:color="auto" w:fill="auto"/>
            <w:vAlign w:val="bottom"/>
          </w:tcPr>
          <w:p w14:paraId="5A1B4291" w14:textId="77777777" w:rsidR="00960BB8" w:rsidRDefault="00960BB8">
            <w:pPr>
              <w:rPr>
                <w:rFonts w:ascii="宋体"/>
                <w:vanish/>
              </w:rPr>
            </w:pPr>
          </w:p>
        </w:tc>
      </w:tr>
      <w:tr w:rsidR="00960BB8" w14:paraId="5A1B4298" w14:textId="77777777">
        <w:trPr>
          <w:hidden/>
        </w:trPr>
        <w:tc>
          <w:tcPr>
            <w:tcW w:w="0" w:type="auto"/>
            <w:gridSpan w:val="3"/>
            <w:shd w:val="clear" w:color="auto" w:fill="auto"/>
            <w:vAlign w:val="bottom"/>
          </w:tcPr>
          <w:p w14:paraId="5A1B4293" w14:textId="77777777" w:rsidR="00960BB8" w:rsidRDefault="00960BB8">
            <w:pPr>
              <w:rPr>
                <w:rFonts w:ascii="宋体"/>
                <w:vanish/>
              </w:rPr>
            </w:pPr>
          </w:p>
        </w:tc>
        <w:tc>
          <w:tcPr>
            <w:tcW w:w="0" w:type="auto"/>
            <w:gridSpan w:val="3"/>
            <w:shd w:val="clear" w:color="auto" w:fill="auto"/>
            <w:vAlign w:val="bottom"/>
          </w:tcPr>
          <w:p w14:paraId="5A1B4294" w14:textId="77777777" w:rsidR="00960BB8" w:rsidRDefault="00960BB8">
            <w:pPr>
              <w:rPr>
                <w:rFonts w:ascii="宋体"/>
                <w:vanish/>
              </w:rPr>
            </w:pPr>
          </w:p>
        </w:tc>
        <w:tc>
          <w:tcPr>
            <w:tcW w:w="0" w:type="auto"/>
            <w:gridSpan w:val="3"/>
            <w:shd w:val="clear" w:color="auto" w:fill="auto"/>
            <w:vAlign w:val="bottom"/>
          </w:tcPr>
          <w:p w14:paraId="5A1B4295" w14:textId="77777777" w:rsidR="00960BB8" w:rsidRDefault="00960BB8">
            <w:pPr>
              <w:rPr>
                <w:rFonts w:ascii="宋体"/>
                <w:vanish/>
              </w:rPr>
            </w:pPr>
          </w:p>
        </w:tc>
        <w:tc>
          <w:tcPr>
            <w:tcW w:w="0" w:type="auto"/>
            <w:gridSpan w:val="3"/>
            <w:shd w:val="clear" w:color="auto" w:fill="auto"/>
            <w:vAlign w:val="bottom"/>
          </w:tcPr>
          <w:p w14:paraId="5A1B4296" w14:textId="77777777" w:rsidR="00960BB8" w:rsidRDefault="00960BB8">
            <w:pPr>
              <w:rPr>
                <w:rFonts w:ascii="宋体"/>
                <w:vanish/>
              </w:rPr>
            </w:pPr>
          </w:p>
        </w:tc>
        <w:tc>
          <w:tcPr>
            <w:tcW w:w="0" w:type="auto"/>
            <w:gridSpan w:val="3"/>
            <w:shd w:val="clear" w:color="auto" w:fill="auto"/>
            <w:vAlign w:val="bottom"/>
          </w:tcPr>
          <w:p w14:paraId="5A1B4297" w14:textId="77777777" w:rsidR="00960BB8" w:rsidRDefault="00960BB8">
            <w:pPr>
              <w:rPr>
                <w:rFonts w:ascii="宋体"/>
                <w:vanish/>
              </w:rPr>
            </w:pPr>
          </w:p>
        </w:tc>
      </w:tr>
      <w:tr w:rsidR="00960BB8" w14:paraId="5A1B429E" w14:textId="77777777">
        <w:trPr>
          <w:hidden/>
        </w:trPr>
        <w:tc>
          <w:tcPr>
            <w:tcW w:w="0" w:type="auto"/>
            <w:gridSpan w:val="3"/>
            <w:shd w:val="clear" w:color="auto" w:fill="auto"/>
            <w:vAlign w:val="bottom"/>
          </w:tcPr>
          <w:p w14:paraId="5A1B4299" w14:textId="77777777" w:rsidR="00960BB8" w:rsidRDefault="00960BB8">
            <w:pPr>
              <w:rPr>
                <w:rFonts w:ascii="宋体"/>
                <w:vanish/>
              </w:rPr>
            </w:pPr>
          </w:p>
        </w:tc>
        <w:tc>
          <w:tcPr>
            <w:tcW w:w="0" w:type="auto"/>
            <w:gridSpan w:val="3"/>
            <w:shd w:val="clear" w:color="auto" w:fill="auto"/>
            <w:vAlign w:val="bottom"/>
          </w:tcPr>
          <w:p w14:paraId="5A1B429A" w14:textId="77777777" w:rsidR="00960BB8" w:rsidRDefault="00960BB8">
            <w:pPr>
              <w:rPr>
                <w:rFonts w:ascii="宋体"/>
                <w:vanish/>
              </w:rPr>
            </w:pPr>
          </w:p>
        </w:tc>
        <w:tc>
          <w:tcPr>
            <w:tcW w:w="0" w:type="auto"/>
            <w:gridSpan w:val="3"/>
            <w:shd w:val="clear" w:color="auto" w:fill="auto"/>
            <w:vAlign w:val="bottom"/>
          </w:tcPr>
          <w:p w14:paraId="5A1B429B" w14:textId="77777777" w:rsidR="00960BB8" w:rsidRDefault="00960BB8">
            <w:pPr>
              <w:rPr>
                <w:rFonts w:ascii="宋体"/>
                <w:vanish/>
              </w:rPr>
            </w:pPr>
          </w:p>
        </w:tc>
        <w:tc>
          <w:tcPr>
            <w:tcW w:w="0" w:type="auto"/>
            <w:gridSpan w:val="3"/>
            <w:shd w:val="clear" w:color="auto" w:fill="auto"/>
            <w:vAlign w:val="bottom"/>
          </w:tcPr>
          <w:p w14:paraId="5A1B429C" w14:textId="77777777" w:rsidR="00960BB8" w:rsidRDefault="00960BB8">
            <w:pPr>
              <w:rPr>
                <w:rFonts w:ascii="宋体"/>
                <w:vanish/>
              </w:rPr>
            </w:pPr>
          </w:p>
        </w:tc>
        <w:tc>
          <w:tcPr>
            <w:tcW w:w="0" w:type="auto"/>
            <w:gridSpan w:val="3"/>
            <w:shd w:val="clear" w:color="auto" w:fill="auto"/>
            <w:vAlign w:val="bottom"/>
          </w:tcPr>
          <w:p w14:paraId="5A1B429D" w14:textId="77777777" w:rsidR="00960BB8" w:rsidRDefault="00960BB8">
            <w:pPr>
              <w:rPr>
                <w:rFonts w:ascii="宋体"/>
                <w:vanish/>
              </w:rPr>
            </w:pPr>
          </w:p>
        </w:tc>
      </w:tr>
      <w:tr w:rsidR="00960BB8" w14:paraId="5A1B42A4" w14:textId="77777777">
        <w:trPr>
          <w:hidden/>
        </w:trPr>
        <w:tc>
          <w:tcPr>
            <w:tcW w:w="0" w:type="auto"/>
            <w:gridSpan w:val="3"/>
            <w:shd w:val="clear" w:color="auto" w:fill="auto"/>
            <w:vAlign w:val="bottom"/>
          </w:tcPr>
          <w:p w14:paraId="5A1B429F" w14:textId="77777777" w:rsidR="00960BB8" w:rsidRDefault="00960BB8">
            <w:pPr>
              <w:rPr>
                <w:rFonts w:ascii="宋体"/>
                <w:vanish/>
              </w:rPr>
            </w:pPr>
          </w:p>
        </w:tc>
        <w:tc>
          <w:tcPr>
            <w:tcW w:w="0" w:type="auto"/>
            <w:gridSpan w:val="3"/>
            <w:shd w:val="clear" w:color="auto" w:fill="auto"/>
            <w:vAlign w:val="bottom"/>
          </w:tcPr>
          <w:p w14:paraId="5A1B42A0" w14:textId="77777777" w:rsidR="00960BB8" w:rsidRDefault="00960BB8">
            <w:pPr>
              <w:rPr>
                <w:rFonts w:ascii="宋体"/>
                <w:vanish/>
              </w:rPr>
            </w:pPr>
          </w:p>
        </w:tc>
        <w:tc>
          <w:tcPr>
            <w:tcW w:w="0" w:type="auto"/>
            <w:gridSpan w:val="3"/>
            <w:shd w:val="clear" w:color="auto" w:fill="auto"/>
            <w:vAlign w:val="bottom"/>
          </w:tcPr>
          <w:p w14:paraId="5A1B42A1" w14:textId="77777777" w:rsidR="00960BB8" w:rsidRDefault="00960BB8">
            <w:pPr>
              <w:rPr>
                <w:rFonts w:ascii="宋体"/>
                <w:vanish/>
              </w:rPr>
            </w:pPr>
          </w:p>
        </w:tc>
        <w:tc>
          <w:tcPr>
            <w:tcW w:w="0" w:type="auto"/>
            <w:gridSpan w:val="3"/>
            <w:shd w:val="clear" w:color="auto" w:fill="auto"/>
            <w:vAlign w:val="bottom"/>
          </w:tcPr>
          <w:p w14:paraId="5A1B42A2" w14:textId="77777777" w:rsidR="00960BB8" w:rsidRDefault="00960BB8">
            <w:pPr>
              <w:rPr>
                <w:rFonts w:ascii="宋体"/>
                <w:vanish/>
              </w:rPr>
            </w:pPr>
          </w:p>
        </w:tc>
        <w:tc>
          <w:tcPr>
            <w:tcW w:w="0" w:type="auto"/>
            <w:gridSpan w:val="3"/>
            <w:shd w:val="clear" w:color="auto" w:fill="auto"/>
            <w:vAlign w:val="bottom"/>
          </w:tcPr>
          <w:p w14:paraId="5A1B42A3" w14:textId="77777777" w:rsidR="00960BB8" w:rsidRDefault="00960BB8">
            <w:pPr>
              <w:rPr>
                <w:rFonts w:ascii="宋体"/>
                <w:vanish/>
              </w:rPr>
            </w:pPr>
          </w:p>
        </w:tc>
      </w:tr>
      <w:tr w:rsidR="00960BB8" w14:paraId="5A1B42AA" w14:textId="77777777">
        <w:tc>
          <w:tcPr>
            <w:tcW w:w="0" w:type="auto"/>
            <w:gridSpan w:val="3"/>
            <w:shd w:val="clear" w:color="auto" w:fill="auto"/>
            <w:tcMar>
              <w:top w:w="0" w:type="dxa"/>
              <w:left w:w="20" w:type="dxa"/>
              <w:bottom w:w="0" w:type="dxa"/>
              <w:right w:w="20" w:type="dxa"/>
            </w:tcMar>
            <w:vAlign w:val="bottom"/>
          </w:tcPr>
          <w:p w14:paraId="5A1B42A5"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vAlign w:val="bottom"/>
          </w:tcPr>
          <w:p w14:paraId="5A1B42A6" w14:textId="77777777" w:rsidR="00960BB8" w:rsidRDefault="00C06650">
            <w:pPr>
              <w:textAlignment w:val="bottom"/>
            </w:pPr>
            <w:r>
              <w:rPr>
                <w:rFonts w:ascii="Arial" w:eastAsia="宋体" w:hAnsi="Arial" w:cs="Arial"/>
                <w:color w:val="262626"/>
                <w:sz w:val="18"/>
                <w:szCs w:val="18"/>
              </w:rPr>
              <w:t>/s/    BARBARA G NOVICK</w:t>
            </w:r>
          </w:p>
        </w:tc>
        <w:tc>
          <w:tcPr>
            <w:tcW w:w="0" w:type="auto"/>
            <w:gridSpan w:val="3"/>
            <w:shd w:val="clear" w:color="auto" w:fill="auto"/>
            <w:tcMar>
              <w:top w:w="0" w:type="dxa"/>
              <w:left w:w="20" w:type="dxa"/>
              <w:bottom w:w="0" w:type="dxa"/>
              <w:right w:w="20" w:type="dxa"/>
            </w:tcMar>
            <w:vAlign w:val="bottom"/>
          </w:tcPr>
          <w:p w14:paraId="5A1B42A7"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A8"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A9" w14:textId="77777777" w:rsidR="00960BB8" w:rsidRDefault="00960BB8">
            <w:pPr>
              <w:rPr>
                <w:rFonts w:ascii="宋体"/>
              </w:rPr>
            </w:pPr>
          </w:p>
        </w:tc>
      </w:tr>
      <w:tr w:rsidR="00960BB8" w14:paraId="5A1B42B0" w14:textId="77777777">
        <w:tc>
          <w:tcPr>
            <w:tcW w:w="0" w:type="auto"/>
            <w:gridSpan w:val="3"/>
            <w:tcBorders>
              <w:top w:val="single" w:sz="4" w:space="0" w:color="262626"/>
            </w:tcBorders>
            <w:shd w:val="clear" w:color="auto" w:fill="auto"/>
            <w:tcMar>
              <w:top w:w="0" w:type="dxa"/>
              <w:left w:w="20" w:type="dxa"/>
              <w:bottom w:w="0" w:type="dxa"/>
              <w:right w:w="20" w:type="dxa"/>
            </w:tcMar>
            <w:vAlign w:val="bottom"/>
          </w:tcPr>
          <w:p w14:paraId="5A1B42AB" w14:textId="77777777" w:rsidR="00960BB8" w:rsidRDefault="00960BB8">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5A1B42AC" w14:textId="77777777" w:rsidR="00960BB8" w:rsidRDefault="00C06650">
            <w:pPr>
              <w:textAlignment w:val="top"/>
            </w:pPr>
            <w:r>
              <w:rPr>
                <w:rFonts w:ascii="Arial" w:eastAsia="宋体" w:hAnsi="Arial" w:cs="Arial"/>
                <w:color w:val="262626"/>
                <w:sz w:val="18"/>
                <w:szCs w:val="18"/>
              </w:rPr>
              <w:t>Barbara G. Novick</w:t>
            </w:r>
          </w:p>
        </w:tc>
        <w:tc>
          <w:tcPr>
            <w:tcW w:w="0" w:type="auto"/>
            <w:gridSpan w:val="3"/>
            <w:shd w:val="clear" w:color="auto" w:fill="auto"/>
            <w:tcMar>
              <w:top w:w="0" w:type="dxa"/>
              <w:left w:w="20" w:type="dxa"/>
              <w:bottom w:w="0" w:type="dxa"/>
              <w:right w:w="20" w:type="dxa"/>
            </w:tcMar>
            <w:vAlign w:val="bottom"/>
          </w:tcPr>
          <w:p w14:paraId="5A1B42AD"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AE"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AF" w14:textId="77777777" w:rsidR="00960BB8" w:rsidRDefault="00960BB8">
            <w:pPr>
              <w:rPr>
                <w:rFonts w:ascii="宋体"/>
              </w:rPr>
            </w:pPr>
          </w:p>
        </w:tc>
      </w:tr>
      <w:tr w:rsidR="00960BB8" w14:paraId="5A1B42B6" w14:textId="77777777">
        <w:tc>
          <w:tcPr>
            <w:tcW w:w="0" w:type="auto"/>
            <w:gridSpan w:val="3"/>
            <w:shd w:val="clear" w:color="auto" w:fill="auto"/>
            <w:tcMar>
              <w:top w:w="0" w:type="dxa"/>
              <w:left w:w="20" w:type="dxa"/>
              <w:bottom w:w="0" w:type="dxa"/>
              <w:right w:w="20" w:type="dxa"/>
            </w:tcMar>
            <w:vAlign w:val="bottom"/>
          </w:tcPr>
          <w:p w14:paraId="5A1B42B1"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2B2" w14:textId="77777777" w:rsidR="00960BB8" w:rsidRDefault="00C06650">
            <w:pPr>
              <w:textAlignment w:val="top"/>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vAlign w:val="bottom"/>
          </w:tcPr>
          <w:p w14:paraId="5A1B42B3"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B4"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B5" w14:textId="77777777" w:rsidR="00960BB8" w:rsidRDefault="00960BB8">
            <w:pPr>
              <w:rPr>
                <w:rFonts w:ascii="宋体"/>
              </w:rPr>
            </w:pPr>
          </w:p>
        </w:tc>
      </w:tr>
      <w:tr w:rsidR="00960BB8" w14:paraId="5A1B42BC" w14:textId="77777777">
        <w:tc>
          <w:tcPr>
            <w:tcW w:w="0" w:type="auto"/>
            <w:gridSpan w:val="3"/>
            <w:shd w:val="clear" w:color="auto" w:fill="auto"/>
            <w:tcMar>
              <w:top w:w="0" w:type="dxa"/>
              <w:left w:w="20" w:type="dxa"/>
              <w:bottom w:w="0" w:type="dxa"/>
              <w:right w:w="20" w:type="dxa"/>
            </w:tcMar>
            <w:vAlign w:val="bottom"/>
          </w:tcPr>
          <w:p w14:paraId="5A1B42B7" w14:textId="77777777" w:rsidR="00960BB8" w:rsidRDefault="00960BB8">
            <w:pPr>
              <w:rPr>
                <w:rFonts w:ascii="宋体"/>
              </w:rPr>
            </w:pPr>
          </w:p>
        </w:tc>
        <w:tc>
          <w:tcPr>
            <w:tcW w:w="0" w:type="auto"/>
            <w:gridSpan w:val="3"/>
            <w:shd w:val="clear" w:color="auto" w:fill="auto"/>
            <w:tcMar>
              <w:top w:w="40" w:type="dxa"/>
              <w:left w:w="20" w:type="dxa"/>
              <w:bottom w:w="40" w:type="dxa"/>
              <w:right w:w="20" w:type="dxa"/>
            </w:tcMar>
          </w:tcPr>
          <w:p w14:paraId="5A1B42B8" w14:textId="77777777" w:rsidR="00960BB8" w:rsidRDefault="00C06650">
            <w:pPr>
              <w:textAlignment w:val="top"/>
            </w:pPr>
            <w:r>
              <w:rPr>
                <w:rFonts w:ascii="Arial" w:eastAsia="宋体" w:hAnsi="Arial" w:cs="Arial"/>
                <w:color w:val="262626"/>
                <w:sz w:val="18"/>
                <w:szCs w:val="18"/>
              </w:rPr>
              <w:t>January 26, 2023</w:t>
            </w:r>
          </w:p>
        </w:tc>
        <w:tc>
          <w:tcPr>
            <w:tcW w:w="0" w:type="auto"/>
            <w:gridSpan w:val="3"/>
            <w:shd w:val="clear" w:color="auto" w:fill="auto"/>
            <w:tcMar>
              <w:top w:w="0" w:type="dxa"/>
              <w:left w:w="20" w:type="dxa"/>
              <w:bottom w:w="0" w:type="dxa"/>
              <w:right w:w="20" w:type="dxa"/>
            </w:tcMar>
            <w:vAlign w:val="bottom"/>
          </w:tcPr>
          <w:p w14:paraId="5A1B42B9"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BA" w14:textId="77777777" w:rsidR="00960BB8" w:rsidRDefault="00960BB8">
            <w:pPr>
              <w:rPr>
                <w:rFonts w:ascii="宋体"/>
              </w:rPr>
            </w:pPr>
          </w:p>
        </w:tc>
        <w:tc>
          <w:tcPr>
            <w:tcW w:w="0" w:type="auto"/>
            <w:gridSpan w:val="3"/>
            <w:shd w:val="clear" w:color="auto" w:fill="auto"/>
            <w:tcMar>
              <w:top w:w="0" w:type="dxa"/>
              <w:left w:w="20" w:type="dxa"/>
              <w:bottom w:w="0" w:type="dxa"/>
              <w:right w:w="20" w:type="dxa"/>
            </w:tcMar>
            <w:vAlign w:val="bottom"/>
          </w:tcPr>
          <w:p w14:paraId="5A1B42BB" w14:textId="77777777" w:rsidR="00960BB8" w:rsidRDefault="00960BB8">
            <w:pPr>
              <w:rPr>
                <w:rFonts w:ascii="宋体"/>
              </w:rPr>
            </w:pPr>
          </w:p>
        </w:tc>
      </w:tr>
      <w:tr w:rsidR="00960BB8" w14:paraId="5A1B42C2" w14:textId="77777777">
        <w:trPr>
          <w:hidden/>
        </w:trPr>
        <w:tc>
          <w:tcPr>
            <w:tcW w:w="0" w:type="auto"/>
            <w:gridSpan w:val="3"/>
            <w:shd w:val="clear" w:color="auto" w:fill="auto"/>
            <w:vAlign w:val="bottom"/>
          </w:tcPr>
          <w:p w14:paraId="5A1B42BD" w14:textId="77777777" w:rsidR="00960BB8" w:rsidRDefault="00960BB8">
            <w:pPr>
              <w:rPr>
                <w:rFonts w:ascii="宋体"/>
                <w:vanish/>
              </w:rPr>
            </w:pPr>
          </w:p>
        </w:tc>
        <w:tc>
          <w:tcPr>
            <w:tcW w:w="0" w:type="auto"/>
            <w:gridSpan w:val="3"/>
            <w:shd w:val="clear" w:color="auto" w:fill="auto"/>
            <w:vAlign w:val="bottom"/>
          </w:tcPr>
          <w:p w14:paraId="5A1B42BE" w14:textId="77777777" w:rsidR="00960BB8" w:rsidRDefault="00960BB8">
            <w:pPr>
              <w:rPr>
                <w:rFonts w:ascii="宋体"/>
                <w:vanish/>
              </w:rPr>
            </w:pPr>
          </w:p>
        </w:tc>
        <w:tc>
          <w:tcPr>
            <w:tcW w:w="0" w:type="auto"/>
            <w:gridSpan w:val="3"/>
            <w:shd w:val="clear" w:color="auto" w:fill="auto"/>
            <w:vAlign w:val="bottom"/>
          </w:tcPr>
          <w:p w14:paraId="5A1B42BF" w14:textId="77777777" w:rsidR="00960BB8" w:rsidRDefault="00960BB8">
            <w:pPr>
              <w:rPr>
                <w:rFonts w:ascii="宋体"/>
                <w:vanish/>
              </w:rPr>
            </w:pPr>
          </w:p>
        </w:tc>
        <w:tc>
          <w:tcPr>
            <w:tcW w:w="0" w:type="auto"/>
            <w:gridSpan w:val="3"/>
            <w:shd w:val="clear" w:color="auto" w:fill="auto"/>
            <w:vAlign w:val="bottom"/>
          </w:tcPr>
          <w:p w14:paraId="5A1B42C0" w14:textId="77777777" w:rsidR="00960BB8" w:rsidRDefault="00960BB8">
            <w:pPr>
              <w:rPr>
                <w:rFonts w:ascii="宋体"/>
                <w:vanish/>
              </w:rPr>
            </w:pPr>
          </w:p>
        </w:tc>
        <w:tc>
          <w:tcPr>
            <w:tcW w:w="0" w:type="auto"/>
            <w:gridSpan w:val="3"/>
            <w:shd w:val="clear" w:color="auto" w:fill="auto"/>
            <w:vAlign w:val="bottom"/>
          </w:tcPr>
          <w:p w14:paraId="5A1B42C1" w14:textId="77777777" w:rsidR="00960BB8" w:rsidRDefault="00960BB8">
            <w:pPr>
              <w:rPr>
                <w:rFonts w:ascii="宋体"/>
                <w:vanish/>
              </w:rPr>
            </w:pPr>
          </w:p>
        </w:tc>
      </w:tr>
    </w:tbl>
    <w:p w14:paraId="5A1B42C3" w14:textId="77777777" w:rsidR="00960BB8" w:rsidRDefault="00960BB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960BB8" w14:paraId="5A1B42CD" w14:textId="77777777">
        <w:tc>
          <w:tcPr>
            <w:tcW w:w="50" w:type="pct"/>
            <w:shd w:val="clear" w:color="auto" w:fill="auto"/>
            <w:vAlign w:val="bottom"/>
          </w:tcPr>
          <w:p w14:paraId="5A1B42C4" w14:textId="77777777" w:rsidR="00960BB8" w:rsidRDefault="00960BB8">
            <w:pPr>
              <w:rPr>
                <w:rFonts w:ascii="宋体"/>
              </w:rPr>
            </w:pPr>
          </w:p>
        </w:tc>
        <w:tc>
          <w:tcPr>
            <w:tcW w:w="283" w:type="pct"/>
            <w:shd w:val="clear" w:color="auto" w:fill="auto"/>
            <w:vAlign w:val="bottom"/>
          </w:tcPr>
          <w:p w14:paraId="5A1B42C5" w14:textId="77777777" w:rsidR="00960BB8" w:rsidRDefault="00960BB8">
            <w:pPr>
              <w:rPr>
                <w:rFonts w:ascii="宋体"/>
              </w:rPr>
            </w:pPr>
          </w:p>
        </w:tc>
        <w:tc>
          <w:tcPr>
            <w:tcW w:w="5" w:type="pct"/>
            <w:shd w:val="clear" w:color="auto" w:fill="auto"/>
            <w:vAlign w:val="bottom"/>
          </w:tcPr>
          <w:p w14:paraId="5A1B42C6" w14:textId="77777777" w:rsidR="00960BB8" w:rsidRDefault="00960BB8">
            <w:pPr>
              <w:rPr>
                <w:rFonts w:ascii="宋体"/>
              </w:rPr>
            </w:pPr>
          </w:p>
        </w:tc>
        <w:tc>
          <w:tcPr>
            <w:tcW w:w="50" w:type="pct"/>
            <w:shd w:val="clear" w:color="auto" w:fill="auto"/>
            <w:vAlign w:val="bottom"/>
          </w:tcPr>
          <w:p w14:paraId="5A1B42C7" w14:textId="77777777" w:rsidR="00960BB8" w:rsidRDefault="00960BB8">
            <w:pPr>
              <w:rPr>
                <w:rFonts w:ascii="宋体"/>
              </w:rPr>
            </w:pPr>
          </w:p>
        </w:tc>
        <w:tc>
          <w:tcPr>
            <w:tcW w:w="2656" w:type="pct"/>
            <w:shd w:val="clear" w:color="auto" w:fill="auto"/>
            <w:vAlign w:val="bottom"/>
          </w:tcPr>
          <w:p w14:paraId="5A1B42C8" w14:textId="77777777" w:rsidR="00960BB8" w:rsidRDefault="00960BB8">
            <w:pPr>
              <w:rPr>
                <w:rFonts w:ascii="宋体"/>
              </w:rPr>
            </w:pPr>
          </w:p>
        </w:tc>
        <w:tc>
          <w:tcPr>
            <w:tcW w:w="5" w:type="pct"/>
            <w:shd w:val="clear" w:color="auto" w:fill="auto"/>
            <w:vAlign w:val="bottom"/>
          </w:tcPr>
          <w:p w14:paraId="5A1B42C9" w14:textId="77777777" w:rsidR="00960BB8" w:rsidRDefault="00960BB8">
            <w:pPr>
              <w:rPr>
                <w:rFonts w:ascii="宋体"/>
              </w:rPr>
            </w:pPr>
          </w:p>
        </w:tc>
        <w:tc>
          <w:tcPr>
            <w:tcW w:w="50" w:type="pct"/>
            <w:shd w:val="clear" w:color="auto" w:fill="auto"/>
            <w:vAlign w:val="bottom"/>
          </w:tcPr>
          <w:p w14:paraId="5A1B42CA" w14:textId="77777777" w:rsidR="00960BB8" w:rsidRDefault="00960BB8">
            <w:pPr>
              <w:rPr>
                <w:rFonts w:ascii="宋体"/>
              </w:rPr>
            </w:pPr>
          </w:p>
        </w:tc>
        <w:tc>
          <w:tcPr>
            <w:tcW w:w="1894" w:type="pct"/>
            <w:shd w:val="clear" w:color="auto" w:fill="auto"/>
            <w:vAlign w:val="bottom"/>
          </w:tcPr>
          <w:p w14:paraId="5A1B42CB" w14:textId="77777777" w:rsidR="00960BB8" w:rsidRDefault="00960BB8">
            <w:pPr>
              <w:rPr>
                <w:rFonts w:ascii="宋体"/>
              </w:rPr>
            </w:pPr>
          </w:p>
        </w:tc>
        <w:tc>
          <w:tcPr>
            <w:tcW w:w="5" w:type="pct"/>
            <w:shd w:val="clear" w:color="auto" w:fill="auto"/>
            <w:vAlign w:val="bottom"/>
          </w:tcPr>
          <w:p w14:paraId="5A1B42CC" w14:textId="77777777" w:rsidR="00960BB8" w:rsidRDefault="00960BB8">
            <w:pPr>
              <w:rPr>
                <w:rFonts w:ascii="宋体"/>
              </w:rPr>
            </w:pPr>
          </w:p>
        </w:tc>
      </w:tr>
      <w:tr w:rsidR="00960BB8" w14:paraId="5A1B42D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5A1B42CE" w14:textId="77777777" w:rsidR="00960BB8" w:rsidRDefault="00C066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Viewer_files/intc-20221231_g2.jpg"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A1B44F9" wp14:editId="5A1B44FA">
                  <wp:extent cx="304800" cy="304800"/>
                  <wp:effectExtent l="0" t="0" r="0" b="0"/>
                  <wp:docPr id="185" name="图片 339"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39" descr="IMG_4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42CF" w14:textId="77777777" w:rsidR="00960BB8" w:rsidRDefault="00C06650">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5A1B42D0" w14:textId="77777777" w:rsidR="00960BB8" w:rsidRDefault="00C06650">
            <w:pPr>
              <w:jc w:val="right"/>
              <w:textAlignment w:val="center"/>
            </w:pPr>
            <w:r>
              <w:rPr>
                <w:rFonts w:ascii="Arial" w:eastAsia="宋体" w:hAnsi="Arial" w:cs="Arial"/>
                <w:color w:val="262626"/>
                <w:sz w:val="16"/>
                <w:szCs w:val="16"/>
              </w:rPr>
              <w:t>125</w:t>
            </w:r>
          </w:p>
        </w:tc>
      </w:tr>
    </w:tbl>
    <w:p w14:paraId="5A1B42D2" w14:textId="77777777" w:rsidR="00960BB8" w:rsidRDefault="00C0665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A1B44FB" wp14:editId="5A1B44FC">
                <wp:extent cx="635" cy="0"/>
                <wp:effectExtent l="0" t="0" r="0" b="0"/>
                <wp:docPr id="187" name="矩形 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Bi3GooBAgAAHA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2D4" w14:textId="77777777">
        <w:trPr>
          <w:tblCellSpacing w:w="15" w:type="dxa"/>
        </w:trPr>
        <w:tc>
          <w:tcPr>
            <w:tcW w:w="0" w:type="auto"/>
            <w:shd w:val="clear" w:color="auto" w:fill="auto"/>
            <w:vAlign w:val="center"/>
          </w:tcPr>
          <w:p w14:paraId="5A1B42D3" w14:textId="77777777" w:rsidR="00960BB8" w:rsidRDefault="00960BB8">
            <w:pPr>
              <w:rPr>
                <w:rFonts w:ascii="宋体"/>
              </w:rPr>
            </w:pPr>
          </w:p>
        </w:tc>
      </w:tr>
    </w:tbl>
    <w:p w14:paraId="5A1B42D5" w14:textId="77777777" w:rsidR="00960BB8" w:rsidRDefault="00960BB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2D7" w14:textId="77777777">
        <w:trPr>
          <w:tblCellSpacing w:w="15" w:type="dxa"/>
        </w:trPr>
        <w:tc>
          <w:tcPr>
            <w:tcW w:w="0" w:type="auto"/>
            <w:shd w:val="clear" w:color="auto" w:fill="auto"/>
            <w:vAlign w:val="center"/>
          </w:tcPr>
          <w:p w14:paraId="5A1B42D6" w14:textId="77777777" w:rsidR="00960BB8" w:rsidRDefault="00960BB8">
            <w:pPr>
              <w:rPr>
                <w:rFonts w:ascii="宋体"/>
              </w:rPr>
            </w:pPr>
          </w:p>
        </w:tc>
      </w:tr>
    </w:tbl>
    <w:p w14:paraId="5A1B42D8" w14:textId="77777777" w:rsidR="00960BB8" w:rsidRDefault="00960BB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2DA" w14:textId="77777777">
        <w:trPr>
          <w:tblCellSpacing w:w="15" w:type="dxa"/>
        </w:trPr>
        <w:tc>
          <w:tcPr>
            <w:tcW w:w="0" w:type="auto"/>
            <w:shd w:val="clear" w:color="auto" w:fill="auto"/>
            <w:vAlign w:val="center"/>
          </w:tcPr>
          <w:p w14:paraId="5A1B42D9" w14:textId="77777777" w:rsidR="00960BB8" w:rsidRDefault="00960BB8">
            <w:pPr>
              <w:rPr>
                <w:rFonts w:ascii="宋体"/>
              </w:rPr>
            </w:pPr>
          </w:p>
        </w:tc>
      </w:tr>
    </w:tbl>
    <w:p w14:paraId="5A1B42DB" w14:textId="77777777" w:rsidR="00960BB8" w:rsidRDefault="00960BB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2DD" w14:textId="77777777">
        <w:trPr>
          <w:tblCellSpacing w:w="15" w:type="dxa"/>
        </w:trPr>
        <w:tc>
          <w:tcPr>
            <w:tcW w:w="0" w:type="auto"/>
            <w:shd w:val="clear" w:color="auto" w:fill="auto"/>
            <w:vAlign w:val="center"/>
          </w:tcPr>
          <w:p w14:paraId="5A1B42DC" w14:textId="77777777" w:rsidR="00960BB8" w:rsidRDefault="00960BB8">
            <w:pPr>
              <w:rPr>
                <w:rFonts w:ascii="宋体"/>
              </w:rPr>
            </w:pPr>
          </w:p>
        </w:tc>
      </w:tr>
    </w:tbl>
    <w:p w14:paraId="5A1B42DE" w14:textId="77777777" w:rsidR="00960BB8" w:rsidRDefault="00C06650">
      <w:r>
        <w:rPr>
          <w:rFonts w:ascii="宋体" w:eastAsia="宋体" w:hAnsi="宋体" w:cs="宋体"/>
        </w:rPr>
        <w:t xml:space="preserve">Previous Next </w:t>
      </w:r>
    </w:p>
    <w:p w14:paraId="5A1B42DF" w14:textId="77777777" w:rsidR="00960BB8" w:rsidRDefault="00C06650">
      <w:pPr>
        <w:pStyle w:val="a3"/>
      </w:pPr>
      <w:r>
        <w:t>Settings</w:t>
      </w:r>
    </w:p>
    <w:p w14:paraId="5A1B42E0" w14:textId="77777777" w:rsidR="00960BB8" w:rsidRDefault="00C06650">
      <w:pPr>
        <w:pStyle w:val="Style4"/>
      </w:pPr>
      <w:r>
        <w:t>窗体顶端</w:t>
      </w:r>
    </w:p>
    <w:p w14:paraId="5A1B42E1" w14:textId="77777777" w:rsidR="00960BB8" w:rsidRDefault="00C06650">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A1B44FD" wp14:editId="5A1B44FE">
                <wp:extent cx="635" cy="0"/>
                <wp:effectExtent l="0" t="0" r="0" b="0"/>
                <wp:docPr id="182" name="矩形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BH8V78BAgAAHA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A1B42E2" w14:textId="77777777" w:rsidR="00960BB8" w:rsidRDefault="00C06650">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A1B44FF" wp14:editId="5A1B4500">
                <wp:extent cx="635" cy="0"/>
                <wp:effectExtent l="0" t="0" r="0" b="0"/>
                <wp:docPr id="183" name="矩形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NMWbgcBAgAAHA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A1B42E3" w14:textId="77777777" w:rsidR="00960BB8" w:rsidRDefault="00C06650">
      <w:r>
        <w:pict w14:anchorId="5A1B4501">
          <v:rect id="_x0000_i1151" style="width:415.3pt;height:1.5pt" o:hralign="center" o:hrstd="t" o:hr="t" fillcolor="#a0a0a0" stroked="f"/>
        </w:pict>
      </w:r>
    </w:p>
    <w:p w14:paraId="5A1B42E4" w14:textId="77777777" w:rsidR="00960BB8" w:rsidRDefault="00C06650">
      <w:r>
        <w:rPr>
          <w:rFonts w:ascii="宋体" w:eastAsia="宋体" w:hAnsi="宋体" w:cs="宋体"/>
        </w:rPr>
        <w:t xml:space="preserve">Tagged Data </w:t>
      </w:r>
    </w:p>
    <w:p w14:paraId="5A1B42E5" w14:textId="77777777" w:rsidR="00960BB8" w:rsidRDefault="00C06650">
      <w:r>
        <w:rPr>
          <w:rFonts w:ascii="monospace" w:eastAsia="monospace" w:hAnsi="monospace" w:cs="monospace"/>
          <w:noProof/>
        </w:rPr>
        <mc:AlternateContent>
          <mc:Choice Requires="wps">
            <w:drawing>
              <wp:inline distT="0" distB="0" distL="114300" distR="114300" wp14:anchorId="5A1B4502" wp14:editId="5A1B4503">
                <wp:extent cx="635" cy="0"/>
                <wp:effectExtent l="0" t="0" r="0" b="0"/>
                <wp:docPr id="180" name="矩形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NQvVRQ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5A1B42E6" w14:textId="77777777" w:rsidR="00960BB8" w:rsidRDefault="00C06650">
      <w:r>
        <w:rPr>
          <w:rFonts w:ascii="宋体" w:eastAsia="宋体" w:hAnsi="宋体" w:cs="宋体"/>
        </w:rPr>
        <w:t>Save</w:t>
      </w:r>
    </w:p>
    <w:p w14:paraId="5A1B42E7" w14:textId="77777777" w:rsidR="00960BB8" w:rsidRDefault="00C06650">
      <w:r>
        <w:rPr>
          <w:rFonts w:ascii="宋体" w:eastAsia="宋体" w:hAnsi="宋体" w:cs="宋体"/>
        </w:rPr>
        <w:t>Reset</w:t>
      </w:r>
    </w:p>
    <w:p w14:paraId="5A1B42E8" w14:textId="77777777" w:rsidR="00960BB8" w:rsidRDefault="00C06650">
      <w:r>
        <w:pict w14:anchorId="5A1B4504">
          <v:rect id="_x0000_i1152" style="width:415.3pt;height:1.5pt" o:hralign="center" o:hrstd="t" o:hr="t" fillcolor="#a0a0a0" stroked="f"/>
        </w:pict>
      </w:r>
    </w:p>
    <w:p w14:paraId="5A1B42E9" w14:textId="77777777" w:rsidR="00960BB8" w:rsidRDefault="00C06650">
      <w:r>
        <w:rPr>
          <w:rFonts w:ascii="宋体" w:eastAsia="宋体" w:hAnsi="宋体" w:cs="宋体"/>
        </w:rPr>
        <w:t xml:space="preserve">Search Results </w:t>
      </w:r>
    </w:p>
    <w:p w14:paraId="5A1B42EA" w14:textId="77777777" w:rsidR="00960BB8" w:rsidRDefault="00C06650">
      <w:r>
        <w:rPr>
          <w:rFonts w:ascii="monospace" w:eastAsia="monospace" w:hAnsi="monospace" w:cs="monospace"/>
          <w:noProof/>
        </w:rPr>
        <mc:AlternateContent>
          <mc:Choice Requires="wps">
            <w:drawing>
              <wp:inline distT="0" distB="0" distL="114300" distR="114300" wp14:anchorId="5A1B4505" wp14:editId="5A1B4506">
                <wp:extent cx="635" cy="0"/>
                <wp:effectExtent l="0" t="0" r="0" b="0"/>
                <wp:docPr id="179" name="矩形 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J7O5wECAAAcBAAADgAAAGRycy9l&#10;Mm9Eb2MueG1srVNLbhsxDN0X6B0E7etxXCRt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PCezuc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5A1B42EB" w14:textId="77777777" w:rsidR="00960BB8" w:rsidRDefault="00C06650">
      <w:r>
        <w:rPr>
          <w:rFonts w:ascii="宋体" w:eastAsia="宋体" w:hAnsi="宋体" w:cs="宋体"/>
        </w:rPr>
        <w:t>Save</w:t>
      </w:r>
    </w:p>
    <w:p w14:paraId="5A1B42EC" w14:textId="77777777" w:rsidR="00960BB8" w:rsidRDefault="00C06650">
      <w:r>
        <w:rPr>
          <w:rFonts w:ascii="宋体" w:eastAsia="宋体" w:hAnsi="宋体" w:cs="宋体"/>
        </w:rPr>
        <w:t>Reset</w:t>
      </w:r>
    </w:p>
    <w:p w14:paraId="5A1B42ED" w14:textId="77777777" w:rsidR="00960BB8" w:rsidRDefault="00C06650">
      <w:r>
        <w:pict w14:anchorId="5A1B4507">
          <v:rect id="_x0000_i1153" style="width:415.3pt;height:1.5pt" o:hralign="center" o:hrstd="t" o:hr="t" fillcolor="#a0a0a0" stroked="f"/>
        </w:pict>
      </w:r>
    </w:p>
    <w:p w14:paraId="5A1B42EE" w14:textId="77777777" w:rsidR="00960BB8" w:rsidRDefault="00C06650">
      <w:r>
        <w:rPr>
          <w:rFonts w:ascii="宋体" w:eastAsia="宋体" w:hAnsi="宋体" w:cs="宋体"/>
        </w:rPr>
        <w:t xml:space="preserve">Selected Fact </w:t>
      </w:r>
    </w:p>
    <w:p w14:paraId="5A1B42EF" w14:textId="77777777" w:rsidR="00960BB8" w:rsidRDefault="00C06650">
      <w:r>
        <w:rPr>
          <w:rFonts w:ascii="monospace" w:eastAsia="monospace" w:hAnsi="monospace" w:cs="monospace"/>
          <w:noProof/>
        </w:rPr>
        <mc:AlternateContent>
          <mc:Choice Requires="wps">
            <w:drawing>
              <wp:inline distT="0" distB="0" distL="114300" distR="114300" wp14:anchorId="5A1B4508" wp14:editId="5A1B4509">
                <wp:extent cx="635" cy="0"/>
                <wp:effectExtent l="0" t="0" r="0" b="0"/>
                <wp:docPr id="186" name="矩形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NpdIzI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5A1B42F0" w14:textId="77777777" w:rsidR="00960BB8" w:rsidRDefault="00C06650">
      <w:r>
        <w:rPr>
          <w:rFonts w:ascii="宋体" w:eastAsia="宋体" w:hAnsi="宋体" w:cs="宋体"/>
        </w:rPr>
        <w:t>Save</w:t>
      </w:r>
    </w:p>
    <w:p w14:paraId="5A1B42F1" w14:textId="77777777" w:rsidR="00960BB8" w:rsidRDefault="00C06650">
      <w:r>
        <w:rPr>
          <w:rFonts w:ascii="宋体" w:eastAsia="宋体" w:hAnsi="宋体" w:cs="宋体"/>
        </w:rPr>
        <w:t>Reset</w:t>
      </w:r>
    </w:p>
    <w:p w14:paraId="5A1B42F2" w14:textId="77777777" w:rsidR="00960BB8" w:rsidRDefault="00C06650">
      <w:r>
        <w:pict w14:anchorId="5A1B450A">
          <v:rect id="_x0000_i1154" style="width:415.3pt;height:1.5pt" o:hralign="center" o:hrstd="t" o:hr="t" fillcolor="#a0a0a0" stroked="f"/>
        </w:pict>
      </w:r>
    </w:p>
    <w:p w14:paraId="5A1B42F3" w14:textId="77777777" w:rsidR="00960BB8" w:rsidRDefault="00C06650">
      <w:r>
        <w:rPr>
          <w:rFonts w:ascii="宋体" w:eastAsia="宋体" w:hAnsi="宋体" w:cs="宋体"/>
        </w:rPr>
        <w:t xml:space="preserve">Tag Shading (hover) </w:t>
      </w:r>
    </w:p>
    <w:p w14:paraId="5A1B42F4" w14:textId="77777777" w:rsidR="00960BB8" w:rsidRDefault="00C06650">
      <w:r>
        <w:rPr>
          <w:rFonts w:ascii="monospace" w:eastAsia="monospace" w:hAnsi="monospace" w:cs="monospace"/>
          <w:noProof/>
        </w:rPr>
        <mc:AlternateContent>
          <mc:Choice Requires="wps">
            <w:drawing>
              <wp:inline distT="0" distB="0" distL="114300" distR="114300" wp14:anchorId="5A1B450B" wp14:editId="5A1B450C">
                <wp:extent cx="635" cy="0"/>
                <wp:effectExtent l="0" t="0" r="0" b="0"/>
                <wp:docPr id="189" name="矩形 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MGA9G0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5A1B42F5" w14:textId="77777777" w:rsidR="00960BB8" w:rsidRDefault="00C06650">
      <w:r>
        <w:rPr>
          <w:rFonts w:ascii="宋体" w:eastAsia="宋体" w:hAnsi="宋体" w:cs="宋体"/>
        </w:rPr>
        <w:t>Save</w:t>
      </w:r>
    </w:p>
    <w:p w14:paraId="5A1B42F6" w14:textId="77777777" w:rsidR="00960BB8" w:rsidRDefault="00C06650">
      <w:r>
        <w:rPr>
          <w:rFonts w:ascii="宋体" w:eastAsia="宋体" w:hAnsi="宋体" w:cs="宋体"/>
        </w:rPr>
        <w:t>Reset</w:t>
      </w:r>
    </w:p>
    <w:p w14:paraId="5A1B42F7" w14:textId="77777777" w:rsidR="00960BB8" w:rsidRDefault="00C06650">
      <w:pPr>
        <w:pStyle w:val="Style5"/>
      </w:pPr>
      <w:r>
        <w:t>窗体底端</w:t>
      </w:r>
    </w:p>
    <w:p w14:paraId="5A1B42F8" w14:textId="77777777" w:rsidR="00960BB8" w:rsidRDefault="00C0665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A1B450D" wp14:editId="5A1B450E">
                <wp:extent cx="635" cy="0"/>
                <wp:effectExtent l="0" t="0" r="0" b="0"/>
                <wp:docPr id="190" name="矩形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rWHYQECAAAc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K1h2EBAgAAHA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2FA" w14:textId="77777777">
        <w:trPr>
          <w:tblCellSpacing w:w="15" w:type="dxa"/>
        </w:trPr>
        <w:tc>
          <w:tcPr>
            <w:tcW w:w="0" w:type="auto"/>
            <w:shd w:val="clear" w:color="auto" w:fill="auto"/>
            <w:vAlign w:val="center"/>
          </w:tcPr>
          <w:p w14:paraId="5A1B42F9" w14:textId="77777777" w:rsidR="00960BB8" w:rsidRDefault="00960BB8">
            <w:pPr>
              <w:rPr>
                <w:rFonts w:ascii="宋体"/>
              </w:rPr>
            </w:pPr>
          </w:p>
        </w:tc>
      </w:tr>
    </w:tbl>
    <w:p w14:paraId="5A1B42FB" w14:textId="77777777" w:rsidR="00960BB8" w:rsidRDefault="00960BB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2FD" w14:textId="77777777">
        <w:trPr>
          <w:tblCellSpacing w:w="15" w:type="dxa"/>
        </w:trPr>
        <w:tc>
          <w:tcPr>
            <w:tcW w:w="0" w:type="auto"/>
            <w:shd w:val="clear" w:color="auto" w:fill="auto"/>
            <w:vAlign w:val="center"/>
          </w:tcPr>
          <w:p w14:paraId="5A1B42FC" w14:textId="77777777" w:rsidR="00960BB8" w:rsidRDefault="00960BB8">
            <w:pPr>
              <w:rPr>
                <w:rFonts w:ascii="宋体"/>
              </w:rPr>
            </w:pPr>
          </w:p>
        </w:tc>
      </w:tr>
    </w:tbl>
    <w:p w14:paraId="5A1B42FE" w14:textId="77777777" w:rsidR="00960BB8" w:rsidRDefault="00960BB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300" w14:textId="77777777">
        <w:trPr>
          <w:tblCellSpacing w:w="15" w:type="dxa"/>
        </w:trPr>
        <w:tc>
          <w:tcPr>
            <w:tcW w:w="0" w:type="auto"/>
            <w:shd w:val="clear" w:color="auto" w:fill="auto"/>
            <w:vAlign w:val="center"/>
          </w:tcPr>
          <w:p w14:paraId="5A1B42FF" w14:textId="77777777" w:rsidR="00960BB8" w:rsidRDefault="00960BB8">
            <w:pPr>
              <w:rPr>
                <w:rFonts w:ascii="宋体"/>
              </w:rPr>
            </w:pPr>
          </w:p>
        </w:tc>
      </w:tr>
    </w:tbl>
    <w:p w14:paraId="5A1B4301" w14:textId="77777777" w:rsidR="00960BB8" w:rsidRDefault="00960BB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303" w14:textId="77777777">
        <w:trPr>
          <w:tblCellSpacing w:w="15" w:type="dxa"/>
        </w:trPr>
        <w:tc>
          <w:tcPr>
            <w:tcW w:w="0" w:type="auto"/>
            <w:shd w:val="clear" w:color="auto" w:fill="auto"/>
            <w:vAlign w:val="center"/>
          </w:tcPr>
          <w:p w14:paraId="5A1B4302" w14:textId="77777777" w:rsidR="00960BB8" w:rsidRDefault="00960BB8">
            <w:pPr>
              <w:rPr>
                <w:rFonts w:ascii="宋体"/>
              </w:rPr>
            </w:pPr>
          </w:p>
        </w:tc>
      </w:tr>
    </w:tbl>
    <w:p w14:paraId="5A1B4304" w14:textId="77777777" w:rsidR="00960BB8" w:rsidRDefault="00C06650">
      <w:r>
        <w:rPr>
          <w:rFonts w:ascii="宋体" w:eastAsia="宋体" w:hAnsi="宋体" w:cs="宋体"/>
        </w:rPr>
        <w:t xml:space="preserve">Previous Next </w:t>
      </w:r>
    </w:p>
    <w:p w14:paraId="5A1B4305" w14:textId="77777777" w:rsidR="00960BB8" w:rsidRDefault="00C06650">
      <w:pPr>
        <w:pStyle w:val="a3"/>
      </w:pPr>
      <w:r>
        <w:t xml:space="preserve">Nested Facts / </w:t>
      </w:r>
    </w:p>
    <w:p w14:paraId="5A1B4306" w14:textId="77777777" w:rsidR="00960BB8" w:rsidRDefault="00C06650">
      <w:r>
        <w:rPr>
          <w:rFonts w:ascii="宋体" w:eastAsia="宋体" w:hAnsi="宋体" w:cs="宋体"/>
        </w:rPr>
        <w:t xml:space="preserve">Previous Next </w:t>
      </w:r>
    </w:p>
    <w:p w14:paraId="5A1B4307" w14:textId="77777777" w:rsidR="00960BB8" w:rsidRDefault="00C0665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A1B450F" wp14:editId="5A1B4510">
                <wp:extent cx="635" cy="0"/>
                <wp:effectExtent l="0" t="0" r="0" b="0"/>
                <wp:docPr id="154" name="矩形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MKkvvgBAgAAHA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309" w14:textId="77777777">
        <w:trPr>
          <w:tblCellSpacing w:w="15" w:type="dxa"/>
        </w:trPr>
        <w:tc>
          <w:tcPr>
            <w:tcW w:w="0" w:type="auto"/>
            <w:shd w:val="clear" w:color="auto" w:fill="auto"/>
            <w:vAlign w:val="center"/>
          </w:tcPr>
          <w:p w14:paraId="5A1B4308" w14:textId="77777777" w:rsidR="00960BB8" w:rsidRDefault="00960BB8">
            <w:pPr>
              <w:rPr>
                <w:rFonts w:ascii="宋体"/>
              </w:rPr>
            </w:pPr>
          </w:p>
        </w:tc>
      </w:tr>
    </w:tbl>
    <w:p w14:paraId="5A1B430A" w14:textId="77777777" w:rsidR="00960BB8" w:rsidRDefault="00960BB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30C" w14:textId="77777777">
        <w:trPr>
          <w:tblCellSpacing w:w="15" w:type="dxa"/>
        </w:trPr>
        <w:tc>
          <w:tcPr>
            <w:tcW w:w="0" w:type="auto"/>
            <w:shd w:val="clear" w:color="auto" w:fill="auto"/>
            <w:vAlign w:val="center"/>
          </w:tcPr>
          <w:p w14:paraId="5A1B430B" w14:textId="77777777" w:rsidR="00960BB8" w:rsidRDefault="00960BB8">
            <w:pPr>
              <w:rPr>
                <w:rFonts w:ascii="宋体"/>
              </w:rPr>
            </w:pPr>
          </w:p>
        </w:tc>
      </w:tr>
    </w:tbl>
    <w:p w14:paraId="5A1B430D" w14:textId="77777777" w:rsidR="00960BB8" w:rsidRDefault="00960BB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30F" w14:textId="77777777">
        <w:trPr>
          <w:tblCellSpacing w:w="15" w:type="dxa"/>
        </w:trPr>
        <w:tc>
          <w:tcPr>
            <w:tcW w:w="0" w:type="auto"/>
            <w:shd w:val="clear" w:color="auto" w:fill="auto"/>
            <w:vAlign w:val="center"/>
          </w:tcPr>
          <w:p w14:paraId="5A1B430E" w14:textId="77777777" w:rsidR="00960BB8" w:rsidRDefault="00960BB8">
            <w:pPr>
              <w:rPr>
                <w:rFonts w:ascii="宋体"/>
              </w:rPr>
            </w:pPr>
          </w:p>
        </w:tc>
      </w:tr>
    </w:tbl>
    <w:p w14:paraId="5A1B4310" w14:textId="77777777" w:rsidR="00960BB8" w:rsidRDefault="00960BB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BB8" w14:paraId="5A1B4312" w14:textId="77777777">
        <w:trPr>
          <w:tblCellSpacing w:w="15" w:type="dxa"/>
        </w:trPr>
        <w:tc>
          <w:tcPr>
            <w:tcW w:w="0" w:type="auto"/>
            <w:shd w:val="clear" w:color="auto" w:fill="auto"/>
            <w:vAlign w:val="center"/>
          </w:tcPr>
          <w:p w14:paraId="5A1B4311" w14:textId="77777777" w:rsidR="00960BB8" w:rsidRDefault="00960BB8">
            <w:pPr>
              <w:rPr>
                <w:rFonts w:ascii="宋体"/>
              </w:rPr>
            </w:pPr>
          </w:p>
        </w:tc>
      </w:tr>
    </w:tbl>
    <w:p w14:paraId="5A1B4313" w14:textId="77777777" w:rsidR="00960BB8" w:rsidRDefault="00C06650">
      <w:r>
        <w:rPr>
          <w:rFonts w:ascii="宋体" w:eastAsia="宋体" w:hAnsi="宋体" w:cs="宋体"/>
        </w:rPr>
        <w:t xml:space="preserve">Previous Next </w:t>
      </w:r>
    </w:p>
    <w:p w14:paraId="5A1B4314" w14:textId="77777777" w:rsidR="00960BB8" w:rsidRDefault="00960BB8"/>
    <w:sectPr w:rsidR="00960BB8">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09AA7" w14:textId="77777777" w:rsidR="00C06650" w:rsidRDefault="00C06650" w:rsidP="00C06650">
      <w:r>
        <w:separator/>
      </w:r>
    </w:p>
  </w:endnote>
  <w:endnote w:type="continuationSeparator" w:id="0">
    <w:p w14:paraId="2A59FF25" w14:textId="77777777" w:rsidR="00C06650" w:rsidRDefault="00C06650" w:rsidP="00C0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2860C" w14:textId="77777777" w:rsidR="00C06650" w:rsidRDefault="00C06650" w:rsidP="00C06650">
      <w:r>
        <w:separator/>
      </w:r>
    </w:p>
  </w:footnote>
  <w:footnote w:type="continuationSeparator" w:id="0">
    <w:p w14:paraId="422C708A" w14:textId="77777777" w:rsidR="00C06650" w:rsidRDefault="00C06650" w:rsidP="00C066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7FE54C"/>
    <w:rsid w:val="00960BB8"/>
    <w:rsid w:val="00C06650"/>
    <w:rsid w:val="777FE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AF0DF"/>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066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06650"/>
    <w:rPr>
      <w:rFonts w:asciiTheme="minorEastAsia" w:hAnsiTheme="minorEastAsia" w:cs="Times New Roman"/>
      <w:sz w:val="18"/>
      <w:szCs w:val="18"/>
    </w:rPr>
  </w:style>
  <w:style w:type="paragraph" w:styleId="a8">
    <w:name w:val="footer"/>
    <w:basedOn w:val="a"/>
    <w:link w:val="a9"/>
    <w:rsid w:val="00C06650"/>
    <w:pPr>
      <w:tabs>
        <w:tab w:val="center" w:pos="4153"/>
        <w:tab w:val="right" w:pos="8306"/>
      </w:tabs>
      <w:snapToGrid w:val="0"/>
    </w:pPr>
    <w:rPr>
      <w:sz w:val="18"/>
      <w:szCs w:val="18"/>
    </w:rPr>
  </w:style>
  <w:style w:type="character" w:customStyle="1" w:styleId="a9">
    <w:name w:val="页脚 字符"/>
    <w:basedOn w:val="a0"/>
    <w:link w:val="a8"/>
    <w:rsid w:val="00C06650"/>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050863/000005086323000006/intc-20221231.htm" TargetMode="External"/><Relationship Id="rId21" Type="http://schemas.openxmlformats.org/officeDocument/2006/relationships/hyperlink" Target="https://www.sec.gov/ix?doc=/Archives/edgar/data/0000050863/000005086323000006/intc-20221231.htm" TargetMode="External"/><Relationship Id="rId63" Type="http://schemas.openxmlformats.org/officeDocument/2006/relationships/hyperlink" Target="https://www.sec.gov/ix?doc=/Archives/edgar/data/0000050863/000005086323000006/intc-20221231.htm" TargetMode="External"/><Relationship Id="rId159" Type="http://schemas.openxmlformats.org/officeDocument/2006/relationships/hyperlink" Target="https://www.sec.gov/ix?doc=/Archives/edgar/data/0000050863/000005086323000006/intc-20221231.htm" TargetMode="External"/><Relationship Id="rId170" Type="http://schemas.openxmlformats.org/officeDocument/2006/relationships/hyperlink" Target="http://www.sec.gov/Archives/edgar/data/50863/000005086306000102/edgar8kex3.txt" TargetMode="External"/><Relationship Id="rId226" Type="http://schemas.openxmlformats.org/officeDocument/2006/relationships/hyperlink" Target="https://www.sec.gov/Archives/edgar/data/50863/000119312522226986/d388434dex101.htm" TargetMode="External"/><Relationship Id="rId268" Type="http://schemas.openxmlformats.org/officeDocument/2006/relationships/hyperlink" Target="https://www.sec.gov/ix?doc=/Archives/edgar/data/0000050863/000005086323000006/intc-20221231.htm" TargetMode="External"/><Relationship Id="rId32" Type="http://schemas.openxmlformats.org/officeDocument/2006/relationships/hyperlink" Target="https://www.sec.gov/ix?doc=/Archives/edgar/data/0000050863/000005086323000006/intc-20221231.htm" TargetMode="External"/><Relationship Id="rId74" Type="http://schemas.openxmlformats.org/officeDocument/2006/relationships/hyperlink" Target="https://www.sec.gov/ix?doc=/Archives/edgar/data/0000050863/000005086323000006/intc-20221231.htm" TargetMode="External"/><Relationship Id="rId128" Type="http://schemas.openxmlformats.org/officeDocument/2006/relationships/hyperlink" Target="https://www.sec.gov/ix?doc=/Archives/edgar/data/0000050863/000005086323000006/intc-20221231.htm" TargetMode="External"/><Relationship Id="rId5" Type="http://schemas.openxmlformats.org/officeDocument/2006/relationships/endnotes" Target="endnotes.xml"/><Relationship Id="rId181" Type="http://schemas.openxmlformats.org/officeDocument/2006/relationships/hyperlink" Target="http://www.sec.gov/Archives/edgar/data/50863/000119312517167265/d357830dex41.htm" TargetMode="External"/><Relationship Id="rId237" Type="http://schemas.openxmlformats.org/officeDocument/2006/relationships/hyperlink" Target="https://www.sec.gov/Archives/edgar/data/0000050863/000005086323000006/a12312022q4-ex321.htm" TargetMode="External"/><Relationship Id="rId279" Type="http://schemas.openxmlformats.org/officeDocument/2006/relationships/hyperlink" Target="https://www.sec.gov/ix?doc=/Archives/edgar/data/0000050863/000005086323000006/intc-20221231.htm" TargetMode="External"/><Relationship Id="rId43" Type="http://schemas.openxmlformats.org/officeDocument/2006/relationships/hyperlink" Target="https://www.sec.gov/ix?doc=/Archives/edgar/data/0000050863/000005086323000006/intc-20221231.htm" TargetMode="External"/><Relationship Id="rId139" Type="http://schemas.openxmlformats.org/officeDocument/2006/relationships/hyperlink" Target="https://www.sec.gov/ix?doc=/Archives/edgar/data/0000050863/000005086323000006/intc-20221231.htm" TargetMode="External"/><Relationship Id="rId85" Type="http://schemas.openxmlformats.org/officeDocument/2006/relationships/hyperlink" Target="https://www.sec.gov/ix?doc=/Archives/edgar/data/0000050863/000005086323000006/intc-20221231.htm" TargetMode="External"/><Relationship Id="rId150" Type="http://schemas.openxmlformats.org/officeDocument/2006/relationships/hyperlink" Target="https://www.sec.gov/ix?doc=/Archives/edgar/data/0000050863/000005086323000006/intc-20221231.htm" TargetMode="External"/><Relationship Id="rId171" Type="http://schemas.openxmlformats.org/officeDocument/2006/relationships/hyperlink" Target="https://www.sec.gov/Archives/edgar/data/50863/000119312521082782/d148850dex32.htm" TargetMode="External"/><Relationship Id="rId192" Type="http://schemas.openxmlformats.org/officeDocument/2006/relationships/hyperlink" Target="https://www.sec.gov/Archives/edgar/data/50863/000005086322000007/a12252021q4-ex418.htm" TargetMode="External"/><Relationship Id="rId206" Type="http://schemas.openxmlformats.org/officeDocument/2006/relationships/hyperlink" Target="http://www.sec.gov/Archives/edgar/data/50863/000005086319000013/a03302019ex1011.htm" TargetMode="External"/><Relationship Id="rId227" Type="http://schemas.openxmlformats.org/officeDocument/2006/relationships/hyperlink" Target="https://www.sec.gov/Archives/edgar/data/50863/000119312522291100/d412415dex101.htm" TargetMode="External"/><Relationship Id="rId248" Type="http://schemas.openxmlformats.org/officeDocument/2006/relationships/hyperlink" Target="https://www.sec.gov/ix?doc=/Archives/edgar/data/0000050863/000005086323000006/intc-20221231.htm" TargetMode="External"/><Relationship Id="rId269" Type="http://schemas.openxmlformats.org/officeDocument/2006/relationships/hyperlink" Target="https://www.sec.gov/ix?doc=/Archives/edgar/data/0000050863/000005086323000006/intc-20221231.htm" TargetMode="External"/><Relationship Id="rId12" Type="http://schemas.openxmlformats.org/officeDocument/2006/relationships/hyperlink" Target="https://www.sec.gov/ix?doc=/Archives/edgar/data/0000050863/000005086323000006/intc-20221231.htm" TargetMode="External"/><Relationship Id="rId33" Type="http://schemas.openxmlformats.org/officeDocument/2006/relationships/hyperlink" Target="https://www.sec.gov/ix?doc=/Archives/edgar/data/0000050863/000005086323000006/intc-20221231.htm" TargetMode="External"/><Relationship Id="rId108" Type="http://schemas.openxmlformats.org/officeDocument/2006/relationships/hyperlink" Target="https://www.sec.gov/ix?doc=/Archives/edgar/data/0000050863/000005086323000006/intc-20221231.htm" TargetMode="External"/><Relationship Id="rId129" Type="http://schemas.openxmlformats.org/officeDocument/2006/relationships/hyperlink" Target="https://www.sec.gov/ix?doc=/Archives/edgar/data/0000050863/000005086323000006/intc-20221231.htm" TargetMode="External"/><Relationship Id="rId280" Type="http://schemas.openxmlformats.org/officeDocument/2006/relationships/hyperlink" Target="https://www.sec.gov/ix?doc=/Archives/edgar/data/0000050863/000005086323000006/intc-20221231.htm" TargetMode="External"/><Relationship Id="rId54" Type="http://schemas.openxmlformats.org/officeDocument/2006/relationships/hyperlink" Target="https://www.sec.gov/ix?doc=/Archives/edgar/data/0000050863/000005086323000006/intc-20221231.htm" TargetMode="External"/><Relationship Id="rId75" Type="http://schemas.openxmlformats.org/officeDocument/2006/relationships/hyperlink" Target="https://www.sec.gov/ix?doc=/Archives/edgar/data/0000050863/000005086323000006/intc-20221231.htm" TargetMode="External"/><Relationship Id="rId96" Type="http://schemas.openxmlformats.org/officeDocument/2006/relationships/hyperlink" Target="https://www.sec.gov/ix?doc=/Archives/edgar/data/0000050863/000005086323000006/intc-20221231.htm" TargetMode="External"/><Relationship Id="rId140" Type="http://schemas.openxmlformats.org/officeDocument/2006/relationships/hyperlink" Target="https://www.sec.gov/ix?doc=/Archives/edgar/data/0000050863/000005086323000006/intc-20221231.htm" TargetMode="External"/><Relationship Id="rId161" Type="http://schemas.openxmlformats.org/officeDocument/2006/relationships/hyperlink" Target="https://www.sec.gov/ix?doc=/Archives/edgar/data/0000050863/000005086323000006/intc-20221231.htm" TargetMode="External"/><Relationship Id="rId182" Type="http://schemas.openxmlformats.org/officeDocument/2006/relationships/hyperlink" Target="http://www.sec.gov/Archives/edgar/data/50863/000119312517205990/d390771dex41.htm" TargetMode="External"/><Relationship Id="rId217" Type="http://schemas.openxmlformats.org/officeDocument/2006/relationships/hyperlink" Target="https://www.sec.gov/Archives/edgar/data/50863/000005086322000030/a07022022ex101.htm" TargetMode="External"/><Relationship Id="rId238" Type="http://schemas.openxmlformats.org/officeDocument/2006/relationships/hyperlink" Target="https://www.sec.gov/Archives/edgar/data/0000050863/000005086323000006/a12312022q4-ex991.htm" TargetMode="External"/><Relationship Id="rId259" Type="http://schemas.openxmlformats.org/officeDocument/2006/relationships/hyperlink" Target="https://www.sec.gov/ix?doc=/Archives/edgar/data/0000050863/000005086323000006/intc-20221231.htm" TargetMode="External"/><Relationship Id="rId23" Type="http://schemas.openxmlformats.org/officeDocument/2006/relationships/hyperlink" Target="https://www.sec.gov/ix?doc=/Archives/edgar/data/0000050863/000005086323000006/intc-20221231.htm" TargetMode="External"/><Relationship Id="rId119" Type="http://schemas.openxmlformats.org/officeDocument/2006/relationships/hyperlink" Target="https://www.sec.gov/ix?doc=/Archives/edgar/data/0000050863/000005086323000006/intc-20221231.htm" TargetMode="External"/><Relationship Id="rId270" Type="http://schemas.openxmlformats.org/officeDocument/2006/relationships/hyperlink" Target="https://www.sec.gov/ix?doc=/Archives/edgar/data/0000050863/000005086323000006/intc-20221231.htm" TargetMode="External"/><Relationship Id="rId44" Type="http://schemas.openxmlformats.org/officeDocument/2006/relationships/hyperlink" Target="https://www.sec.gov/ix?doc=/Archives/edgar/data/0000050863/000005086323000006/intc-20221231.htm" TargetMode="External"/><Relationship Id="rId65" Type="http://schemas.openxmlformats.org/officeDocument/2006/relationships/hyperlink" Target="https://www.sec.gov/ix?doc=/Archives/edgar/data/0000050863/000005086323000006/intc-20221231.htm" TargetMode="External"/><Relationship Id="rId86" Type="http://schemas.openxmlformats.org/officeDocument/2006/relationships/hyperlink" Target="https://www.sec.gov/ix?doc=/Archives/edgar/data/0000050863/000005086323000006/intc-20221231.htm" TargetMode="External"/><Relationship Id="rId130" Type="http://schemas.openxmlformats.org/officeDocument/2006/relationships/hyperlink" Target="https://www.sec.gov/ix?doc=/Archives/edgar/data/0000050863/000005086323000006/intc-20221231.htm" TargetMode="External"/><Relationship Id="rId151" Type="http://schemas.openxmlformats.org/officeDocument/2006/relationships/hyperlink" Target="https://www.sec.gov/ix?doc=/Archives/edgar/data/0000050863/000005086323000006/intc-20221231.htm" TargetMode="External"/><Relationship Id="rId172" Type="http://schemas.openxmlformats.org/officeDocument/2006/relationships/hyperlink" Target="https://www.sec.gov/Archives/edgar/data/50863/000119312521082782/d148850dex32.htm" TargetMode="External"/><Relationship Id="rId193" Type="http://schemas.openxmlformats.org/officeDocument/2006/relationships/hyperlink" Target="https://www.sec.gov/Archives/edgar/data/50863/000005086322000030/a7022022ex102.htm" TargetMode="External"/><Relationship Id="rId207" Type="http://schemas.openxmlformats.org/officeDocument/2006/relationships/hyperlink" Target="https://www.sec.gov/Archives/edgar/data/50863/000005086322000038/a10012022ex103.htm" TargetMode="External"/><Relationship Id="rId228" Type="http://schemas.openxmlformats.org/officeDocument/2006/relationships/hyperlink" Target="https://www.sec.gov/Archives/edgar/data/50863/000005086321000030/a6262021ex101.htm" TargetMode="External"/><Relationship Id="rId249" Type="http://schemas.openxmlformats.org/officeDocument/2006/relationships/hyperlink" Target="https://www.sec.gov/ix?doc=/Archives/edgar/data/0000050863/000005086323000006/intc-20221231.htm" TargetMode="External"/><Relationship Id="rId13" Type="http://schemas.openxmlformats.org/officeDocument/2006/relationships/hyperlink" Target="https://www.sec.gov/ix?doc=/Archives/edgar/data/0000050863/000005086323000006/intc-20221231.htm" TargetMode="External"/><Relationship Id="rId109" Type="http://schemas.openxmlformats.org/officeDocument/2006/relationships/hyperlink" Target="https://www.sec.gov/ix?doc=/Archives/edgar/data/0000050863/000005086323000006/intc-20221231.htm" TargetMode="External"/><Relationship Id="rId260" Type="http://schemas.openxmlformats.org/officeDocument/2006/relationships/hyperlink" Target="https://www.sec.gov/ix?doc=/Archives/edgar/data/0000050863/000005086323000006/intc-20221231.htm" TargetMode="External"/><Relationship Id="rId281" Type="http://schemas.openxmlformats.org/officeDocument/2006/relationships/hyperlink" Target="https://www.sec.gov/ix?doc=/Archives/edgar/data/0000050863/000005086323000006/intc-20221231.htm" TargetMode="External"/><Relationship Id="rId34" Type="http://schemas.openxmlformats.org/officeDocument/2006/relationships/hyperlink" Target="https://www.sec.gov/ix?doc=/Archives/edgar/data/0000050863/000005086323000006/intc-20221231.htm" TargetMode="External"/><Relationship Id="rId55" Type="http://schemas.openxmlformats.org/officeDocument/2006/relationships/hyperlink" Target="https://www.sec.gov/ix?doc=/Archives/edgar/data/0000050863/000005086323000006/intc-20221231.htm" TargetMode="External"/><Relationship Id="rId76" Type="http://schemas.openxmlformats.org/officeDocument/2006/relationships/hyperlink" Target="https://www.sec.gov/ix?doc=/Archives/edgar/data/0000050863/000005086323000006/intc-20221231.htm" TargetMode="External"/><Relationship Id="rId97" Type="http://schemas.openxmlformats.org/officeDocument/2006/relationships/hyperlink" Target="https://www.sec.gov/ix?doc=/Archives/edgar/data/0000050863/000005086323000006/intc-20221231.htm" TargetMode="External"/><Relationship Id="rId120" Type="http://schemas.openxmlformats.org/officeDocument/2006/relationships/hyperlink" Target="https://www.sec.gov/ix?doc=/Archives/edgar/data/0000050863/000005086323000006/intc-20221231.htm" TargetMode="External"/><Relationship Id="rId141" Type="http://schemas.openxmlformats.org/officeDocument/2006/relationships/hyperlink" Target="https://www.sec.gov/ix?doc=/Archives/edgar/data/0000050863/000005086323000006/intc-20221231.htm" TargetMode="External"/><Relationship Id="rId7" Type="http://schemas.openxmlformats.org/officeDocument/2006/relationships/hyperlink" Target="https://www.sec.gov/ix?doc=/Archives/edgar/data/0000050863/000005086323000006/intc-20221231.htm" TargetMode="External"/><Relationship Id="rId162" Type="http://schemas.openxmlformats.org/officeDocument/2006/relationships/hyperlink" Target="https://www.sec.gov/ix?doc=/Archives/edgar/data/0000050863/000005086323000006/intc-20221231.htm" TargetMode="External"/><Relationship Id="rId183" Type="http://schemas.openxmlformats.org/officeDocument/2006/relationships/hyperlink" Target="http://www.sec.gov/Archives/edgar/data/50863/000119312517256795/d632211dex41.htm" TargetMode="External"/><Relationship Id="rId218" Type="http://schemas.openxmlformats.org/officeDocument/2006/relationships/hyperlink" Target="https://www.sec.gov/Archives/edgar/data/0000050863/000005086323000006/a12312022q4-ex105.htm" TargetMode="External"/><Relationship Id="rId239" Type="http://schemas.openxmlformats.org/officeDocument/2006/relationships/hyperlink" Target="https://www.sec.gov/ix?doc=/Archives/edgar/data/0000050863/000005086323000006/intc-20221231.htm" TargetMode="External"/><Relationship Id="rId250" Type="http://schemas.openxmlformats.org/officeDocument/2006/relationships/hyperlink" Target="https://www.sec.gov/ix?doc=/Archives/edgar/data/0000050863/000005086323000006/intc-20221231.htm" TargetMode="External"/><Relationship Id="rId271" Type="http://schemas.openxmlformats.org/officeDocument/2006/relationships/hyperlink" Target="https://www.sec.gov/ix?doc=/Archives/edgar/data/0000050863/000005086323000006/intc-20221231.htm" TargetMode="External"/><Relationship Id="rId24" Type="http://schemas.openxmlformats.org/officeDocument/2006/relationships/hyperlink" Target="https://www.sec.gov/ix?doc=/Archives/edgar/data/0000050863/000005086323000006/intc-20221231.htm" TargetMode="External"/><Relationship Id="rId45" Type="http://schemas.openxmlformats.org/officeDocument/2006/relationships/hyperlink" Target="https://www.sec.gov/ix?doc=/Archives/edgar/data/0000050863/000005086323000006/intc-20221231.htm" TargetMode="External"/><Relationship Id="rId66" Type="http://schemas.openxmlformats.org/officeDocument/2006/relationships/hyperlink" Target="https://www.sec.gov/ix?doc=/Archives/edgar/data/0000050863/000005086323000006/intc-20221231.htm" TargetMode="External"/><Relationship Id="rId87" Type="http://schemas.openxmlformats.org/officeDocument/2006/relationships/hyperlink" Target="https://www.sec.gov/ix?doc=/Archives/edgar/data/0000050863/000005086323000006/intc-20221231.htm" TargetMode="External"/><Relationship Id="rId110" Type="http://schemas.openxmlformats.org/officeDocument/2006/relationships/hyperlink" Target="https://www.sec.gov/ix?doc=/Archives/edgar/data/0000050863/000005086323000006/intc-20221231.htm" TargetMode="External"/><Relationship Id="rId131" Type="http://schemas.openxmlformats.org/officeDocument/2006/relationships/hyperlink" Target="https://www.sec.gov/ix?doc=/Archives/edgar/data/0000050863/000005086323000006/intc-20221231.htm" TargetMode="External"/><Relationship Id="rId152" Type="http://schemas.openxmlformats.org/officeDocument/2006/relationships/hyperlink" Target="https://www.sec.gov/ix?doc=/Archives/edgar/data/0000050863/000005086323000006/intc-20221231.htm" TargetMode="External"/><Relationship Id="rId173" Type="http://schemas.openxmlformats.org/officeDocument/2006/relationships/hyperlink" Target="https://www.sec.gov/Archives/edgar/data/50863/000119312521082782/d148850dex32.htm" TargetMode="External"/><Relationship Id="rId194" Type="http://schemas.openxmlformats.org/officeDocument/2006/relationships/hyperlink" Target="http://www.sec.gov/Archives/edgar/data/50863/000005086318000029/a09292018ex101.htm" TargetMode="External"/><Relationship Id="rId208" Type="http://schemas.openxmlformats.org/officeDocument/2006/relationships/hyperlink" Target="https://www.sec.gov/Archives/edgar/data/50863/000119312521041697/d119051dex991.htm" TargetMode="External"/><Relationship Id="rId229" Type="http://schemas.openxmlformats.org/officeDocument/2006/relationships/hyperlink" Target="https://www.sec.gov/Archives/edgar/data/50863/000119312521009142/d82915dex101.htm" TargetMode="External"/><Relationship Id="rId240" Type="http://schemas.openxmlformats.org/officeDocument/2006/relationships/hyperlink" Target="https://www.sec.gov/ix?doc=/Archives/edgar/data/0000050863/000005086323000006/intc-20221231.htm" TargetMode="External"/><Relationship Id="rId261" Type="http://schemas.openxmlformats.org/officeDocument/2006/relationships/hyperlink" Target="https://www.sec.gov/ix?doc=/Archives/edgar/data/0000050863/000005086323000006/intc-20221231.htm" TargetMode="External"/><Relationship Id="rId14" Type="http://schemas.openxmlformats.org/officeDocument/2006/relationships/hyperlink" Target="https://www.sec.gov/ix?doc=/Archives/edgar/data/0000050863/000005086323000006/intc-20221231.htm" TargetMode="External"/><Relationship Id="rId35" Type="http://schemas.openxmlformats.org/officeDocument/2006/relationships/hyperlink" Target="https://www.sec.gov/ix?doc=/Archives/edgar/data/0000050863/000005086323000006/intc-20221231.htm" TargetMode="External"/><Relationship Id="rId56" Type="http://schemas.openxmlformats.org/officeDocument/2006/relationships/hyperlink" Target="https://www.sec.gov/ix?doc=/Archives/edgar/data/0000050863/000005086323000006/intc-20221231.htm" TargetMode="External"/><Relationship Id="rId77" Type="http://schemas.openxmlformats.org/officeDocument/2006/relationships/hyperlink" Target="https://www.sec.gov/ix?doc=/Archives/edgar/data/0000050863/000005086323000006/intc-20221231.htm" TargetMode="External"/><Relationship Id="rId100" Type="http://schemas.openxmlformats.org/officeDocument/2006/relationships/hyperlink" Target="https://www.sec.gov/ix?doc=/Archives/edgar/data/0000050863/000005086323000006/intc-20221231.htm" TargetMode="External"/><Relationship Id="rId282" Type="http://schemas.openxmlformats.org/officeDocument/2006/relationships/hyperlink" Target="https://www.sec.gov/ix?doc=/Archives/edgar/data/0000050863/000005086323000006/intc-20221231.htm" TargetMode="External"/><Relationship Id="rId8" Type="http://schemas.openxmlformats.org/officeDocument/2006/relationships/hyperlink" Target="https://www.sec.gov/ix?doc=/Archives/edgar/data/0000050863/000005086323000006/intc-20221231.htm" TargetMode="External"/><Relationship Id="rId98" Type="http://schemas.openxmlformats.org/officeDocument/2006/relationships/hyperlink" Target="https://www.sec.gov/ix?doc=/Archives/edgar/data/0000050863/000005086323000006/intc-20221231.htm" TargetMode="External"/><Relationship Id="rId121" Type="http://schemas.openxmlformats.org/officeDocument/2006/relationships/hyperlink" Target="https://www.sec.gov/ix?doc=/Archives/edgar/data/0000050863/000005086323000006/intc-20221231.htm" TargetMode="External"/><Relationship Id="rId142" Type="http://schemas.openxmlformats.org/officeDocument/2006/relationships/hyperlink" Target="https://www.sec.gov/ix?doc=/Archives/edgar/data/0000050863/000005086323000006/intc-20221231.htm" TargetMode="External"/><Relationship Id="rId163" Type="http://schemas.openxmlformats.org/officeDocument/2006/relationships/hyperlink" Target="https://www.sec.gov/ix?doc=/Archives/edgar/data/0000050863/000005086323000006/intc-20221231.htm" TargetMode="External"/><Relationship Id="rId184" Type="http://schemas.openxmlformats.org/officeDocument/2006/relationships/hyperlink" Target="http://www.sec.gov/Archives/edgar/data/50863/000005086318000007/a12302017q4-ex4213.htm" TargetMode="External"/><Relationship Id="rId219" Type="http://schemas.openxmlformats.org/officeDocument/2006/relationships/hyperlink" Target="https://www.sec.gov/Archives/edgar/data/50863/000005086322000020/a4022022ex102.htm" TargetMode="External"/><Relationship Id="rId230" Type="http://schemas.openxmlformats.org/officeDocument/2006/relationships/hyperlink" Target="https://www.sec.gov/Archives/edgar/data/50863/000119312522005658/d270836dex101.htm" TargetMode="External"/><Relationship Id="rId251" Type="http://schemas.openxmlformats.org/officeDocument/2006/relationships/hyperlink" Target="https://www.sec.gov/ix?doc=/Archives/edgar/data/0000050863/000005086323000006/intc-20221231.htm" TargetMode="External"/><Relationship Id="rId25" Type="http://schemas.openxmlformats.org/officeDocument/2006/relationships/hyperlink" Target="https://www.sec.gov/ix?doc=/Archives/edgar/data/0000050863/000005086323000006/intc-20221231.htm" TargetMode="External"/><Relationship Id="rId46" Type="http://schemas.openxmlformats.org/officeDocument/2006/relationships/hyperlink" Target="https://www.sec.gov/ix?doc=/Archives/edgar/data/0000050863/000005086323000006/intc-20221231.htm" TargetMode="External"/><Relationship Id="rId67" Type="http://schemas.openxmlformats.org/officeDocument/2006/relationships/hyperlink" Target="https://www.sec.gov/ix?doc=/Archives/edgar/data/0000050863/000005086323000006/intc-20221231.htm" TargetMode="External"/><Relationship Id="rId272" Type="http://schemas.openxmlformats.org/officeDocument/2006/relationships/hyperlink" Target="https://www.sec.gov/ix?doc=/Archives/edgar/data/0000050863/000005086323000006/intc-20221231.htm" TargetMode="External"/><Relationship Id="rId88" Type="http://schemas.openxmlformats.org/officeDocument/2006/relationships/hyperlink" Target="https://www.sec.gov/ix?doc=/Archives/edgar/data/0000050863/000005086323000006/intc-20221231.htm" TargetMode="External"/><Relationship Id="rId111" Type="http://schemas.openxmlformats.org/officeDocument/2006/relationships/hyperlink" Target="https://www.sec.gov/ix?doc=/Archives/edgar/data/0000050863/000005086323000006/intc-20221231.htm" TargetMode="External"/><Relationship Id="rId132" Type="http://schemas.openxmlformats.org/officeDocument/2006/relationships/hyperlink" Target="https://www.sec.gov/ix?doc=/Archives/edgar/data/0000050863/000005086323000006/intc-20221231.htm" TargetMode="External"/><Relationship Id="rId153" Type="http://schemas.openxmlformats.org/officeDocument/2006/relationships/hyperlink" Target="https://www.sec.gov/ix?doc=/Archives/edgar/data/0000050863/000005086323000006/intc-20221231.htm" TargetMode="External"/><Relationship Id="rId174" Type="http://schemas.openxmlformats.org/officeDocument/2006/relationships/hyperlink" Target="http://www.sec.gov/Archives/edgar/data/50863/000095013406006288/f19138exv4w4.htm" TargetMode="External"/><Relationship Id="rId195" Type="http://schemas.openxmlformats.org/officeDocument/2006/relationships/hyperlink" Target="http://www.sec.gov/Archives/edgar/data/50863/000005086319000013/a03302019ex103.htm" TargetMode="External"/><Relationship Id="rId209" Type="http://schemas.openxmlformats.org/officeDocument/2006/relationships/hyperlink" Target="https://www.sec.gov/Archives/edgar/data/50863/000005086321000018/a3272021ex103.htm" TargetMode="External"/><Relationship Id="rId220" Type="http://schemas.openxmlformats.org/officeDocument/2006/relationships/hyperlink" Target="https://www.sec.gov/ix?doc=/Archives/edgar/data/0000050863/000005086323000006/intc-20221231.htm" TargetMode="External"/><Relationship Id="rId241" Type="http://schemas.openxmlformats.org/officeDocument/2006/relationships/hyperlink" Target="https://www.sec.gov/ix?doc=/Archives/edgar/data/0000050863/000005086323000006/intc-20221231.htm" TargetMode="External"/><Relationship Id="rId15" Type="http://schemas.openxmlformats.org/officeDocument/2006/relationships/hyperlink" Target="https://www.sec.gov/ix?doc=/Archives/edgar/data/0000050863/000005086323000006/intc-20221231.htm" TargetMode="External"/><Relationship Id="rId36" Type="http://schemas.openxmlformats.org/officeDocument/2006/relationships/hyperlink" Target="https://www.sec.gov/ix?doc=/Archives/edgar/data/0000050863/000005086323000006/intc-20221231.htm" TargetMode="External"/><Relationship Id="rId57" Type="http://schemas.openxmlformats.org/officeDocument/2006/relationships/hyperlink" Target="https://www.sec.gov/ix?doc=/Archives/edgar/data/0000050863/000005086323000006/intc-20221231.htm" TargetMode="External"/><Relationship Id="rId262" Type="http://schemas.openxmlformats.org/officeDocument/2006/relationships/hyperlink" Target="https://www.sec.gov/ix?doc=/Archives/edgar/data/0000050863/000005086323000006/intc-20221231.htm" TargetMode="External"/><Relationship Id="rId283" Type="http://schemas.openxmlformats.org/officeDocument/2006/relationships/hyperlink" Target="https://www.sec.gov/ix?doc=/Archives/edgar/data/0000050863/000005086323000006/intc-20221231.htm" TargetMode="External"/><Relationship Id="rId78" Type="http://schemas.openxmlformats.org/officeDocument/2006/relationships/hyperlink" Target="https://www.sec.gov/ix?doc=/Archives/edgar/data/0000050863/000005086323000006/intc-20221231.htm" TargetMode="External"/><Relationship Id="rId99" Type="http://schemas.openxmlformats.org/officeDocument/2006/relationships/hyperlink" Target="https://www.sec.gov/ix?doc=/Archives/edgar/data/0000050863/000005086323000006/intc-20221231.htm" TargetMode="External"/><Relationship Id="rId101" Type="http://schemas.openxmlformats.org/officeDocument/2006/relationships/hyperlink" Target="https://www.sec.gov/ix?doc=/Archives/edgar/data/0000050863/000005086323000006/intc-20221231.htm" TargetMode="External"/><Relationship Id="rId122" Type="http://schemas.openxmlformats.org/officeDocument/2006/relationships/hyperlink" Target="https://www.sec.gov/ix?doc=/Archives/edgar/data/0000050863/000005086323000006/intc-20221231.htm" TargetMode="External"/><Relationship Id="rId143" Type="http://schemas.openxmlformats.org/officeDocument/2006/relationships/hyperlink" Target="https://www.sec.gov/ix?doc=/Archives/edgar/data/0000050863/000005086323000006/intc-20221231.htm" TargetMode="External"/><Relationship Id="rId164" Type="http://schemas.openxmlformats.org/officeDocument/2006/relationships/hyperlink" Target="https://www.sec.gov/ix?doc=/Archives/edgar/data/0000050863/000005086323000006/intc-20221231.htm" TargetMode="External"/><Relationship Id="rId185" Type="http://schemas.openxmlformats.org/officeDocument/2006/relationships/hyperlink" Target="https://www.sec.gov/ix?doc=/Archives/edgar/data/0000050863/000005086323000006/intc-20221231.htm" TargetMode="External"/><Relationship Id="rId9" Type="http://schemas.openxmlformats.org/officeDocument/2006/relationships/hyperlink" Target="https://www.sec.gov/ix?doc=/Archives/edgar/data/0000050863/000005086323000006/intc-20221231.htm" TargetMode="External"/><Relationship Id="rId210" Type="http://schemas.openxmlformats.org/officeDocument/2006/relationships/hyperlink" Target="https://www.sec.gov/Archives/edgar/data/50863/000005086321000018/a3272021ex104.htm" TargetMode="External"/><Relationship Id="rId26" Type="http://schemas.openxmlformats.org/officeDocument/2006/relationships/hyperlink" Target="https://www.sec.gov/ix?doc=/Archives/edgar/data/0000050863/000005086323000006/intc-20221231.htm" TargetMode="External"/><Relationship Id="rId231" Type="http://schemas.openxmlformats.org/officeDocument/2006/relationships/hyperlink" Target="http://www.sec.gov/Archives/edgar/data/50863/000005086319000013/a03302019ex1012.htm" TargetMode="External"/><Relationship Id="rId252" Type="http://schemas.openxmlformats.org/officeDocument/2006/relationships/hyperlink" Target="https://www.sec.gov/ix?doc=/Archives/edgar/data/0000050863/000005086323000006/intc-20221231.htm" TargetMode="External"/><Relationship Id="rId273" Type="http://schemas.openxmlformats.org/officeDocument/2006/relationships/hyperlink" Target="https://www.sec.gov/ix?doc=/Archives/edgar/data/0000050863/000005086323000006/intc-20221231.htm" TargetMode="External"/><Relationship Id="rId47" Type="http://schemas.openxmlformats.org/officeDocument/2006/relationships/hyperlink" Target="https://www.sec.gov/ix?doc=/Archives/edgar/data/0000050863/000005086323000006/intc-20221231.htm" TargetMode="External"/><Relationship Id="rId68" Type="http://schemas.openxmlformats.org/officeDocument/2006/relationships/hyperlink" Target="https://www.sec.gov/ix?doc=/Archives/edgar/data/0000050863/000005086323000006/intc-20221231.htm" TargetMode="External"/><Relationship Id="rId89" Type="http://schemas.openxmlformats.org/officeDocument/2006/relationships/hyperlink" Target="https://www.sec.gov/ix?doc=/Archives/edgar/data/0000050863/000005086323000006/intc-20221231.htm" TargetMode="External"/><Relationship Id="rId112" Type="http://schemas.openxmlformats.org/officeDocument/2006/relationships/hyperlink" Target="https://www.sec.gov/ix?doc=/Archives/edgar/data/0000050863/000005086323000006/intc-20221231.htm" TargetMode="External"/><Relationship Id="rId133" Type="http://schemas.openxmlformats.org/officeDocument/2006/relationships/hyperlink" Target="https://www.sec.gov/ix?doc=/Archives/edgar/data/0000050863/000005086323000006/intc-20221231.htm" TargetMode="External"/><Relationship Id="rId154" Type="http://schemas.openxmlformats.org/officeDocument/2006/relationships/hyperlink" Target="https://www.sec.gov/ix?doc=/Archives/edgar/data/0000050863/000005086323000006/intc-20221231.htm" TargetMode="External"/><Relationship Id="rId175" Type="http://schemas.openxmlformats.org/officeDocument/2006/relationships/hyperlink" Target="http://www.sec.gov/Archives/edgar/data/50863/000089161808000106/f36442exv4w2w4.htm" TargetMode="External"/><Relationship Id="rId196" Type="http://schemas.openxmlformats.org/officeDocument/2006/relationships/hyperlink" Target="http://www.sec.gov/Archives/edgar/data/50863/000005086319000013/a03302019ex104.htm" TargetMode="External"/><Relationship Id="rId200" Type="http://schemas.openxmlformats.org/officeDocument/2006/relationships/hyperlink" Target="https://www.sec.gov/Archives/edgar/data/50863/000119312522290385/d310344dex101.htm" TargetMode="External"/><Relationship Id="rId16" Type="http://schemas.openxmlformats.org/officeDocument/2006/relationships/hyperlink" Target="https://www.sec.gov/ix?doc=/Archives/edgar/data/0000050863/000005086323000006/intc-20221231.htm" TargetMode="External"/><Relationship Id="rId221" Type="http://schemas.openxmlformats.org/officeDocument/2006/relationships/hyperlink" Target="http://www.sec.gov/Archives/edgar/data/50863/000089161807000111/f23627exv10w41.htm" TargetMode="External"/><Relationship Id="rId242" Type="http://schemas.openxmlformats.org/officeDocument/2006/relationships/hyperlink" Target="https://www.sec.gov/ix?doc=/Archives/edgar/data/0000050863/000005086323000006/intc-20221231.htm" TargetMode="External"/><Relationship Id="rId263" Type="http://schemas.openxmlformats.org/officeDocument/2006/relationships/hyperlink" Target="https://www.sec.gov/ix?doc=/Archives/edgar/data/0000050863/000005086323000006/intc-20221231.htm" TargetMode="External"/><Relationship Id="rId284" Type="http://schemas.openxmlformats.org/officeDocument/2006/relationships/hyperlink" Target="https://www.sec.gov/ix?doc=/Archives/edgar/data/0000050863/000005086323000006/intc-20221231.htm" TargetMode="External"/><Relationship Id="rId37" Type="http://schemas.openxmlformats.org/officeDocument/2006/relationships/hyperlink" Target="https://www.sec.gov/ix?doc=/Archives/edgar/data/0000050863/000005086323000006/intc-20221231.htm" TargetMode="External"/><Relationship Id="rId58" Type="http://schemas.openxmlformats.org/officeDocument/2006/relationships/hyperlink" Target="https://www.sec.gov/ix?doc=/Archives/edgar/data/0000050863/000005086323000006/intc-20221231.htm" TargetMode="External"/><Relationship Id="rId79" Type="http://schemas.openxmlformats.org/officeDocument/2006/relationships/hyperlink" Target="https://www.sec.gov/ix?doc=/Archives/edgar/data/0000050863/000005086323000006/intc-20221231.htm" TargetMode="External"/><Relationship Id="rId102" Type="http://schemas.openxmlformats.org/officeDocument/2006/relationships/hyperlink" Target="https://www.sec.gov/ix?doc=/Archives/edgar/data/0000050863/000005086323000006/intc-20221231.htm" TargetMode="External"/><Relationship Id="rId123" Type="http://schemas.openxmlformats.org/officeDocument/2006/relationships/hyperlink" Target="https://www.sec.gov/ix?doc=/Archives/edgar/data/0000050863/000005086323000006/intc-20221231.htm" TargetMode="External"/><Relationship Id="rId144" Type="http://schemas.openxmlformats.org/officeDocument/2006/relationships/hyperlink" Target="https://www.sec.gov/ix?doc=/Archives/edgar/data/0000050863/000005086323000006/intc-20221231.htm" TargetMode="External"/><Relationship Id="rId90" Type="http://schemas.openxmlformats.org/officeDocument/2006/relationships/hyperlink" Target="https://www.sec.gov/ix?doc=/Archives/edgar/data/0000050863/000005086323000006/intc-20221231.htm" TargetMode="External"/><Relationship Id="rId165" Type="http://schemas.openxmlformats.org/officeDocument/2006/relationships/hyperlink" Target="https://www.sec.gov/ix?doc=/Archives/edgar/data/0000050863/000005086323000006/intc-20221231.htm" TargetMode="External"/><Relationship Id="rId186" Type="http://schemas.openxmlformats.org/officeDocument/2006/relationships/hyperlink" Target="http://www.sec.gov/Archives/edgar/data/50863/000119312519297652/d797009dex41.htm" TargetMode="External"/><Relationship Id="rId211" Type="http://schemas.openxmlformats.org/officeDocument/2006/relationships/hyperlink" Target="https://www.sec.gov/Archives/edgar/data/50863/000005086321000018/a3272021ex105.htm" TargetMode="External"/><Relationship Id="rId232" Type="http://schemas.openxmlformats.org/officeDocument/2006/relationships/hyperlink" Target="https://www.sec.gov/Archives/edgar/data/50863/000119312519096036/d642676dex101.htm" TargetMode="External"/><Relationship Id="rId253" Type="http://schemas.openxmlformats.org/officeDocument/2006/relationships/hyperlink" Target="https://www.sec.gov/ix?doc=/Archives/edgar/data/0000050863/000005086323000006/intc-20221231.htm" TargetMode="External"/><Relationship Id="rId274" Type="http://schemas.openxmlformats.org/officeDocument/2006/relationships/hyperlink" Target="https://www.sec.gov/ix?doc=/Archives/edgar/data/0000050863/000005086323000006/intc-20221231.htm" TargetMode="External"/><Relationship Id="rId27" Type="http://schemas.openxmlformats.org/officeDocument/2006/relationships/hyperlink" Target="https://www.sec.gov/ix?doc=/Archives/edgar/data/0000050863/000005086323000006/intc-20221231.htm" TargetMode="External"/><Relationship Id="rId48" Type="http://schemas.openxmlformats.org/officeDocument/2006/relationships/hyperlink" Target="https://www.sec.gov/ix?doc=/Archives/edgar/data/0000050863/000005086323000006/intc-20221231.htm" TargetMode="External"/><Relationship Id="rId69" Type="http://schemas.openxmlformats.org/officeDocument/2006/relationships/hyperlink" Target="https://www.sec.gov/ix?doc=/Archives/edgar/data/0000050863/000005086323000006/intc-20221231.htm" TargetMode="External"/><Relationship Id="rId113" Type="http://schemas.openxmlformats.org/officeDocument/2006/relationships/hyperlink" Target="https://www.sec.gov/ix?doc=/Archives/edgar/data/0000050863/000005086323000006/intc-20221231.htm" TargetMode="External"/><Relationship Id="rId134" Type="http://schemas.openxmlformats.org/officeDocument/2006/relationships/hyperlink" Target="https://www.sec.gov/ix?doc=/Archives/edgar/data/0000050863/000005086323000006/intc-20221231.htm" TargetMode="External"/><Relationship Id="rId80" Type="http://schemas.openxmlformats.org/officeDocument/2006/relationships/hyperlink" Target="https://www.sec.gov/ix?doc=/Archives/edgar/data/0000050863/000005086323000006/intc-20221231.htm" TargetMode="External"/><Relationship Id="rId155" Type="http://schemas.openxmlformats.org/officeDocument/2006/relationships/hyperlink" Target="https://www.sec.gov/ix?doc=/Archives/edgar/data/0000050863/000005086323000006/intc-20221231.htm" TargetMode="External"/><Relationship Id="rId176" Type="http://schemas.openxmlformats.org/officeDocument/2006/relationships/hyperlink" Target="http://www.sec.gov/Archives/edgar/data/50863/000110465911052231/a11-26646_1ex4d01.htm" TargetMode="External"/><Relationship Id="rId197" Type="http://schemas.openxmlformats.org/officeDocument/2006/relationships/hyperlink" Target="http://www.sec.gov/Archives/edgar/data/50863/000005086319000013/a03302019ex105.htm" TargetMode="External"/><Relationship Id="rId201" Type="http://schemas.openxmlformats.org/officeDocument/2006/relationships/hyperlink" Target="https://www.sec.gov/ix?doc=/Archives/edgar/data/0000050863/000005086323000006/intc-20221231.htm" TargetMode="External"/><Relationship Id="rId222" Type="http://schemas.openxmlformats.org/officeDocument/2006/relationships/hyperlink" Target="http://www.sec.gov/Archives/edgar/data/50863/000119312505033162/dex1015.htm" TargetMode="External"/><Relationship Id="rId243" Type="http://schemas.openxmlformats.org/officeDocument/2006/relationships/hyperlink" Target="https://www.sec.gov/ix?doc=/Archives/edgar/data/0000050863/000005086323000006/intc-20221231.htm" TargetMode="External"/><Relationship Id="rId264" Type="http://schemas.openxmlformats.org/officeDocument/2006/relationships/hyperlink" Target="https://www.sec.gov/ix?doc=/Archives/edgar/data/0000050863/000005086323000006/intc-20221231.htm" TargetMode="External"/><Relationship Id="rId285" Type="http://schemas.openxmlformats.org/officeDocument/2006/relationships/fontTable" Target="fontTable.xml"/><Relationship Id="rId17" Type="http://schemas.openxmlformats.org/officeDocument/2006/relationships/hyperlink" Target="https://www.sec.gov/ix?doc=/Archives/edgar/data/0000050863/000005086323000006/intc-20221231.htm" TargetMode="External"/><Relationship Id="rId38" Type="http://schemas.openxmlformats.org/officeDocument/2006/relationships/hyperlink" Target="https://www.sec.gov/ix?doc=/Archives/edgar/data/0000050863/000005086323000006/intc-20221231.htm" TargetMode="External"/><Relationship Id="rId59" Type="http://schemas.openxmlformats.org/officeDocument/2006/relationships/hyperlink" Target="https://www.sec.gov/ix?doc=/Archives/edgar/data/0000050863/000005086323000006/intc-20221231.htm" TargetMode="External"/><Relationship Id="rId103" Type="http://schemas.openxmlformats.org/officeDocument/2006/relationships/hyperlink" Target="https://www.sec.gov/ix?doc=/Archives/edgar/data/0000050863/000005086323000006/intc-20221231.htm" TargetMode="External"/><Relationship Id="rId124" Type="http://schemas.openxmlformats.org/officeDocument/2006/relationships/hyperlink" Target="https://www.sec.gov/ix?doc=/Archives/edgar/data/0000050863/000005086323000006/intc-20221231.htm" TargetMode="External"/><Relationship Id="rId70" Type="http://schemas.openxmlformats.org/officeDocument/2006/relationships/hyperlink" Target="https://www.sec.gov/ix?doc=/Archives/edgar/data/0000050863/000005086323000006/intc-20221231.htm" TargetMode="External"/><Relationship Id="rId91" Type="http://schemas.openxmlformats.org/officeDocument/2006/relationships/hyperlink" Target="https://www.sec.gov/ix?doc=/Archives/edgar/data/0000050863/000005086323000006/intc-20221231.htm" TargetMode="External"/><Relationship Id="rId145" Type="http://schemas.openxmlformats.org/officeDocument/2006/relationships/hyperlink" Target="https://www.sec.gov/ix?doc=/Archives/edgar/data/0000050863/000005086323000006/intc-20221231.htm" TargetMode="External"/><Relationship Id="rId166" Type="http://schemas.openxmlformats.org/officeDocument/2006/relationships/hyperlink" Target="https://www.sec.gov/ix?doc=/Archives/edgar/data/0000050863/000005086323000006/intc-20221231.htm" TargetMode="External"/><Relationship Id="rId187" Type="http://schemas.openxmlformats.org/officeDocument/2006/relationships/hyperlink" Target="http://www.sec.gov/Archives/edgar/data/50863/000119312520035758/d878309dex41.htm" TargetMode="External"/><Relationship Id="rId1" Type="http://schemas.openxmlformats.org/officeDocument/2006/relationships/styles" Target="styles.xml"/><Relationship Id="rId212" Type="http://schemas.openxmlformats.org/officeDocument/2006/relationships/hyperlink" Target="https://www.sec.gov/Archives/edgar/data/50863/000005086321000018/a3272021ex106.htm" TargetMode="External"/><Relationship Id="rId233" Type="http://schemas.openxmlformats.org/officeDocument/2006/relationships/hyperlink" Target="https://www.sec.gov/Archives/edgar/data/0000050863/000005086323000006/a12312022q4-ex211.htm" TargetMode="External"/><Relationship Id="rId254" Type="http://schemas.openxmlformats.org/officeDocument/2006/relationships/hyperlink" Target="https://www.sec.gov/ix?doc=/Archives/edgar/data/0000050863/000005086323000006/intc-20221231.htm" TargetMode="External"/><Relationship Id="rId28" Type="http://schemas.openxmlformats.org/officeDocument/2006/relationships/hyperlink" Target="https://www.sec.gov/ix?doc=/Archives/edgar/data/0000050863/000005086323000006/intc-20221231.htm" TargetMode="External"/><Relationship Id="rId49" Type="http://schemas.openxmlformats.org/officeDocument/2006/relationships/hyperlink" Target="https://www.sec.gov/ix?doc=/Archives/edgar/data/0000050863/000005086323000006/intc-20221231.htm" TargetMode="External"/><Relationship Id="rId114" Type="http://schemas.openxmlformats.org/officeDocument/2006/relationships/hyperlink" Target="https://www.sec.gov/ix?doc=/Archives/edgar/data/0000050863/000005086323000006/intc-20221231.htm" TargetMode="External"/><Relationship Id="rId275" Type="http://schemas.openxmlformats.org/officeDocument/2006/relationships/hyperlink" Target="https://www.sec.gov/ix?doc=/Archives/edgar/data/0000050863/000005086323000006/intc-20221231.htm" TargetMode="External"/><Relationship Id="rId60" Type="http://schemas.openxmlformats.org/officeDocument/2006/relationships/hyperlink" Target="https://www.sec.gov/ix?doc=/Archives/edgar/data/0000050863/000005086323000006/intc-20221231.htm" TargetMode="External"/><Relationship Id="rId81" Type="http://schemas.openxmlformats.org/officeDocument/2006/relationships/hyperlink" Target="https://www.sec.gov/ix?doc=/Archives/edgar/data/0000050863/000005086323000006/intc-20221231.htm" TargetMode="External"/><Relationship Id="rId135" Type="http://schemas.openxmlformats.org/officeDocument/2006/relationships/hyperlink" Target="https://www.sec.gov/ix?doc=/Archives/edgar/data/0000050863/000005086323000006/intc-20221231.htm" TargetMode="External"/><Relationship Id="rId156" Type="http://schemas.openxmlformats.org/officeDocument/2006/relationships/hyperlink" Target="https://www.sec.gov/ix?doc=/Archives/edgar/data/0000050863/000005086323000006/intc-20221231.htm" TargetMode="External"/><Relationship Id="rId177" Type="http://schemas.openxmlformats.org/officeDocument/2006/relationships/hyperlink" Target="http://www.sec.gov/Archives/edgar/data/50863/000110465912083301/a12-27786_11ex4d01.htm" TargetMode="External"/><Relationship Id="rId198" Type="http://schemas.openxmlformats.org/officeDocument/2006/relationships/hyperlink" Target="https://www.sec.gov/Archives/edgar/data/50863/000005086320000017/a03282020q1-ex101.htm" TargetMode="External"/><Relationship Id="rId202" Type="http://schemas.openxmlformats.org/officeDocument/2006/relationships/hyperlink" Target="https://www.sec.gov/Archives/edgar/data/50863/000119312522290385/d310344dex102.htm" TargetMode="External"/><Relationship Id="rId223" Type="http://schemas.openxmlformats.org/officeDocument/2006/relationships/hyperlink" Target="http://www.sec.gov/Archives/edgar/data/50863/000005086316000153/intcex10210q10012016.htm" TargetMode="External"/><Relationship Id="rId244" Type="http://schemas.openxmlformats.org/officeDocument/2006/relationships/hyperlink" Target="https://www.sec.gov/ix?doc=/Archives/edgar/data/0000050863/000005086323000006/intc-20221231.htm" TargetMode="External"/><Relationship Id="rId18" Type="http://schemas.openxmlformats.org/officeDocument/2006/relationships/hyperlink" Target="https://www.sec.gov/ix?doc=/Archives/edgar/data/0000050863/000005086323000006/intc-20221231.htm" TargetMode="External"/><Relationship Id="rId39" Type="http://schemas.openxmlformats.org/officeDocument/2006/relationships/hyperlink" Target="https://www.sec.gov/ix?doc=/Archives/edgar/data/0000050863/000005086323000006/intc-20221231.htm" TargetMode="External"/><Relationship Id="rId265" Type="http://schemas.openxmlformats.org/officeDocument/2006/relationships/hyperlink" Target="https://www.sec.gov/ix?doc=/Archives/edgar/data/0000050863/000005086323000006/intc-20221231.htm" TargetMode="External"/><Relationship Id="rId286" Type="http://schemas.openxmlformats.org/officeDocument/2006/relationships/theme" Target="theme/theme1.xml"/><Relationship Id="rId50" Type="http://schemas.openxmlformats.org/officeDocument/2006/relationships/hyperlink" Target="https://www.sec.gov/ix?doc=/Archives/edgar/data/0000050863/000005086323000006/intc-20221231.htm" TargetMode="External"/><Relationship Id="rId104" Type="http://schemas.openxmlformats.org/officeDocument/2006/relationships/hyperlink" Target="https://www.sec.gov/ix?doc=/Archives/edgar/data/0000050863/000005086323000006/intc-20221231.htm" TargetMode="External"/><Relationship Id="rId125" Type="http://schemas.openxmlformats.org/officeDocument/2006/relationships/hyperlink" Target="https://www.sec.gov/ix?doc=/Archives/edgar/data/0000050863/000005086323000006/intc-20221231.htm" TargetMode="External"/><Relationship Id="rId146" Type="http://schemas.openxmlformats.org/officeDocument/2006/relationships/hyperlink" Target="https://www.sec.gov/ix?doc=/Archives/edgar/data/0000050863/000005086323000006/intc-20221231.htm" TargetMode="External"/><Relationship Id="rId167" Type="http://schemas.openxmlformats.org/officeDocument/2006/relationships/hyperlink" Target="https://www.sec.gov/ix?doc=/Archives/edgar/data/0000050863/000005086323000006/intc-20221231.htm" TargetMode="External"/><Relationship Id="rId188" Type="http://schemas.openxmlformats.org/officeDocument/2006/relationships/hyperlink" Target="http://www.sec.gov/Archives/edgar/data/50863/000119312520035758/d878309dex42.htm" TargetMode="External"/><Relationship Id="rId71" Type="http://schemas.openxmlformats.org/officeDocument/2006/relationships/hyperlink" Target="https://www.sec.gov/ix?doc=/Archives/edgar/data/0000050863/000005086323000006/intc-20221231.htm" TargetMode="External"/><Relationship Id="rId92" Type="http://schemas.openxmlformats.org/officeDocument/2006/relationships/hyperlink" Target="https://www.sec.gov/ix?doc=/Archives/edgar/data/0000050863/000005086323000006/intc-20221231.htm" TargetMode="External"/><Relationship Id="rId213" Type="http://schemas.openxmlformats.org/officeDocument/2006/relationships/hyperlink" Target="https://www.sec.gov/Archives/edgar/data/50863/000005086321000018/a3272021ex107.htm" TargetMode="External"/><Relationship Id="rId234" Type="http://schemas.openxmlformats.org/officeDocument/2006/relationships/hyperlink" Target="https://www.sec.gov/Archives/edgar/data/0000050863/000005086323000006/a12312022q4-ex231.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3000006/intc-20221231.htm" TargetMode="External"/><Relationship Id="rId255" Type="http://schemas.openxmlformats.org/officeDocument/2006/relationships/hyperlink" Target="https://www.sec.gov/ix?doc=/Archives/edgar/data/0000050863/000005086323000006/intc-20221231.htm" TargetMode="External"/><Relationship Id="rId276" Type="http://schemas.openxmlformats.org/officeDocument/2006/relationships/hyperlink" Target="https://www.sec.gov/ix?doc=/Archives/edgar/data/0000050863/000005086323000006/intc-20221231.htm" TargetMode="External"/><Relationship Id="rId40" Type="http://schemas.openxmlformats.org/officeDocument/2006/relationships/hyperlink" Target="https://www.sec.gov/ix?doc=/Archives/edgar/data/0000050863/000005086323000006/intc-20221231.htm" TargetMode="External"/><Relationship Id="rId115" Type="http://schemas.openxmlformats.org/officeDocument/2006/relationships/hyperlink" Target="https://www.sec.gov/ix?doc=/Archives/edgar/data/0000050863/000005086323000006/intc-20221231.htm" TargetMode="External"/><Relationship Id="rId136" Type="http://schemas.openxmlformats.org/officeDocument/2006/relationships/hyperlink" Target="https://www.sec.gov/ix?doc=/Archives/edgar/data/0000050863/000005086323000006/intc-20221231.htm" TargetMode="External"/><Relationship Id="rId157" Type="http://schemas.openxmlformats.org/officeDocument/2006/relationships/hyperlink" Target="https://www.sec.gov/ix?doc=/Archives/edgar/data/0000050863/000005086323000006/intc-20221231.htm" TargetMode="External"/><Relationship Id="rId178" Type="http://schemas.openxmlformats.org/officeDocument/2006/relationships/hyperlink" Target="http://www.sec.gov/Archives/edgar/data/50863/000110465912084296/a12-27786_14ex4d01.htm" TargetMode="External"/><Relationship Id="rId61" Type="http://schemas.openxmlformats.org/officeDocument/2006/relationships/hyperlink" Target="https://www.sec.gov/ix?doc=/Archives/edgar/data/0000050863/000005086323000006/intc-20221231.htm" TargetMode="External"/><Relationship Id="rId82" Type="http://schemas.openxmlformats.org/officeDocument/2006/relationships/hyperlink" Target="https://www.sec.gov/ix?doc=/Archives/edgar/data/0000050863/000005086323000006/intc-20221231.htm" TargetMode="External"/><Relationship Id="rId199" Type="http://schemas.openxmlformats.org/officeDocument/2006/relationships/hyperlink" Target="http://www.sec.gov/Archives/edgar/data/50863/000005086319000013/a03302019ex106.htm" TargetMode="External"/><Relationship Id="rId203" Type="http://schemas.openxmlformats.org/officeDocument/2006/relationships/hyperlink" Target="https://www.sec.gov/Archives/edgar/data/50863/000119312522290385/d310344dex103.htm" TargetMode="External"/><Relationship Id="rId19" Type="http://schemas.openxmlformats.org/officeDocument/2006/relationships/hyperlink" Target="https://www.sec.gov/ix?doc=/Archives/edgar/data/0000050863/000005086323000006/intc-20221231.htm" TargetMode="External"/><Relationship Id="rId224" Type="http://schemas.openxmlformats.org/officeDocument/2006/relationships/hyperlink" Target="http://www.sec.gov/Archives/edgar/data/50863/000005086309000213/exh101.htm" TargetMode="External"/><Relationship Id="rId245" Type="http://schemas.openxmlformats.org/officeDocument/2006/relationships/hyperlink" Target="https://www.sec.gov/ix?doc=/Archives/edgar/data/0000050863/000005086323000006/intc-20221231.htm" TargetMode="External"/><Relationship Id="rId266" Type="http://schemas.openxmlformats.org/officeDocument/2006/relationships/hyperlink" Target="https://www.sec.gov/ix?doc=/Archives/edgar/data/0000050863/000005086323000006/intc-20221231.htm" TargetMode="External"/><Relationship Id="rId30" Type="http://schemas.openxmlformats.org/officeDocument/2006/relationships/hyperlink" Target="https://www.sec.gov/ix?doc=/Archives/edgar/data/0000050863/000005086323000006/intc-20221231.htm" TargetMode="External"/><Relationship Id="rId105" Type="http://schemas.openxmlformats.org/officeDocument/2006/relationships/hyperlink" Target="https://www.sec.gov/ix?doc=/Archives/edgar/data/0000050863/000005086323000006/intc-20221231.htm" TargetMode="External"/><Relationship Id="rId126" Type="http://schemas.openxmlformats.org/officeDocument/2006/relationships/hyperlink" Target="https://www.sec.gov/ix?doc=/Archives/edgar/data/0000050863/000005086323000006/intc-20221231.htm" TargetMode="External"/><Relationship Id="rId147" Type="http://schemas.openxmlformats.org/officeDocument/2006/relationships/hyperlink" Target="https://www.sec.gov/ix?doc=/Archives/edgar/data/0000050863/000005086323000006/intc-20221231.htm" TargetMode="External"/><Relationship Id="rId168" Type="http://schemas.openxmlformats.org/officeDocument/2006/relationships/hyperlink" Target="https://www.sec.gov/ix?doc=/Archives/edgar/data/0000050863/000005086323000006/intc-20221231.htm" TargetMode="External"/><Relationship Id="rId51" Type="http://schemas.openxmlformats.org/officeDocument/2006/relationships/hyperlink" Target="https://www.sec.gov/ix?doc=/Archives/edgar/data/0000050863/000005086323000006/intc-20221231.htm" TargetMode="External"/><Relationship Id="rId72" Type="http://schemas.openxmlformats.org/officeDocument/2006/relationships/hyperlink" Target="https://www.sec.gov/ix?doc=/Archives/edgar/data/0000050863/000005086323000006/intc-20221231.htm" TargetMode="External"/><Relationship Id="rId93" Type="http://schemas.openxmlformats.org/officeDocument/2006/relationships/hyperlink" Target="https://www.sec.gov/ix?doc=/Archives/edgar/data/0000050863/000005086323000006/intc-20221231.htm" TargetMode="External"/><Relationship Id="rId189" Type="http://schemas.openxmlformats.org/officeDocument/2006/relationships/hyperlink" Target="https://www.sec.gov/Archives/edgar/data/50863/000119312520085163/d851110dex41.htm" TargetMode="External"/><Relationship Id="rId3" Type="http://schemas.openxmlformats.org/officeDocument/2006/relationships/webSettings" Target="webSettings.xml"/><Relationship Id="rId214" Type="http://schemas.openxmlformats.org/officeDocument/2006/relationships/hyperlink" Target="https://www.sec.gov/Archives/edgar/data/50863/000005086321000018/a3272021ex108.htm" TargetMode="External"/><Relationship Id="rId235" Type="http://schemas.openxmlformats.org/officeDocument/2006/relationships/hyperlink" Target="https://www.sec.gov/Archives/edgar/data/0000050863/000005086323000006/a12312022q4-ex311.htm" TargetMode="External"/><Relationship Id="rId256" Type="http://schemas.openxmlformats.org/officeDocument/2006/relationships/hyperlink" Target="https://www.sec.gov/ix?doc=/Archives/edgar/data/0000050863/000005086323000006/intc-20221231.htm" TargetMode="External"/><Relationship Id="rId277" Type="http://schemas.openxmlformats.org/officeDocument/2006/relationships/hyperlink" Target="https://www.sec.gov/ix?doc=/Archives/edgar/data/0000050863/000005086323000006/intc-20221231.htm" TargetMode="External"/><Relationship Id="rId116" Type="http://schemas.openxmlformats.org/officeDocument/2006/relationships/hyperlink" Target="https://www.sec.gov/ix?doc=/Archives/edgar/data/0000050863/000005086323000006/intc-20221231.htm" TargetMode="External"/><Relationship Id="rId137" Type="http://schemas.openxmlformats.org/officeDocument/2006/relationships/hyperlink" Target="https://www.sec.gov/ix?doc=/Archives/edgar/data/0000050863/000005086323000006/intc-20221231.htm" TargetMode="External"/><Relationship Id="rId158" Type="http://schemas.openxmlformats.org/officeDocument/2006/relationships/hyperlink" Target="https://www.sec.gov/ix?doc=/Archives/edgar/data/0000050863/000005086323000006/intc-20221231.htm" TargetMode="External"/><Relationship Id="rId20" Type="http://schemas.openxmlformats.org/officeDocument/2006/relationships/hyperlink" Target="https://www.sec.gov/ix?doc=/Archives/edgar/data/0000050863/000005086323000006/intc-20221231.htm" TargetMode="External"/><Relationship Id="rId41" Type="http://schemas.openxmlformats.org/officeDocument/2006/relationships/hyperlink" Target="https://www.sec.gov/ix?doc=/Archives/edgar/data/0000050863/000005086323000006/intc-20221231.htm" TargetMode="External"/><Relationship Id="rId62" Type="http://schemas.openxmlformats.org/officeDocument/2006/relationships/hyperlink" Target="https://www.sec.gov/ix?doc=/Archives/edgar/data/0000050863/000005086323000006/intc-20221231.htm" TargetMode="External"/><Relationship Id="rId83" Type="http://schemas.openxmlformats.org/officeDocument/2006/relationships/hyperlink" Target="https://www.sec.gov/ix?doc=/Archives/edgar/data/0000050863/000005086323000006/intc-20221231.htm" TargetMode="External"/><Relationship Id="rId179" Type="http://schemas.openxmlformats.org/officeDocument/2006/relationships/hyperlink" Target="http://www.sec.gov/Archives/edgar/data/50863/000110465915054325/a15-13514_7ex4d1.htm" TargetMode="External"/><Relationship Id="rId190" Type="http://schemas.openxmlformats.org/officeDocument/2006/relationships/hyperlink" Target="https://www.sec.gov/Archives/edgar/data/50863/000119312521244840/d136354dex41.htm" TargetMode="External"/><Relationship Id="rId204" Type="http://schemas.openxmlformats.org/officeDocument/2006/relationships/hyperlink" Target="http://www.sec.gov/Archives/edgar/data/50863/000005086319000013/a03302019ex109.htm" TargetMode="External"/><Relationship Id="rId225" Type="http://schemas.openxmlformats.org/officeDocument/2006/relationships/hyperlink" Target="http://www.sec.gov/Archives/edgar/data/50863/000005086311000007/exh101.htm" TargetMode="External"/><Relationship Id="rId246" Type="http://schemas.openxmlformats.org/officeDocument/2006/relationships/hyperlink" Target="https://www.sec.gov/ix?doc=/Archives/edgar/data/0000050863/000005086323000006/intc-20221231.htm" TargetMode="External"/><Relationship Id="rId267" Type="http://schemas.openxmlformats.org/officeDocument/2006/relationships/hyperlink" Target="https://www.sec.gov/ix?doc=/Archives/edgar/data/0000050863/000005086323000006/intc-20221231.htm" TargetMode="External"/><Relationship Id="rId106" Type="http://schemas.openxmlformats.org/officeDocument/2006/relationships/hyperlink" Target="https://www.sec.gov/ix?doc=/Archives/edgar/data/0000050863/000005086323000006/intc-20221231.htm" TargetMode="External"/><Relationship Id="rId127" Type="http://schemas.openxmlformats.org/officeDocument/2006/relationships/hyperlink" Target="https://www.sec.gov/ix?doc=/Archives/edgar/data/0000050863/000005086323000006/intc-20221231.htm" TargetMode="External"/><Relationship Id="rId10" Type="http://schemas.openxmlformats.org/officeDocument/2006/relationships/hyperlink" Target="https://www.sec.gov/ix?doc=/Archives/edgar/data/0000050863/000005086323000006/intc-20221231.htm" TargetMode="External"/><Relationship Id="rId31" Type="http://schemas.openxmlformats.org/officeDocument/2006/relationships/hyperlink" Target="https://www.sec.gov/ix?doc=/Archives/edgar/data/0000050863/000005086323000006/intc-20221231.htm" TargetMode="External"/><Relationship Id="rId52" Type="http://schemas.openxmlformats.org/officeDocument/2006/relationships/hyperlink" Target="https://www.sec.gov/ix?doc=/Archives/edgar/data/0000050863/000005086323000006/intc-20221231.htm" TargetMode="External"/><Relationship Id="rId73" Type="http://schemas.openxmlformats.org/officeDocument/2006/relationships/hyperlink" Target="https://www.sec.gov/ix?doc=/Archives/edgar/data/0000050863/000005086323000006/intc-20221231.htm" TargetMode="External"/><Relationship Id="rId94" Type="http://schemas.openxmlformats.org/officeDocument/2006/relationships/hyperlink" Target="https://www.sec.gov/ix?doc=/Archives/edgar/data/0000050863/000005086323000006/intc-20221231.htm" TargetMode="External"/><Relationship Id="rId148" Type="http://schemas.openxmlformats.org/officeDocument/2006/relationships/hyperlink" Target="https://www.sec.gov/ix?doc=/Archives/edgar/data/0000050863/000005086323000006/intc-20221231.htm" TargetMode="External"/><Relationship Id="rId169" Type="http://schemas.openxmlformats.org/officeDocument/2006/relationships/hyperlink" Target="https://www.sec.gov/Archives/edgar/data/50863/000119312520272580/d76122dex21.htm" TargetMode="External"/><Relationship Id="rId4" Type="http://schemas.openxmlformats.org/officeDocument/2006/relationships/footnotes" Target="footnotes.xml"/><Relationship Id="rId180" Type="http://schemas.openxmlformats.org/officeDocument/2006/relationships/hyperlink" Target="http://www.sec.gov/Archives/edgar/data/50863/000110465916121995/a16-11043_4ex4d1.htm" TargetMode="External"/><Relationship Id="rId215" Type="http://schemas.openxmlformats.org/officeDocument/2006/relationships/hyperlink" Target="https://www.sec.gov/Archives/edgar/data/50863/000119312520012078/d815779dex101.htm" TargetMode="External"/><Relationship Id="rId236" Type="http://schemas.openxmlformats.org/officeDocument/2006/relationships/hyperlink" Target="https://www.sec.gov/Archives/edgar/data/0000050863/000005086323000006/a12312022q4-ex312.htm" TargetMode="External"/><Relationship Id="rId257" Type="http://schemas.openxmlformats.org/officeDocument/2006/relationships/hyperlink" Target="https://www.sec.gov/ix?doc=/Archives/edgar/data/0000050863/000005086323000006/intc-20221231.htm" TargetMode="External"/><Relationship Id="rId278" Type="http://schemas.openxmlformats.org/officeDocument/2006/relationships/hyperlink" Target="https://www.sec.gov/ix?doc=/Archives/edgar/data/0000050863/000005086323000006/intc-20221231.htm" TargetMode="External"/><Relationship Id="rId42" Type="http://schemas.openxmlformats.org/officeDocument/2006/relationships/hyperlink" Target="https://www.sec.gov/ix?doc=/Archives/edgar/data/0000050863/000005086323000006/intc-20221231.htm" TargetMode="External"/><Relationship Id="rId84" Type="http://schemas.openxmlformats.org/officeDocument/2006/relationships/hyperlink" Target="https://www.sec.gov/ix?doc=/Archives/edgar/data/0000050863/000005086323000006/intc-20221231.htm" TargetMode="External"/><Relationship Id="rId138" Type="http://schemas.openxmlformats.org/officeDocument/2006/relationships/hyperlink" Target="https://www.sec.gov/ix?doc=/Archives/edgar/data/0000050863/000005086323000006/intc-20221231.htm" TargetMode="External"/><Relationship Id="rId191" Type="http://schemas.openxmlformats.org/officeDocument/2006/relationships/hyperlink" Target="https://www.sec.gov/Archives/edgar/data/50863/000119312522213699/d390659dex41.htm" TargetMode="External"/><Relationship Id="rId205" Type="http://schemas.openxmlformats.org/officeDocument/2006/relationships/hyperlink" Target="http://www.sec.gov/Archives/edgar/data/50863/000005086319000013/a03302019ex107.htm" TargetMode="External"/><Relationship Id="rId247" Type="http://schemas.openxmlformats.org/officeDocument/2006/relationships/hyperlink" Target="https://www.sec.gov/ix?doc=/Archives/edgar/data/0000050863/000005086323000006/intc-20221231.htm" TargetMode="External"/><Relationship Id="rId107" Type="http://schemas.openxmlformats.org/officeDocument/2006/relationships/hyperlink" Target="https://www.sec.gov/ix?doc=/Archives/edgar/data/0000050863/000005086323000006/intc-20221231.htm" TargetMode="External"/><Relationship Id="rId11" Type="http://schemas.openxmlformats.org/officeDocument/2006/relationships/hyperlink" Target="https://www.sec.gov/ix?doc=/Archives/edgar/data/0000050863/000005086323000006/intc-20221231.htm" TargetMode="External"/><Relationship Id="rId53" Type="http://schemas.openxmlformats.org/officeDocument/2006/relationships/hyperlink" Target="https://www.sec.gov/ix?doc=/Archives/edgar/data/0000050863/000005086323000006/intc-20221231.htm" TargetMode="External"/><Relationship Id="rId149" Type="http://schemas.openxmlformats.org/officeDocument/2006/relationships/hyperlink" Target="https://www.sec.gov/ix?doc=/Archives/edgar/data/0000050863/000005086323000006/intc-20221231.htm" TargetMode="External"/><Relationship Id="rId95" Type="http://schemas.openxmlformats.org/officeDocument/2006/relationships/hyperlink" Target="https://www.sec.gov/ix?doc=/Archives/edgar/data/0000050863/000005086323000006/intc-20221231.htm" TargetMode="External"/><Relationship Id="rId160" Type="http://schemas.openxmlformats.org/officeDocument/2006/relationships/hyperlink" Target="https://www.sec.gov/ix?doc=/Archives/edgar/data/0000050863/000005086323000006/intc-20221231.htm" TargetMode="External"/><Relationship Id="rId216" Type="http://schemas.openxmlformats.org/officeDocument/2006/relationships/hyperlink" Target="https://www.sec.gov/Archives/edgar/data/50863/000005086320000017/a03282020q1-ex103.htm" TargetMode="External"/><Relationship Id="rId258" Type="http://schemas.openxmlformats.org/officeDocument/2006/relationships/hyperlink" Target="https://www.sec.gov/ix?doc=/Archives/edgar/data/0000050863/000005086323000006/intc-20221231.htm" TargetMode="External"/><Relationship Id="rId22" Type="http://schemas.openxmlformats.org/officeDocument/2006/relationships/hyperlink" Target="https://www.sec.gov/ix?doc=/Archives/edgar/data/0000050863/000005086323000006/intc-20221231.htm" TargetMode="External"/><Relationship Id="rId64" Type="http://schemas.openxmlformats.org/officeDocument/2006/relationships/hyperlink" Target="https://www.sec.gov/ix?doc=/Archives/edgar/data/0000050863/000005086323000006/intc-20221231.htm" TargetMode="External"/><Relationship Id="rId118" Type="http://schemas.openxmlformats.org/officeDocument/2006/relationships/hyperlink" Target="https://www.sec.gov/ix?doc=/Archives/edgar/data/0000050863/000005086323000006/intc-202212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91182</Words>
  <Characters>519738</Characters>
  <Application>Microsoft Office Word</Application>
  <DocSecurity>0</DocSecurity>
  <Lines>4331</Lines>
  <Paragraphs>1219</Paragraphs>
  <ScaleCrop>false</ScaleCrop>
  <Company/>
  <LinksUpToDate>false</LinksUpToDate>
  <CharactersWithSpaces>609701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2023-02-11T20:07:00Z</dcterms:created>
  <dcterms:modified xsi:type="dcterms:W3CDTF">2023-02-13T11:18:00Z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FE9B5B9C44C26CE91085E7639A0B73E2</vt:lpwstr>
  </property>
</Properties>
</file>